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theme/themeOverride1.xml" ContentType="application/vnd.openxmlformats-officedocument.themeOverride+xml"/>
  <Override PartName="/word/charts/chart4.xml" ContentType="application/vnd.openxmlformats-officedocument.drawingml.chart+xml"/>
  <Override PartName="/word/theme/themeOverride2.xml" ContentType="application/vnd.openxmlformats-officedocument.themeOverride+xml"/>
  <Override PartName="/word/charts/chart5.xml" ContentType="application/vnd.openxmlformats-officedocument.drawingml.chart+xml"/>
  <Override PartName="/word/theme/themeOverride3.xml" ContentType="application/vnd.openxmlformats-officedocument.themeOverride+xml"/>
  <Override PartName="/word/charts/chart6.xml" ContentType="application/vnd.openxmlformats-officedocument.drawingml.chart+xml"/>
  <Override PartName="/word/theme/themeOverride4.xml" ContentType="application/vnd.openxmlformats-officedocument.themeOverride+xml"/>
  <Override PartName="/word/charts/chart7.xml" ContentType="application/vnd.openxmlformats-officedocument.drawingml.chart+xml"/>
  <Override PartName="/word/theme/themeOverride5.xml" ContentType="application/vnd.openxmlformats-officedocument.themeOverride+xml"/>
  <Override PartName="/word/charts/chart8.xml" ContentType="application/vnd.openxmlformats-officedocument.drawingml.chart+xml"/>
  <Override PartName="/word/theme/themeOverride6.xml" ContentType="application/vnd.openxmlformats-officedocument.themeOverride+xml"/>
  <Override PartName="/word/charts/chart9.xml" ContentType="application/vnd.openxmlformats-officedocument.drawingml.chart+xml"/>
  <Override PartName="/word/theme/themeOverride7.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86A941" w14:textId="7B7D7789" w:rsidR="00445A56" w:rsidRPr="006070EA" w:rsidRDefault="005521B1" w:rsidP="009E07E1">
      <w:pPr>
        <w:tabs>
          <w:tab w:val="left" w:pos="3570"/>
        </w:tabs>
        <w:spacing w:line="240" w:lineRule="auto"/>
        <w:rPr>
          <w:rFonts w:asciiTheme="majorHAnsi" w:hAnsiTheme="majorHAnsi" w:cstheme="majorHAnsi"/>
          <w:color w:val="FF0000"/>
        </w:rPr>
      </w:pPr>
      <w:r w:rsidRPr="006070EA">
        <w:rPr>
          <w:rFonts w:asciiTheme="majorHAnsi" w:hAnsiTheme="majorHAnsi" w:cstheme="majorHAnsi"/>
          <w:noProof/>
          <w:color w:val="FF0000"/>
          <w:lang w:eastAsia="cs-CZ"/>
        </w:rPr>
        <w:drawing>
          <wp:inline distT="0" distB="0" distL="0" distR="0" wp14:anchorId="7B38DD82" wp14:editId="0CEB7B0E">
            <wp:extent cx="5760720" cy="3853180"/>
            <wp:effectExtent l="0" t="0" r="0" b="0"/>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slatinanz.cz/www/obecslatinanadzdobnici/fs/wrs-galerie/slatina/slatina12.jpg"/>
                    <pic:cNvPicPr>
                      <a:picLocks noChangeAspect="1" noChangeArrowheads="1"/>
                    </pic:cNvPicPr>
                  </pic:nvPicPr>
                  <pic:blipFill>
                    <a:blip r:embed="rId8" cstate="print">
                      <a:alphaModFix amt="50000"/>
                      <a:extLst>
                        <a:ext uri="{BEBA8EAE-BF5A-486C-A8C5-ECC9F3942E4B}">
                          <a14:imgProps xmlns:a14="http://schemas.microsoft.com/office/drawing/2010/main">
                            <a14:imgLayer r:embed="rId9">
                              <a14:imgEffect>
                                <a14:saturation sat="0"/>
                              </a14:imgEffect>
                            </a14:imgLayer>
                          </a14:imgProps>
                        </a:ext>
                        <a:ext uri="{28A0092B-C50C-407E-A947-70E740481C1C}">
                          <a14:useLocalDpi xmlns:a14="http://schemas.microsoft.com/office/drawing/2010/main" val="0"/>
                        </a:ext>
                      </a:extLst>
                    </a:blip>
                    <a:stretch>
                      <a:fillRect/>
                    </a:stretch>
                  </pic:blipFill>
                  <pic:spPr bwMode="auto">
                    <a:xfrm>
                      <a:off x="0" y="0"/>
                      <a:ext cx="5760720" cy="3853180"/>
                    </a:xfrm>
                    <a:prstGeom prst="rect">
                      <a:avLst/>
                    </a:prstGeom>
                    <a:noFill/>
                    <a:ln>
                      <a:noFill/>
                    </a:ln>
                    <a:effectLst>
                      <a:glow>
                        <a:schemeClr val="accent1"/>
                      </a:glow>
                      <a:outerShdw dist="50800" sx="1000" sy="1000" algn="ctr" rotWithShape="0">
                        <a:srgbClr val="000000">
                          <a:alpha val="50000"/>
                        </a:srgbClr>
                      </a:outerShdw>
                      <a:softEdge rad="165100"/>
                    </a:effectLst>
                  </pic:spPr>
                </pic:pic>
              </a:graphicData>
            </a:graphic>
          </wp:inline>
        </w:drawing>
      </w:r>
    </w:p>
    <w:p w14:paraId="5C17ED04" w14:textId="0F6289D5" w:rsidR="00C227EC" w:rsidRPr="006070EA" w:rsidRDefault="00C227EC" w:rsidP="009E07E1">
      <w:pPr>
        <w:tabs>
          <w:tab w:val="left" w:pos="3570"/>
        </w:tabs>
        <w:spacing w:line="240" w:lineRule="auto"/>
        <w:rPr>
          <w:rFonts w:asciiTheme="majorHAnsi" w:hAnsiTheme="majorHAnsi" w:cstheme="majorHAnsi"/>
          <w:color w:val="FF0000"/>
        </w:rPr>
      </w:pPr>
    </w:p>
    <w:p w14:paraId="524E73D0" w14:textId="379DEBEA" w:rsidR="005521B1" w:rsidRPr="006070EA" w:rsidRDefault="005521B1" w:rsidP="009E07E1">
      <w:pPr>
        <w:tabs>
          <w:tab w:val="left" w:pos="3570"/>
        </w:tabs>
        <w:spacing w:line="240" w:lineRule="auto"/>
        <w:rPr>
          <w:rFonts w:asciiTheme="majorHAnsi" w:hAnsiTheme="majorHAnsi" w:cstheme="majorHAnsi"/>
          <w:color w:val="FF0000"/>
        </w:rPr>
      </w:pPr>
    </w:p>
    <w:p w14:paraId="40703697" w14:textId="77777777" w:rsidR="005521B1" w:rsidRPr="006070EA" w:rsidRDefault="005521B1" w:rsidP="009E07E1">
      <w:pPr>
        <w:tabs>
          <w:tab w:val="left" w:pos="3570"/>
        </w:tabs>
        <w:spacing w:line="240" w:lineRule="auto"/>
        <w:rPr>
          <w:rFonts w:asciiTheme="majorHAnsi" w:hAnsiTheme="majorHAnsi" w:cstheme="majorHAnsi"/>
          <w:color w:val="FF0000"/>
        </w:rPr>
      </w:pPr>
    </w:p>
    <w:p w14:paraId="1CEC9A75" w14:textId="77777777" w:rsidR="00F44A32" w:rsidRPr="006070EA" w:rsidRDefault="00F44A32" w:rsidP="009E07E1">
      <w:pPr>
        <w:tabs>
          <w:tab w:val="left" w:pos="3570"/>
        </w:tabs>
        <w:spacing w:line="240" w:lineRule="auto"/>
        <w:rPr>
          <w:rFonts w:asciiTheme="majorHAnsi" w:hAnsiTheme="majorHAnsi" w:cstheme="majorHAnsi"/>
          <w:color w:val="FF0000"/>
        </w:rPr>
      </w:pPr>
    </w:p>
    <w:p w14:paraId="3BEE327A" w14:textId="77777777" w:rsidR="00206D0F" w:rsidRPr="006070EA" w:rsidRDefault="00206D0F" w:rsidP="009E07E1">
      <w:pPr>
        <w:tabs>
          <w:tab w:val="left" w:pos="3570"/>
        </w:tabs>
        <w:spacing w:line="240" w:lineRule="auto"/>
        <w:rPr>
          <w:rFonts w:asciiTheme="majorHAnsi" w:hAnsiTheme="majorHAnsi" w:cstheme="majorHAnsi"/>
          <w:color w:val="FF0000"/>
        </w:rPr>
      </w:pPr>
    </w:p>
    <w:p w14:paraId="3C134019" w14:textId="77777777" w:rsidR="006C454C" w:rsidRPr="006070EA" w:rsidRDefault="006C454C" w:rsidP="009E07E1">
      <w:pPr>
        <w:tabs>
          <w:tab w:val="left" w:pos="3570"/>
        </w:tabs>
        <w:spacing w:line="240" w:lineRule="auto"/>
        <w:rPr>
          <w:rFonts w:asciiTheme="majorHAnsi" w:hAnsiTheme="majorHAnsi" w:cstheme="majorHAnsi"/>
          <w:color w:val="FF0000"/>
        </w:rPr>
      </w:pPr>
    </w:p>
    <w:p w14:paraId="498EC763" w14:textId="77777777" w:rsidR="00EF06C2" w:rsidRDefault="00EF06C2" w:rsidP="00A15BEA">
      <w:pPr>
        <w:tabs>
          <w:tab w:val="right" w:pos="3570"/>
          <w:tab w:val="right" w:pos="9072"/>
        </w:tabs>
        <w:spacing w:after="0" w:line="240" w:lineRule="auto"/>
        <w:rPr>
          <w:rFonts w:asciiTheme="majorHAnsi" w:hAnsiTheme="majorHAnsi" w:cstheme="majorHAnsi"/>
          <w:color w:val="FF0000"/>
        </w:rPr>
      </w:pPr>
    </w:p>
    <w:p w14:paraId="0D1B0563" w14:textId="77777777" w:rsidR="00A04AE9" w:rsidRPr="006070EA" w:rsidRDefault="00A04AE9" w:rsidP="00A15BEA">
      <w:pPr>
        <w:tabs>
          <w:tab w:val="right" w:pos="3570"/>
          <w:tab w:val="right" w:pos="9072"/>
        </w:tabs>
        <w:spacing w:after="0" w:line="240" w:lineRule="auto"/>
        <w:rPr>
          <w:rFonts w:asciiTheme="majorHAnsi" w:hAnsiTheme="majorHAnsi" w:cstheme="majorHAnsi"/>
          <w:color w:val="FF0000"/>
        </w:rPr>
      </w:pPr>
    </w:p>
    <w:p w14:paraId="058405AC" w14:textId="77777777" w:rsidR="00EF06C2" w:rsidRPr="006070EA" w:rsidRDefault="00EF06C2" w:rsidP="00EF06C2">
      <w:pPr>
        <w:tabs>
          <w:tab w:val="left" w:pos="3570"/>
        </w:tabs>
        <w:spacing w:line="240" w:lineRule="auto"/>
        <w:jc w:val="right"/>
        <w:rPr>
          <w:rFonts w:asciiTheme="majorHAnsi" w:hAnsiTheme="majorHAnsi" w:cstheme="majorHAnsi"/>
          <w:b/>
          <w:color w:val="FF0000"/>
          <w:sz w:val="16"/>
          <w:szCs w:val="20"/>
        </w:rPr>
      </w:pPr>
    </w:p>
    <w:p w14:paraId="34DA4FC2" w14:textId="77777777" w:rsidR="00E5190B" w:rsidRPr="006070EA" w:rsidRDefault="00E5190B" w:rsidP="00EF06C2">
      <w:pPr>
        <w:tabs>
          <w:tab w:val="left" w:pos="3570"/>
        </w:tabs>
        <w:spacing w:line="240" w:lineRule="auto"/>
        <w:jc w:val="right"/>
        <w:rPr>
          <w:rFonts w:asciiTheme="majorHAnsi" w:hAnsiTheme="majorHAnsi" w:cstheme="majorHAnsi"/>
          <w:b/>
          <w:color w:val="FF0000"/>
          <w:sz w:val="16"/>
          <w:szCs w:val="20"/>
        </w:rPr>
      </w:pPr>
    </w:p>
    <w:p w14:paraId="363288C3" w14:textId="77777777" w:rsidR="00076FBB" w:rsidRPr="006070EA" w:rsidRDefault="00076FBB" w:rsidP="00EF06C2">
      <w:pPr>
        <w:tabs>
          <w:tab w:val="left" w:pos="3570"/>
        </w:tabs>
        <w:spacing w:line="240" w:lineRule="auto"/>
        <w:jc w:val="right"/>
        <w:rPr>
          <w:rFonts w:asciiTheme="majorHAnsi" w:hAnsiTheme="majorHAnsi" w:cstheme="majorHAnsi"/>
          <w:b/>
          <w:color w:val="FF0000"/>
          <w:sz w:val="10"/>
          <w:szCs w:val="10"/>
        </w:rPr>
      </w:pPr>
    </w:p>
    <w:tbl>
      <w:tblPr>
        <w:tblStyle w:val="Mkatabulky"/>
        <w:tblW w:w="0" w:type="auto"/>
        <w:jc w:val="center"/>
        <w:tblLayout w:type="fixed"/>
        <w:tblLook w:val="04A0" w:firstRow="1" w:lastRow="0" w:firstColumn="1" w:lastColumn="0" w:noHBand="0" w:noVBand="1"/>
      </w:tblPr>
      <w:tblGrid>
        <w:gridCol w:w="2093"/>
        <w:gridCol w:w="5670"/>
        <w:gridCol w:w="1299"/>
      </w:tblGrid>
      <w:tr w:rsidR="00734352" w:rsidRPr="006070EA" w14:paraId="2CAA5327" w14:textId="77777777" w:rsidTr="00F44A32">
        <w:trPr>
          <w:jc w:val="center"/>
        </w:trPr>
        <w:tc>
          <w:tcPr>
            <w:tcW w:w="9062" w:type="dxa"/>
            <w:gridSpan w:val="3"/>
            <w:tcBorders>
              <w:top w:val="nil"/>
              <w:left w:val="nil"/>
              <w:bottom w:val="single" w:sz="12" w:space="0" w:color="auto"/>
              <w:right w:val="nil"/>
            </w:tcBorders>
            <w:shd w:val="clear" w:color="auto" w:fill="F2F2F2" w:themeFill="background1" w:themeFillShade="F2"/>
          </w:tcPr>
          <w:p w14:paraId="0CD6EF63" w14:textId="0CB24F7A" w:rsidR="00323335" w:rsidRPr="006070EA" w:rsidRDefault="00F44A32" w:rsidP="00E5190B">
            <w:pPr>
              <w:tabs>
                <w:tab w:val="left" w:pos="3570"/>
              </w:tabs>
              <w:spacing w:before="60" w:after="60"/>
              <w:rPr>
                <w:rFonts w:asciiTheme="majorHAnsi" w:hAnsiTheme="majorHAnsi" w:cstheme="majorHAnsi"/>
                <w:b/>
                <w:sz w:val="36"/>
              </w:rPr>
            </w:pPr>
            <w:r w:rsidRPr="006070EA">
              <w:rPr>
                <w:rFonts w:asciiTheme="majorHAnsi" w:hAnsiTheme="majorHAnsi" w:cstheme="majorHAnsi"/>
                <w:b/>
                <w:sz w:val="36"/>
              </w:rPr>
              <w:t xml:space="preserve">ODŮVODNĚNÍ </w:t>
            </w:r>
            <w:r w:rsidR="00323335" w:rsidRPr="006070EA">
              <w:rPr>
                <w:rFonts w:asciiTheme="majorHAnsi" w:hAnsiTheme="majorHAnsi" w:cstheme="majorHAnsi"/>
                <w:b/>
                <w:sz w:val="36"/>
              </w:rPr>
              <w:t>ÚZEMNÍ</w:t>
            </w:r>
            <w:r w:rsidRPr="006070EA">
              <w:rPr>
                <w:rFonts w:asciiTheme="majorHAnsi" w:hAnsiTheme="majorHAnsi" w:cstheme="majorHAnsi"/>
                <w:b/>
                <w:sz w:val="36"/>
              </w:rPr>
              <w:t>HO</w:t>
            </w:r>
            <w:r w:rsidR="00323335" w:rsidRPr="006070EA">
              <w:rPr>
                <w:rFonts w:asciiTheme="majorHAnsi" w:hAnsiTheme="majorHAnsi" w:cstheme="majorHAnsi"/>
                <w:b/>
                <w:sz w:val="36"/>
              </w:rPr>
              <w:t xml:space="preserve"> PLÁN</w:t>
            </w:r>
            <w:r w:rsidRPr="006070EA">
              <w:rPr>
                <w:rFonts w:asciiTheme="majorHAnsi" w:hAnsiTheme="majorHAnsi" w:cstheme="majorHAnsi"/>
                <w:b/>
                <w:sz w:val="36"/>
              </w:rPr>
              <w:t>U</w:t>
            </w:r>
            <w:r w:rsidR="00323335" w:rsidRPr="006070EA">
              <w:rPr>
                <w:rFonts w:asciiTheme="majorHAnsi" w:hAnsiTheme="majorHAnsi" w:cstheme="majorHAnsi"/>
                <w:b/>
                <w:sz w:val="36"/>
              </w:rPr>
              <w:t xml:space="preserve"> </w:t>
            </w:r>
            <w:r w:rsidR="00B158F2" w:rsidRPr="006070EA">
              <w:rPr>
                <w:rFonts w:asciiTheme="majorHAnsi" w:hAnsiTheme="majorHAnsi" w:cstheme="majorHAnsi"/>
                <w:b/>
                <w:sz w:val="36"/>
              </w:rPr>
              <w:t>KOSTOMLATY NAD LABEM</w:t>
            </w:r>
          </w:p>
        </w:tc>
      </w:tr>
      <w:tr w:rsidR="00734352" w:rsidRPr="006070EA" w14:paraId="0C58DF37" w14:textId="77777777" w:rsidTr="00E810E5">
        <w:trPr>
          <w:trHeight w:val="454"/>
          <w:jc w:val="center"/>
        </w:trPr>
        <w:tc>
          <w:tcPr>
            <w:tcW w:w="2093" w:type="dxa"/>
            <w:tcBorders>
              <w:top w:val="single" w:sz="12" w:space="0" w:color="auto"/>
              <w:left w:val="nil"/>
              <w:right w:val="nil"/>
            </w:tcBorders>
          </w:tcPr>
          <w:p w14:paraId="1D44BCC3" w14:textId="6F60562B" w:rsidR="00E810E5" w:rsidRPr="006070EA" w:rsidRDefault="00E810E5" w:rsidP="009E07E1">
            <w:pPr>
              <w:tabs>
                <w:tab w:val="left" w:pos="3570"/>
              </w:tabs>
              <w:spacing w:after="120"/>
              <w:rPr>
                <w:rFonts w:asciiTheme="majorHAnsi" w:hAnsiTheme="majorHAnsi" w:cstheme="majorHAnsi"/>
              </w:rPr>
            </w:pPr>
            <w:r w:rsidRPr="006070EA">
              <w:rPr>
                <w:rFonts w:asciiTheme="majorHAnsi" w:hAnsiTheme="majorHAnsi" w:cstheme="majorHAnsi"/>
                <w:spacing w:val="20"/>
              </w:rPr>
              <w:t>POŘIZOVATEL</w:t>
            </w:r>
          </w:p>
        </w:tc>
        <w:tc>
          <w:tcPr>
            <w:tcW w:w="5670" w:type="dxa"/>
            <w:tcBorders>
              <w:top w:val="single" w:sz="12" w:space="0" w:color="auto"/>
              <w:left w:val="nil"/>
              <w:right w:val="single" w:sz="4" w:space="0" w:color="auto"/>
            </w:tcBorders>
            <w:vAlign w:val="center"/>
          </w:tcPr>
          <w:p w14:paraId="710A4427" w14:textId="0994211B" w:rsidR="00E810E5" w:rsidRPr="006070EA" w:rsidRDefault="00734352" w:rsidP="009E07E1">
            <w:pPr>
              <w:tabs>
                <w:tab w:val="left" w:pos="3570"/>
              </w:tabs>
              <w:spacing w:before="60" w:after="60"/>
              <w:jc w:val="right"/>
              <w:rPr>
                <w:rFonts w:asciiTheme="majorHAnsi" w:hAnsiTheme="majorHAnsi" w:cstheme="majorHAnsi"/>
                <w:b/>
              </w:rPr>
            </w:pPr>
            <w:r w:rsidRPr="006070EA">
              <w:rPr>
                <w:rFonts w:asciiTheme="majorHAnsi" w:hAnsiTheme="majorHAnsi" w:cstheme="majorHAnsi"/>
                <w:b/>
              </w:rPr>
              <w:t>Městský úřad Nymburk</w:t>
            </w:r>
          </w:p>
        </w:tc>
        <w:tc>
          <w:tcPr>
            <w:tcW w:w="1299" w:type="dxa"/>
            <w:vMerge w:val="restart"/>
            <w:tcBorders>
              <w:top w:val="single" w:sz="12" w:space="0" w:color="auto"/>
              <w:left w:val="nil"/>
              <w:right w:val="nil"/>
            </w:tcBorders>
            <w:vAlign w:val="center"/>
          </w:tcPr>
          <w:p w14:paraId="5D2BF064" w14:textId="77777777" w:rsidR="00734352" w:rsidRPr="006070EA" w:rsidRDefault="00734352" w:rsidP="00734352">
            <w:pPr>
              <w:tabs>
                <w:tab w:val="left" w:pos="3570"/>
              </w:tabs>
              <w:spacing w:after="120"/>
              <w:jc w:val="center"/>
              <w:rPr>
                <w:rFonts w:asciiTheme="majorHAnsi" w:hAnsiTheme="majorHAnsi" w:cstheme="majorHAnsi"/>
              </w:rPr>
            </w:pPr>
            <w:r w:rsidRPr="006070EA">
              <w:rPr>
                <w:rFonts w:asciiTheme="majorHAnsi" w:hAnsiTheme="majorHAnsi" w:cstheme="majorHAnsi"/>
              </w:rPr>
              <w:t>DATUM</w:t>
            </w:r>
          </w:p>
          <w:p w14:paraId="6839CC20" w14:textId="01F7D741" w:rsidR="00E810E5" w:rsidRPr="006070EA" w:rsidRDefault="00A04AE9" w:rsidP="00734352">
            <w:pPr>
              <w:tabs>
                <w:tab w:val="left" w:pos="3570"/>
              </w:tabs>
              <w:spacing w:after="120"/>
              <w:jc w:val="center"/>
              <w:rPr>
                <w:rFonts w:asciiTheme="majorHAnsi" w:hAnsiTheme="majorHAnsi" w:cstheme="majorHAnsi"/>
                <w:b/>
                <w:sz w:val="24"/>
              </w:rPr>
            </w:pPr>
            <w:r>
              <w:rPr>
                <w:rFonts w:asciiTheme="majorHAnsi" w:hAnsiTheme="majorHAnsi" w:cstheme="majorHAnsi"/>
                <w:b/>
                <w:sz w:val="24"/>
              </w:rPr>
              <w:t>VI</w:t>
            </w:r>
            <w:r w:rsidR="004E6571">
              <w:rPr>
                <w:rFonts w:asciiTheme="majorHAnsi" w:hAnsiTheme="majorHAnsi" w:cstheme="majorHAnsi"/>
                <w:b/>
                <w:sz w:val="24"/>
              </w:rPr>
              <w:t>I</w:t>
            </w:r>
            <w:r w:rsidR="005521B1" w:rsidRPr="006070EA">
              <w:rPr>
                <w:rFonts w:asciiTheme="majorHAnsi" w:hAnsiTheme="majorHAnsi" w:cstheme="majorHAnsi"/>
                <w:b/>
                <w:sz w:val="24"/>
              </w:rPr>
              <w:t>/202</w:t>
            </w:r>
            <w:r w:rsidR="00312AEE">
              <w:rPr>
                <w:rFonts w:asciiTheme="majorHAnsi" w:hAnsiTheme="majorHAnsi" w:cstheme="majorHAnsi"/>
                <w:b/>
                <w:sz w:val="24"/>
              </w:rPr>
              <w:t>5</w:t>
            </w:r>
          </w:p>
        </w:tc>
      </w:tr>
      <w:tr w:rsidR="00734352" w:rsidRPr="006070EA" w14:paraId="088DF5BF" w14:textId="77777777" w:rsidTr="00E810E5">
        <w:trPr>
          <w:trHeight w:val="454"/>
          <w:jc w:val="center"/>
        </w:trPr>
        <w:tc>
          <w:tcPr>
            <w:tcW w:w="2093" w:type="dxa"/>
            <w:tcBorders>
              <w:left w:val="nil"/>
              <w:bottom w:val="single" w:sz="4" w:space="0" w:color="auto"/>
              <w:right w:val="nil"/>
            </w:tcBorders>
          </w:tcPr>
          <w:p w14:paraId="76123607" w14:textId="77777777" w:rsidR="00323335" w:rsidRPr="006070EA" w:rsidRDefault="00323335" w:rsidP="009E07E1">
            <w:pPr>
              <w:tabs>
                <w:tab w:val="left" w:pos="3570"/>
              </w:tabs>
              <w:spacing w:after="120"/>
              <w:rPr>
                <w:rFonts w:asciiTheme="majorHAnsi" w:hAnsiTheme="majorHAnsi" w:cstheme="majorHAnsi"/>
              </w:rPr>
            </w:pPr>
            <w:r w:rsidRPr="006070EA">
              <w:rPr>
                <w:rFonts w:asciiTheme="majorHAnsi" w:hAnsiTheme="majorHAnsi" w:cstheme="majorHAnsi"/>
                <w:spacing w:val="20"/>
              </w:rPr>
              <w:t>OBJEDNATEL</w:t>
            </w:r>
          </w:p>
        </w:tc>
        <w:tc>
          <w:tcPr>
            <w:tcW w:w="5670" w:type="dxa"/>
            <w:tcBorders>
              <w:top w:val="single" w:sz="4" w:space="0" w:color="auto"/>
              <w:left w:val="nil"/>
            </w:tcBorders>
          </w:tcPr>
          <w:p w14:paraId="33AF9A30" w14:textId="7048941B" w:rsidR="00323335" w:rsidRPr="006070EA" w:rsidRDefault="00734352" w:rsidP="0064030C">
            <w:pPr>
              <w:tabs>
                <w:tab w:val="left" w:pos="3570"/>
              </w:tabs>
              <w:spacing w:before="60" w:after="60"/>
              <w:jc w:val="right"/>
              <w:rPr>
                <w:rFonts w:asciiTheme="majorHAnsi" w:hAnsiTheme="majorHAnsi" w:cstheme="majorHAnsi"/>
                <w:b/>
              </w:rPr>
            </w:pPr>
            <w:r w:rsidRPr="006070EA">
              <w:rPr>
                <w:rFonts w:asciiTheme="majorHAnsi" w:hAnsiTheme="majorHAnsi" w:cstheme="majorHAnsi"/>
                <w:b/>
              </w:rPr>
              <w:t>Obec Kostomlaty nad Labem</w:t>
            </w:r>
          </w:p>
        </w:tc>
        <w:tc>
          <w:tcPr>
            <w:tcW w:w="1299" w:type="dxa"/>
            <w:vMerge/>
            <w:tcBorders>
              <w:right w:val="nil"/>
            </w:tcBorders>
            <w:shd w:val="clear" w:color="auto" w:fill="auto"/>
            <w:vAlign w:val="center"/>
          </w:tcPr>
          <w:p w14:paraId="72BAEFC9" w14:textId="77777777" w:rsidR="00323335" w:rsidRPr="006070EA" w:rsidRDefault="00323335" w:rsidP="009E07E1">
            <w:pPr>
              <w:tabs>
                <w:tab w:val="left" w:pos="3570"/>
              </w:tabs>
              <w:jc w:val="center"/>
              <w:rPr>
                <w:rFonts w:asciiTheme="majorHAnsi" w:hAnsiTheme="majorHAnsi" w:cstheme="majorHAnsi"/>
              </w:rPr>
            </w:pPr>
          </w:p>
        </w:tc>
      </w:tr>
      <w:tr w:rsidR="00734352" w:rsidRPr="006070EA" w14:paraId="343C64CE" w14:textId="77777777" w:rsidTr="00F44A32">
        <w:trPr>
          <w:trHeight w:val="1320"/>
          <w:jc w:val="center"/>
        </w:trPr>
        <w:tc>
          <w:tcPr>
            <w:tcW w:w="2093" w:type="dxa"/>
            <w:tcBorders>
              <w:top w:val="single" w:sz="4" w:space="0" w:color="auto"/>
              <w:left w:val="nil"/>
              <w:bottom w:val="single" w:sz="12" w:space="0" w:color="auto"/>
              <w:right w:val="nil"/>
            </w:tcBorders>
          </w:tcPr>
          <w:p w14:paraId="49196073" w14:textId="77777777" w:rsidR="00323335" w:rsidRPr="006070EA" w:rsidRDefault="00323335" w:rsidP="009E07E1">
            <w:pPr>
              <w:tabs>
                <w:tab w:val="left" w:pos="3570"/>
              </w:tabs>
              <w:spacing w:after="120"/>
              <w:rPr>
                <w:rFonts w:asciiTheme="majorHAnsi" w:hAnsiTheme="majorHAnsi" w:cstheme="majorHAnsi"/>
                <w:spacing w:val="20"/>
              </w:rPr>
            </w:pPr>
            <w:r w:rsidRPr="006070EA">
              <w:rPr>
                <w:rFonts w:asciiTheme="majorHAnsi" w:hAnsiTheme="majorHAnsi" w:cstheme="majorHAnsi"/>
                <w:spacing w:val="20"/>
              </w:rPr>
              <w:t>ZHOTOVITEL</w:t>
            </w:r>
          </w:p>
          <w:p w14:paraId="6D96013A" w14:textId="77777777" w:rsidR="00323335" w:rsidRPr="006070EA" w:rsidRDefault="00323335" w:rsidP="009E07E1">
            <w:pPr>
              <w:tabs>
                <w:tab w:val="left" w:pos="3570"/>
              </w:tabs>
              <w:spacing w:after="120"/>
              <w:rPr>
                <w:rFonts w:asciiTheme="majorHAnsi" w:hAnsiTheme="majorHAnsi" w:cstheme="majorHAnsi"/>
              </w:rPr>
            </w:pPr>
          </w:p>
        </w:tc>
        <w:tc>
          <w:tcPr>
            <w:tcW w:w="5670" w:type="dxa"/>
            <w:tcBorders>
              <w:top w:val="single" w:sz="4" w:space="0" w:color="auto"/>
              <w:left w:val="nil"/>
              <w:bottom w:val="single" w:sz="12" w:space="0" w:color="auto"/>
            </w:tcBorders>
          </w:tcPr>
          <w:p w14:paraId="2EBA0C07" w14:textId="77777777" w:rsidR="00323335" w:rsidRPr="006070EA" w:rsidRDefault="00323335" w:rsidP="009E07E1">
            <w:pPr>
              <w:tabs>
                <w:tab w:val="left" w:pos="3570"/>
              </w:tabs>
              <w:spacing w:before="60" w:after="60"/>
              <w:jc w:val="right"/>
              <w:rPr>
                <w:rFonts w:asciiTheme="majorHAnsi" w:hAnsiTheme="majorHAnsi" w:cstheme="majorHAnsi"/>
                <w:b/>
              </w:rPr>
            </w:pPr>
            <w:r w:rsidRPr="006070EA">
              <w:rPr>
                <w:rFonts w:asciiTheme="majorHAnsi" w:hAnsiTheme="majorHAnsi" w:cstheme="majorHAnsi"/>
                <w:b/>
              </w:rPr>
              <w:t>ŽALUDA, projektová kancelář</w:t>
            </w:r>
          </w:p>
          <w:p w14:paraId="4C51AEC6" w14:textId="09EA8777" w:rsidR="00734352" w:rsidRPr="006070EA" w:rsidRDefault="00734352" w:rsidP="00734352">
            <w:pPr>
              <w:tabs>
                <w:tab w:val="left" w:pos="3570"/>
              </w:tabs>
              <w:jc w:val="right"/>
              <w:rPr>
                <w:rFonts w:asciiTheme="majorHAnsi" w:hAnsiTheme="majorHAnsi" w:cstheme="majorHAnsi"/>
                <w:sz w:val="20"/>
              </w:rPr>
            </w:pPr>
            <w:r w:rsidRPr="006070EA">
              <w:rPr>
                <w:rFonts w:asciiTheme="majorHAnsi" w:hAnsiTheme="majorHAnsi" w:cstheme="majorHAnsi"/>
                <w:sz w:val="20"/>
              </w:rPr>
              <w:t>Ing. Eduard Žaluda, RNDr. Ing. Miroslav Vrtiška,</w:t>
            </w:r>
            <w:r w:rsidR="005521B1" w:rsidRPr="006070EA">
              <w:rPr>
                <w:rFonts w:asciiTheme="majorHAnsi" w:hAnsiTheme="majorHAnsi" w:cstheme="majorHAnsi"/>
                <w:sz w:val="20"/>
              </w:rPr>
              <w:t xml:space="preserve"> Ph.D.,</w:t>
            </w:r>
            <w:r w:rsidRPr="006070EA">
              <w:rPr>
                <w:rFonts w:asciiTheme="majorHAnsi" w:hAnsiTheme="majorHAnsi" w:cstheme="majorHAnsi"/>
                <w:sz w:val="20"/>
              </w:rPr>
              <w:t xml:space="preserve"> </w:t>
            </w:r>
          </w:p>
          <w:p w14:paraId="74AABEB0" w14:textId="1DCA4851" w:rsidR="00734352" w:rsidRPr="006070EA" w:rsidRDefault="00734352" w:rsidP="00734352">
            <w:pPr>
              <w:tabs>
                <w:tab w:val="left" w:pos="3570"/>
              </w:tabs>
              <w:jc w:val="right"/>
              <w:rPr>
                <w:rFonts w:asciiTheme="majorHAnsi" w:hAnsiTheme="majorHAnsi" w:cstheme="majorHAnsi"/>
                <w:sz w:val="20"/>
              </w:rPr>
            </w:pPr>
            <w:r w:rsidRPr="006070EA">
              <w:rPr>
                <w:rFonts w:asciiTheme="majorHAnsi" w:hAnsiTheme="majorHAnsi" w:cstheme="majorHAnsi"/>
                <w:sz w:val="20"/>
              </w:rPr>
              <w:t xml:space="preserve">Ing. arch Alena </w:t>
            </w:r>
            <w:r w:rsidR="004E6571">
              <w:rPr>
                <w:rFonts w:asciiTheme="majorHAnsi" w:hAnsiTheme="majorHAnsi" w:cstheme="majorHAnsi"/>
                <w:sz w:val="20"/>
              </w:rPr>
              <w:t>Svobodová</w:t>
            </w:r>
            <w:r w:rsidRPr="006070EA">
              <w:rPr>
                <w:rFonts w:asciiTheme="majorHAnsi" w:hAnsiTheme="majorHAnsi" w:cstheme="majorHAnsi"/>
                <w:sz w:val="20"/>
              </w:rPr>
              <w:t xml:space="preserve">, Ing. arch. Rostislav Aubrecht, </w:t>
            </w:r>
          </w:p>
          <w:p w14:paraId="31FD36C7" w14:textId="55626132" w:rsidR="00323335" w:rsidRPr="006070EA" w:rsidRDefault="00734352" w:rsidP="00734352">
            <w:pPr>
              <w:tabs>
                <w:tab w:val="left" w:pos="3570"/>
              </w:tabs>
              <w:jc w:val="right"/>
              <w:rPr>
                <w:rFonts w:asciiTheme="majorHAnsi" w:hAnsiTheme="majorHAnsi" w:cstheme="majorHAnsi"/>
                <w:sz w:val="20"/>
              </w:rPr>
            </w:pPr>
            <w:r w:rsidRPr="006070EA">
              <w:rPr>
                <w:rFonts w:asciiTheme="majorHAnsi" w:hAnsiTheme="majorHAnsi" w:cstheme="majorHAnsi"/>
                <w:sz w:val="20"/>
              </w:rPr>
              <w:t>Mgr. Michal Bobr</w:t>
            </w:r>
            <w:r w:rsidR="00F346BD" w:rsidRPr="006070EA">
              <w:rPr>
                <w:rFonts w:asciiTheme="majorHAnsi" w:hAnsiTheme="majorHAnsi" w:cstheme="majorHAnsi"/>
                <w:sz w:val="20"/>
              </w:rPr>
              <w:t xml:space="preserve"> </w:t>
            </w:r>
          </w:p>
        </w:tc>
        <w:tc>
          <w:tcPr>
            <w:tcW w:w="1299" w:type="dxa"/>
            <w:tcBorders>
              <w:top w:val="single" w:sz="4" w:space="0" w:color="auto"/>
              <w:bottom w:val="single" w:sz="12" w:space="0" w:color="auto"/>
              <w:right w:val="nil"/>
            </w:tcBorders>
            <w:shd w:val="clear" w:color="auto" w:fill="auto"/>
            <w:vAlign w:val="center"/>
          </w:tcPr>
          <w:p w14:paraId="5A2B330E" w14:textId="77777777" w:rsidR="00323335" w:rsidRPr="006070EA" w:rsidRDefault="00323335" w:rsidP="009E07E1">
            <w:pPr>
              <w:tabs>
                <w:tab w:val="left" w:pos="3570"/>
              </w:tabs>
              <w:jc w:val="center"/>
              <w:rPr>
                <w:rFonts w:asciiTheme="majorHAnsi" w:hAnsiTheme="majorHAnsi" w:cstheme="majorHAnsi"/>
              </w:rPr>
            </w:pPr>
            <w:r w:rsidRPr="006070EA">
              <w:rPr>
                <w:rFonts w:asciiTheme="majorHAnsi" w:hAnsiTheme="majorHAnsi" w:cstheme="majorHAnsi"/>
              </w:rPr>
              <w:t>PARE</w:t>
            </w:r>
          </w:p>
          <w:p w14:paraId="465273DB" w14:textId="77777777" w:rsidR="00323335" w:rsidRPr="006070EA" w:rsidRDefault="00323335" w:rsidP="009E07E1">
            <w:pPr>
              <w:tabs>
                <w:tab w:val="left" w:pos="3570"/>
              </w:tabs>
              <w:jc w:val="center"/>
              <w:rPr>
                <w:rFonts w:asciiTheme="majorHAnsi" w:hAnsiTheme="majorHAnsi" w:cstheme="majorHAnsi"/>
              </w:rPr>
            </w:pPr>
          </w:p>
          <w:p w14:paraId="6433753E" w14:textId="77777777" w:rsidR="00323335" w:rsidRPr="006070EA" w:rsidRDefault="00323335" w:rsidP="009E07E1">
            <w:pPr>
              <w:tabs>
                <w:tab w:val="left" w:pos="3570"/>
              </w:tabs>
              <w:jc w:val="center"/>
              <w:rPr>
                <w:rFonts w:asciiTheme="majorHAnsi" w:hAnsiTheme="majorHAnsi" w:cstheme="majorHAnsi"/>
              </w:rPr>
            </w:pPr>
          </w:p>
          <w:p w14:paraId="2525BFD0" w14:textId="77777777" w:rsidR="00323335" w:rsidRPr="006070EA" w:rsidRDefault="00323335" w:rsidP="009E07E1">
            <w:pPr>
              <w:tabs>
                <w:tab w:val="left" w:pos="3570"/>
              </w:tabs>
              <w:jc w:val="center"/>
              <w:rPr>
                <w:rFonts w:asciiTheme="majorHAnsi" w:hAnsiTheme="majorHAnsi" w:cstheme="majorHAnsi"/>
              </w:rPr>
            </w:pPr>
          </w:p>
        </w:tc>
      </w:tr>
      <w:tr w:rsidR="00734352" w:rsidRPr="006070EA" w14:paraId="2CFBB5FF" w14:textId="77777777" w:rsidTr="00F44A32">
        <w:trPr>
          <w:jc w:val="center"/>
        </w:trPr>
        <w:tc>
          <w:tcPr>
            <w:tcW w:w="9062" w:type="dxa"/>
            <w:gridSpan w:val="3"/>
            <w:tcBorders>
              <w:top w:val="single" w:sz="12" w:space="0" w:color="auto"/>
              <w:left w:val="nil"/>
              <w:bottom w:val="single" w:sz="12" w:space="0" w:color="auto"/>
              <w:right w:val="nil"/>
            </w:tcBorders>
          </w:tcPr>
          <w:p w14:paraId="0BF40F4D" w14:textId="77777777" w:rsidR="00323335" w:rsidRPr="006070EA" w:rsidRDefault="00323335" w:rsidP="009E07E1">
            <w:pPr>
              <w:tabs>
                <w:tab w:val="left" w:pos="3570"/>
              </w:tabs>
              <w:rPr>
                <w:rFonts w:asciiTheme="majorHAnsi" w:hAnsiTheme="majorHAnsi" w:cstheme="majorHAnsi"/>
                <w:sz w:val="32"/>
              </w:rPr>
            </w:pPr>
            <w:r w:rsidRPr="006070EA">
              <w:rPr>
                <w:rFonts w:asciiTheme="majorHAnsi" w:hAnsiTheme="majorHAnsi" w:cstheme="majorHAnsi"/>
                <w:sz w:val="32"/>
              </w:rPr>
              <w:t>TEXTOVÁ ČÁST</w:t>
            </w:r>
          </w:p>
        </w:tc>
      </w:tr>
    </w:tbl>
    <w:p w14:paraId="23FB99BA" w14:textId="77777777" w:rsidR="00734352" w:rsidRPr="006070EA" w:rsidRDefault="00076FBB" w:rsidP="00734352">
      <w:pPr>
        <w:keepNext/>
        <w:tabs>
          <w:tab w:val="left" w:pos="4253"/>
        </w:tabs>
        <w:spacing w:after="0" w:line="240" w:lineRule="auto"/>
        <w:rPr>
          <w:rFonts w:asciiTheme="majorHAnsi" w:hAnsiTheme="majorHAnsi" w:cstheme="majorHAnsi"/>
          <w:b/>
          <w:sz w:val="20"/>
        </w:rPr>
      </w:pPr>
      <w:r w:rsidRPr="006070EA">
        <w:rPr>
          <w:rFonts w:asciiTheme="majorHAnsi" w:hAnsiTheme="majorHAnsi" w:cstheme="majorHAnsi"/>
          <w:b/>
          <w:sz w:val="20"/>
        </w:rPr>
        <w:lastRenderedPageBreak/>
        <w:t>POŘIZOVATEL</w:t>
      </w:r>
      <w:r w:rsidRPr="006070EA">
        <w:rPr>
          <w:rFonts w:asciiTheme="majorHAnsi" w:hAnsiTheme="majorHAnsi" w:cstheme="majorHAnsi"/>
          <w:sz w:val="20"/>
        </w:rPr>
        <w:tab/>
      </w:r>
      <w:r w:rsidR="00734352" w:rsidRPr="006070EA">
        <w:rPr>
          <w:rFonts w:asciiTheme="majorHAnsi" w:hAnsiTheme="majorHAnsi" w:cstheme="majorHAnsi"/>
          <w:b/>
          <w:sz w:val="20"/>
        </w:rPr>
        <w:t>Městský úřad Nymburk</w:t>
      </w:r>
    </w:p>
    <w:p w14:paraId="06453B3B" w14:textId="77777777" w:rsidR="00734352" w:rsidRPr="006070EA" w:rsidRDefault="00734352" w:rsidP="00734352">
      <w:pPr>
        <w:tabs>
          <w:tab w:val="left" w:pos="4253"/>
        </w:tabs>
        <w:spacing w:after="0" w:line="240" w:lineRule="auto"/>
        <w:rPr>
          <w:rFonts w:asciiTheme="majorHAnsi" w:hAnsiTheme="majorHAnsi" w:cstheme="majorHAnsi"/>
          <w:sz w:val="20"/>
        </w:rPr>
      </w:pPr>
      <w:r w:rsidRPr="006070EA">
        <w:rPr>
          <w:rFonts w:asciiTheme="majorHAnsi" w:hAnsiTheme="majorHAnsi" w:cstheme="majorHAnsi"/>
          <w:sz w:val="20"/>
        </w:rPr>
        <w:tab/>
        <w:t>Odbor výstavby</w:t>
      </w:r>
    </w:p>
    <w:p w14:paraId="28FE04ED" w14:textId="77777777" w:rsidR="00734352" w:rsidRPr="006070EA" w:rsidRDefault="00734352" w:rsidP="00734352">
      <w:pPr>
        <w:tabs>
          <w:tab w:val="left" w:pos="4253"/>
        </w:tabs>
        <w:spacing w:after="0" w:line="240" w:lineRule="auto"/>
        <w:rPr>
          <w:rFonts w:asciiTheme="majorHAnsi" w:hAnsiTheme="majorHAnsi" w:cstheme="majorHAnsi"/>
          <w:sz w:val="20"/>
        </w:rPr>
      </w:pPr>
      <w:r w:rsidRPr="006070EA">
        <w:rPr>
          <w:rFonts w:asciiTheme="majorHAnsi" w:hAnsiTheme="majorHAnsi" w:cstheme="majorHAnsi"/>
          <w:sz w:val="20"/>
        </w:rPr>
        <w:tab/>
        <w:t>Náměstí Přemsyslovců 163</w:t>
      </w:r>
    </w:p>
    <w:p w14:paraId="182BE2E5" w14:textId="5B0497BE" w:rsidR="00076FBB" w:rsidRPr="006070EA" w:rsidRDefault="00734352" w:rsidP="00734352">
      <w:pPr>
        <w:keepNext/>
        <w:tabs>
          <w:tab w:val="left" w:pos="4253"/>
        </w:tabs>
        <w:spacing w:after="0" w:line="240" w:lineRule="auto"/>
        <w:rPr>
          <w:rFonts w:asciiTheme="majorHAnsi" w:hAnsiTheme="majorHAnsi" w:cstheme="majorHAnsi"/>
          <w:sz w:val="20"/>
        </w:rPr>
      </w:pPr>
      <w:r w:rsidRPr="006070EA">
        <w:rPr>
          <w:rFonts w:asciiTheme="majorHAnsi" w:hAnsiTheme="majorHAnsi" w:cstheme="majorHAnsi"/>
          <w:sz w:val="20"/>
        </w:rPr>
        <w:tab/>
        <w:t xml:space="preserve">288 02 Nymburk </w:t>
      </w:r>
      <w:r w:rsidR="00000000">
        <w:rPr>
          <w:rFonts w:asciiTheme="majorHAnsi" w:hAnsiTheme="majorHAnsi" w:cstheme="majorHAnsi"/>
          <w:sz w:val="20"/>
        </w:rPr>
        <w:pict w14:anchorId="1C5ABC0A">
          <v:rect id="_x0000_i1025" style="width:453.6pt;height:1.5pt" o:hralign="center" o:hrstd="t" o:hr="t" fillcolor="#a0a0a0" stroked="f"/>
        </w:pict>
      </w:r>
    </w:p>
    <w:p w14:paraId="34E0D20C" w14:textId="77777777" w:rsidR="00734352" w:rsidRPr="006070EA" w:rsidRDefault="00076FBB" w:rsidP="00734352">
      <w:pPr>
        <w:tabs>
          <w:tab w:val="left" w:pos="4253"/>
        </w:tabs>
        <w:spacing w:after="0" w:line="240" w:lineRule="auto"/>
        <w:rPr>
          <w:rFonts w:asciiTheme="majorHAnsi" w:hAnsiTheme="majorHAnsi" w:cstheme="majorHAnsi"/>
          <w:sz w:val="20"/>
        </w:rPr>
      </w:pPr>
      <w:r w:rsidRPr="006070EA">
        <w:rPr>
          <w:rFonts w:asciiTheme="majorHAnsi" w:hAnsiTheme="majorHAnsi" w:cstheme="majorHAnsi"/>
          <w:b/>
          <w:sz w:val="20"/>
        </w:rPr>
        <w:t>OBJEDNATEL</w:t>
      </w:r>
      <w:r w:rsidRPr="006070EA">
        <w:rPr>
          <w:rFonts w:asciiTheme="majorHAnsi" w:hAnsiTheme="majorHAnsi" w:cstheme="majorHAnsi"/>
          <w:sz w:val="20"/>
        </w:rPr>
        <w:tab/>
      </w:r>
      <w:r w:rsidR="00734352" w:rsidRPr="006070EA">
        <w:rPr>
          <w:rFonts w:asciiTheme="majorHAnsi" w:hAnsiTheme="majorHAnsi" w:cstheme="majorHAnsi"/>
          <w:b/>
          <w:sz w:val="20"/>
        </w:rPr>
        <w:t>Obec Kostomlaty nad Labem</w:t>
      </w:r>
    </w:p>
    <w:p w14:paraId="2FE6F273" w14:textId="77777777" w:rsidR="00734352" w:rsidRPr="006070EA" w:rsidRDefault="00734352" w:rsidP="00734352">
      <w:pPr>
        <w:tabs>
          <w:tab w:val="left" w:pos="4253"/>
        </w:tabs>
        <w:spacing w:after="0" w:line="240" w:lineRule="auto"/>
        <w:rPr>
          <w:rFonts w:asciiTheme="majorHAnsi" w:hAnsiTheme="majorHAnsi" w:cstheme="majorHAnsi"/>
          <w:sz w:val="20"/>
        </w:rPr>
      </w:pPr>
      <w:r w:rsidRPr="006070EA">
        <w:rPr>
          <w:rFonts w:asciiTheme="majorHAnsi" w:hAnsiTheme="majorHAnsi" w:cstheme="majorHAnsi"/>
          <w:sz w:val="20"/>
        </w:rPr>
        <w:tab/>
        <w:t>Hronětická 237</w:t>
      </w:r>
    </w:p>
    <w:p w14:paraId="49EFE252" w14:textId="77777777" w:rsidR="00734352" w:rsidRPr="006070EA" w:rsidRDefault="00734352" w:rsidP="00734352">
      <w:pPr>
        <w:tabs>
          <w:tab w:val="left" w:pos="4253"/>
        </w:tabs>
        <w:spacing w:after="0" w:line="240" w:lineRule="auto"/>
        <w:rPr>
          <w:rFonts w:asciiTheme="majorHAnsi" w:hAnsiTheme="majorHAnsi" w:cstheme="majorHAnsi"/>
          <w:sz w:val="20"/>
        </w:rPr>
      </w:pPr>
      <w:r w:rsidRPr="006070EA">
        <w:rPr>
          <w:rFonts w:asciiTheme="majorHAnsi" w:hAnsiTheme="majorHAnsi" w:cstheme="majorHAnsi"/>
          <w:sz w:val="20"/>
        </w:rPr>
        <w:tab/>
        <w:t>289 21 Kostomlaty nad Labem</w:t>
      </w:r>
    </w:p>
    <w:p w14:paraId="650B31F0" w14:textId="12CA34A4" w:rsidR="00076FBB" w:rsidRPr="006070EA" w:rsidRDefault="00000000" w:rsidP="00734352">
      <w:pPr>
        <w:tabs>
          <w:tab w:val="left" w:pos="4253"/>
        </w:tabs>
        <w:spacing w:after="0" w:line="240" w:lineRule="auto"/>
        <w:rPr>
          <w:rFonts w:asciiTheme="majorHAnsi" w:hAnsiTheme="majorHAnsi" w:cstheme="majorHAnsi"/>
          <w:sz w:val="20"/>
        </w:rPr>
      </w:pPr>
      <w:r>
        <w:rPr>
          <w:rFonts w:asciiTheme="majorHAnsi" w:hAnsiTheme="majorHAnsi" w:cstheme="majorHAnsi"/>
          <w:sz w:val="20"/>
        </w:rPr>
        <w:pict w14:anchorId="5FEC99A2">
          <v:rect id="_x0000_i1026" style="width:453.6pt;height:1.5pt" o:hralign="center" o:hrstd="t" o:hr="t" fillcolor="#a0a0a0" stroked="f"/>
        </w:pict>
      </w:r>
    </w:p>
    <w:p w14:paraId="79879FBF" w14:textId="77777777" w:rsidR="00076FBB" w:rsidRPr="006070EA" w:rsidRDefault="00076FBB" w:rsidP="00076FBB">
      <w:pPr>
        <w:tabs>
          <w:tab w:val="left" w:pos="4253"/>
        </w:tabs>
        <w:spacing w:after="0" w:line="240" w:lineRule="auto"/>
        <w:rPr>
          <w:rFonts w:asciiTheme="majorHAnsi" w:hAnsiTheme="majorHAnsi" w:cstheme="majorHAnsi"/>
          <w:sz w:val="20"/>
        </w:rPr>
      </w:pPr>
      <w:r w:rsidRPr="006070EA">
        <w:rPr>
          <w:rFonts w:asciiTheme="majorHAnsi" w:hAnsiTheme="majorHAnsi" w:cstheme="majorHAnsi"/>
          <w:b/>
          <w:sz w:val="20"/>
        </w:rPr>
        <w:t>PROJEKTANT</w:t>
      </w:r>
      <w:r w:rsidRPr="006070EA">
        <w:rPr>
          <w:rFonts w:asciiTheme="majorHAnsi" w:hAnsiTheme="majorHAnsi" w:cstheme="majorHAnsi"/>
          <w:sz w:val="20"/>
        </w:rPr>
        <w:tab/>
      </w:r>
      <w:r w:rsidRPr="006070EA">
        <w:rPr>
          <w:rFonts w:asciiTheme="majorHAnsi" w:hAnsiTheme="majorHAnsi" w:cstheme="majorHAnsi"/>
          <w:b/>
          <w:sz w:val="20"/>
        </w:rPr>
        <w:t>Ing. Eduard Žaluda</w:t>
      </w:r>
    </w:p>
    <w:p w14:paraId="6308613D" w14:textId="77777777" w:rsidR="00076FBB" w:rsidRPr="006070EA" w:rsidRDefault="00076FBB" w:rsidP="00076FBB">
      <w:pPr>
        <w:tabs>
          <w:tab w:val="left" w:pos="4253"/>
        </w:tabs>
        <w:spacing w:after="0" w:line="240" w:lineRule="auto"/>
        <w:rPr>
          <w:rFonts w:asciiTheme="majorHAnsi" w:hAnsiTheme="majorHAnsi" w:cstheme="majorHAnsi"/>
          <w:sz w:val="20"/>
        </w:rPr>
      </w:pPr>
      <w:r w:rsidRPr="006070EA">
        <w:rPr>
          <w:rFonts w:asciiTheme="majorHAnsi" w:hAnsiTheme="majorHAnsi" w:cstheme="majorHAnsi"/>
          <w:sz w:val="20"/>
        </w:rPr>
        <w:tab/>
        <w:t>(č. autorizace: 4077)</w:t>
      </w:r>
    </w:p>
    <w:p w14:paraId="53874EEE" w14:textId="77777777" w:rsidR="00076FBB" w:rsidRPr="006070EA" w:rsidRDefault="00000000" w:rsidP="00076FBB">
      <w:pPr>
        <w:tabs>
          <w:tab w:val="left" w:pos="4253"/>
        </w:tabs>
        <w:spacing w:after="0" w:line="240" w:lineRule="auto"/>
        <w:jc w:val="center"/>
        <w:rPr>
          <w:rFonts w:asciiTheme="majorHAnsi" w:hAnsiTheme="majorHAnsi" w:cstheme="majorHAnsi"/>
          <w:sz w:val="20"/>
        </w:rPr>
      </w:pPr>
      <w:r>
        <w:rPr>
          <w:rFonts w:asciiTheme="majorHAnsi" w:hAnsiTheme="majorHAnsi" w:cstheme="majorHAnsi"/>
          <w:sz w:val="20"/>
        </w:rPr>
        <w:pict w14:anchorId="12CEB911">
          <v:rect id="_x0000_i1027" style="width:453.6pt;height:1.5pt" o:hralign="center" o:hrstd="t" o:hr="t" fillcolor="#a0a0a0" stroked="f"/>
        </w:pict>
      </w:r>
    </w:p>
    <w:p w14:paraId="08EBDE46" w14:textId="77777777" w:rsidR="00076FBB" w:rsidRPr="006070EA" w:rsidRDefault="00076FBB" w:rsidP="00076FBB">
      <w:pPr>
        <w:tabs>
          <w:tab w:val="left" w:pos="4253"/>
        </w:tabs>
        <w:spacing w:after="0" w:line="240" w:lineRule="auto"/>
        <w:rPr>
          <w:rFonts w:asciiTheme="majorHAnsi" w:hAnsiTheme="majorHAnsi" w:cstheme="majorHAnsi"/>
          <w:sz w:val="20"/>
        </w:rPr>
      </w:pPr>
      <w:r w:rsidRPr="006070EA">
        <w:rPr>
          <w:rFonts w:asciiTheme="majorHAnsi" w:hAnsiTheme="majorHAnsi" w:cstheme="majorHAnsi"/>
          <w:b/>
          <w:sz w:val="20"/>
        </w:rPr>
        <w:t>ZHOTOVITEL</w:t>
      </w:r>
      <w:r w:rsidRPr="006070EA">
        <w:rPr>
          <w:rFonts w:asciiTheme="majorHAnsi" w:hAnsiTheme="majorHAnsi" w:cstheme="majorHAnsi"/>
          <w:sz w:val="20"/>
        </w:rPr>
        <w:tab/>
      </w:r>
      <w:r w:rsidRPr="006070EA">
        <w:rPr>
          <w:rFonts w:asciiTheme="majorHAnsi" w:hAnsiTheme="majorHAnsi" w:cstheme="majorHAnsi"/>
          <w:b/>
          <w:sz w:val="20"/>
        </w:rPr>
        <w:t>ŽALUDA, projektová kancelář</w:t>
      </w:r>
    </w:p>
    <w:p w14:paraId="5BBAE6CA" w14:textId="77777777" w:rsidR="00076FBB" w:rsidRPr="006070EA" w:rsidRDefault="00076FBB" w:rsidP="00076FBB">
      <w:pPr>
        <w:tabs>
          <w:tab w:val="left" w:pos="4253"/>
        </w:tabs>
        <w:spacing w:after="0" w:line="240" w:lineRule="auto"/>
        <w:rPr>
          <w:rFonts w:asciiTheme="majorHAnsi" w:hAnsiTheme="majorHAnsi" w:cstheme="majorHAnsi"/>
          <w:sz w:val="20"/>
        </w:rPr>
      </w:pPr>
      <w:r w:rsidRPr="006070EA">
        <w:rPr>
          <w:rFonts w:asciiTheme="majorHAnsi" w:hAnsiTheme="majorHAnsi" w:cstheme="majorHAnsi"/>
          <w:sz w:val="20"/>
        </w:rPr>
        <w:tab/>
        <w:t>Železná, 493/20, 110 00 Praha 1</w:t>
      </w:r>
    </w:p>
    <w:p w14:paraId="2C34B88A" w14:textId="77777777" w:rsidR="00076FBB" w:rsidRPr="006070EA" w:rsidRDefault="00076FBB" w:rsidP="00076FBB">
      <w:pPr>
        <w:tabs>
          <w:tab w:val="left" w:pos="4253"/>
        </w:tabs>
        <w:spacing w:after="0" w:line="240" w:lineRule="auto"/>
        <w:rPr>
          <w:rFonts w:asciiTheme="majorHAnsi" w:hAnsiTheme="majorHAnsi" w:cstheme="majorHAnsi"/>
          <w:sz w:val="20"/>
        </w:rPr>
      </w:pPr>
      <w:r w:rsidRPr="006070EA">
        <w:rPr>
          <w:rFonts w:asciiTheme="majorHAnsi" w:hAnsiTheme="majorHAnsi" w:cstheme="majorHAnsi"/>
          <w:sz w:val="20"/>
        </w:rPr>
        <w:tab/>
        <w:t>kancelář: Na Březince 1515/22, 150 00 Praha 5</w:t>
      </w:r>
    </w:p>
    <w:p w14:paraId="7D9841D9" w14:textId="77777777" w:rsidR="00076FBB" w:rsidRPr="006070EA" w:rsidRDefault="00076FBB" w:rsidP="00076FBB">
      <w:pPr>
        <w:tabs>
          <w:tab w:val="left" w:pos="4253"/>
        </w:tabs>
        <w:spacing w:after="0" w:line="240" w:lineRule="auto"/>
        <w:rPr>
          <w:rFonts w:asciiTheme="majorHAnsi" w:hAnsiTheme="majorHAnsi" w:cstheme="majorHAnsi"/>
          <w:sz w:val="20"/>
        </w:rPr>
      </w:pPr>
      <w:r w:rsidRPr="006070EA">
        <w:rPr>
          <w:rFonts w:asciiTheme="majorHAnsi" w:hAnsiTheme="majorHAnsi" w:cstheme="majorHAnsi"/>
          <w:sz w:val="20"/>
        </w:rPr>
        <w:tab/>
        <w:t>tel.: 737 149 299</w:t>
      </w:r>
    </w:p>
    <w:p w14:paraId="5523191E" w14:textId="77777777" w:rsidR="00076FBB" w:rsidRPr="006070EA" w:rsidRDefault="00076FBB" w:rsidP="00076FBB">
      <w:pPr>
        <w:tabs>
          <w:tab w:val="left" w:pos="4253"/>
        </w:tabs>
        <w:spacing w:after="0" w:line="240" w:lineRule="auto"/>
        <w:rPr>
          <w:rFonts w:asciiTheme="majorHAnsi" w:hAnsiTheme="majorHAnsi" w:cstheme="majorHAnsi"/>
          <w:sz w:val="20"/>
        </w:rPr>
      </w:pPr>
      <w:r w:rsidRPr="006070EA">
        <w:rPr>
          <w:rFonts w:asciiTheme="majorHAnsi" w:hAnsiTheme="majorHAnsi" w:cstheme="majorHAnsi"/>
          <w:sz w:val="20"/>
        </w:rPr>
        <w:tab/>
        <w:t>e-mail: eduard.zaluda@gmail.com</w:t>
      </w:r>
    </w:p>
    <w:p w14:paraId="3E877455" w14:textId="77777777" w:rsidR="00076FBB" w:rsidRPr="006070EA" w:rsidRDefault="00000000" w:rsidP="00076FBB">
      <w:pPr>
        <w:tabs>
          <w:tab w:val="left" w:pos="4253"/>
        </w:tabs>
        <w:spacing w:after="0" w:line="240" w:lineRule="auto"/>
        <w:jc w:val="center"/>
        <w:rPr>
          <w:rFonts w:asciiTheme="majorHAnsi" w:hAnsiTheme="majorHAnsi" w:cstheme="majorHAnsi"/>
          <w:sz w:val="20"/>
        </w:rPr>
      </w:pPr>
      <w:r>
        <w:rPr>
          <w:rFonts w:asciiTheme="majorHAnsi" w:hAnsiTheme="majorHAnsi" w:cstheme="majorHAnsi"/>
          <w:sz w:val="20"/>
        </w:rPr>
        <w:pict w14:anchorId="1F9E7328">
          <v:rect id="_x0000_i1028" style="width:453.6pt;height:1.5pt" o:hralign="center" o:hrstd="t" o:hr="t" fillcolor="#a0a0a0" stroked="f"/>
        </w:pict>
      </w:r>
    </w:p>
    <w:p w14:paraId="4C6CF232" w14:textId="77777777" w:rsidR="00734352" w:rsidRPr="006070EA" w:rsidRDefault="00076FBB" w:rsidP="00734352">
      <w:pPr>
        <w:tabs>
          <w:tab w:val="left" w:pos="4253"/>
        </w:tabs>
        <w:spacing w:after="0" w:line="240" w:lineRule="auto"/>
        <w:rPr>
          <w:rFonts w:asciiTheme="majorHAnsi" w:hAnsiTheme="majorHAnsi" w:cstheme="majorHAnsi"/>
          <w:sz w:val="20"/>
        </w:rPr>
      </w:pPr>
      <w:r w:rsidRPr="006070EA">
        <w:rPr>
          <w:rFonts w:asciiTheme="majorHAnsi" w:hAnsiTheme="majorHAnsi" w:cstheme="majorHAnsi"/>
          <w:b/>
          <w:sz w:val="20"/>
        </w:rPr>
        <w:t>AUTORSKÝ KOLEKTIV</w:t>
      </w:r>
      <w:r w:rsidRPr="006070EA">
        <w:rPr>
          <w:rFonts w:asciiTheme="majorHAnsi" w:hAnsiTheme="majorHAnsi" w:cstheme="majorHAnsi"/>
          <w:sz w:val="20"/>
        </w:rPr>
        <w:tab/>
      </w:r>
      <w:r w:rsidR="00734352" w:rsidRPr="006070EA">
        <w:rPr>
          <w:rFonts w:asciiTheme="majorHAnsi" w:hAnsiTheme="majorHAnsi" w:cstheme="majorHAnsi"/>
          <w:sz w:val="20"/>
        </w:rPr>
        <w:t>Ing. Eduard Žaluda</w:t>
      </w:r>
    </w:p>
    <w:p w14:paraId="0A9449CD" w14:textId="06854627" w:rsidR="00734352" w:rsidRPr="006070EA" w:rsidRDefault="00734352" w:rsidP="00734352">
      <w:pPr>
        <w:tabs>
          <w:tab w:val="left" w:pos="4253"/>
        </w:tabs>
        <w:spacing w:after="0" w:line="240" w:lineRule="auto"/>
        <w:rPr>
          <w:rFonts w:asciiTheme="majorHAnsi" w:hAnsiTheme="majorHAnsi" w:cstheme="majorHAnsi"/>
          <w:sz w:val="20"/>
        </w:rPr>
      </w:pPr>
      <w:r w:rsidRPr="006070EA">
        <w:rPr>
          <w:rFonts w:asciiTheme="majorHAnsi" w:hAnsiTheme="majorHAnsi" w:cstheme="majorHAnsi"/>
          <w:sz w:val="20"/>
        </w:rPr>
        <w:tab/>
      </w:r>
      <w:r w:rsidR="005521B1" w:rsidRPr="006070EA">
        <w:rPr>
          <w:rFonts w:asciiTheme="majorHAnsi" w:hAnsiTheme="majorHAnsi" w:cstheme="majorHAnsi"/>
          <w:sz w:val="20"/>
        </w:rPr>
        <w:t xml:space="preserve">RNDr. </w:t>
      </w:r>
      <w:r w:rsidRPr="006070EA">
        <w:rPr>
          <w:rFonts w:asciiTheme="majorHAnsi" w:hAnsiTheme="majorHAnsi" w:cstheme="majorHAnsi"/>
          <w:sz w:val="20"/>
        </w:rPr>
        <w:t>Ing. Miroslav Vrtiška</w:t>
      </w:r>
      <w:r w:rsidR="005521B1" w:rsidRPr="006070EA">
        <w:rPr>
          <w:rFonts w:asciiTheme="majorHAnsi" w:hAnsiTheme="majorHAnsi" w:cstheme="majorHAnsi"/>
          <w:sz w:val="20"/>
        </w:rPr>
        <w:t>, Ph.D.</w:t>
      </w:r>
    </w:p>
    <w:p w14:paraId="75DFE495" w14:textId="7295E982" w:rsidR="00734352" w:rsidRPr="006070EA" w:rsidRDefault="00734352" w:rsidP="00734352">
      <w:pPr>
        <w:tabs>
          <w:tab w:val="left" w:pos="4253"/>
        </w:tabs>
        <w:spacing w:after="0" w:line="240" w:lineRule="auto"/>
        <w:rPr>
          <w:rFonts w:asciiTheme="majorHAnsi" w:hAnsiTheme="majorHAnsi" w:cstheme="majorHAnsi"/>
          <w:sz w:val="20"/>
        </w:rPr>
      </w:pPr>
      <w:r w:rsidRPr="006070EA">
        <w:rPr>
          <w:rFonts w:asciiTheme="majorHAnsi" w:hAnsiTheme="majorHAnsi" w:cstheme="majorHAnsi"/>
          <w:sz w:val="20"/>
        </w:rPr>
        <w:tab/>
        <w:t xml:space="preserve">Ing. arch. Alena </w:t>
      </w:r>
      <w:r w:rsidR="004E6571">
        <w:rPr>
          <w:rFonts w:asciiTheme="majorHAnsi" w:hAnsiTheme="majorHAnsi" w:cstheme="majorHAnsi"/>
          <w:sz w:val="20"/>
        </w:rPr>
        <w:t>Svobodová</w:t>
      </w:r>
      <w:r w:rsidRPr="006070EA">
        <w:rPr>
          <w:rFonts w:asciiTheme="majorHAnsi" w:hAnsiTheme="majorHAnsi" w:cstheme="majorHAnsi"/>
          <w:sz w:val="20"/>
        </w:rPr>
        <w:t xml:space="preserve"> </w:t>
      </w:r>
    </w:p>
    <w:p w14:paraId="2951214A" w14:textId="77777777" w:rsidR="00734352" w:rsidRPr="006070EA" w:rsidRDefault="00734352" w:rsidP="00734352">
      <w:pPr>
        <w:tabs>
          <w:tab w:val="left" w:pos="4253"/>
        </w:tabs>
        <w:spacing w:after="0" w:line="240" w:lineRule="auto"/>
        <w:rPr>
          <w:rFonts w:asciiTheme="majorHAnsi" w:hAnsiTheme="majorHAnsi" w:cstheme="majorHAnsi"/>
          <w:sz w:val="20"/>
        </w:rPr>
      </w:pPr>
      <w:r w:rsidRPr="006070EA">
        <w:rPr>
          <w:rFonts w:asciiTheme="majorHAnsi" w:hAnsiTheme="majorHAnsi" w:cstheme="majorHAnsi"/>
          <w:sz w:val="20"/>
        </w:rPr>
        <w:tab/>
        <w:t>Ing. arch. Rostislav Aubrecht</w:t>
      </w:r>
      <w:r w:rsidRPr="006070EA">
        <w:rPr>
          <w:rFonts w:asciiTheme="majorHAnsi" w:hAnsiTheme="majorHAnsi" w:cstheme="majorHAnsi"/>
          <w:sz w:val="20"/>
        </w:rPr>
        <w:tab/>
      </w:r>
    </w:p>
    <w:p w14:paraId="41D5AD7F" w14:textId="2876E2C9" w:rsidR="00076FBB" w:rsidRPr="006070EA" w:rsidRDefault="00734352" w:rsidP="00734352">
      <w:pPr>
        <w:tabs>
          <w:tab w:val="left" w:pos="4253"/>
        </w:tabs>
        <w:spacing w:after="0" w:line="240" w:lineRule="auto"/>
        <w:rPr>
          <w:rFonts w:asciiTheme="majorHAnsi" w:hAnsiTheme="majorHAnsi" w:cstheme="majorHAnsi"/>
          <w:sz w:val="20"/>
        </w:rPr>
      </w:pPr>
      <w:r w:rsidRPr="006070EA">
        <w:rPr>
          <w:rFonts w:asciiTheme="majorHAnsi" w:hAnsiTheme="majorHAnsi" w:cstheme="majorHAnsi"/>
          <w:sz w:val="20"/>
        </w:rPr>
        <w:tab/>
        <w:t>Mgr. Michal Bobr</w:t>
      </w:r>
    </w:p>
    <w:p w14:paraId="3D6DC983" w14:textId="77777777" w:rsidR="00076FBB" w:rsidRPr="006070EA" w:rsidRDefault="00000000" w:rsidP="00076FBB">
      <w:pPr>
        <w:tabs>
          <w:tab w:val="left" w:pos="4253"/>
        </w:tabs>
        <w:spacing w:after="0" w:line="240" w:lineRule="auto"/>
        <w:jc w:val="center"/>
        <w:rPr>
          <w:rFonts w:asciiTheme="majorHAnsi" w:hAnsiTheme="majorHAnsi" w:cstheme="majorHAnsi"/>
          <w:sz w:val="20"/>
        </w:rPr>
      </w:pPr>
      <w:r>
        <w:rPr>
          <w:rFonts w:asciiTheme="majorHAnsi" w:hAnsiTheme="majorHAnsi" w:cstheme="majorHAnsi"/>
          <w:sz w:val="20"/>
        </w:rPr>
        <w:pict w14:anchorId="1CB47EEE">
          <v:rect id="_x0000_i1029" style="width:453.6pt;height:1.5pt" o:hralign="center" o:hrstd="t" o:hr="t" fillcolor="#a0a0a0" stroked="f"/>
        </w:pict>
      </w:r>
    </w:p>
    <w:p w14:paraId="37D88167" w14:textId="6E50EA63" w:rsidR="00076FBB" w:rsidRPr="006070EA" w:rsidRDefault="00076FBB" w:rsidP="00076FBB">
      <w:pPr>
        <w:tabs>
          <w:tab w:val="left" w:pos="4253"/>
        </w:tabs>
        <w:spacing w:line="240" w:lineRule="auto"/>
        <w:rPr>
          <w:rFonts w:asciiTheme="majorHAnsi" w:hAnsiTheme="majorHAnsi" w:cstheme="majorHAnsi"/>
          <w:sz w:val="20"/>
        </w:rPr>
      </w:pPr>
      <w:r w:rsidRPr="006070EA">
        <w:rPr>
          <w:rFonts w:asciiTheme="majorHAnsi" w:hAnsiTheme="majorHAnsi" w:cstheme="majorHAnsi"/>
          <w:b/>
          <w:sz w:val="20"/>
        </w:rPr>
        <w:t>DATUM ZPRACOVÁNÍ</w:t>
      </w:r>
      <w:r w:rsidRPr="006070EA">
        <w:rPr>
          <w:rFonts w:asciiTheme="majorHAnsi" w:hAnsiTheme="majorHAnsi" w:cstheme="majorHAnsi"/>
          <w:sz w:val="20"/>
        </w:rPr>
        <w:tab/>
      </w:r>
      <w:r w:rsidR="00A04AE9">
        <w:rPr>
          <w:rFonts w:asciiTheme="majorHAnsi" w:hAnsiTheme="majorHAnsi" w:cstheme="majorHAnsi"/>
          <w:sz w:val="20"/>
        </w:rPr>
        <w:t>červenec</w:t>
      </w:r>
      <w:r w:rsidR="005521B1" w:rsidRPr="006070EA">
        <w:rPr>
          <w:rFonts w:asciiTheme="majorHAnsi" w:hAnsiTheme="majorHAnsi" w:cstheme="majorHAnsi"/>
          <w:sz w:val="20"/>
        </w:rPr>
        <w:t xml:space="preserve"> 202</w:t>
      </w:r>
      <w:r w:rsidR="00312AEE">
        <w:rPr>
          <w:rFonts w:asciiTheme="majorHAnsi" w:hAnsiTheme="majorHAnsi" w:cstheme="majorHAnsi"/>
          <w:sz w:val="20"/>
        </w:rPr>
        <w:t>5</w:t>
      </w:r>
    </w:p>
    <w:p w14:paraId="07E92BF5" w14:textId="77777777" w:rsidR="00C227EC" w:rsidRPr="006070EA" w:rsidRDefault="00C227EC" w:rsidP="009E07E1">
      <w:pPr>
        <w:tabs>
          <w:tab w:val="left" w:pos="3570"/>
        </w:tabs>
        <w:spacing w:line="240" w:lineRule="auto"/>
        <w:rPr>
          <w:rFonts w:asciiTheme="majorHAnsi" w:hAnsiTheme="majorHAnsi" w:cstheme="majorHAnsi"/>
          <w:color w:val="FF0000"/>
        </w:rPr>
      </w:pPr>
    </w:p>
    <w:p w14:paraId="1747F9D3" w14:textId="77777777" w:rsidR="00445A56" w:rsidRPr="006070EA" w:rsidRDefault="00445A56" w:rsidP="009E07E1">
      <w:pPr>
        <w:tabs>
          <w:tab w:val="left" w:pos="3570"/>
        </w:tabs>
        <w:spacing w:line="240" w:lineRule="auto"/>
        <w:rPr>
          <w:rFonts w:asciiTheme="majorHAnsi" w:hAnsiTheme="majorHAnsi" w:cstheme="majorHAnsi"/>
          <w:color w:val="FF0000"/>
        </w:rPr>
      </w:pPr>
    </w:p>
    <w:p w14:paraId="3F47C063" w14:textId="77777777" w:rsidR="00445A56" w:rsidRPr="006070EA" w:rsidRDefault="00445A56" w:rsidP="009E07E1">
      <w:pPr>
        <w:tabs>
          <w:tab w:val="left" w:pos="3570"/>
        </w:tabs>
        <w:spacing w:line="240" w:lineRule="auto"/>
        <w:rPr>
          <w:rFonts w:asciiTheme="majorHAnsi" w:hAnsiTheme="majorHAnsi" w:cstheme="majorHAnsi"/>
          <w:color w:val="FF0000"/>
        </w:rPr>
      </w:pPr>
    </w:p>
    <w:p w14:paraId="3EAC5A4D" w14:textId="77777777" w:rsidR="00445A56" w:rsidRPr="006070EA" w:rsidRDefault="00445A56" w:rsidP="009E07E1">
      <w:pPr>
        <w:tabs>
          <w:tab w:val="left" w:pos="3570"/>
        </w:tabs>
        <w:spacing w:line="240" w:lineRule="auto"/>
        <w:rPr>
          <w:rFonts w:asciiTheme="majorHAnsi" w:hAnsiTheme="majorHAnsi" w:cstheme="majorHAnsi"/>
          <w:color w:val="FF0000"/>
        </w:rPr>
      </w:pPr>
    </w:p>
    <w:p w14:paraId="7511089F" w14:textId="77777777" w:rsidR="00445A56" w:rsidRPr="006070EA" w:rsidRDefault="00445A56" w:rsidP="009E07E1">
      <w:pPr>
        <w:tabs>
          <w:tab w:val="left" w:pos="3570"/>
        </w:tabs>
        <w:spacing w:line="240" w:lineRule="auto"/>
        <w:rPr>
          <w:rFonts w:asciiTheme="majorHAnsi" w:hAnsiTheme="majorHAnsi" w:cstheme="majorHAnsi"/>
          <w:color w:val="FF0000"/>
        </w:rPr>
      </w:pPr>
    </w:p>
    <w:p w14:paraId="2984B4FF" w14:textId="77777777" w:rsidR="00445A56" w:rsidRPr="006070EA" w:rsidRDefault="00445A56" w:rsidP="009E07E1">
      <w:pPr>
        <w:tabs>
          <w:tab w:val="left" w:pos="3570"/>
        </w:tabs>
        <w:spacing w:line="240" w:lineRule="auto"/>
        <w:rPr>
          <w:rFonts w:asciiTheme="majorHAnsi" w:hAnsiTheme="majorHAnsi" w:cstheme="majorHAnsi"/>
          <w:color w:val="FF0000"/>
        </w:rPr>
      </w:pPr>
    </w:p>
    <w:p w14:paraId="63207094" w14:textId="77777777" w:rsidR="00E03D0B" w:rsidRPr="006070EA" w:rsidRDefault="00E03D0B" w:rsidP="009E07E1">
      <w:pPr>
        <w:tabs>
          <w:tab w:val="left" w:pos="3570"/>
        </w:tabs>
        <w:spacing w:line="240" w:lineRule="auto"/>
        <w:rPr>
          <w:rFonts w:asciiTheme="majorHAnsi" w:hAnsiTheme="majorHAnsi" w:cstheme="majorHAnsi"/>
          <w:color w:val="FF0000"/>
        </w:rPr>
      </w:pPr>
    </w:p>
    <w:p w14:paraId="6E8BC4B7" w14:textId="77777777" w:rsidR="00EF06C2" w:rsidRPr="006070EA" w:rsidRDefault="00EF06C2" w:rsidP="009E07E1">
      <w:pPr>
        <w:tabs>
          <w:tab w:val="left" w:pos="3570"/>
        </w:tabs>
        <w:spacing w:line="240" w:lineRule="auto"/>
        <w:rPr>
          <w:rFonts w:asciiTheme="majorHAnsi" w:hAnsiTheme="majorHAnsi" w:cstheme="majorHAnsi"/>
          <w:color w:val="FF0000"/>
        </w:rPr>
      </w:pPr>
    </w:p>
    <w:p w14:paraId="0306905A" w14:textId="77777777" w:rsidR="00EF06C2" w:rsidRPr="006070EA" w:rsidRDefault="00EF06C2" w:rsidP="009E07E1">
      <w:pPr>
        <w:tabs>
          <w:tab w:val="left" w:pos="3570"/>
        </w:tabs>
        <w:spacing w:line="240" w:lineRule="auto"/>
        <w:rPr>
          <w:rFonts w:asciiTheme="majorHAnsi" w:hAnsiTheme="majorHAnsi" w:cstheme="majorHAnsi"/>
          <w:color w:val="FF0000"/>
        </w:rPr>
      </w:pPr>
    </w:p>
    <w:p w14:paraId="2DDC8784" w14:textId="77777777" w:rsidR="00076FBB" w:rsidRPr="006070EA" w:rsidRDefault="00076FBB" w:rsidP="009E07E1">
      <w:pPr>
        <w:tabs>
          <w:tab w:val="left" w:pos="3570"/>
        </w:tabs>
        <w:spacing w:line="240" w:lineRule="auto"/>
        <w:rPr>
          <w:rFonts w:asciiTheme="majorHAnsi" w:hAnsiTheme="majorHAnsi" w:cstheme="majorHAnsi"/>
          <w:color w:val="FF0000"/>
        </w:rPr>
      </w:pPr>
    </w:p>
    <w:p w14:paraId="00479CFD" w14:textId="77777777" w:rsidR="00EF06C2" w:rsidRPr="006070EA" w:rsidRDefault="00EF06C2" w:rsidP="009E07E1">
      <w:pPr>
        <w:tabs>
          <w:tab w:val="left" w:pos="3570"/>
        </w:tabs>
        <w:spacing w:line="240" w:lineRule="auto"/>
        <w:jc w:val="center"/>
        <w:rPr>
          <w:rFonts w:asciiTheme="majorHAnsi" w:hAnsiTheme="majorHAnsi" w:cstheme="majorHAnsi"/>
          <w:color w:val="FF0000"/>
          <w:sz w:val="20"/>
          <w:szCs w:val="20"/>
        </w:rPr>
      </w:pPr>
    </w:p>
    <w:p w14:paraId="565E4BB5" w14:textId="3D4542A9" w:rsidR="00E03D0B" w:rsidRPr="006070EA" w:rsidRDefault="00734352" w:rsidP="00EF06C2">
      <w:pPr>
        <w:tabs>
          <w:tab w:val="left" w:pos="3570"/>
        </w:tabs>
        <w:spacing w:after="0" w:line="240" w:lineRule="auto"/>
        <w:jc w:val="center"/>
        <w:rPr>
          <w:rFonts w:asciiTheme="majorHAnsi" w:hAnsiTheme="majorHAnsi" w:cstheme="majorHAnsi"/>
          <w:color w:val="FF0000"/>
        </w:rPr>
      </w:pPr>
      <w:r w:rsidRPr="006070EA">
        <w:rPr>
          <w:rFonts w:asciiTheme="majorHAnsi" w:hAnsiTheme="majorHAnsi" w:cstheme="majorHAnsi"/>
          <w:noProof/>
          <w:color w:val="FF0000"/>
        </w:rPr>
        <w:drawing>
          <wp:inline distT="0" distB="0" distL="0" distR="0" wp14:anchorId="22166227" wp14:editId="4FC03CF2">
            <wp:extent cx="1628775" cy="1828800"/>
            <wp:effectExtent l="0" t="0" r="0" b="0"/>
            <wp:docPr id="19" name="Obrázek 19" descr="Obsah obrázku text, klipart&#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Obrázek 19" descr="Obsah obrázku text, klipart&#10;&#10;Popis byl vytvořen automaticky"/>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8775" cy="1828800"/>
                    </a:xfrm>
                    <a:prstGeom prst="rect">
                      <a:avLst/>
                    </a:prstGeom>
                    <a:noFill/>
                    <a:ln>
                      <a:noFill/>
                    </a:ln>
                  </pic:spPr>
                </pic:pic>
              </a:graphicData>
            </a:graphic>
          </wp:inline>
        </w:drawing>
      </w:r>
    </w:p>
    <w:p w14:paraId="7A8B48A0" w14:textId="77777777" w:rsidR="00E03D0B" w:rsidRPr="006070EA" w:rsidRDefault="00E03D0B" w:rsidP="009E07E1">
      <w:pPr>
        <w:spacing w:line="240" w:lineRule="auto"/>
        <w:rPr>
          <w:rFonts w:asciiTheme="majorHAnsi" w:hAnsiTheme="majorHAnsi" w:cstheme="majorHAnsi"/>
          <w:color w:val="FF0000"/>
        </w:rPr>
        <w:sectPr w:rsidR="00E03D0B" w:rsidRPr="006070EA" w:rsidSect="0065127D">
          <w:pgSz w:w="11906" w:h="16838"/>
          <w:pgMar w:top="1417" w:right="1417" w:bottom="1417" w:left="1417" w:header="708" w:footer="708" w:gutter="0"/>
          <w:cols w:space="708"/>
          <w:titlePg/>
          <w:docGrid w:linePitch="360"/>
        </w:sectPr>
      </w:pPr>
    </w:p>
    <w:p w14:paraId="4C6E239A" w14:textId="3A3E3C9F" w:rsidR="004E08AA" w:rsidRPr="006070EA" w:rsidRDefault="004E08AA" w:rsidP="009E07E1">
      <w:pPr>
        <w:spacing w:line="240" w:lineRule="auto"/>
        <w:jc w:val="center"/>
        <w:rPr>
          <w:rFonts w:asciiTheme="majorHAnsi" w:hAnsiTheme="majorHAnsi" w:cstheme="majorHAnsi"/>
          <w:b/>
          <w:sz w:val="36"/>
        </w:rPr>
      </w:pPr>
      <w:r w:rsidRPr="006070EA">
        <w:rPr>
          <w:rFonts w:asciiTheme="majorHAnsi" w:hAnsiTheme="majorHAnsi" w:cstheme="majorHAnsi"/>
          <w:b/>
          <w:sz w:val="36"/>
        </w:rPr>
        <w:lastRenderedPageBreak/>
        <w:t xml:space="preserve">ODŮVODNĚNÍ ÚZEMNÍHO </w:t>
      </w:r>
      <w:r w:rsidR="00441938" w:rsidRPr="006070EA">
        <w:rPr>
          <w:rFonts w:asciiTheme="majorHAnsi" w:hAnsiTheme="majorHAnsi" w:cstheme="majorHAnsi"/>
          <w:b/>
          <w:sz w:val="36"/>
        </w:rPr>
        <w:t xml:space="preserve">PLÁNU </w:t>
      </w:r>
      <w:r w:rsidR="00734352" w:rsidRPr="006070EA">
        <w:rPr>
          <w:rFonts w:asciiTheme="majorHAnsi" w:hAnsiTheme="majorHAnsi" w:cstheme="majorHAnsi"/>
          <w:b/>
          <w:sz w:val="36"/>
        </w:rPr>
        <w:t>KOSTOMLATY NAD LABEM</w:t>
      </w:r>
    </w:p>
    <w:p w14:paraId="38589FFD" w14:textId="77777777" w:rsidR="004E08AA" w:rsidRPr="006070EA" w:rsidRDefault="004E08AA" w:rsidP="00D814A9">
      <w:pPr>
        <w:pStyle w:val="Odstavecseseznamem"/>
        <w:numPr>
          <w:ilvl w:val="0"/>
          <w:numId w:val="1"/>
        </w:numPr>
        <w:pBdr>
          <w:top w:val="single" w:sz="8" w:space="1" w:color="auto"/>
          <w:left w:val="single" w:sz="8" w:space="4" w:color="auto"/>
          <w:bottom w:val="single" w:sz="8" w:space="1" w:color="auto"/>
          <w:right w:val="single" w:sz="8" w:space="4" w:color="auto"/>
        </w:pBdr>
        <w:shd w:val="clear" w:color="auto" w:fill="F2F2F2" w:themeFill="background1" w:themeFillShade="F2"/>
        <w:spacing w:before="200" w:after="200" w:line="240" w:lineRule="auto"/>
        <w:ind w:left="709" w:hanging="709"/>
        <w:contextualSpacing w:val="0"/>
        <w:jc w:val="both"/>
        <w:outlineLvl w:val="0"/>
        <w:rPr>
          <w:rFonts w:asciiTheme="majorHAnsi" w:hAnsiTheme="majorHAnsi" w:cstheme="majorHAnsi"/>
          <w:b/>
          <w:sz w:val="24"/>
          <w:szCs w:val="28"/>
        </w:rPr>
      </w:pPr>
      <w:bookmarkStart w:id="0" w:name="_Toc424119780"/>
      <w:bookmarkStart w:id="1" w:name="_Toc204678161"/>
      <w:r w:rsidRPr="006070EA">
        <w:rPr>
          <w:rFonts w:asciiTheme="majorHAnsi" w:hAnsiTheme="majorHAnsi" w:cstheme="majorHAnsi"/>
          <w:b/>
          <w:sz w:val="24"/>
          <w:szCs w:val="28"/>
        </w:rPr>
        <w:t>POSTUP PŘI POŘÍZENÍ ÚZEMNÍHO PLÁNU</w:t>
      </w:r>
      <w:bookmarkEnd w:id="0"/>
      <w:bookmarkEnd w:id="1"/>
    </w:p>
    <w:p w14:paraId="3AFE8CF8" w14:textId="77777777" w:rsidR="004E08AA" w:rsidRPr="006070EA" w:rsidRDefault="004E08AA" w:rsidP="00D814A9">
      <w:pPr>
        <w:spacing w:after="120" w:line="240" w:lineRule="auto"/>
        <w:ind w:left="567" w:firstLine="142"/>
        <w:jc w:val="both"/>
        <w:rPr>
          <w:rFonts w:asciiTheme="majorHAnsi" w:hAnsiTheme="majorHAnsi" w:cstheme="majorHAnsi"/>
          <w:i/>
          <w:sz w:val="18"/>
          <w:szCs w:val="20"/>
        </w:rPr>
      </w:pPr>
      <w:r w:rsidRPr="006070EA">
        <w:rPr>
          <w:rFonts w:asciiTheme="majorHAnsi" w:hAnsiTheme="majorHAnsi" w:cstheme="majorHAnsi"/>
          <w:i/>
          <w:sz w:val="18"/>
          <w:szCs w:val="20"/>
        </w:rPr>
        <w:t>Zákon č. 500/2004 Sb., správní řád, ve znění pozdějších předpisů (dále jen „Zákon č. 500/2004 Sb.</w:t>
      </w:r>
      <w:r w:rsidR="00027596" w:rsidRPr="006070EA">
        <w:rPr>
          <w:rFonts w:asciiTheme="majorHAnsi" w:hAnsiTheme="majorHAnsi" w:cstheme="majorHAnsi"/>
          <w:i/>
          <w:sz w:val="18"/>
          <w:szCs w:val="20"/>
        </w:rPr>
        <w:t>“</w:t>
      </w:r>
      <w:r w:rsidRPr="006070EA">
        <w:rPr>
          <w:rFonts w:asciiTheme="majorHAnsi" w:hAnsiTheme="majorHAnsi" w:cstheme="majorHAnsi"/>
          <w:i/>
          <w:sz w:val="18"/>
          <w:szCs w:val="20"/>
        </w:rPr>
        <w:t>)</w:t>
      </w:r>
    </w:p>
    <w:p w14:paraId="5272DAB0" w14:textId="77777777" w:rsidR="004E08AA" w:rsidRPr="006070EA" w:rsidRDefault="004E08AA" w:rsidP="00D814A9">
      <w:pPr>
        <w:spacing w:after="120" w:line="240" w:lineRule="auto"/>
        <w:ind w:left="567" w:firstLine="142"/>
        <w:jc w:val="both"/>
        <w:rPr>
          <w:rFonts w:asciiTheme="majorHAnsi" w:hAnsiTheme="majorHAnsi" w:cstheme="majorHAnsi"/>
          <w:b/>
          <w:i/>
          <w:sz w:val="18"/>
          <w:szCs w:val="20"/>
        </w:rPr>
      </w:pPr>
      <w:r w:rsidRPr="006070EA">
        <w:rPr>
          <w:rFonts w:asciiTheme="majorHAnsi" w:hAnsiTheme="majorHAnsi" w:cstheme="majorHAnsi"/>
          <w:b/>
          <w:i/>
          <w:sz w:val="18"/>
          <w:szCs w:val="20"/>
        </w:rPr>
        <w:t>Zpracovává pořizovatel.</w:t>
      </w:r>
    </w:p>
    <w:p w14:paraId="531F26D1" w14:textId="77777777" w:rsidR="00F46326" w:rsidRPr="00F46326" w:rsidRDefault="00F46326" w:rsidP="00F46326">
      <w:pPr>
        <w:spacing w:line="240" w:lineRule="auto"/>
        <w:ind w:firstLine="709"/>
        <w:jc w:val="both"/>
        <w:rPr>
          <w:rFonts w:asciiTheme="majorHAnsi" w:hAnsiTheme="majorHAnsi" w:cstheme="majorHAnsi"/>
          <w:sz w:val="18"/>
          <w:szCs w:val="20"/>
        </w:rPr>
      </w:pPr>
      <w:r w:rsidRPr="00F46326">
        <w:rPr>
          <w:rFonts w:asciiTheme="majorHAnsi" w:hAnsiTheme="majorHAnsi" w:cstheme="majorHAnsi"/>
          <w:sz w:val="18"/>
          <w:szCs w:val="20"/>
        </w:rPr>
        <w:t>Obec Kostomlaty má platný územní plán z roku 2003.</w:t>
      </w:r>
    </w:p>
    <w:p w14:paraId="6D210D65" w14:textId="77777777" w:rsidR="00F46326" w:rsidRPr="00F46326" w:rsidRDefault="00F46326" w:rsidP="00F46326">
      <w:pPr>
        <w:spacing w:line="240" w:lineRule="auto"/>
        <w:ind w:firstLine="709"/>
        <w:jc w:val="both"/>
        <w:rPr>
          <w:rFonts w:asciiTheme="majorHAnsi" w:hAnsiTheme="majorHAnsi" w:cstheme="majorHAnsi"/>
          <w:sz w:val="18"/>
          <w:szCs w:val="20"/>
        </w:rPr>
      </w:pPr>
      <w:r w:rsidRPr="00F46326">
        <w:rPr>
          <w:rFonts w:asciiTheme="majorHAnsi" w:hAnsiTheme="majorHAnsi" w:cstheme="majorHAnsi"/>
          <w:sz w:val="18"/>
          <w:szCs w:val="20"/>
        </w:rPr>
        <w:t>Zastupitelstvo obce Kostomlaty dne 28.04.2016 usnesením č. 34/2016 rozhodlo o pořízení nového územního plánu. Pořizovatelem projednání územního plánu byl pověřen Městský úřad Nymburk, odbor výstavby. Zastupitelstvo dále rozhodlo, že určeným zastupitelem pro spolupráci s pořizovatelem územního plánu bude starostka obce Ing. Romana Hradilová.</w:t>
      </w:r>
    </w:p>
    <w:p w14:paraId="280BC3FE" w14:textId="77777777" w:rsidR="00F46326" w:rsidRPr="00F46326" w:rsidRDefault="00F46326" w:rsidP="00F46326">
      <w:pPr>
        <w:spacing w:line="240" w:lineRule="auto"/>
        <w:ind w:firstLine="709"/>
        <w:jc w:val="both"/>
        <w:rPr>
          <w:rFonts w:asciiTheme="majorHAnsi" w:hAnsiTheme="majorHAnsi" w:cstheme="majorHAnsi"/>
          <w:sz w:val="18"/>
          <w:szCs w:val="20"/>
        </w:rPr>
      </w:pPr>
      <w:r w:rsidRPr="00F46326">
        <w:rPr>
          <w:rFonts w:asciiTheme="majorHAnsi" w:hAnsiTheme="majorHAnsi" w:cstheme="majorHAnsi"/>
          <w:sz w:val="18"/>
          <w:szCs w:val="20"/>
        </w:rPr>
        <w:t xml:space="preserve">V březnu 2019 úřad územního plánování ve spolupráci s určeným zastupitelem zpracoval návrh zadání územního plánu Kostomlaty, který byl projednán podle § 47 odst. 2 a 3 stavebního zákona. Návrh zadání byl jednotlivě zaslán krajskému úřadu, dotčeným orgánům a sousedním obcím. Veřejnosti bylo projednávání zadání včetně poučení o lhůtách, ve kterých je může podávat k návrhu zadání připomínky, oznámeno veřejnou vyhláškou. Návrh zadání byl vystaven k veřejnému nahlížení v tištěné podobě po dobu 30 dnů na Obecním úřadě v Kostomlatech nad Labem a na Městském úřadu Nymburk, v elektronické podobě na internetových stránkách obou obcí. Krajský úřad, orgán posuzování vlivů na životní prostředí ve svém stanovisku z 23.4.požadoval zpracování vyhodnocení vlivů na životní prostředí (tzv. SEA) dle přílohy stavebního zákona. Návrh zadání byl upraven a upřesněn, a byl zhotoven pracovní koordinační výkres.  Na základě těchto podkladů vydal Krajský úřad Středočeského kraje dne 16.8.2021 nové stanovisko, ve kterém zpracování SEA nepožadoval. Upravený návrh zadání byl v souladu s § 47 odst. 4 stavebního zákona předložen zastupitelstvu obce, které jej dne 21.10.2021 svým usnesením č.7 schválilo. </w:t>
      </w:r>
    </w:p>
    <w:p w14:paraId="666ABB1E" w14:textId="77777777" w:rsidR="00F46326" w:rsidRPr="00F46326" w:rsidRDefault="00F46326" w:rsidP="00F46326">
      <w:pPr>
        <w:spacing w:line="240" w:lineRule="auto"/>
        <w:ind w:firstLine="709"/>
        <w:jc w:val="both"/>
        <w:rPr>
          <w:rFonts w:asciiTheme="majorHAnsi" w:hAnsiTheme="majorHAnsi" w:cstheme="majorHAnsi"/>
          <w:sz w:val="18"/>
          <w:szCs w:val="20"/>
        </w:rPr>
      </w:pPr>
      <w:r w:rsidRPr="00F46326">
        <w:rPr>
          <w:rFonts w:asciiTheme="majorHAnsi" w:hAnsiTheme="majorHAnsi" w:cstheme="majorHAnsi"/>
          <w:sz w:val="18"/>
          <w:szCs w:val="20"/>
        </w:rPr>
        <w:t>Na základě schváleného zadání byl vypracován návrh územního plánu. Zpracovatelem územního plánu byl Ing. arch. Eduard Žaluda, projektová kancelář, Železná 493/20, Praha 1, ČKA  04 077, IČO 73580872.</w:t>
      </w:r>
    </w:p>
    <w:p w14:paraId="2799518E" w14:textId="77777777" w:rsidR="00F46326" w:rsidRPr="00F46326" w:rsidRDefault="00F46326" w:rsidP="00F46326">
      <w:pPr>
        <w:spacing w:line="240" w:lineRule="auto"/>
        <w:ind w:firstLine="709"/>
        <w:jc w:val="both"/>
        <w:rPr>
          <w:rFonts w:asciiTheme="majorHAnsi" w:hAnsiTheme="majorHAnsi" w:cstheme="majorHAnsi"/>
          <w:sz w:val="18"/>
          <w:szCs w:val="20"/>
        </w:rPr>
      </w:pPr>
      <w:r w:rsidRPr="00F46326">
        <w:rPr>
          <w:rFonts w:asciiTheme="majorHAnsi" w:hAnsiTheme="majorHAnsi" w:cstheme="majorHAnsi"/>
          <w:sz w:val="18"/>
          <w:szCs w:val="20"/>
        </w:rPr>
        <w:t>V květnu 2022 pořizovatel v souladu s § 50 stavebního zákona zahájil projednávání návrhu územního plánu. V souladu s § 50 odst. 3 stavebního zákona byl návrh územního plánu doručen veřejnou vyhláškou. Každý mohl ve lhůtě do 30 dnů uplatnit u pořizovatele písemné připomínky. Společné jednání pro dotčené orgány, krajský úřad a sousední obce se uskutečnilo dne 24.06.2022 na Městském úřadě Nymburk. Zpracovatel provedl výklad návrhu územního plánu. Ve stanovené lhůtě mohly dotčené orgány uplatnit stanoviska a sousední obce podněty a ostatní připomínky.</w:t>
      </w:r>
    </w:p>
    <w:p w14:paraId="3FDA7E64" w14:textId="77777777" w:rsidR="00F46326" w:rsidRPr="00F46326" w:rsidRDefault="00F46326" w:rsidP="00F46326">
      <w:pPr>
        <w:spacing w:line="240" w:lineRule="auto"/>
        <w:ind w:firstLine="709"/>
        <w:jc w:val="both"/>
        <w:rPr>
          <w:rFonts w:asciiTheme="majorHAnsi" w:hAnsiTheme="majorHAnsi" w:cstheme="majorHAnsi"/>
          <w:sz w:val="18"/>
          <w:szCs w:val="20"/>
        </w:rPr>
      </w:pPr>
      <w:r w:rsidRPr="00F46326">
        <w:rPr>
          <w:rFonts w:asciiTheme="majorHAnsi" w:hAnsiTheme="majorHAnsi" w:cstheme="majorHAnsi"/>
          <w:sz w:val="18"/>
          <w:szCs w:val="20"/>
        </w:rPr>
        <w:t xml:space="preserve">Krajský úřad Středočeského kraje, ve svém koordinovaném stanovisku ze dne 20.07.20212 vyjádřil nesouhlas s předpokládaným záborem ZPF. Návrh územního plánu byl opraven, zastavitelné plochy byly redukovány, přesto Krajský úřad dne 28.4.2023 opět vydal nesouhlasné stanovisko z hlediska ochrany ZPF. Dne 6.6.2023 proběhlo na Krajském úřadě jednání, na kterém byly dohodnuty podmínky pro úpravu návrhu územního plánu, které byly následně zapracovány do návrhu ÚP. K upravenému návrhu územního plánu vydal dne 27.07.2023 Krajský úřad, odbor životního prostředí, nové souhlasné stanovisko. </w:t>
      </w:r>
    </w:p>
    <w:p w14:paraId="3C2F98F2" w14:textId="77777777" w:rsidR="00F46326" w:rsidRPr="00F46326" w:rsidRDefault="00F46326" w:rsidP="00F46326">
      <w:pPr>
        <w:spacing w:line="240" w:lineRule="auto"/>
        <w:ind w:firstLine="709"/>
        <w:jc w:val="both"/>
        <w:rPr>
          <w:rFonts w:asciiTheme="majorHAnsi" w:hAnsiTheme="majorHAnsi" w:cstheme="majorHAnsi"/>
          <w:sz w:val="18"/>
          <w:szCs w:val="20"/>
        </w:rPr>
      </w:pPr>
      <w:r w:rsidRPr="00F46326">
        <w:rPr>
          <w:rFonts w:asciiTheme="majorHAnsi" w:hAnsiTheme="majorHAnsi" w:cstheme="majorHAnsi"/>
          <w:sz w:val="18"/>
          <w:szCs w:val="20"/>
        </w:rPr>
        <w:t>Krajský úřad Středočeského kraje, odbor územního plánování a stavebního řádu, jako nadřízený správní orgán v září 2023 neshledal v návrhu územního plánu žádné nedostatky a vydal souhlas s dalším postupem projednávání územního plánu.</w:t>
      </w:r>
    </w:p>
    <w:p w14:paraId="090B54DC" w14:textId="77777777" w:rsidR="00F46326" w:rsidRPr="00F46326" w:rsidRDefault="00F46326" w:rsidP="00F46326">
      <w:pPr>
        <w:spacing w:line="240" w:lineRule="auto"/>
        <w:ind w:firstLine="709"/>
        <w:jc w:val="both"/>
        <w:rPr>
          <w:rFonts w:asciiTheme="majorHAnsi" w:hAnsiTheme="majorHAnsi" w:cstheme="majorHAnsi"/>
          <w:sz w:val="18"/>
          <w:szCs w:val="20"/>
        </w:rPr>
      </w:pPr>
      <w:r w:rsidRPr="00F46326">
        <w:rPr>
          <w:rFonts w:asciiTheme="majorHAnsi" w:hAnsiTheme="majorHAnsi" w:cstheme="majorHAnsi"/>
          <w:sz w:val="18"/>
          <w:szCs w:val="20"/>
        </w:rPr>
        <w:t>Pořizovatel oznámil v souladu s § 52 odst. 1 stavebního zákona a § 172 zákona č. 500/2004 Sb., správní řád, zahájení řízení o územním plánu a konání veřejného jednání v Kostomlatech nad Labem. Oznámení bylo jednotlivě zasláno krajskému úřadu, dotčeným orgánům a sousedním obcím. Veřejnosti byl termín a místo veřejného projednání oznámeno veřejnou vyhláškou. Návrh územního plánu byl vystaven na Obecním úřadě Kostomlaty a na Městském úřadě Nymburk, v elektronické podobě na internetových stránkách obou obcí.</w:t>
      </w:r>
    </w:p>
    <w:p w14:paraId="12C32057" w14:textId="77777777" w:rsidR="00F46326" w:rsidRPr="00F46326" w:rsidRDefault="00F46326" w:rsidP="00F46326">
      <w:pPr>
        <w:spacing w:line="240" w:lineRule="auto"/>
        <w:ind w:firstLine="709"/>
        <w:jc w:val="both"/>
        <w:rPr>
          <w:rFonts w:asciiTheme="majorHAnsi" w:hAnsiTheme="majorHAnsi" w:cstheme="majorHAnsi"/>
          <w:sz w:val="18"/>
          <w:szCs w:val="20"/>
        </w:rPr>
      </w:pPr>
      <w:r w:rsidRPr="00F46326">
        <w:rPr>
          <w:rFonts w:asciiTheme="majorHAnsi" w:hAnsiTheme="majorHAnsi" w:cstheme="majorHAnsi"/>
          <w:sz w:val="18"/>
          <w:szCs w:val="20"/>
        </w:rPr>
        <w:t>Veřejné projednání se konalo v Kostomlatech nad Labem dne 21.02.2024, zpracovatelem byl proveden výklad. Proběhla diskuze, přítomní měli možnost položit otázky k návrhu územního plánu. Přítomní byli poučeni o možnosti, způsobu a termínu podání námitek a připomínek.</w:t>
      </w:r>
    </w:p>
    <w:p w14:paraId="62BC67B8" w14:textId="77777777" w:rsidR="00F46326" w:rsidRPr="00F46326" w:rsidRDefault="00F46326" w:rsidP="00F46326">
      <w:pPr>
        <w:spacing w:line="240" w:lineRule="auto"/>
        <w:ind w:firstLine="709"/>
        <w:jc w:val="both"/>
        <w:rPr>
          <w:rFonts w:asciiTheme="majorHAnsi" w:hAnsiTheme="majorHAnsi" w:cstheme="majorHAnsi"/>
          <w:sz w:val="18"/>
          <w:szCs w:val="20"/>
        </w:rPr>
      </w:pPr>
      <w:r w:rsidRPr="00F46326">
        <w:rPr>
          <w:rFonts w:asciiTheme="majorHAnsi" w:hAnsiTheme="majorHAnsi" w:cstheme="majorHAnsi"/>
          <w:sz w:val="18"/>
          <w:szCs w:val="20"/>
        </w:rPr>
        <w:t xml:space="preserve">Pořizovatel s určeným zastupitelem vyhodnotil výsledky projednání, zpracoval návrh rozhodnutí o námitkách a vyhodnocení připomínek uplatněných k návrhu územního plánu a projednal je s dotčenými orgány a krajským úřadem. V souladu s výsledky vyhodnocení projednání byla provedena úprava územního plánu. Protože úpravou návrhu územního plánu došlo k novým zásahům do vlastnických práv, bylo rozhodnuto o provedení opakovaného veřejného projednání. </w:t>
      </w:r>
    </w:p>
    <w:p w14:paraId="70E3EDEF" w14:textId="77777777" w:rsidR="00F46326" w:rsidRPr="00F46326" w:rsidRDefault="00F46326" w:rsidP="00F46326">
      <w:pPr>
        <w:spacing w:line="240" w:lineRule="auto"/>
        <w:ind w:firstLine="709"/>
        <w:jc w:val="both"/>
        <w:rPr>
          <w:rFonts w:asciiTheme="majorHAnsi" w:hAnsiTheme="majorHAnsi" w:cstheme="majorHAnsi"/>
          <w:sz w:val="18"/>
          <w:szCs w:val="20"/>
        </w:rPr>
      </w:pPr>
      <w:r w:rsidRPr="00F46326">
        <w:rPr>
          <w:rFonts w:asciiTheme="majorHAnsi" w:hAnsiTheme="majorHAnsi" w:cstheme="majorHAnsi"/>
          <w:sz w:val="18"/>
          <w:szCs w:val="20"/>
        </w:rPr>
        <w:t>Pořizovatel oznámil v souladu s § 53 odst. 2 stavebního zákona a § 172 zákona č. 500/2004 Sb., správní řád, konání opakovaného veřejného projednání v Kostomlatech nad Labem. Oznámení bylo jednotlivě zasláno krajskému úřadu, dotčeným orgánům a sousedním obcím. Veřejnosti byl termín a místo veřejného projednání oznámeno veřejnou vyhláškou. Návrh územního plánu byl vystaven na Obecním úřadě Kovanice a na Městském úřadě Nymburk, v elektronické podobě na internetových stránkách obou obcí.</w:t>
      </w:r>
    </w:p>
    <w:p w14:paraId="732BDFD5" w14:textId="77777777" w:rsidR="00F46326" w:rsidRPr="00F46326" w:rsidRDefault="00F46326" w:rsidP="00F46326">
      <w:pPr>
        <w:spacing w:line="240" w:lineRule="auto"/>
        <w:ind w:firstLine="709"/>
        <w:jc w:val="both"/>
        <w:rPr>
          <w:rFonts w:asciiTheme="majorHAnsi" w:hAnsiTheme="majorHAnsi" w:cstheme="majorHAnsi"/>
          <w:sz w:val="18"/>
          <w:szCs w:val="20"/>
        </w:rPr>
      </w:pPr>
      <w:r w:rsidRPr="00F46326">
        <w:rPr>
          <w:rFonts w:asciiTheme="majorHAnsi" w:hAnsiTheme="majorHAnsi" w:cstheme="majorHAnsi"/>
          <w:sz w:val="18"/>
          <w:szCs w:val="20"/>
        </w:rPr>
        <w:lastRenderedPageBreak/>
        <w:t>Opakované veřejné projednání proběhlo dne 05.03.2025 v Kostomlatech nad Labem. Zpracovatelem byl proveden výklad změn, které byly v návrhu územního plánu provedeny od prvního veřejného projednání. Proběhla diskuze, přítomní měli možnost položit otázky k návrhu územního plánu. Přítomní byli poučeni o možnosti, způsobu a termínu podání námitek a připomínek.</w:t>
      </w:r>
    </w:p>
    <w:p w14:paraId="7536F1E0" w14:textId="77777777" w:rsidR="00F46326" w:rsidRPr="00F46326" w:rsidRDefault="00F46326" w:rsidP="00F46326">
      <w:pPr>
        <w:spacing w:line="240" w:lineRule="auto"/>
        <w:ind w:firstLine="709"/>
        <w:jc w:val="both"/>
        <w:rPr>
          <w:rFonts w:asciiTheme="majorHAnsi" w:hAnsiTheme="majorHAnsi" w:cstheme="majorHAnsi"/>
          <w:sz w:val="18"/>
          <w:szCs w:val="20"/>
        </w:rPr>
      </w:pPr>
      <w:r w:rsidRPr="00F46326">
        <w:rPr>
          <w:rFonts w:asciiTheme="majorHAnsi" w:hAnsiTheme="majorHAnsi" w:cstheme="majorHAnsi"/>
          <w:sz w:val="18"/>
          <w:szCs w:val="20"/>
        </w:rPr>
        <w:t>Krajský úřad Středočeského kraje vydal k upravenému návrhu územního plánu Kostomlaty k opakovanému veřejnému projednání souhlasné stanovisko dne 03.03.2025.</w:t>
      </w:r>
    </w:p>
    <w:p w14:paraId="57EA162F" w14:textId="77777777" w:rsidR="00F46326" w:rsidRPr="00F46326" w:rsidRDefault="00F46326" w:rsidP="00F46326">
      <w:pPr>
        <w:spacing w:line="240" w:lineRule="auto"/>
        <w:ind w:firstLine="709"/>
        <w:jc w:val="both"/>
        <w:rPr>
          <w:rFonts w:asciiTheme="majorHAnsi" w:hAnsiTheme="majorHAnsi" w:cstheme="majorHAnsi"/>
          <w:sz w:val="18"/>
          <w:szCs w:val="20"/>
        </w:rPr>
      </w:pPr>
      <w:r w:rsidRPr="00F46326">
        <w:rPr>
          <w:rFonts w:asciiTheme="majorHAnsi" w:hAnsiTheme="majorHAnsi" w:cstheme="majorHAnsi"/>
          <w:sz w:val="18"/>
          <w:szCs w:val="20"/>
        </w:rPr>
        <w:t>Pořizovatel s určeným zastupitelem vyhodnotil výsledky projednání, zpracoval návrh rozhodnutí o námitkách a vyhodnocení připomínek uplatněných k návrhu územního plánu a projednal je s dotčenými orgány a krajským úřadem. Krajský úřad vydal souhlasné stanovisko k návrhu rozhodnutí o námitkách 12.06.2025. V souladu s výsledky vyhodnocení projednání byla provedena úprava územního plánu.</w:t>
      </w:r>
    </w:p>
    <w:p w14:paraId="4A61F3FF" w14:textId="77777777" w:rsidR="00F46326" w:rsidRPr="00F46326" w:rsidRDefault="00F46326" w:rsidP="00F46326">
      <w:pPr>
        <w:spacing w:line="240" w:lineRule="auto"/>
        <w:ind w:firstLine="709"/>
        <w:jc w:val="both"/>
        <w:rPr>
          <w:rFonts w:asciiTheme="majorHAnsi" w:hAnsiTheme="majorHAnsi" w:cstheme="majorHAnsi"/>
          <w:sz w:val="18"/>
          <w:szCs w:val="20"/>
        </w:rPr>
      </w:pPr>
      <w:r w:rsidRPr="00F46326">
        <w:rPr>
          <w:rFonts w:asciiTheme="majorHAnsi" w:hAnsiTheme="majorHAnsi" w:cstheme="majorHAnsi"/>
          <w:sz w:val="18"/>
          <w:szCs w:val="20"/>
        </w:rPr>
        <w:t xml:space="preserve">Pořizovatel v souladu s § 53 odst. 4 přezkoumal soulad návrhu územního plánu s politikou územního rozvoje a územně plánovací dokumentací vydanou krajem, s cíli a úkoly územního plánování, s požadavky stavebního zákona a jeho prováděcích právních předpisů, s požadavky zvláštních právních předpisů a se stanovisky dotčených orgánů a stanoviskem krajského úřadu.     </w:t>
      </w:r>
    </w:p>
    <w:p w14:paraId="2ADA5F32" w14:textId="77777777" w:rsidR="00F46326" w:rsidRPr="00F46326" w:rsidRDefault="00F46326" w:rsidP="00F46326">
      <w:pPr>
        <w:spacing w:line="240" w:lineRule="auto"/>
        <w:ind w:firstLine="709"/>
        <w:jc w:val="both"/>
        <w:rPr>
          <w:rFonts w:asciiTheme="majorHAnsi" w:hAnsiTheme="majorHAnsi" w:cstheme="majorHAnsi"/>
          <w:sz w:val="18"/>
          <w:szCs w:val="20"/>
        </w:rPr>
      </w:pPr>
      <w:r w:rsidRPr="00F46326">
        <w:rPr>
          <w:rFonts w:asciiTheme="majorHAnsi" w:hAnsiTheme="majorHAnsi" w:cstheme="majorHAnsi"/>
          <w:sz w:val="18"/>
          <w:szCs w:val="20"/>
        </w:rPr>
        <w:t>Pořizovatel podle § 54 odst. 1 předložil návrh územního plánu zastupitelstvu obce Kostomlaty nad Labem ke schválení.</w:t>
      </w:r>
    </w:p>
    <w:p w14:paraId="7869DE2D" w14:textId="77777777" w:rsidR="004E08AA" w:rsidRPr="006070EA" w:rsidRDefault="004E08AA" w:rsidP="00D814A9">
      <w:pPr>
        <w:pStyle w:val="Odstavecseseznamem"/>
        <w:numPr>
          <w:ilvl w:val="0"/>
          <w:numId w:val="1"/>
        </w:numPr>
        <w:pBdr>
          <w:top w:val="single" w:sz="8" w:space="1" w:color="auto"/>
          <w:left w:val="single" w:sz="8" w:space="4" w:color="auto"/>
          <w:bottom w:val="single" w:sz="8" w:space="1" w:color="auto"/>
          <w:right w:val="single" w:sz="8" w:space="4" w:color="auto"/>
        </w:pBdr>
        <w:shd w:val="clear" w:color="auto" w:fill="F2F2F2" w:themeFill="background1" w:themeFillShade="F2"/>
        <w:spacing w:before="200" w:after="200" w:line="240" w:lineRule="auto"/>
        <w:ind w:left="709" w:hanging="709"/>
        <w:contextualSpacing w:val="0"/>
        <w:jc w:val="both"/>
        <w:outlineLvl w:val="0"/>
        <w:rPr>
          <w:rFonts w:asciiTheme="majorHAnsi" w:hAnsiTheme="majorHAnsi" w:cstheme="majorHAnsi"/>
          <w:b/>
          <w:sz w:val="24"/>
          <w:szCs w:val="28"/>
        </w:rPr>
      </w:pPr>
      <w:bookmarkStart w:id="2" w:name="_Toc424119781"/>
      <w:bookmarkStart w:id="3" w:name="_Toc204678162"/>
      <w:r w:rsidRPr="006070EA">
        <w:rPr>
          <w:rFonts w:asciiTheme="majorHAnsi" w:hAnsiTheme="majorHAnsi" w:cstheme="majorHAnsi"/>
          <w:b/>
          <w:sz w:val="24"/>
          <w:szCs w:val="28"/>
        </w:rPr>
        <w:t>VYHODNOCENÍ KOORDINAC</w:t>
      </w:r>
      <w:r w:rsidR="009775ED" w:rsidRPr="006070EA">
        <w:rPr>
          <w:rFonts w:asciiTheme="majorHAnsi" w:hAnsiTheme="majorHAnsi" w:cstheme="majorHAnsi"/>
          <w:b/>
          <w:sz w:val="24"/>
          <w:szCs w:val="28"/>
        </w:rPr>
        <w:t>E</w:t>
      </w:r>
      <w:r w:rsidRPr="006070EA">
        <w:rPr>
          <w:rFonts w:asciiTheme="majorHAnsi" w:hAnsiTheme="majorHAnsi" w:cstheme="majorHAnsi"/>
          <w:b/>
          <w:sz w:val="24"/>
          <w:szCs w:val="28"/>
        </w:rPr>
        <w:t xml:space="preserve"> VYUŽÍVÁNÍ ÚZEMÍ Z HLEDISKA ŠIRŠÍCH VZTAHŮ V</w:t>
      </w:r>
      <w:r w:rsidR="00A069ED" w:rsidRPr="006070EA">
        <w:rPr>
          <w:rFonts w:asciiTheme="majorHAnsi" w:hAnsiTheme="majorHAnsi" w:cstheme="majorHAnsi"/>
          <w:b/>
          <w:sz w:val="24"/>
          <w:szCs w:val="28"/>
        </w:rPr>
        <w:t> </w:t>
      </w:r>
      <w:r w:rsidRPr="006070EA">
        <w:rPr>
          <w:rFonts w:asciiTheme="majorHAnsi" w:hAnsiTheme="majorHAnsi" w:cstheme="majorHAnsi"/>
          <w:b/>
          <w:sz w:val="24"/>
          <w:szCs w:val="28"/>
        </w:rPr>
        <w:t>ÚZEMÍ</w:t>
      </w:r>
      <w:bookmarkEnd w:id="2"/>
      <w:bookmarkEnd w:id="3"/>
    </w:p>
    <w:p w14:paraId="107D6514" w14:textId="77777777" w:rsidR="004E08AA" w:rsidRPr="006070EA" w:rsidRDefault="004E08AA" w:rsidP="00D814A9">
      <w:pPr>
        <w:spacing w:after="120" w:line="240" w:lineRule="auto"/>
        <w:ind w:left="709"/>
        <w:jc w:val="both"/>
        <w:rPr>
          <w:rFonts w:asciiTheme="majorHAnsi" w:hAnsiTheme="majorHAnsi" w:cstheme="majorHAnsi"/>
          <w:i/>
          <w:sz w:val="18"/>
          <w:szCs w:val="20"/>
        </w:rPr>
      </w:pPr>
      <w:r w:rsidRPr="006070EA">
        <w:rPr>
          <w:rFonts w:asciiTheme="majorHAnsi" w:hAnsiTheme="majorHAnsi" w:cstheme="majorHAnsi"/>
          <w:i/>
          <w:sz w:val="18"/>
          <w:szCs w:val="20"/>
        </w:rPr>
        <w:t>Vyhláška č. 500/2006 Sb., o územně analytických podkladech, územně plánovací dokumentaci a</w:t>
      </w:r>
      <w:r w:rsidR="00D814A9" w:rsidRPr="006070EA">
        <w:rPr>
          <w:rFonts w:asciiTheme="majorHAnsi" w:hAnsiTheme="majorHAnsi" w:cstheme="majorHAnsi"/>
          <w:i/>
          <w:sz w:val="18"/>
          <w:szCs w:val="20"/>
        </w:rPr>
        <w:t> </w:t>
      </w:r>
      <w:r w:rsidRPr="006070EA">
        <w:rPr>
          <w:rFonts w:asciiTheme="majorHAnsi" w:hAnsiTheme="majorHAnsi" w:cstheme="majorHAnsi"/>
          <w:i/>
          <w:sz w:val="18"/>
          <w:szCs w:val="20"/>
        </w:rPr>
        <w:t>způsobu evidence územně plánovací činnosti</w:t>
      </w:r>
      <w:r w:rsidR="00452B1F" w:rsidRPr="006070EA">
        <w:rPr>
          <w:rFonts w:asciiTheme="majorHAnsi" w:hAnsiTheme="majorHAnsi" w:cstheme="majorHAnsi"/>
          <w:i/>
          <w:sz w:val="18"/>
          <w:szCs w:val="20"/>
        </w:rPr>
        <w:t>, ve znění pozdějších předpisů se zkratkou (dále jen „Vyhláška č.</w:t>
      </w:r>
      <w:r w:rsidR="00DC6611" w:rsidRPr="006070EA">
        <w:rPr>
          <w:rFonts w:asciiTheme="majorHAnsi" w:hAnsiTheme="majorHAnsi" w:cstheme="majorHAnsi"/>
          <w:i/>
          <w:sz w:val="18"/>
          <w:szCs w:val="20"/>
        </w:rPr>
        <w:t> </w:t>
      </w:r>
      <w:r w:rsidR="00452B1F" w:rsidRPr="006070EA">
        <w:rPr>
          <w:rFonts w:asciiTheme="majorHAnsi" w:hAnsiTheme="majorHAnsi" w:cstheme="majorHAnsi"/>
          <w:i/>
          <w:sz w:val="18"/>
          <w:szCs w:val="20"/>
        </w:rPr>
        <w:t>500/2006 Sb.</w:t>
      </w:r>
      <w:r w:rsidR="00027596" w:rsidRPr="006070EA">
        <w:rPr>
          <w:rFonts w:asciiTheme="majorHAnsi" w:hAnsiTheme="majorHAnsi" w:cstheme="majorHAnsi"/>
          <w:i/>
          <w:sz w:val="18"/>
          <w:szCs w:val="20"/>
        </w:rPr>
        <w:t>“</w:t>
      </w:r>
      <w:r w:rsidR="00452B1F" w:rsidRPr="006070EA">
        <w:rPr>
          <w:rFonts w:asciiTheme="majorHAnsi" w:hAnsiTheme="majorHAnsi" w:cstheme="majorHAnsi"/>
          <w:i/>
          <w:sz w:val="18"/>
          <w:szCs w:val="20"/>
        </w:rPr>
        <w:t>), příloha č.</w:t>
      </w:r>
      <w:r w:rsidR="0050797C" w:rsidRPr="006070EA">
        <w:rPr>
          <w:rFonts w:asciiTheme="majorHAnsi" w:hAnsiTheme="majorHAnsi" w:cstheme="majorHAnsi"/>
          <w:i/>
          <w:sz w:val="18"/>
          <w:szCs w:val="20"/>
        </w:rPr>
        <w:t> </w:t>
      </w:r>
      <w:r w:rsidR="00452B1F" w:rsidRPr="006070EA">
        <w:rPr>
          <w:rFonts w:asciiTheme="majorHAnsi" w:hAnsiTheme="majorHAnsi" w:cstheme="majorHAnsi"/>
          <w:i/>
          <w:sz w:val="18"/>
          <w:szCs w:val="20"/>
        </w:rPr>
        <w:t>7, část II., odst. 1a)</w:t>
      </w:r>
    </w:p>
    <w:p w14:paraId="359B6624" w14:textId="77777777" w:rsidR="00452B1F" w:rsidRPr="006070EA" w:rsidRDefault="00452B1F" w:rsidP="00D814A9">
      <w:pPr>
        <w:spacing w:after="120" w:line="240" w:lineRule="auto"/>
        <w:ind w:left="567" w:firstLine="142"/>
        <w:jc w:val="both"/>
        <w:rPr>
          <w:rFonts w:asciiTheme="majorHAnsi" w:hAnsiTheme="majorHAnsi" w:cstheme="majorHAnsi"/>
          <w:b/>
          <w:i/>
          <w:sz w:val="18"/>
          <w:szCs w:val="20"/>
        </w:rPr>
      </w:pPr>
      <w:r w:rsidRPr="006070EA">
        <w:rPr>
          <w:rFonts w:asciiTheme="majorHAnsi" w:hAnsiTheme="majorHAnsi" w:cstheme="majorHAnsi"/>
          <w:b/>
          <w:i/>
          <w:sz w:val="18"/>
          <w:szCs w:val="20"/>
        </w:rPr>
        <w:t>Zpracovává projektant.</w:t>
      </w:r>
    </w:p>
    <w:p w14:paraId="25AA3D8F" w14:textId="77777777" w:rsidR="00452B1F" w:rsidRPr="006070EA" w:rsidRDefault="00452B1F" w:rsidP="009E07E1">
      <w:pPr>
        <w:spacing w:line="240" w:lineRule="auto"/>
        <w:ind w:firstLine="709"/>
        <w:jc w:val="both"/>
        <w:rPr>
          <w:rFonts w:asciiTheme="majorHAnsi" w:hAnsiTheme="majorHAnsi" w:cstheme="majorHAnsi"/>
          <w:sz w:val="18"/>
          <w:szCs w:val="20"/>
        </w:rPr>
      </w:pPr>
      <w:r w:rsidRPr="006070EA">
        <w:rPr>
          <w:rFonts w:asciiTheme="majorHAnsi" w:hAnsiTheme="majorHAnsi" w:cstheme="majorHAnsi"/>
          <w:sz w:val="18"/>
          <w:szCs w:val="20"/>
        </w:rPr>
        <w:t>Z hlediska širších vztahů je v územním plánu řešena návaznost jednotlivých funkčních ploch a dalších prostorových a</w:t>
      </w:r>
      <w:r w:rsidR="0050797C" w:rsidRPr="006070EA">
        <w:rPr>
          <w:rFonts w:asciiTheme="majorHAnsi" w:hAnsiTheme="majorHAnsi" w:cstheme="majorHAnsi"/>
          <w:sz w:val="18"/>
          <w:szCs w:val="20"/>
        </w:rPr>
        <w:t> </w:t>
      </w:r>
      <w:r w:rsidRPr="006070EA">
        <w:rPr>
          <w:rFonts w:asciiTheme="majorHAnsi" w:hAnsiTheme="majorHAnsi" w:cstheme="majorHAnsi"/>
          <w:sz w:val="18"/>
          <w:szCs w:val="20"/>
        </w:rPr>
        <w:t>funkčních vazeb v oblasti dopravní a technické infrastruktury, ochrany přírody a navazujících prvků územního systému ekologické stability.</w:t>
      </w:r>
    </w:p>
    <w:p w14:paraId="0F085F8F" w14:textId="0FCEDA09" w:rsidR="00452B1F" w:rsidRPr="006070EA" w:rsidRDefault="0028434D" w:rsidP="00982B04">
      <w:pPr>
        <w:pStyle w:val="Odstavecseseznamem"/>
        <w:numPr>
          <w:ilvl w:val="1"/>
          <w:numId w:val="2"/>
        </w:numPr>
        <w:spacing w:before="160" w:after="120" w:line="240" w:lineRule="auto"/>
        <w:ind w:left="709" w:hanging="709"/>
        <w:contextualSpacing w:val="0"/>
        <w:outlineLvl w:val="1"/>
        <w:rPr>
          <w:rFonts w:asciiTheme="majorHAnsi" w:hAnsiTheme="majorHAnsi" w:cstheme="majorHAnsi"/>
          <w:b/>
          <w:sz w:val="24"/>
          <w:szCs w:val="20"/>
        </w:rPr>
      </w:pPr>
      <w:bookmarkStart w:id="4" w:name="_Toc415755909"/>
      <w:bookmarkStart w:id="5" w:name="_Toc415756275"/>
      <w:bookmarkStart w:id="6" w:name="_Toc415756634"/>
      <w:bookmarkStart w:id="7" w:name="_Toc415756901"/>
      <w:bookmarkStart w:id="8" w:name="_Toc415757151"/>
      <w:bookmarkStart w:id="9" w:name="_Toc415757400"/>
      <w:bookmarkStart w:id="10" w:name="_Toc415757558"/>
      <w:bookmarkStart w:id="11" w:name="_Toc424050084"/>
      <w:bookmarkStart w:id="12" w:name="_Toc424050258"/>
      <w:bookmarkStart w:id="13" w:name="_Toc424050416"/>
      <w:bookmarkStart w:id="14" w:name="_Toc424112278"/>
      <w:bookmarkStart w:id="15" w:name="_Toc424119302"/>
      <w:bookmarkStart w:id="16" w:name="_Toc424119782"/>
      <w:bookmarkStart w:id="17" w:name="_Toc424120038"/>
      <w:bookmarkStart w:id="18" w:name="_Toc424120464"/>
      <w:bookmarkStart w:id="19" w:name="_Toc424126171"/>
      <w:bookmarkStart w:id="20" w:name="_Toc424138752"/>
      <w:bookmarkStart w:id="21" w:name="_Toc445291867"/>
      <w:bookmarkStart w:id="22" w:name="_Toc445910380"/>
      <w:bookmarkStart w:id="23" w:name="_Toc448831859"/>
      <w:bookmarkStart w:id="24" w:name="_Toc448832049"/>
      <w:bookmarkStart w:id="25" w:name="_Toc450037709"/>
      <w:bookmarkStart w:id="26" w:name="_Toc450223000"/>
      <w:bookmarkStart w:id="27" w:name="_Toc424119790"/>
      <w:bookmarkStart w:id="28" w:name="_Toc20467816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r w:rsidRPr="006070EA">
        <w:rPr>
          <w:rFonts w:asciiTheme="majorHAnsi" w:hAnsiTheme="majorHAnsi" w:cstheme="majorHAnsi"/>
          <w:b/>
          <w:sz w:val="24"/>
          <w:szCs w:val="20"/>
        </w:rPr>
        <w:t xml:space="preserve">Základní údaje o obci </w:t>
      </w:r>
      <w:bookmarkEnd w:id="27"/>
      <w:r w:rsidR="009F054A" w:rsidRPr="006070EA">
        <w:rPr>
          <w:rFonts w:asciiTheme="majorHAnsi" w:hAnsiTheme="majorHAnsi" w:cstheme="majorHAnsi"/>
          <w:b/>
          <w:sz w:val="24"/>
          <w:szCs w:val="20"/>
        </w:rPr>
        <w:t>Kostomlaty nad Labem</w:t>
      </w:r>
      <w:bookmarkEnd w:id="28"/>
    </w:p>
    <w:tbl>
      <w:tblPr>
        <w:tblStyle w:val="Mkatabulky"/>
        <w:tblW w:w="0" w:type="auto"/>
        <w:jc w:val="center"/>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3402"/>
        <w:gridCol w:w="3402"/>
      </w:tblGrid>
      <w:tr w:rsidR="009B5D4A" w:rsidRPr="006070EA" w14:paraId="316330E9" w14:textId="77777777" w:rsidTr="004F6CC3">
        <w:trPr>
          <w:trHeight w:val="20"/>
          <w:jc w:val="center"/>
        </w:trPr>
        <w:tc>
          <w:tcPr>
            <w:tcW w:w="3402" w:type="dxa"/>
            <w:shd w:val="clear" w:color="auto" w:fill="auto"/>
            <w:vAlign w:val="center"/>
          </w:tcPr>
          <w:p w14:paraId="4F46A4CD" w14:textId="77777777" w:rsidR="009F1104" w:rsidRPr="006070EA" w:rsidRDefault="009F1104" w:rsidP="00D55F4A">
            <w:pPr>
              <w:rPr>
                <w:rFonts w:asciiTheme="majorHAnsi" w:hAnsiTheme="majorHAnsi" w:cstheme="majorHAnsi"/>
                <w:b/>
                <w:sz w:val="18"/>
                <w:szCs w:val="20"/>
              </w:rPr>
            </w:pPr>
            <w:r w:rsidRPr="006070EA">
              <w:rPr>
                <w:rFonts w:asciiTheme="majorHAnsi" w:hAnsiTheme="majorHAnsi" w:cstheme="majorHAnsi"/>
                <w:b/>
                <w:sz w:val="18"/>
                <w:szCs w:val="20"/>
              </w:rPr>
              <w:t>řešené území</w:t>
            </w:r>
            <w:r w:rsidR="00C87A6F" w:rsidRPr="006070EA">
              <w:rPr>
                <w:rFonts w:asciiTheme="majorHAnsi" w:hAnsiTheme="majorHAnsi" w:cstheme="majorHAnsi"/>
                <w:b/>
                <w:sz w:val="18"/>
                <w:szCs w:val="20"/>
              </w:rPr>
              <w:t xml:space="preserve"> – obec</w:t>
            </w:r>
            <w:r w:rsidR="00F45351" w:rsidRPr="006070EA">
              <w:rPr>
                <w:rFonts w:asciiTheme="majorHAnsi" w:hAnsiTheme="majorHAnsi" w:cstheme="majorHAnsi"/>
                <w:b/>
                <w:sz w:val="18"/>
                <w:szCs w:val="20"/>
              </w:rPr>
              <w:t xml:space="preserve"> (</w:t>
            </w:r>
            <w:r w:rsidR="000F6181" w:rsidRPr="006070EA">
              <w:rPr>
                <w:rFonts w:asciiTheme="majorHAnsi" w:hAnsiTheme="majorHAnsi" w:cstheme="majorHAnsi"/>
                <w:b/>
                <w:sz w:val="18"/>
                <w:szCs w:val="20"/>
              </w:rPr>
              <w:t>kód</w:t>
            </w:r>
            <w:r w:rsidR="00F45351" w:rsidRPr="006070EA">
              <w:rPr>
                <w:rFonts w:asciiTheme="majorHAnsi" w:hAnsiTheme="majorHAnsi" w:cstheme="majorHAnsi"/>
                <w:b/>
                <w:sz w:val="18"/>
                <w:szCs w:val="20"/>
              </w:rPr>
              <w:t>)</w:t>
            </w:r>
          </w:p>
        </w:tc>
        <w:tc>
          <w:tcPr>
            <w:tcW w:w="3402" w:type="dxa"/>
            <w:vAlign w:val="center"/>
          </w:tcPr>
          <w:p w14:paraId="642D1A9F" w14:textId="27A0DE26" w:rsidR="009F1104" w:rsidRPr="006070EA" w:rsidRDefault="009B5D4A" w:rsidP="0090362B">
            <w:pPr>
              <w:rPr>
                <w:rFonts w:asciiTheme="majorHAnsi" w:hAnsiTheme="majorHAnsi" w:cstheme="majorHAnsi"/>
                <w:sz w:val="18"/>
                <w:szCs w:val="20"/>
              </w:rPr>
            </w:pPr>
            <w:r w:rsidRPr="006070EA">
              <w:rPr>
                <w:rFonts w:asciiTheme="majorHAnsi" w:hAnsiTheme="majorHAnsi" w:cstheme="majorHAnsi"/>
                <w:sz w:val="18"/>
                <w:szCs w:val="20"/>
              </w:rPr>
              <w:t xml:space="preserve">Obec </w:t>
            </w:r>
            <w:r w:rsidR="00CE57B5" w:rsidRPr="006070EA">
              <w:rPr>
                <w:rFonts w:asciiTheme="majorHAnsi" w:hAnsiTheme="majorHAnsi" w:cstheme="majorHAnsi"/>
                <w:sz w:val="18"/>
                <w:szCs w:val="20"/>
              </w:rPr>
              <w:t>Kostomlaty nad Labem</w:t>
            </w:r>
            <w:r w:rsidRPr="006070EA">
              <w:rPr>
                <w:rFonts w:asciiTheme="majorHAnsi" w:hAnsiTheme="majorHAnsi" w:cstheme="majorHAnsi"/>
                <w:sz w:val="18"/>
                <w:szCs w:val="20"/>
              </w:rPr>
              <w:t xml:space="preserve"> (537331)</w:t>
            </w:r>
          </w:p>
        </w:tc>
      </w:tr>
      <w:tr w:rsidR="009B5D4A" w:rsidRPr="006070EA" w14:paraId="7B978872" w14:textId="77777777" w:rsidTr="00483AA2">
        <w:trPr>
          <w:trHeight w:val="20"/>
          <w:jc w:val="center"/>
        </w:trPr>
        <w:tc>
          <w:tcPr>
            <w:tcW w:w="3402" w:type="dxa"/>
            <w:shd w:val="clear" w:color="auto" w:fill="auto"/>
            <w:vAlign w:val="center"/>
          </w:tcPr>
          <w:p w14:paraId="45582ABE" w14:textId="77777777" w:rsidR="009B5D4A" w:rsidRPr="006070EA" w:rsidRDefault="009B5D4A" w:rsidP="009E07E1">
            <w:pPr>
              <w:rPr>
                <w:rFonts w:asciiTheme="majorHAnsi" w:hAnsiTheme="majorHAnsi" w:cstheme="majorHAnsi"/>
                <w:b/>
                <w:sz w:val="18"/>
                <w:szCs w:val="20"/>
              </w:rPr>
            </w:pPr>
            <w:r w:rsidRPr="006070EA">
              <w:rPr>
                <w:rFonts w:asciiTheme="majorHAnsi" w:hAnsiTheme="majorHAnsi" w:cstheme="majorHAnsi"/>
                <w:b/>
                <w:sz w:val="18"/>
                <w:szCs w:val="20"/>
              </w:rPr>
              <w:t>obec s pověřeným obecním úřadem</w:t>
            </w:r>
          </w:p>
        </w:tc>
        <w:tc>
          <w:tcPr>
            <w:tcW w:w="3402" w:type="dxa"/>
            <w:vMerge w:val="restart"/>
            <w:vAlign w:val="center"/>
          </w:tcPr>
          <w:p w14:paraId="626C9B88" w14:textId="1EC2A35E" w:rsidR="009B5D4A" w:rsidRPr="006070EA" w:rsidRDefault="009B5D4A" w:rsidP="009E07E1">
            <w:pPr>
              <w:rPr>
                <w:rFonts w:asciiTheme="majorHAnsi" w:hAnsiTheme="majorHAnsi" w:cstheme="majorHAnsi"/>
                <w:sz w:val="18"/>
                <w:szCs w:val="20"/>
              </w:rPr>
            </w:pPr>
            <w:r w:rsidRPr="006070EA">
              <w:rPr>
                <w:rFonts w:asciiTheme="majorHAnsi" w:hAnsiTheme="majorHAnsi" w:cstheme="majorHAnsi"/>
                <w:sz w:val="18"/>
                <w:szCs w:val="20"/>
              </w:rPr>
              <w:t>Nymburk</w:t>
            </w:r>
          </w:p>
        </w:tc>
      </w:tr>
      <w:tr w:rsidR="009B5D4A" w:rsidRPr="006070EA" w14:paraId="3AEF61C8" w14:textId="77777777" w:rsidTr="00C617D6">
        <w:trPr>
          <w:trHeight w:val="20"/>
          <w:jc w:val="center"/>
        </w:trPr>
        <w:tc>
          <w:tcPr>
            <w:tcW w:w="3402" w:type="dxa"/>
            <w:shd w:val="clear" w:color="auto" w:fill="auto"/>
            <w:vAlign w:val="center"/>
          </w:tcPr>
          <w:p w14:paraId="7F5A67A9" w14:textId="77777777" w:rsidR="009B5D4A" w:rsidRPr="006070EA" w:rsidRDefault="009B5D4A" w:rsidP="009E07E1">
            <w:pPr>
              <w:rPr>
                <w:rFonts w:asciiTheme="majorHAnsi" w:hAnsiTheme="majorHAnsi" w:cstheme="majorHAnsi"/>
                <w:b/>
                <w:sz w:val="18"/>
                <w:szCs w:val="20"/>
              </w:rPr>
            </w:pPr>
            <w:r w:rsidRPr="006070EA">
              <w:rPr>
                <w:rFonts w:asciiTheme="majorHAnsi" w:hAnsiTheme="majorHAnsi" w:cstheme="majorHAnsi"/>
                <w:b/>
                <w:sz w:val="18"/>
                <w:szCs w:val="20"/>
              </w:rPr>
              <w:t>obec s rozšířenou působností</w:t>
            </w:r>
          </w:p>
        </w:tc>
        <w:tc>
          <w:tcPr>
            <w:tcW w:w="3402" w:type="dxa"/>
            <w:vMerge/>
            <w:vAlign w:val="center"/>
          </w:tcPr>
          <w:p w14:paraId="4A47AE1D" w14:textId="5373FA01" w:rsidR="009B5D4A" w:rsidRPr="006070EA" w:rsidRDefault="009B5D4A" w:rsidP="009E07E1">
            <w:pPr>
              <w:rPr>
                <w:rFonts w:asciiTheme="majorHAnsi" w:hAnsiTheme="majorHAnsi" w:cstheme="majorHAnsi"/>
                <w:sz w:val="18"/>
                <w:szCs w:val="20"/>
              </w:rPr>
            </w:pPr>
          </w:p>
        </w:tc>
      </w:tr>
      <w:tr w:rsidR="009B5D4A" w:rsidRPr="006070EA" w14:paraId="6B49B3A1" w14:textId="77777777" w:rsidTr="008864EA">
        <w:trPr>
          <w:trHeight w:val="20"/>
          <w:jc w:val="center"/>
        </w:trPr>
        <w:tc>
          <w:tcPr>
            <w:tcW w:w="3402" w:type="dxa"/>
            <w:shd w:val="clear" w:color="auto" w:fill="auto"/>
            <w:vAlign w:val="center"/>
          </w:tcPr>
          <w:p w14:paraId="0C8707EE" w14:textId="3D83CFC2" w:rsidR="009B5D4A" w:rsidRPr="006070EA" w:rsidRDefault="009B5D4A" w:rsidP="009E07E1">
            <w:pPr>
              <w:rPr>
                <w:rFonts w:asciiTheme="majorHAnsi" w:hAnsiTheme="majorHAnsi" w:cstheme="majorHAnsi"/>
                <w:b/>
                <w:sz w:val="18"/>
                <w:szCs w:val="20"/>
              </w:rPr>
            </w:pPr>
            <w:r w:rsidRPr="006070EA">
              <w:rPr>
                <w:rFonts w:asciiTheme="majorHAnsi" w:hAnsiTheme="majorHAnsi" w:cstheme="majorHAnsi"/>
                <w:b/>
                <w:sz w:val="18"/>
                <w:szCs w:val="20"/>
              </w:rPr>
              <w:t>okres (NUTS 4)</w:t>
            </w:r>
          </w:p>
        </w:tc>
        <w:tc>
          <w:tcPr>
            <w:tcW w:w="3402" w:type="dxa"/>
            <w:vAlign w:val="center"/>
          </w:tcPr>
          <w:p w14:paraId="3347F9DF" w14:textId="36D83E86" w:rsidR="009B5D4A" w:rsidRPr="006070EA" w:rsidRDefault="009B5D4A" w:rsidP="009E07E1">
            <w:pPr>
              <w:rPr>
                <w:rFonts w:asciiTheme="majorHAnsi" w:hAnsiTheme="majorHAnsi" w:cstheme="majorHAnsi"/>
                <w:sz w:val="18"/>
                <w:szCs w:val="20"/>
              </w:rPr>
            </w:pPr>
            <w:r w:rsidRPr="006070EA">
              <w:rPr>
                <w:rFonts w:asciiTheme="majorHAnsi" w:hAnsiTheme="majorHAnsi" w:cstheme="majorHAnsi"/>
                <w:sz w:val="18"/>
                <w:szCs w:val="20"/>
              </w:rPr>
              <w:t>Nymburk (CZ0208)</w:t>
            </w:r>
          </w:p>
        </w:tc>
      </w:tr>
      <w:tr w:rsidR="009B5D4A" w:rsidRPr="006070EA" w14:paraId="5CC30BE6" w14:textId="77777777" w:rsidTr="004F6CC3">
        <w:trPr>
          <w:trHeight w:val="20"/>
          <w:jc w:val="center"/>
        </w:trPr>
        <w:tc>
          <w:tcPr>
            <w:tcW w:w="3402" w:type="dxa"/>
            <w:shd w:val="clear" w:color="auto" w:fill="auto"/>
            <w:vAlign w:val="center"/>
          </w:tcPr>
          <w:p w14:paraId="057D1C9B" w14:textId="2C9F1DD5" w:rsidR="00C87A6F" w:rsidRPr="006070EA" w:rsidRDefault="00C87A6F" w:rsidP="009E07E1">
            <w:pPr>
              <w:rPr>
                <w:rFonts w:asciiTheme="majorHAnsi" w:hAnsiTheme="majorHAnsi" w:cstheme="majorHAnsi"/>
                <w:b/>
                <w:sz w:val="18"/>
                <w:szCs w:val="20"/>
              </w:rPr>
            </w:pPr>
            <w:r w:rsidRPr="006070EA">
              <w:rPr>
                <w:rFonts w:asciiTheme="majorHAnsi" w:hAnsiTheme="majorHAnsi" w:cstheme="majorHAnsi"/>
                <w:b/>
                <w:sz w:val="18"/>
                <w:szCs w:val="20"/>
              </w:rPr>
              <w:t xml:space="preserve">kraj </w:t>
            </w:r>
            <w:r w:rsidR="009B5D4A" w:rsidRPr="006070EA">
              <w:rPr>
                <w:rFonts w:asciiTheme="majorHAnsi" w:hAnsiTheme="majorHAnsi" w:cstheme="majorHAnsi"/>
                <w:b/>
                <w:sz w:val="18"/>
                <w:szCs w:val="20"/>
              </w:rPr>
              <w:t>(NUTS 3)</w:t>
            </w:r>
          </w:p>
        </w:tc>
        <w:tc>
          <w:tcPr>
            <w:tcW w:w="3402" w:type="dxa"/>
            <w:vAlign w:val="center"/>
          </w:tcPr>
          <w:p w14:paraId="2BBF1630" w14:textId="603F338A" w:rsidR="00C87A6F" w:rsidRPr="006070EA" w:rsidRDefault="009B5D4A" w:rsidP="009E07E1">
            <w:pPr>
              <w:rPr>
                <w:rFonts w:asciiTheme="majorHAnsi" w:hAnsiTheme="majorHAnsi" w:cstheme="majorHAnsi"/>
                <w:sz w:val="18"/>
                <w:szCs w:val="20"/>
              </w:rPr>
            </w:pPr>
            <w:r w:rsidRPr="006070EA">
              <w:rPr>
                <w:rFonts w:asciiTheme="majorHAnsi" w:hAnsiTheme="majorHAnsi" w:cstheme="majorHAnsi"/>
                <w:sz w:val="18"/>
                <w:szCs w:val="20"/>
              </w:rPr>
              <w:t>Středočeský (CZ020)</w:t>
            </w:r>
            <w:r w:rsidR="00C87A6F" w:rsidRPr="006070EA">
              <w:rPr>
                <w:rFonts w:asciiTheme="majorHAnsi" w:hAnsiTheme="majorHAnsi" w:cstheme="majorHAnsi"/>
                <w:sz w:val="18"/>
                <w:szCs w:val="20"/>
              </w:rPr>
              <w:t xml:space="preserve"> </w:t>
            </w:r>
          </w:p>
        </w:tc>
      </w:tr>
      <w:tr w:rsidR="0082601C" w:rsidRPr="006070EA" w14:paraId="722FD915" w14:textId="77777777" w:rsidTr="004F6CC3">
        <w:trPr>
          <w:trHeight w:val="20"/>
          <w:jc w:val="center"/>
        </w:trPr>
        <w:tc>
          <w:tcPr>
            <w:tcW w:w="3402" w:type="dxa"/>
            <w:vMerge w:val="restart"/>
            <w:shd w:val="clear" w:color="auto" w:fill="auto"/>
            <w:vAlign w:val="center"/>
          </w:tcPr>
          <w:p w14:paraId="41AC55F0" w14:textId="77777777" w:rsidR="009B5D4A" w:rsidRPr="006070EA" w:rsidRDefault="009B5D4A" w:rsidP="009E07E1">
            <w:pPr>
              <w:rPr>
                <w:rFonts w:asciiTheme="majorHAnsi" w:hAnsiTheme="majorHAnsi" w:cstheme="majorHAnsi"/>
                <w:b/>
                <w:sz w:val="18"/>
                <w:szCs w:val="20"/>
              </w:rPr>
            </w:pPr>
            <w:r w:rsidRPr="006070EA">
              <w:rPr>
                <w:rFonts w:asciiTheme="majorHAnsi" w:hAnsiTheme="majorHAnsi" w:cstheme="majorHAnsi"/>
                <w:b/>
                <w:sz w:val="18"/>
                <w:szCs w:val="20"/>
              </w:rPr>
              <w:t>katastrální území (kód k. ú.)</w:t>
            </w:r>
          </w:p>
        </w:tc>
        <w:tc>
          <w:tcPr>
            <w:tcW w:w="3402" w:type="dxa"/>
            <w:vAlign w:val="center"/>
          </w:tcPr>
          <w:p w14:paraId="0B69BACC" w14:textId="7876FB72" w:rsidR="009B5D4A" w:rsidRPr="006070EA" w:rsidRDefault="009B5D4A" w:rsidP="0090362B">
            <w:pPr>
              <w:rPr>
                <w:rFonts w:asciiTheme="majorHAnsi" w:hAnsiTheme="majorHAnsi" w:cstheme="majorHAnsi"/>
                <w:sz w:val="18"/>
                <w:szCs w:val="20"/>
              </w:rPr>
            </w:pPr>
            <w:r w:rsidRPr="006070EA">
              <w:rPr>
                <w:rFonts w:asciiTheme="majorHAnsi" w:hAnsiTheme="majorHAnsi" w:cstheme="majorHAnsi"/>
                <w:sz w:val="18"/>
                <w:szCs w:val="20"/>
              </w:rPr>
              <w:t>Hronětice (</w:t>
            </w:r>
            <w:r w:rsidR="0082601C" w:rsidRPr="006070EA">
              <w:rPr>
                <w:rFonts w:asciiTheme="majorHAnsi" w:hAnsiTheme="majorHAnsi" w:cstheme="majorHAnsi"/>
                <w:sz w:val="18"/>
                <w:szCs w:val="20"/>
              </w:rPr>
              <w:t>648353</w:t>
            </w:r>
            <w:r w:rsidRPr="006070EA">
              <w:rPr>
                <w:rFonts w:asciiTheme="majorHAnsi" w:hAnsiTheme="majorHAnsi" w:cstheme="majorHAnsi"/>
                <w:sz w:val="18"/>
                <w:szCs w:val="20"/>
              </w:rPr>
              <w:t>)</w:t>
            </w:r>
          </w:p>
        </w:tc>
      </w:tr>
      <w:tr w:rsidR="0082601C" w:rsidRPr="006070EA" w14:paraId="669EA4BA" w14:textId="77777777" w:rsidTr="004F6CC3">
        <w:trPr>
          <w:trHeight w:val="20"/>
          <w:jc w:val="center"/>
        </w:trPr>
        <w:tc>
          <w:tcPr>
            <w:tcW w:w="3402" w:type="dxa"/>
            <w:vMerge/>
            <w:shd w:val="clear" w:color="auto" w:fill="auto"/>
            <w:vAlign w:val="center"/>
          </w:tcPr>
          <w:p w14:paraId="4468FC3B" w14:textId="77777777" w:rsidR="009B5D4A" w:rsidRPr="006070EA" w:rsidRDefault="009B5D4A" w:rsidP="009E07E1">
            <w:pPr>
              <w:rPr>
                <w:rFonts w:asciiTheme="majorHAnsi" w:hAnsiTheme="majorHAnsi" w:cstheme="majorHAnsi"/>
                <w:b/>
                <w:sz w:val="18"/>
                <w:szCs w:val="20"/>
              </w:rPr>
            </w:pPr>
          </w:p>
        </w:tc>
        <w:tc>
          <w:tcPr>
            <w:tcW w:w="3402" w:type="dxa"/>
            <w:vAlign w:val="center"/>
          </w:tcPr>
          <w:p w14:paraId="0AA13C9A" w14:textId="3A65F4D0" w:rsidR="009B5D4A" w:rsidRPr="006070EA" w:rsidRDefault="009B5D4A" w:rsidP="0090362B">
            <w:pPr>
              <w:rPr>
                <w:rFonts w:asciiTheme="majorHAnsi" w:hAnsiTheme="majorHAnsi" w:cstheme="majorHAnsi"/>
                <w:sz w:val="18"/>
                <w:szCs w:val="20"/>
              </w:rPr>
            </w:pPr>
            <w:r w:rsidRPr="006070EA">
              <w:rPr>
                <w:rFonts w:asciiTheme="majorHAnsi" w:hAnsiTheme="majorHAnsi" w:cstheme="majorHAnsi"/>
                <w:sz w:val="18"/>
                <w:szCs w:val="20"/>
              </w:rPr>
              <w:t>Kostomlaty nad Labem (</w:t>
            </w:r>
            <w:r w:rsidR="0082601C" w:rsidRPr="006070EA">
              <w:rPr>
                <w:rFonts w:asciiTheme="majorHAnsi" w:hAnsiTheme="majorHAnsi" w:cstheme="majorHAnsi"/>
                <w:sz w:val="18"/>
                <w:szCs w:val="20"/>
              </w:rPr>
              <w:t>670626</w:t>
            </w:r>
            <w:r w:rsidRPr="006070EA">
              <w:rPr>
                <w:rFonts w:asciiTheme="majorHAnsi" w:hAnsiTheme="majorHAnsi" w:cstheme="majorHAnsi"/>
                <w:sz w:val="18"/>
                <w:szCs w:val="20"/>
              </w:rPr>
              <w:t>)</w:t>
            </w:r>
          </w:p>
        </w:tc>
      </w:tr>
      <w:tr w:rsidR="0082601C" w:rsidRPr="006070EA" w14:paraId="461C1F60" w14:textId="77777777" w:rsidTr="004F6CC3">
        <w:trPr>
          <w:trHeight w:val="20"/>
          <w:jc w:val="center"/>
        </w:trPr>
        <w:tc>
          <w:tcPr>
            <w:tcW w:w="3402" w:type="dxa"/>
            <w:vMerge/>
            <w:shd w:val="clear" w:color="auto" w:fill="auto"/>
            <w:vAlign w:val="center"/>
          </w:tcPr>
          <w:p w14:paraId="4652DB8C" w14:textId="77777777" w:rsidR="009B5D4A" w:rsidRPr="006070EA" w:rsidRDefault="009B5D4A" w:rsidP="009E07E1">
            <w:pPr>
              <w:rPr>
                <w:rFonts w:asciiTheme="majorHAnsi" w:hAnsiTheme="majorHAnsi" w:cstheme="majorHAnsi"/>
                <w:b/>
                <w:sz w:val="18"/>
                <w:szCs w:val="20"/>
              </w:rPr>
            </w:pPr>
          </w:p>
        </w:tc>
        <w:tc>
          <w:tcPr>
            <w:tcW w:w="3402" w:type="dxa"/>
            <w:vAlign w:val="center"/>
          </w:tcPr>
          <w:p w14:paraId="73BD741B" w14:textId="63C630F9" w:rsidR="009B5D4A" w:rsidRPr="006070EA" w:rsidRDefault="009B5D4A" w:rsidP="0090362B">
            <w:pPr>
              <w:rPr>
                <w:rFonts w:asciiTheme="majorHAnsi" w:hAnsiTheme="majorHAnsi" w:cstheme="majorHAnsi"/>
                <w:sz w:val="18"/>
                <w:szCs w:val="20"/>
              </w:rPr>
            </w:pPr>
            <w:r w:rsidRPr="006070EA">
              <w:rPr>
                <w:rFonts w:asciiTheme="majorHAnsi" w:hAnsiTheme="majorHAnsi" w:cstheme="majorHAnsi"/>
                <w:sz w:val="18"/>
                <w:szCs w:val="20"/>
              </w:rPr>
              <w:t>Lány u Kostomlat nad Labem</w:t>
            </w:r>
            <w:r w:rsidR="0082601C" w:rsidRPr="006070EA">
              <w:rPr>
                <w:rFonts w:asciiTheme="majorHAnsi" w:hAnsiTheme="majorHAnsi" w:cstheme="majorHAnsi"/>
                <w:sz w:val="18"/>
                <w:szCs w:val="20"/>
              </w:rPr>
              <w:t xml:space="preserve"> (670634)</w:t>
            </w:r>
          </w:p>
        </w:tc>
      </w:tr>
      <w:tr w:rsidR="0082601C" w:rsidRPr="006070EA" w14:paraId="6C27A553" w14:textId="77777777" w:rsidTr="004F6CC3">
        <w:trPr>
          <w:trHeight w:val="20"/>
          <w:jc w:val="center"/>
        </w:trPr>
        <w:tc>
          <w:tcPr>
            <w:tcW w:w="3402" w:type="dxa"/>
            <w:vMerge w:val="restart"/>
            <w:shd w:val="clear" w:color="auto" w:fill="auto"/>
            <w:vAlign w:val="center"/>
          </w:tcPr>
          <w:p w14:paraId="30A7E494" w14:textId="77777777" w:rsidR="0082601C" w:rsidRPr="006070EA" w:rsidRDefault="0082601C" w:rsidP="009E07E1">
            <w:pPr>
              <w:rPr>
                <w:rFonts w:asciiTheme="majorHAnsi" w:hAnsiTheme="majorHAnsi" w:cstheme="majorHAnsi"/>
                <w:b/>
                <w:sz w:val="18"/>
                <w:szCs w:val="20"/>
              </w:rPr>
            </w:pPr>
            <w:r w:rsidRPr="006070EA">
              <w:rPr>
                <w:rFonts w:asciiTheme="majorHAnsi" w:hAnsiTheme="majorHAnsi" w:cstheme="majorHAnsi"/>
                <w:b/>
                <w:sz w:val="18"/>
                <w:szCs w:val="20"/>
              </w:rPr>
              <w:t>části obce (kód č. o.)</w:t>
            </w:r>
          </w:p>
        </w:tc>
        <w:tc>
          <w:tcPr>
            <w:tcW w:w="3402" w:type="dxa"/>
            <w:vAlign w:val="center"/>
          </w:tcPr>
          <w:p w14:paraId="33F8D59D" w14:textId="319056E8" w:rsidR="0082601C" w:rsidRPr="006070EA" w:rsidRDefault="0082601C" w:rsidP="0090362B">
            <w:pPr>
              <w:rPr>
                <w:rFonts w:asciiTheme="majorHAnsi" w:hAnsiTheme="majorHAnsi" w:cstheme="majorHAnsi"/>
                <w:sz w:val="18"/>
                <w:szCs w:val="20"/>
              </w:rPr>
            </w:pPr>
            <w:r w:rsidRPr="006070EA">
              <w:rPr>
                <w:rFonts w:asciiTheme="majorHAnsi" w:hAnsiTheme="majorHAnsi" w:cstheme="majorHAnsi"/>
                <w:sz w:val="18"/>
                <w:szCs w:val="20"/>
              </w:rPr>
              <w:t>Hronětice</w:t>
            </w:r>
          </w:p>
        </w:tc>
      </w:tr>
      <w:tr w:rsidR="0082601C" w:rsidRPr="006070EA" w14:paraId="444C4B0D" w14:textId="77777777" w:rsidTr="004F6CC3">
        <w:trPr>
          <w:trHeight w:val="20"/>
          <w:jc w:val="center"/>
        </w:trPr>
        <w:tc>
          <w:tcPr>
            <w:tcW w:w="3402" w:type="dxa"/>
            <w:vMerge/>
            <w:shd w:val="clear" w:color="auto" w:fill="auto"/>
            <w:vAlign w:val="center"/>
          </w:tcPr>
          <w:p w14:paraId="5A8A20C8" w14:textId="77777777" w:rsidR="0082601C" w:rsidRPr="006070EA" w:rsidRDefault="0082601C" w:rsidP="009E07E1">
            <w:pPr>
              <w:rPr>
                <w:rFonts w:asciiTheme="majorHAnsi" w:hAnsiTheme="majorHAnsi" w:cstheme="majorHAnsi"/>
                <w:b/>
                <w:sz w:val="18"/>
                <w:szCs w:val="20"/>
              </w:rPr>
            </w:pPr>
          </w:p>
        </w:tc>
        <w:tc>
          <w:tcPr>
            <w:tcW w:w="3402" w:type="dxa"/>
            <w:vAlign w:val="center"/>
          </w:tcPr>
          <w:p w14:paraId="00186E4E" w14:textId="42FA166E" w:rsidR="0082601C" w:rsidRPr="006070EA" w:rsidRDefault="0082601C" w:rsidP="0090362B">
            <w:pPr>
              <w:rPr>
                <w:rFonts w:asciiTheme="majorHAnsi" w:hAnsiTheme="majorHAnsi" w:cstheme="majorHAnsi"/>
                <w:sz w:val="18"/>
                <w:szCs w:val="20"/>
              </w:rPr>
            </w:pPr>
            <w:r w:rsidRPr="006070EA">
              <w:rPr>
                <w:rFonts w:asciiTheme="majorHAnsi" w:hAnsiTheme="majorHAnsi" w:cstheme="majorHAnsi"/>
                <w:sz w:val="18"/>
                <w:szCs w:val="20"/>
              </w:rPr>
              <w:t>Kostomlaty nad Labem</w:t>
            </w:r>
          </w:p>
        </w:tc>
      </w:tr>
      <w:tr w:rsidR="0082601C" w:rsidRPr="006070EA" w14:paraId="26EF62E7" w14:textId="77777777" w:rsidTr="004F6CC3">
        <w:trPr>
          <w:trHeight w:val="20"/>
          <w:jc w:val="center"/>
        </w:trPr>
        <w:tc>
          <w:tcPr>
            <w:tcW w:w="3402" w:type="dxa"/>
            <w:vMerge/>
            <w:shd w:val="clear" w:color="auto" w:fill="auto"/>
            <w:vAlign w:val="center"/>
          </w:tcPr>
          <w:p w14:paraId="1096ED2F" w14:textId="77777777" w:rsidR="0082601C" w:rsidRPr="006070EA" w:rsidRDefault="0082601C" w:rsidP="009E07E1">
            <w:pPr>
              <w:rPr>
                <w:rFonts w:asciiTheme="majorHAnsi" w:hAnsiTheme="majorHAnsi" w:cstheme="majorHAnsi"/>
                <w:b/>
                <w:sz w:val="18"/>
                <w:szCs w:val="20"/>
              </w:rPr>
            </w:pPr>
          </w:p>
        </w:tc>
        <w:tc>
          <w:tcPr>
            <w:tcW w:w="3402" w:type="dxa"/>
            <w:vAlign w:val="center"/>
          </w:tcPr>
          <w:p w14:paraId="0915DDEC" w14:textId="70480AAD" w:rsidR="0082601C" w:rsidRPr="006070EA" w:rsidRDefault="0082601C" w:rsidP="0090362B">
            <w:pPr>
              <w:rPr>
                <w:rFonts w:asciiTheme="majorHAnsi" w:hAnsiTheme="majorHAnsi" w:cstheme="majorHAnsi"/>
                <w:sz w:val="18"/>
                <w:szCs w:val="20"/>
              </w:rPr>
            </w:pPr>
            <w:r w:rsidRPr="006070EA">
              <w:rPr>
                <w:rFonts w:asciiTheme="majorHAnsi" w:hAnsiTheme="majorHAnsi" w:cstheme="majorHAnsi"/>
                <w:sz w:val="18"/>
                <w:szCs w:val="20"/>
              </w:rPr>
              <w:t>Lány</w:t>
            </w:r>
          </w:p>
        </w:tc>
      </w:tr>
      <w:tr w:rsidR="0082601C" w:rsidRPr="006070EA" w14:paraId="043C7239" w14:textId="77777777" w:rsidTr="004F6CC3">
        <w:trPr>
          <w:trHeight w:val="20"/>
          <w:jc w:val="center"/>
        </w:trPr>
        <w:tc>
          <w:tcPr>
            <w:tcW w:w="3402" w:type="dxa"/>
            <w:vMerge/>
            <w:shd w:val="clear" w:color="auto" w:fill="auto"/>
            <w:vAlign w:val="center"/>
          </w:tcPr>
          <w:p w14:paraId="786A862C" w14:textId="77777777" w:rsidR="0082601C" w:rsidRPr="006070EA" w:rsidRDefault="0082601C" w:rsidP="009E07E1">
            <w:pPr>
              <w:rPr>
                <w:rFonts w:asciiTheme="majorHAnsi" w:hAnsiTheme="majorHAnsi" w:cstheme="majorHAnsi"/>
                <w:b/>
                <w:sz w:val="18"/>
                <w:szCs w:val="20"/>
              </w:rPr>
            </w:pPr>
          </w:p>
        </w:tc>
        <w:tc>
          <w:tcPr>
            <w:tcW w:w="3402" w:type="dxa"/>
            <w:vAlign w:val="center"/>
          </w:tcPr>
          <w:p w14:paraId="29AA4597" w14:textId="5BA8B993" w:rsidR="0082601C" w:rsidRPr="006070EA" w:rsidRDefault="0082601C" w:rsidP="0090362B">
            <w:pPr>
              <w:rPr>
                <w:rFonts w:asciiTheme="majorHAnsi" w:hAnsiTheme="majorHAnsi" w:cstheme="majorHAnsi"/>
                <w:sz w:val="18"/>
                <w:szCs w:val="20"/>
              </w:rPr>
            </w:pPr>
            <w:r w:rsidRPr="006070EA">
              <w:rPr>
                <w:rFonts w:asciiTheme="majorHAnsi" w:hAnsiTheme="majorHAnsi" w:cstheme="majorHAnsi"/>
                <w:sz w:val="18"/>
                <w:szCs w:val="20"/>
              </w:rPr>
              <w:t>Rozkoš</w:t>
            </w:r>
          </w:p>
        </w:tc>
      </w:tr>
      <w:tr w:rsidR="0082601C" w:rsidRPr="006070EA" w14:paraId="01068FD8" w14:textId="77777777" w:rsidTr="004F6CC3">
        <w:trPr>
          <w:trHeight w:val="20"/>
          <w:jc w:val="center"/>
        </w:trPr>
        <w:tc>
          <w:tcPr>
            <w:tcW w:w="3402" w:type="dxa"/>
            <w:vMerge/>
            <w:shd w:val="clear" w:color="auto" w:fill="auto"/>
            <w:vAlign w:val="center"/>
          </w:tcPr>
          <w:p w14:paraId="35035098" w14:textId="77777777" w:rsidR="0082601C" w:rsidRPr="006070EA" w:rsidRDefault="0082601C" w:rsidP="009E07E1">
            <w:pPr>
              <w:rPr>
                <w:rFonts w:asciiTheme="majorHAnsi" w:hAnsiTheme="majorHAnsi" w:cstheme="majorHAnsi"/>
                <w:b/>
                <w:sz w:val="18"/>
                <w:szCs w:val="20"/>
              </w:rPr>
            </w:pPr>
          </w:p>
        </w:tc>
        <w:tc>
          <w:tcPr>
            <w:tcW w:w="3402" w:type="dxa"/>
            <w:vAlign w:val="center"/>
          </w:tcPr>
          <w:p w14:paraId="5B37A6CB" w14:textId="6659379A" w:rsidR="0082601C" w:rsidRPr="006070EA" w:rsidRDefault="0082601C" w:rsidP="0090362B">
            <w:pPr>
              <w:rPr>
                <w:rFonts w:asciiTheme="majorHAnsi" w:hAnsiTheme="majorHAnsi" w:cstheme="majorHAnsi"/>
                <w:sz w:val="18"/>
                <w:szCs w:val="20"/>
              </w:rPr>
            </w:pPr>
            <w:r w:rsidRPr="006070EA">
              <w:rPr>
                <w:rFonts w:asciiTheme="majorHAnsi" w:hAnsiTheme="majorHAnsi" w:cstheme="majorHAnsi"/>
                <w:sz w:val="18"/>
                <w:szCs w:val="20"/>
              </w:rPr>
              <w:t>Vápensko</w:t>
            </w:r>
          </w:p>
        </w:tc>
      </w:tr>
      <w:tr w:rsidR="0082601C" w:rsidRPr="006070EA" w14:paraId="657A8797" w14:textId="77777777" w:rsidTr="004F6CC3">
        <w:trPr>
          <w:trHeight w:val="20"/>
          <w:jc w:val="center"/>
        </w:trPr>
        <w:tc>
          <w:tcPr>
            <w:tcW w:w="3402" w:type="dxa"/>
            <w:vMerge w:val="restart"/>
            <w:shd w:val="clear" w:color="auto" w:fill="auto"/>
            <w:vAlign w:val="center"/>
          </w:tcPr>
          <w:p w14:paraId="47FE5152" w14:textId="77777777" w:rsidR="00CE57B5" w:rsidRPr="006070EA" w:rsidRDefault="00CE57B5" w:rsidP="00CE57B5">
            <w:pPr>
              <w:rPr>
                <w:rFonts w:asciiTheme="majorHAnsi" w:hAnsiTheme="majorHAnsi" w:cstheme="majorHAnsi"/>
                <w:b/>
                <w:sz w:val="18"/>
                <w:szCs w:val="20"/>
              </w:rPr>
            </w:pPr>
            <w:r w:rsidRPr="006070EA">
              <w:rPr>
                <w:rFonts w:asciiTheme="majorHAnsi" w:hAnsiTheme="majorHAnsi" w:cstheme="majorHAnsi"/>
                <w:b/>
                <w:sz w:val="18"/>
                <w:szCs w:val="20"/>
              </w:rPr>
              <w:t>základní sídelní jednotky (kód ZSJ)</w:t>
            </w:r>
          </w:p>
        </w:tc>
        <w:tc>
          <w:tcPr>
            <w:tcW w:w="3402" w:type="dxa"/>
            <w:vAlign w:val="center"/>
          </w:tcPr>
          <w:p w14:paraId="02828D7C" w14:textId="33D116B6" w:rsidR="00CE57B5" w:rsidRPr="006070EA" w:rsidRDefault="00CE57B5" w:rsidP="00CE57B5">
            <w:pPr>
              <w:rPr>
                <w:rFonts w:asciiTheme="majorHAnsi" w:hAnsiTheme="majorHAnsi" w:cstheme="majorHAnsi"/>
                <w:sz w:val="18"/>
                <w:szCs w:val="20"/>
              </w:rPr>
            </w:pPr>
            <w:r w:rsidRPr="006070EA">
              <w:rPr>
                <w:rFonts w:asciiTheme="majorHAnsi" w:hAnsiTheme="majorHAnsi" w:cstheme="majorHAnsi"/>
                <w:sz w:val="18"/>
                <w:szCs w:val="20"/>
              </w:rPr>
              <w:t>Hronětice (048356)</w:t>
            </w:r>
          </w:p>
        </w:tc>
      </w:tr>
      <w:tr w:rsidR="00CE57B5" w:rsidRPr="006070EA" w14:paraId="78C3B01A" w14:textId="77777777" w:rsidTr="004F6CC3">
        <w:trPr>
          <w:trHeight w:val="20"/>
          <w:jc w:val="center"/>
        </w:trPr>
        <w:tc>
          <w:tcPr>
            <w:tcW w:w="3402" w:type="dxa"/>
            <w:vMerge/>
            <w:shd w:val="clear" w:color="auto" w:fill="auto"/>
            <w:vAlign w:val="center"/>
          </w:tcPr>
          <w:p w14:paraId="0EAA1CB9" w14:textId="77777777" w:rsidR="00CE57B5" w:rsidRPr="006070EA" w:rsidRDefault="00CE57B5" w:rsidP="00CE57B5">
            <w:pPr>
              <w:rPr>
                <w:rFonts w:asciiTheme="majorHAnsi" w:hAnsiTheme="majorHAnsi" w:cstheme="majorHAnsi"/>
                <w:b/>
                <w:sz w:val="18"/>
                <w:szCs w:val="20"/>
              </w:rPr>
            </w:pPr>
          </w:p>
        </w:tc>
        <w:tc>
          <w:tcPr>
            <w:tcW w:w="3402" w:type="dxa"/>
            <w:vAlign w:val="center"/>
          </w:tcPr>
          <w:p w14:paraId="2F1CA3C6" w14:textId="77611782" w:rsidR="00CE57B5" w:rsidRPr="006070EA" w:rsidRDefault="00CE57B5" w:rsidP="00CE57B5">
            <w:pPr>
              <w:rPr>
                <w:rFonts w:asciiTheme="majorHAnsi" w:hAnsiTheme="majorHAnsi" w:cstheme="majorHAnsi"/>
                <w:sz w:val="18"/>
                <w:szCs w:val="20"/>
              </w:rPr>
            </w:pPr>
            <w:r w:rsidRPr="006070EA">
              <w:rPr>
                <w:rFonts w:asciiTheme="majorHAnsi" w:hAnsiTheme="majorHAnsi" w:cstheme="majorHAnsi"/>
                <w:sz w:val="18"/>
                <w:szCs w:val="20"/>
              </w:rPr>
              <w:t>Kostomlaty nad Labem (070629)</w:t>
            </w:r>
          </w:p>
        </w:tc>
      </w:tr>
      <w:tr w:rsidR="00CE57B5" w:rsidRPr="006070EA" w14:paraId="73E28865" w14:textId="77777777" w:rsidTr="004F6CC3">
        <w:trPr>
          <w:trHeight w:val="20"/>
          <w:jc w:val="center"/>
        </w:trPr>
        <w:tc>
          <w:tcPr>
            <w:tcW w:w="3402" w:type="dxa"/>
            <w:vMerge/>
            <w:shd w:val="clear" w:color="auto" w:fill="auto"/>
            <w:vAlign w:val="center"/>
          </w:tcPr>
          <w:p w14:paraId="427AC10D" w14:textId="77777777" w:rsidR="00CE57B5" w:rsidRPr="006070EA" w:rsidRDefault="00CE57B5" w:rsidP="00CE57B5">
            <w:pPr>
              <w:rPr>
                <w:rFonts w:asciiTheme="majorHAnsi" w:hAnsiTheme="majorHAnsi" w:cstheme="majorHAnsi"/>
                <w:b/>
                <w:sz w:val="18"/>
                <w:szCs w:val="20"/>
              </w:rPr>
            </w:pPr>
          </w:p>
        </w:tc>
        <w:tc>
          <w:tcPr>
            <w:tcW w:w="3402" w:type="dxa"/>
            <w:vAlign w:val="center"/>
          </w:tcPr>
          <w:p w14:paraId="7A4CEB0F" w14:textId="3E6DFB6E" w:rsidR="00CE57B5" w:rsidRPr="006070EA" w:rsidRDefault="00CE57B5" w:rsidP="00CE57B5">
            <w:pPr>
              <w:rPr>
                <w:rFonts w:asciiTheme="majorHAnsi" w:hAnsiTheme="majorHAnsi" w:cstheme="majorHAnsi"/>
                <w:sz w:val="18"/>
                <w:szCs w:val="20"/>
              </w:rPr>
            </w:pPr>
            <w:r w:rsidRPr="006070EA">
              <w:rPr>
                <w:rFonts w:asciiTheme="majorHAnsi" w:hAnsiTheme="majorHAnsi" w:cstheme="majorHAnsi"/>
                <w:sz w:val="18"/>
                <w:szCs w:val="20"/>
              </w:rPr>
              <w:t>Lány (070637)</w:t>
            </w:r>
          </w:p>
        </w:tc>
      </w:tr>
      <w:tr w:rsidR="00CE57B5" w:rsidRPr="006070EA" w14:paraId="6117D956" w14:textId="77777777" w:rsidTr="004F6CC3">
        <w:trPr>
          <w:trHeight w:val="20"/>
          <w:jc w:val="center"/>
        </w:trPr>
        <w:tc>
          <w:tcPr>
            <w:tcW w:w="3402" w:type="dxa"/>
            <w:vMerge/>
            <w:shd w:val="clear" w:color="auto" w:fill="auto"/>
            <w:vAlign w:val="center"/>
          </w:tcPr>
          <w:p w14:paraId="4638744B" w14:textId="77777777" w:rsidR="00CE57B5" w:rsidRPr="006070EA" w:rsidRDefault="00CE57B5" w:rsidP="00CE57B5">
            <w:pPr>
              <w:rPr>
                <w:rFonts w:asciiTheme="majorHAnsi" w:hAnsiTheme="majorHAnsi" w:cstheme="majorHAnsi"/>
                <w:b/>
                <w:sz w:val="18"/>
                <w:szCs w:val="20"/>
              </w:rPr>
            </w:pPr>
          </w:p>
        </w:tc>
        <w:tc>
          <w:tcPr>
            <w:tcW w:w="3402" w:type="dxa"/>
            <w:vAlign w:val="center"/>
          </w:tcPr>
          <w:p w14:paraId="7ED233BD" w14:textId="7C33F29D" w:rsidR="00CE57B5" w:rsidRPr="006070EA" w:rsidRDefault="00CE57B5" w:rsidP="00CE57B5">
            <w:pPr>
              <w:rPr>
                <w:rFonts w:asciiTheme="majorHAnsi" w:hAnsiTheme="majorHAnsi" w:cstheme="majorHAnsi"/>
                <w:sz w:val="18"/>
                <w:szCs w:val="20"/>
              </w:rPr>
            </w:pPr>
            <w:r w:rsidRPr="006070EA">
              <w:rPr>
                <w:rFonts w:asciiTheme="majorHAnsi" w:hAnsiTheme="majorHAnsi" w:cstheme="majorHAnsi"/>
                <w:sz w:val="18"/>
                <w:szCs w:val="20"/>
              </w:rPr>
              <w:t>Rozkoš (070645)</w:t>
            </w:r>
          </w:p>
        </w:tc>
      </w:tr>
      <w:tr w:rsidR="00CE57B5" w:rsidRPr="006070EA" w14:paraId="5774437D" w14:textId="77777777" w:rsidTr="004F6CC3">
        <w:trPr>
          <w:trHeight w:val="20"/>
          <w:jc w:val="center"/>
        </w:trPr>
        <w:tc>
          <w:tcPr>
            <w:tcW w:w="3402" w:type="dxa"/>
            <w:vMerge/>
            <w:shd w:val="clear" w:color="auto" w:fill="auto"/>
            <w:vAlign w:val="center"/>
          </w:tcPr>
          <w:p w14:paraId="0C00C83A" w14:textId="77777777" w:rsidR="00CE57B5" w:rsidRPr="006070EA" w:rsidRDefault="00CE57B5" w:rsidP="00CE57B5">
            <w:pPr>
              <w:rPr>
                <w:rFonts w:asciiTheme="majorHAnsi" w:hAnsiTheme="majorHAnsi" w:cstheme="majorHAnsi"/>
                <w:b/>
                <w:sz w:val="18"/>
                <w:szCs w:val="20"/>
              </w:rPr>
            </w:pPr>
          </w:p>
        </w:tc>
        <w:tc>
          <w:tcPr>
            <w:tcW w:w="3402" w:type="dxa"/>
            <w:vAlign w:val="center"/>
          </w:tcPr>
          <w:p w14:paraId="150E0F79" w14:textId="1E4A35BB" w:rsidR="00CE57B5" w:rsidRPr="006070EA" w:rsidRDefault="00CE57B5" w:rsidP="00CE57B5">
            <w:pPr>
              <w:rPr>
                <w:rFonts w:asciiTheme="majorHAnsi" w:hAnsiTheme="majorHAnsi" w:cstheme="majorHAnsi"/>
                <w:sz w:val="18"/>
                <w:szCs w:val="20"/>
              </w:rPr>
            </w:pPr>
            <w:r w:rsidRPr="006070EA">
              <w:rPr>
                <w:rFonts w:asciiTheme="majorHAnsi" w:hAnsiTheme="majorHAnsi" w:cstheme="majorHAnsi"/>
                <w:sz w:val="18"/>
                <w:szCs w:val="20"/>
              </w:rPr>
              <w:t>Vápensko (048364)</w:t>
            </w:r>
          </w:p>
        </w:tc>
      </w:tr>
      <w:tr w:rsidR="0082601C" w:rsidRPr="006070EA" w14:paraId="1ECC4BF1" w14:textId="77777777" w:rsidTr="004F6CC3">
        <w:trPr>
          <w:trHeight w:val="20"/>
          <w:jc w:val="center"/>
        </w:trPr>
        <w:tc>
          <w:tcPr>
            <w:tcW w:w="3402" w:type="dxa"/>
            <w:shd w:val="clear" w:color="auto" w:fill="auto"/>
            <w:vAlign w:val="center"/>
          </w:tcPr>
          <w:p w14:paraId="28B098E1" w14:textId="77777777" w:rsidR="00CE57B5" w:rsidRPr="006070EA" w:rsidRDefault="00CE57B5" w:rsidP="00CE57B5">
            <w:pPr>
              <w:rPr>
                <w:rFonts w:asciiTheme="majorHAnsi" w:hAnsiTheme="majorHAnsi" w:cstheme="majorHAnsi"/>
                <w:b/>
                <w:sz w:val="18"/>
                <w:szCs w:val="20"/>
              </w:rPr>
            </w:pPr>
            <w:r w:rsidRPr="006070EA">
              <w:rPr>
                <w:rFonts w:asciiTheme="majorHAnsi" w:hAnsiTheme="majorHAnsi" w:cstheme="majorHAnsi"/>
                <w:b/>
                <w:sz w:val="18"/>
                <w:szCs w:val="20"/>
              </w:rPr>
              <w:t>počet obyvatel</w:t>
            </w:r>
          </w:p>
        </w:tc>
        <w:tc>
          <w:tcPr>
            <w:tcW w:w="3402" w:type="dxa"/>
            <w:vAlign w:val="center"/>
          </w:tcPr>
          <w:p w14:paraId="19E5C53C" w14:textId="271A5E32" w:rsidR="00CE57B5" w:rsidRPr="006070EA" w:rsidRDefault="0082601C" w:rsidP="00CE57B5">
            <w:pPr>
              <w:rPr>
                <w:rFonts w:asciiTheme="majorHAnsi" w:hAnsiTheme="majorHAnsi" w:cstheme="majorHAnsi"/>
                <w:sz w:val="18"/>
                <w:szCs w:val="20"/>
              </w:rPr>
            </w:pPr>
            <w:r w:rsidRPr="006070EA">
              <w:rPr>
                <w:rFonts w:asciiTheme="majorHAnsi" w:hAnsiTheme="majorHAnsi" w:cstheme="majorHAnsi"/>
                <w:sz w:val="18"/>
                <w:szCs w:val="20"/>
              </w:rPr>
              <w:t xml:space="preserve">1 850 </w:t>
            </w:r>
            <w:r w:rsidR="00CE57B5" w:rsidRPr="006070EA">
              <w:rPr>
                <w:rFonts w:asciiTheme="majorHAnsi" w:hAnsiTheme="majorHAnsi" w:cstheme="majorHAnsi"/>
                <w:sz w:val="18"/>
                <w:szCs w:val="20"/>
              </w:rPr>
              <w:t>(dle ČSÚ, k 31. 12. 20</w:t>
            </w:r>
            <w:r w:rsidRPr="006070EA">
              <w:rPr>
                <w:rFonts w:asciiTheme="majorHAnsi" w:hAnsiTheme="majorHAnsi" w:cstheme="majorHAnsi"/>
                <w:sz w:val="18"/>
                <w:szCs w:val="20"/>
              </w:rPr>
              <w:t>20</w:t>
            </w:r>
            <w:r w:rsidR="00CE57B5" w:rsidRPr="006070EA">
              <w:rPr>
                <w:rFonts w:asciiTheme="majorHAnsi" w:hAnsiTheme="majorHAnsi" w:cstheme="majorHAnsi"/>
                <w:sz w:val="18"/>
                <w:szCs w:val="20"/>
              </w:rPr>
              <w:t>)</w:t>
            </w:r>
          </w:p>
        </w:tc>
      </w:tr>
      <w:tr w:rsidR="0082601C" w:rsidRPr="006070EA" w14:paraId="1517A121" w14:textId="77777777" w:rsidTr="004F6CC3">
        <w:trPr>
          <w:trHeight w:val="20"/>
          <w:jc w:val="center"/>
        </w:trPr>
        <w:tc>
          <w:tcPr>
            <w:tcW w:w="3402" w:type="dxa"/>
            <w:shd w:val="clear" w:color="auto" w:fill="auto"/>
            <w:vAlign w:val="center"/>
          </w:tcPr>
          <w:p w14:paraId="1E8A186C" w14:textId="77777777" w:rsidR="00CE57B5" w:rsidRPr="006070EA" w:rsidRDefault="00CE57B5" w:rsidP="00CE57B5">
            <w:pPr>
              <w:rPr>
                <w:rFonts w:asciiTheme="majorHAnsi" w:hAnsiTheme="majorHAnsi" w:cstheme="majorHAnsi"/>
                <w:b/>
                <w:sz w:val="18"/>
                <w:szCs w:val="20"/>
              </w:rPr>
            </w:pPr>
            <w:r w:rsidRPr="006070EA">
              <w:rPr>
                <w:rFonts w:asciiTheme="majorHAnsi" w:hAnsiTheme="majorHAnsi" w:cstheme="majorHAnsi"/>
                <w:b/>
                <w:sz w:val="18"/>
                <w:szCs w:val="20"/>
              </w:rPr>
              <w:t>rozloha řešeného území</w:t>
            </w:r>
          </w:p>
        </w:tc>
        <w:tc>
          <w:tcPr>
            <w:tcW w:w="3402" w:type="dxa"/>
            <w:vAlign w:val="center"/>
          </w:tcPr>
          <w:p w14:paraId="32D79FBB" w14:textId="15B36C1B" w:rsidR="00CE57B5" w:rsidRPr="006070EA" w:rsidRDefault="00CE57B5" w:rsidP="00CE57B5">
            <w:pPr>
              <w:rPr>
                <w:rFonts w:asciiTheme="majorHAnsi" w:hAnsiTheme="majorHAnsi" w:cstheme="majorHAnsi"/>
                <w:sz w:val="18"/>
                <w:szCs w:val="20"/>
              </w:rPr>
            </w:pPr>
            <w:r w:rsidRPr="006070EA">
              <w:rPr>
                <w:rFonts w:asciiTheme="majorHAnsi" w:hAnsiTheme="majorHAnsi" w:cstheme="majorHAnsi"/>
                <w:sz w:val="18"/>
                <w:szCs w:val="20"/>
              </w:rPr>
              <w:t>1</w:t>
            </w:r>
            <w:r w:rsidR="0082601C" w:rsidRPr="006070EA">
              <w:rPr>
                <w:rFonts w:asciiTheme="majorHAnsi" w:hAnsiTheme="majorHAnsi" w:cstheme="majorHAnsi"/>
                <w:sz w:val="18"/>
                <w:szCs w:val="20"/>
              </w:rPr>
              <w:t xml:space="preserve"> 805</w:t>
            </w:r>
            <w:r w:rsidRPr="006070EA">
              <w:rPr>
                <w:rFonts w:asciiTheme="majorHAnsi" w:hAnsiTheme="majorHAnsi" w:cstheme="majorHAnsi"/>
                <w:sz w:val="18"/>
                <w:szCs w:val="20"/>
              </w:rPr>
              <w:t>,</w:t>
            </w:r>
            <w:r w:rsidR="0082601C" w:rsidRPr="006070EA">
              <w:rPr>
                <w:rFonts w:asciiTheme="majorHAnsi" w:hAnsiTheme="majorHAnsi" w:cstheme="majorHAnsi"/>
                <w:sz w:val="18"/>
                <w:szCs w:val="20"/>
              </w:rPr>
              <w:t>23</w:t>
            </w:r>
            <w:r w:rsidRPr="006070EA">
              <w:rPr>
                <w:rFonts w:asciiTheme="majorHAnsi" w:hAnsiTheme="majorHAnsi" w:cstheme="majorHAnsi"/>
                <w:sz w:val="18"/>
                <w:szCs w:val="20"/>
              </w:rPr>
              <w:t xml:space="preserve"> ha (dle ČSÚ, 31. 12. 20</w:t>
            </w:r>
            <w:r w:rsidR="0082601C" w:rsidRPr="006070EA">
              <w:rPr>
                <w:rFonts w:asciiTheme="majorHAnsi" w:hAnsiTheme="majorHAnsi" w:cstheme="majorHAnsi"/>
                <w:sz w:val="18"/>
                <w:szCs w:val="20"/>
              </w:rPr>
              <w:t>21</w:t>
            </w:r>
            <w:r w:rsidRPr="006070EA">
              <w:rPr>
                <w:rFonts w:asciiTheme="majorHAnsi" w:hAnsiTheme="majorHAnsi" w:cstheme="majorHAnsi"/>
                <w:sz w:val="18"/>
                <w:szCs w:val="20"/>
              </w:rPr>
              <w:t>)</w:t>
            </w:r>
          </w:p>
        </w:tc>
      </w:tr>
    </w:tbl>
    <w:p w14:paraId="2E3C6EBE" w14:textId="71B1767A" w:rsidR="0028434D" w:rsidRPr="006070EA" w:rsidRDefault="008F6DBE" w:rsidP="00982B04">
      <w:pPr>
        <w:pStyle w:val="Odstavecseseznamem"/>
        <w:numPr>
          <w:ilvl w:val="1"/>
          <w:numId w:val="2"/>
        </w:numPr>
        <w:spacing w:before="160" w:after="120" w:line="240" w:lineRule="auto"/>
        <w:ind w:left="709" w:hanging="709"/>
        <w:contextualSpacing w:val="0"/>
        <w:outlineLvl w:val="1"/>
        <w:rPr>
          <w:rFonts w:asciiTheme="majorHAnsi" w:hAnsiTheme="majorHAnsi" w:cstheme="majorHAnsi"/>
          <w:b/>
          <w:sz w:val="24"/>
          <w:szCs w:val="20"/>
        </w:rPr>
      </w:pPr>
      <w:bookmarkStart w:id="29" w:name="_Toc424119791"/>
      <w:bookmarkStart w:id="30" w:name="_Toc204678164"/>
      <w:r w:rsidRPr="006070EA">
        <w:rPr>
          <w:rFonts w:asciiTheme="majorHAnsi" w:hAnsiTheme="majorHAnsi" w:cstheme="majorHAnsi"/>
          <w:b/>
          <w:sz w:val="24"/>
          <w:szCs w:val="20"/>
        </w:rPr>
        <w:t>Postavení obce v systému osídlení</w:t>
      </w:r>
      <w:bookmarkEnd w:id="29"/>
      <w:r w:rsidR="00D20F4B" w:rsidRPr="006070EA">
        <w:rPr>
          <w:rFonts w:asciiTheme="majorHAnsi" w:hAnsiTheme="majorHAnsi" w:cstheme="majorHAnsi"/>
          <w:b/>
          <w:sz w:val="24"/>
          <w:szCs w:val="20"/>
        </w:rPr>
        <w:t xml:space="preserve"> a koordinace řešení ÚP s ÚPD sousedních obcí</w:t>
      </w:r>
      <w:bookmarkEnd w:id="30"/>
    </w:p>
    <w:p w14:paraId="5F713501" w14:textId="59855AA9" w:rsidR="0090362B" w:rsidRPr="006070EA" w:rsidRDefault="00DE1C82" w:rsidP="00CC7A44">
      <w:pPr>
        <w:spacing w:before="120" w:after="60" w:line="240" w:lineRule="auto"/>
        <w:ind w:firstLine="709"/>
        <w:jc w:val="both"/>
        <w:rPr>
          <w:rFonts w:asciiTheme="majorHAnsi" w:hAnsiTheme="majorHAnsi" w:cstheme="majorHAnsi"/>
          <w:sz w:val="18"/>
          <w:szCs w:val="20"/>
        </w:rPr>
      </w:pPr>
      <w:r w:rsidRPr="006070EA">
        <w:rPr>
          <w:rFonts w:asciiTheme="majorHAnsi" w:hAnsiTheme="majorHAnsi" w:cstheme="majorHAnsi"/>
          <w:sz w:val="18"/>
          <w:szCs w:val="20"/>
        </w:rPr>
        <w:t xml:space="preserve">Obec </w:t>
      </w:r>
      <w:r w:rsidR="00C463E6" w:rsidRPr="006070EA">
        <w:rPr>
          <w:rFonts w:asciiTheme="majorHAnsi" w:hAnsiTheme="majorHAnsi" w:cstheme="majorHAnsi"/>
          <w:sz w:val="18"/>
          <w:szCs w:val="20"/>
        </w:rPr>
        <w:t>Kostomlaty nad Labem</w:t>
      </w:r>
      <w:r w:rsidR="00FA3562" w:rsidRPr="006070EA">
        <w:rPr>
          <w:rFonts w:asciiTheme="majorHAnsi" w:hAnsiTheme="majorHAnsi" w:cstheme="majorHAnsi"/>
          <w:sz w:val="18"/>
          <w:szCs w:val="20"/>
        </w:rPr>
        <w:t xml:space="preserve"> se n</w:t>
      </w:r>
      <w:r w:rsidR="00810C59" w:rsidRPr="006070EA">
        <w:rPr>
          <w:rFonts w:asciiTheme="majorHAnsi" w:hAnsiTheme="majorHAnsi" w:cstheme="majorHAnsi"/>
          <w:sz w:val="18"/>
          <w:szCs w:val="20"/>
        </w:rPr>
        <w:t>achází v</w:t>
      </w:r>
      <w:r w:rsidR="00C463E6" w:rsidRPr="006070EA">
        <w:rPr>
          <w:rFonts w:asciiTheme="majorHAnsi" w:hAnsiTheme="majorHAnsi" w:cstheme="majorHAnsi"/>
          <w:sz w:val="18"/>
          <w:szCs w:val="20"/>
        </w:rPr>
        <w:t>e</w:t>
      </w:r>
      <w:r w:rsidR="00D55F4A" w:rsidRPr="006070EA">
        <w:rPr>
          <w:rFonts w:asciiTheme="majorHAnsi" w:hAnsiTheme="majorHAnsi" w:cstheme="majorHAnsi"/>
          <w:sz w:val="18"/>
          <w:szCs w:val="20"/>
        </w:rPr>
        <w:t> </w:t>
      </w:r>
      <w:r w:rsidR="00C463E6" w:rsidRPr="006070EA">
        <w:rPr>
          <w:rFonts w:asciiTheme="majorHAnsi" w:hAnsiTheme="majorHAnsi" w:cstheme="majorHAnsi"/>
          <w:sz w:val="18"/>
          <w:szCs w:val="20"/>
        </w:rPr>
        <w:t xml:space="preserve">Středočeském </w:t>
      </w:r>
      <w:r w:rsidR="006802CA" w:rsidRPr="006070EA">
        <w:rPr>
          <w:rFonts w:asciiTheme="majorHAnsi" w:hAnsiTheme="majorHAnsi" w:cstheme="majorHAnsi"/>
          <w:sz w:val="18"/>
          <w:szCs w:val="20"/>
        </w:rPr>
        <w:t>kraj</w:t>
      </w:r>
      <w:r w:rsidR="00810C59" w:rsidRPr="006070EA">
        <w:rPr>
          <w:rFonts w:asciiTheme="majorHAnsi" w:hAnsiTheme="majorHAnsi" w:cstheme="majorHAnsi"/>
          <w:sz w:val="18"/>
          <w:szCs w:val="20"/>
        </w:rPr>
        <w:t xml:space="preserve">i, </w:t>
      </w:r>
      <w:r w:rsidR="00C463E6" w:rsidRPr="006070EA">
        <w:rPr>
          <w:rFonts w:asciiTheme="majorHAnsi" w:hAnsiTheme="majorHAnsi" w:cstheme="majorHAnsi"/>
          <w:sz w:val="18"/>
          <w:szCs w:val="20"/>
        </w:rPr>
        <w:t xml:space="preserve">přibližně </w:t>
      </w:r>
      <w:r w:rsidR="003E2B06" w:rsidRPr="006070EA">
        <w:rPr>
          <w:rFonts w:asciiTheme="majorHAnsi" w:hAnsiTheme="majorHAnsi" w:cstheme="majorHAnsi"/>
          <w:sz w:val="18"/>
          <w:szCs w:val="20"/>
        </w:rPr>
        <w:t>50</w:t>
      </w:r>
      <w:r w:rsidR="00D55F4A" w:rsidRPr="006070EA">
        <w:rPr>
          <w:rFonts w:asciiTheme="majorHAnsi" w:hAnsiTheme="majorHAnsi" w:cstheme="majorHAnsi"/>
          <w:sz w:val="18"/>
          <w:szCs w:val="20"/>
        </w:rPr>
        <w:t xml:space="preserve"> km východně od </w:t>
      </w:r>
      <w:r w:rsidR="00C463E6" w:rsidRPr="006070EA">
        <w:rPr>
          <w:rFonts w:asciiTheme="majorHAnsi" w:hAnsiTheme="majorHAnsi" w:cstheme="majorHAnsi"/>
          <w:sz w:val="18"/>
          <w:szCs w:val="20"/>
        </w:rPr>
        <w:t xml:space="preserve">hlavního </w:t>
      </w:r>
      <w:r w:rsidR="00810C59" w:rsidRPr="006070EA">
        <w:rPr>
          <w:rFonts w:asciiTheme="majorHAnsi" w:hAnsiTheme="majorHAnsi" w:cstheme="majorHAnsi"/>
          <w:sz w:val="18"/>
          <w:szCs w:val="20"/>
        </w:rPr>
        <w:t xml:space="preserve">města </w:t>
      </w:r>
      <w:r w:rsidR="00C463E6" w:rsidRPr="006070EA">
        <w:rPr>
          <w:rFonts w:asciiTheme="majorHAnsi" w:hAnsiTheme="majorHAnsi" w:cstheme="majorHAnsi"/>
          <w:sz w:val="18"/>
          <w:szCs w:val="20"/>
        </w:rPr>
        <w:t xml:space="preserve">Prahy </w:t>
      </w:r>
      <w:r w:rsidR="003E2B06" w:rsidRPr="006070EA">
        <w:rPr>
          <w:rFonts w:asciiTheme="majorHAnsi" w:hAnsiTheme="majorHAnsi" w:cstheme="majorHAnsi"/>
          <w:sz w:val="18"/>
          <w:szCs w:val="20"/>
        </w:rPr>
        <w:t>a</w:t>
      </w:r>
      <w:r w:rsidR="00C463E6" w:rsidRPr="006070EA">
        <w:rPr>
          <w:rFonts w:asciiTheme="majorHAnsi" w:hAnsiTheme="majorHAnsi" w:cstheme="majorHAnsi"/>
          <w:sz w:val="18"/>
          <w:szCs w:val="20"/>
        </w:rPr>
        <w:t> 6</w:t>
      </w:r>
      <w:r w:rsidR="003E2B06" w:rsidRPr="006070EA">
        <w:rPr>
          <w:rFonts w:asciiTheme="majorHAnsi" w:hAnsiTheme="majorHAnsi" w:cstheme="majorHAnsi"/>
          <w:sz w:val="18"/>
          <w:szCs w:val="20"/>
        </w:rPr>
        <w:t xml:space="preserve"> km </w:t>
      </w:r>
      <w:r w:rsidR="00C463E6" w:rsidRPr="006070EA">
        <w:rPr>
          <w:rFonts w:asciiTheme="majorHAnsi" w:hAnsiTheme="majorHAnsi" w:cstheme="majorHAnsi"/>
          <w:sz w:val="18"/>
          <w:szCs w:val="20"/>
        </w:rPr>
        <w:t xml:space="preserve">západně </w:t>
      </w:r>
      <w:r w:rsidR="003E2B06" w:rsidRPr="006070EA">
        <w:rPr>
          <w:rFonts w:asciiTheme="majorHAnsi" w:hAnsiTheme="majorHAnsi" w:cstheme="majorHAnsi"/>
          <w:sz w:val="18"/>
          <w:szCs w:val="20"/>
        </w:rPr>
        <w:t xml:space="preserve">od okresního města </w:t>
      </w:r>
      <w:r w:rsidR="00C463E6" w:rsidRPr="006070EA">
        <w:rPr>
          <w:rFonts w:asciiTheme="majorHAnsi" w:hAnsiTheme="majorHAnsi" w:cstheme="majorHAnsi"/>
          <w:sz w:val="18"/>
          <w:szCs w:val="20"/>
        </w:rPr>
        <w:t>Nymburk</w:t>
      </w:r>
      <w:r w:rsidR="006802CA" w:rsidRPr="006070EA">
        <w:rPr>
          <w:rFonts w:asciiTheme="majorHAnsi" w:hAnsiTheme="majorHAnsi" w:cstheme="majorHAnsi"/>
          <w:sz w:val="18"/>
          <w:szCs w:val="20"/>
        </w:rPr>
        <w:t xml:space="preserve">. </w:t>
      </w:r>
      <w:r w:rsidR="00840B48" w:rsidRPr="006070EA">
        <w:rPr>
          <w:rFonts w:asciiTheme="majorHAnsi" w:hAnsiTheme="majorHAnsi" w:cstheme="majorHAnsi"/>
          <w:sz w:val="18"/>
          <w:szCs w:val="20"/>
        </w:rPr>
        <w:t xml:space="preserve">Z hlediska hierarchie sídelní struktury je obec </w:t>
      </w:r>
      <w:r w:rsidR="00C463E6" w:rsidRPr="006070EA">
        <w:rPr>
          <w:rFonts w:asciiTheme="majorHAnsi" w:hAnsiTheme="majorHAnsi" w:cstheme="majorHAnsi"/>
          <w:sz w:val="18"/>
          <w:szCs w:val="20"/>
        </w:rPr>
        <w:t xml:space="preserve">soběstačným </w:t>
      </w:r>
      <w:r w:rsidR="00840B48" w:rsidRPr="006070EA">
        <w:rPr>
          <w:rFonts w:asciiTheme="majorHAnsi" w:hAnsiTheme="majorHAnsi" w:cstheme="majorHAnsi"/>
          <w:sz w:val="18"/>
          <w:szCs w:val="20"/>
        </w:rPr>
        <w:t>prvkem se základní občanskou vybaveností</w:t>
      </w:r>
      <w:r w:rsidR="00CC7A44" w:rsidRPr="006070EA">
        <w:rPr>
          <w:rFonts w:asciiTheme="majorHAnsi" w:hAnsiTheme="majorHAnsi" w:cstheme="majorHAnsi"/>
          <w:sz w:val="18"/>
          <w:szCs w:val="20"/>
        </w:rPr>
        <w:t xml:space="preserve"> (základní škola, praktický lékař, obchod, sportoviště)</w:t>
      </w:r>
      <w:r w:rsidR="00840B48" w:rsidRPr="006070EA">
        <w:rPr>
          <w:rFonts w:asciiTheme="majorHAnsi" w:hAnsiTheme="majorHAnsi" w:cstheme="majorHAnsi"/>
          <w:sz w:val="18"/>
          <w:szCs w:val="20"/>
        </w:rPr>
        <w:t xml:space="preserve">. </w:t>
      </w:r>
      <w:r w:rsidR="00C463E6" w:rsidRPr="006070EA">
        <w:rPr>
          <w:rFonts w:asciiTheme="majorHAnsi" w:hAnsiTheme="majorHAnsi" w:cstheme="majorHAnsi"/>
          <w:sz w:val="18"/>
          <w:szCs w:val="20"/>
        </w:rPr>
        <w:t>Obec náleží k obcím s nižší hustotou zalidnění a</w:t>
      </w:r>
      <w:r w:rsidR="00D32D19" w:rsidRPr="006070EA">
        <w:rPr>
          <w:rFonts w:asciiTheme="majorHAnsi" w:hAnsiTheme="majorHAnsi" w:cstheme="majorHAnsi"/>
          <w:sz w:val="18"/>
          <w:szCs w:val="20"/>
        </w:rPr>
        <w:t> </w:t>
      </w:r>
      <w:r w:rsidR="00C463E6" w:rsidRPr="006070EA">
        <w:rPr>
          <w:rFonts w:asciiTheme="majorHAnsi" w:hAnsiTheme="majorHAnsi" w:cstheme="majorHAnsi"/>
          <w:sz w:val="18"/>
          <w:szCs w:val="20"/>
        </w:rPr>
        <w:t xml:space="preserve">průměrným počtem obyvatel (v celorepublikovém srovnání). Strukturu řešeného území tvoří několik sídel se správním centrem v největším sídle Kostomlaty nad Labem. Spádovým centrem regionu je okresní město Nymburk, které je současně sídlem úřadu obce s rozšířenou působností a pověřeného obecního úřadu. Dalšími blízkými nadřazenými </w:t>
      </w:r>
      <w:r w:rsidR="00840B48" w:rsidRPr="006070EA">
        <w:rPr>
          <w:rFonts w:asciiTheme="majorHAnsi" w:hAnsiTheme="majorHAnsi" w:cstheme="majorHAnsi"/>
          <w:sz w:val="18"/>
          <w:szCs w:val="20"/>
        </w:rPr>
        <w:t>spádovým</w:t>
      </w:r>
      <w:r w:rsidR="00CC7A44" w:rsidRPr="006070EA">
        <w:rPr>
          <w:rFonts w:asciiTheme="majorHAnsi" w:hAnsiTheme="majorHAnsi" w:cstheme="majorHAnsi"/>
          <w:sz w:val="18"/>
          <w:szCs w:val="20"/>
        </w:rPr>
        <w:t xml:space="preserve">i </w:t>
      </w:r>
      <w:r w:rsidR="00840B48" w:rsidRPr="006070EA">
        <w:rPr>
          <w:rFonts w:asciiTheme="majorHAnsi" w:hAnsiTheme="majorHAnsi" w:cstheme="majorHAnsi"/>
          <w:sz w:val="18"/>
          <w:szCs w:val="20"/>
        </w:rPr>
        <w:t>centr</w:t>
      </w:r>
      <w:r w:rsidR="00CC7A44" w:rsidRPr="006070EA">
        <w:rPr>
          <w:rFonts w:asciiTheme="majorHAnsi" w:hAnsiTheme="majorHAnsi" w:cstheme="majorHAnsi"/>
          <w:sz w:val="18"/>
          <w:szCs w:val="20"/>
        </w:rPr>
        <w:t>y</w:t>
      </w:r>
      <w:r w:rsidR="00840B48" w:rsidRPr="006070EA">
        <w:rPr>
          <w:rFonts w:asciiTheme="majorHAnsi" w:hAnsiTheme="majorHAnsi" w:cstheme="majorHAnsi"/>
          <w:sz w:val="18"/>
          <w:szCs w:val="20"/>
        </w:rPr>
        <w:t xml:space="preserve"> </w:t>
      </w:r>
      <w:r w:rsidR="00810C59" w:rsidRPr="006070EA">
        <w:rPr>
          <w:rFonts w:asciiTheme="majorHAnsi" w:hAnsiTheme="majorHAnsi" w:cstheme="majorHAnsi"/>
          <w:sz w:val="18"/>
          <w:szCs w:val="20"/>
        </w:rPr>
        <w:t>j</w:t>
      </w:r>
      <w:r w:rsidR="00CC7A44" w:rsidRPr="006070EA">
        <w:rPr>
          <w:rFonts w:asciiTheme="majorHAnsi" w:hAnsiTheme="majorHAnsi" w:cstheme="majorHAnsi"/>
          <w:sz w:val="18"/>
          <w:szCs w:val="20"/>
        </w:rPr>
        <w:t xml:space="preserve">sou </w:t>
      </w:r>
      <w:r w:rsidR="00C463E6" w:rsidRPr="006070EA">
        <w:rPr>
          <w:rFonts w:asciiTheme="majorHAnsi" w:hAnsiTheme="majorHAnsi" w:cstheme="majorHAnsi"/>
          <w:sz w:val="18"/>
          <w:szCs w:val="20"/>
        </w:rPr>
        <w:lastRenderedPageBreak/>
        <w:t xml:space="preserve">Lysá nad Labem, Milovice, </w:t>
      </w:r>
      <w:r w:rsidR="00F63A78" w:rsidRPr="006070EA">
        <w:rPr>
          <w:rFonts w:asciiTheme="majorHAnsi" w:hAnsiTheme="majorHAnsi" w:cstheme="majorHAnsi"/>
          <w:sz w:val="18"/>
          <w:szCs w:val="20"/>
        </w:rPr>
        <w:t>Čelákovice a Praha</w:t>
      </w:r>
      <w:r w:rsidR="00D55F4A" w:rsidRPr="006070EA">
        <w:rPr>
          <w:rFonts w:asciiTheme="majorHAnsi" w:hAnsiTheme="majorHAnsi" w:cstheme="majorHAnsi"/>
          <w:sz w:val="18"/>
          <w:szCs w:val="20"/>
        </w:rPr>
        <w:t xml:space="preserve">. </w:t>
      </w:r>
      <w:r w:rsidR="0090362B" w:rsidRPr="006070EA">
        <w:rPr>
          <w:rFonts w:asciiTheme="majorHAnsi" w:hAnsiTheme="majorHAnsi" w:cstheme="majorHAnsi"/>
          <w:sz w:val="18"/>
          <w:szCs w:val="20"/>
        </w:rPr>
        <w:t xml:space="preserve">Rozvojový potenciál obce je dán především </w:t>
      </w:r>
      <w:r w:rsidR="00CC7A44" w:rsidRPr="006070EA">
        <w:rPr>
          <w:rFonts w:asciiTheme="majorHAnsi" w:hAnsiTheme="majorHAnsi" w:cstheme="majorHAnsi"/>
          <w:sz w:val="18"/>
          <w:szCs w:val="20"/>
        </w:rPr>
        <w:t>blízkostí</w:t>
      </w:r>
      <w:r w:rsidR="0090362B" w:rsidRPr="006070EA">
        <w:rPr>
          <w:rFonts w:asciiTheme="majorHAnsi" w:hAnsiTheme="majorHAnsi" w:cstheme="majorHAnsi"/>
          <w:sz w:val="18"/>
          <w:szCs w:val="20"/>
        </w:rPr>
        <w:t xml:space="preserve"> vyšších center osídlení s rozvinutou občanskou vybaveností a pracovními příležitostmi</w:t>
      </w:r>
      <w:r w:rsidR="00F63A78" w:rsidRPr="006070EA">
        <w:rPr>
          <w:rFonts w:asciiTheme="majorHAnsi" w:hAnsiTheme="majorHAnsi" w:cstheme="majorHAnsi"/>
          <w:sz w:val="18"/>
          <w:szCs w:val="20"/>
        </w:rPr>
        <w:t>, včetně dobré dostupnosti hlavního města</w:t>
      </w:r>
      <w:r w:rsidR="0090362B" w:rsidRPr="006070EA">
        <w:rPr>
          <w:rFonts w:asciiTheme="majorHAnsi" w:hAnsiTheme="majorHAnsi" w:cstheme="majorHAnsi"/>
          <w:sz w:val="18"/>
          <w:szCs w:val="20"/>
        </w:rPr>
        <w:t xml:space="preserve">. </w:t>
      </w:r>
    </w:p>
    <w:p w14:paraId="150B5A3B" w14:textId="7F50BF55" w:rsidR="0090362B" w:rsidRPr="006070EA" w:rsidRDefault="0090362B" w:rsidP="0090362B">
      <w:pPr>
        <w:spacing w:before="120" w:after="60" w:line="240" w:lineRule="auto"/>
        <w:ind w:firstLine="709"/>
        <w:jc w:val="both"/>
        <w:rPr>
          <w:rFonts w:asciiTheme="majorHAnsi" w:hAnsiTheme="majorHAnsi" w:cstheme="majorHAnsi"/>
          <w:sz w:val="18"/>
          <w:szCs w:val="20"/>
        </w:rPr>
      </w:pPr>
      <w:r w:rsidRPr="006070EA">
        <w:rPr>
          <w:rFonts w:asciiTheme="majorHAnsi" w:hAnsiTheme="majorHAnsi" w:cstheme="majorHAnsi"/>
          <w:sz w:val="18"/>
          <w:szCs w:val="20"/>
        </w:rPr>
        <w:t xml:space="preserve">Obec </w:t>
      </w:r>
      <w:r w:rsidR="00911DBD" w:rsidRPr="006070EA">
        <w:rPr>
          <w:rFonts w:asciiTheme="majorHAnsi" w:hAnsiTheme="majorHAnsi" w:cstheme="majorHAnsi"/>
          <w:sz w:val="18"/>
          <w:szCs w:val="20"/>
        </w:rPr>
        <w:t>Kostomlaty nad Labem</w:t>
      </w:r>
      <w:r w:rsidRPr="006070EA">
        <w:rPr>
          <w:rFonts w:asciiTheme="majorHAnsi" w:hAnsiTheme="majorHAnsi" w:cstheme="majorHAnsi"/>
          <w:sz w:val="18"/>
          <w:szCs w:val="20"/>
        </w:rPr>
        <w:t xml:space="preserve"> sousedí s </w:t>
      </w:r>
      <w:r w:rsidR="00C217F4" w:rsidRPr="006070EA">
        <w:rPr>
          <w:rFonts w:asciiTheme="majorHAnsi" w:hAnsiTheme="majorHAnsi" w:cstheme="majorHAnsi"/>
          <w:sz w:val="18"/>
          <w:szCs w:val="20"/>
        </w:rPr>
        <w:t>osmi</w:t>
      </w:r>
      <w:r w:rsidRPr="006070EA">
        <w:rPr>
          <w:rFonts w:asciiTheme="majorHAnsi" w:hAnsiTheme="majorHAnsi" w:cstheme="majorHAnsi"/>
          <w:sz w:val="18"/>
          <w:szCs w:val="20"/>
        </w:rPr>
        <w:t xml:space="preserve"> obcemi. </w:t>
      </w:r>
      <w:r w:rsidR="005968E7" w:rsidRPr="006070EA">
        <w:rPr>
          <w:rFonts w:asciiTheme="majorHAnsi" w:hAnsiTheme="majorHAnsi" w:cstheme="majorHAnsi"/>
          <w:sz w:val="18"/>
          <w:szCs w:val="20"/>
        </w:rPr>
        <w:t>Jejich p</w:t>
      </w:r>
      <w:r w:rsidRPr="006070EA">
        <w:rPr>
          <w:rFonts w:asciiTheme="majorHAnsi" w:hAnsiTheme="majorHAnsi" w:cstheme="majorHAnsi"/>
          <w:sz w:val="18"/>
          <w:szCs w:val="20"/>
        </w:rPr>
        <w:t xml:space="preserve">řehled </w:t>
      </w:r>
      <w:r w:rsidR="005968E7" w:rsidRPr="006070EA">
        <w:rPr>
          <w:rFonts w:asciiTheme="majorHAnsi" w:hAnsiTheme="majorHAnsi" w:cstheme="majorHAnsi"/>
          <w:sz w:val="18"/>
          <w:szCs w:val="20"/>
        </w:rPr>
        <w:t xml:space="preserve">včetně uvedení </w:t>
      </w:r>
      <w:r w:rsidRPr="006070EA">
        <w:rPr>
          <w:rFonts w:asciiTheme="majorHAnsi" w:hAnsiTheme="majorHAnsi" w:cstheme="majorHAnsi"/>
          <w:sz w:val="18"/>
          <w:szCs w:val="20"/>
        </w:rPr>
        <w:t xml:space="preserve">katastrálních území, </w:t>
      </w:r>
      <w:r w:rsidR="00911DBD" w:rsidRPr="006070EA">
        <w:rPr>
          <w:rFonts w:asciiTheme="majorHAnsi" w:hAnsiTheme="majorHAnsi" w:cstheme="majorHAnsi"/>
          <w:sz w:val="18"/>
          <w:szCs w:val="20"/>
        </w:rPr>
        <w:t xml:space="preserve">poskytuje </w:t>
      </w:r>
      <w:r w:rsidRPr="006070EA">
        <w:rPr>
          <w:rFonts w:asciiTheme="majorHAnsi" w:hAnsiTheme="majorHAnsi" w:cstheme="majorHAnsi"/>
          <w:sz w:val="18"/>
          <w:szCs w:val="20"/>
        </w:rPr>
        <w:t>níže uveden</w:t>
      </w:r>
      <w:r w:rsidR="00611E5F" w:rsidRPr="006070EA">
        <w:rPr>
          <w:rFonts w:asciiTheme="majorHAnsi" w:hAnsiTheme="majorHAnsi" w:cstheme="majorHAnsi"/>
          <w:sz w:val="18"/>
          <w:szCs w:val="20"/>
        </w:rPr>
        <w:t>á tabulka</w:t>
      </w:r>
      <w:r w:rsidR="005968E7" w:rsidRPr="006070EA">
        <w:rPr>
          <w:rFonts w:asciiTheme="majorHAnsi" w:hAnsiTheme="majorHAnsi" w:cstheme="majorHAnsi"/>
          <w:sz w:val="18"/>
          <w:szCs w:val="20"/>
        </w:rPr>
        <w:t>:</w:t>
      </w:r>
    </w:p>
    <w:tbl>
      <w:tblPr>
        <w:tblW w:w="0" w:type="auto"/>
        <w:jc w:val="center"/>
        <w:tblBorders>
          <w:insideH w:val="single" w:sz="4" w:space="0" w:color="000000"/>
          <w:insideV w:val="single" w:sz="4" w:space="0" w:color="000000"/>
        </w:tblBorders>
        <w:tblLook w:val="04A0" w:firstRow="1" w:lastRow="0" w:firstColumn="1" w:lastColumn="0" w:noHBand="0" w:noVBand="1"/>
      </w:tblPr>
      <w:tblGrid>
        <w:gridCol w:w="1446"/>
        <w:gridCol w:w="3001"/>
        <w:gridCol w:w="1101"/>
      </w:tblGrid>
      <w:tr w:rsidR="005968E7" w:rsidRPr="006070EA" w14:paraId="3E9FF6D5" w14:textId="77777777" w:rsidTr="00F8065C">
        <w:trPr>
          <w:cantSplit/>
          <w:trHeight w:val="283"/>
          <w:tblHeader/>
          <w:jc w:val="center"/>
        </w:trPr>
        <w:tc>
          <w:tcPr>
            <w:tcW w:w="1446" w:type="dxa"/>
            <w:tcBorders>
              <w:top w:val="nil"/>
              <w:bottom w:val="single" w:sz="12" w:space="0" w:color="auto"/>
              <w:right w:val="single" w:sz="12" w:space="0" w:color="auto"/>
            </w:tcBorders>
            <w:vAlign w:val="center"/>
          </w:tcPr>
          <w:p w14:paraId="59A9F9C2" w14:textId="77777777" w:rsidR="005968E7" w:rsidRPr="006070EA" w:rsidRDefault="005968E7" w:rsidP="00F8065C">
            <w:pPr>
              <w:pStyle w:val="Bezmezer"/>
              <w:keepNext/>
              <w:rPr>
                <w:rFonts w:asciiTheme="majorHAnsi" w:hAnsiTheme="majorHAnsi" w:cstheme="majorHAnsi"/>
                <w:b/>
                <w:lang w:val="cs-CZ"/>
              </w:rPr>
            </w:pPr>
            <w:r w:rsidRPr="006070EA">
              <w:rPr>
                <w:rFonts w:asciiTheme="majorHAnsi" w:hAnsiTheme="majorHAnsi" w:cstheme="majorHAnsi"/>
                <w:b/>
                <w:lang w:val="cs-CZ"/>
              </w:rPr>
              <w:t>obec</w:t>
            </w:r>
          </w:p>
        </w:tc>
        <w:tc>
          <w:tcPr>
            <w:tcW w:w="3001" w:type="dxa"/>
            <w:tcBorders>
              <w:top w:val="nil"/>
              <w:bottom w:val="single" w:sz="12" w:space="0" w:color="auto"/>
              <w:right w:val="single" w:sz="12" w:space="0" w:color="auto"/>
            </w:tcBorders>
            <w:vAlign w:val="center"/>
          </w:tcPr>
          <w:p w14:paraId="68DF6270" w14:textId="77777777" w:rsidR="005968E7" w:rsidRPr="006070EA" w:rsidRDefault="005968E7" w:rsidP="00F8065C">
            <w:pPr>
              <w:pStyle w:val="Bezmezer"/>
              <w:keepNext/>
              <w:rPr>
                <w:rFonts w:asciiTheme="majorHAnsi" w:hAnsiTheme="majorHAnsi" w:cstheme="majorHAnsi"/>
                <w:b/>
                <w:lang w:val="cs-CZ"/>
              </w:rPr>
            </w:pPr>
            <w:r w:rsidRPr="006070EA">
              <w:rPr>
                <w:rFonts w:asciiTheme="majorHAnsi" w:hAnsiTheme="majorHAnsi" w:cstheme="majorHAnsi"/>
                <w:b/>
                <w:lang w:val="cs-CZ"/>
              </w:rPr>
              <w:t>k. ú.</w:t>
            </w:r>
          </w:p>
        </w:tc>
        <w:tc>
          <w:tcPr>
            <w:tcW w:w="1101" w:type="dxa"/>
            <w:tcBorders>
              <w:top w:val="nil"/>
              <w:left w:val="single" w:sz="12" w:space="0" w:color="auto"/>
              <w:bottom w:val="single" w:sz="12" w:space="0" w:color="auto"/>
              <w:right w:val="nil"/>
            </w:tcBorders>
            <w:vAlign w:val="center"/>
          </w:tcPr>
          <w:p w14:paraId="5CD05028" w14:textId="77777777" w:rsidR="005968E7" w:rsidRPr="006070EA" w:rsidRDefault="005968E7" w:rsidP="00F8065C">
            <w:pPr>
              <w:pStyle w:val="Bezmezer"/>
              <w:keepNext/>
              <w:rPr>
                <w:rFonts w:asciiTheme="majorHAnsi" w:hAnsiTheme="majorHAnsi" w:cstheme="majorHAnsi"/>
                <w:b/>
                <w:lang w:val="cs-CZ"/>
              </w:rPr>
            </w:pPr>
            <w:r w:rsidRPr="006070EA">
              <w:rPr>
                <w:rFonts w:asciiTheme="majorHAnsi" w:hAnsiTheme="majorHAnsi" w:cstheme="majorHAnsi"/>
                <w:b/>
                <w:lang w:val="cs-CZ"/>
              </w:rPr>
              <w:t>kraj</w:t>
            </w:r>
          </w:p>
        </w:tc>
      </w:tr>
      <w:tr w:rsidR="005968E7" w:rsidRPr="006070EA" w14:paraId="3A019B8C" w14:textId="77777777" w:rsidTr="00F8065C">
        <w:trPr>
          <w:trHeight w:val="283"/>
          <w:jc w:val="center"/>
        </w:trPr>
        <w:tc>
          <w:tcPr>
            <w:tcW w:w="1446" w:type="dxa"/>
            <w:tcBorders>
              <w:top w:val="single" w:sz="12" w:space="0" w:color="auto"/>
              <w:bottom w:val="single" w:sz="4" w:space="0" w:color="auto"/>
              <w:right w:val="single" w:sz="4" w:space="0" w:color="auto"/>
            </w:tcBorders>
            <w:vAlign w:val="center"/>
          </w:tcPr>
          <w:p w14:paraId="19CD1D3A" w14:textId="77777777" w:rsidR="005968E7" w:rsidRPr="006070EA" w:rsidRDefault="005968E7" w:rsidP="00F8065C">
            <w:pPr>
              <w:pStyle w:val="Bezmezer"/>
              <w:rPr>
                <w:rFonts w:asciiTheme="majorHAnsi" w:hAnsiTheme="majorHAnsi" w:cstheme="majorHAnsi"/>
                <w:b/>
                <w:color w:val="000000"/>
                <w:lang w:val="cs-CZ"/>
              </w:rPr>
            </w:pPr>
            <w:r w:rsidRPr="006070EA">
              <w:rPr>
                <w:rFonts w:asciiTheme="majorHAnsi" w:hAnsiTheme="majorHAnsi" w:cstheme="majorHAnsi"/>
                <w:b/>
                <w:color w:val="000000"/>
                <w:lang w:val="cs-CZ"/>
              </w:rPr>
              <w:t>Čilec</w:t>
            </w:r>
          </w:p>
        </w:tc>
        <w:tc>
          <w:tcPr>
            <w:tcW w:w="3001" w:type="dxa"/>
            <w:tcBorders>
              <w:top w:val="single" w:sz="12" w:space="0" w:color="auto"/>
              <w:bottom w:val="single" w:sz="4" w:space="0" w:color="auto"/>
              <w:right w:val="single" w:sz="4" w:space="0" w:color="auto"/>
            </w:tcBorders>
            <w:vAlign w:val="center"/>
          </w:tcPr>
          <w:p w14:paraId="6CE6F75C" w14:textId="77777777" w:rsidR="005968E7" w:rsidRPr="006070EA" w:rsidRDefault="005968E7" w:rsidP="00F8065C">
            <w:pPr>
              <w:pStyle w:val="Bezmezer"/>
              <w:rPr>
                <w:rFonts w:asciiTheme="majorHAnsi" w:hAnsiTheme="majorHAnsi" w:cstheme="majorHAnsi"/>
                <w:color w:val="000000"/>
                <w:lang w:val="cs-CZ"/>
              </w:rPr>
            </w:pPr>
            <w:r w:rsidRPr="006070EA">
              <w:rPr>
                <w:rFonts w:asciiTheme="majorHAnsi" w:hAnsiTheme="majorHAnsi" w:cstheme="majorHAnsi"/>
                <w:color w:val="000000"/>
                <w:lang w:val="cs-CZ"/>
              </w:rPr>
              <w:t>Čilec</w:t>
            </w:r>
          </w:p>
        </w:tc>
        <w:tc>
          <w:tcPr>
            <w:tcW w:w="1101" w:type="dxa"/>
            <w:tcBorders>
              <w:top w:val="single" w:sz="12" w:space="0" w:color="auto"/>
              <w:left w:val="single" w:sz="4" w:space="0" w:color="auto"/>
              <w:bottom w:val="single" w:sz="4" w:space="0" w:color="auto"/>
              <w:right w:val="nil"/>
            </w:tcBorders>
            <w:vAlign w:val="center"/>
          </w:tcPr>
          <w:p w14:paraId="73AC7496" w14:textId="77777777" w:rsidR="005968E7" w:rsidRPr="006070EA" w:rsidRDefault="005968E7" w:rsidP="00F8065C">
            <w:pPr>
              <w:pStyle w:val="Bezmezer"/>
              <w:rPr>
                <w:rFonts w:asciiTheme="majorHAnsi" w:hAnsiTheme="majorHAnsi" w:cstheme="majorHAnsi"/>
                <w:color w:val="000000"/>
                <w:lang w:val="cs-CZ"/>
              </w:rPr>
            </w:pPr>
            <w:r w:rsidRPr="006070EA">
              <w:rPr>
                <w:rFonts w:asciiTheme="majorHAnsi" w:hAnsiTheme="majorHAnsi" w:cstheme="majorHAnsi"/>
                <w:color w:val="000000"/>
                <w:lang w:val="cs-CZ"/>
              </w:rPr>
              <w:t>Středočeský</w:t>
            </w:r>
          </w:p>
        </w:tc>
      </w:tr>
      <w:tr w:rsidR="005968E7" w:rsidRPr="006070EA" w14:paraId="763C7517" w14:textId="77777777" w:rsidTr="00F8065C">
        <w:trPr>
          <w:trHeight w:val="283"/>
          <w:jc w:val="center"/>
        </w:trPr>
        <w:tc>
          <w:tcPr>
            <w:tcW w:w="1446" w:type="dxa"/>
            <w:tcBorders>
              <w:top w:val="single" w:sz="4" w:space="0" w:color="auto"/>
              <w:bottom w:val="single" w:sz="4" w:space="0" w:color="auto"/>
              <w:right w:val="single" w:sz="4" w:space="0" w:color="auto"/>
            </w:tcBorders>
            <w:vAlign w:val="center"/>
          </w:tcPr>
          <w:p w14:paraId="6AB929D7" w14:textId="77777777" w:rsidR="005968E7" w:rsidRPr="006070EA" w:rsidRDefault="005968E7" w:rsidP="00F8065C">
            <w:pPr>
              <w:pStyle w:val="Bezmezer"/>
              <w:rPr>
                <w:rFonts w:asciiTheme="majorHAnsi" w:hAnsiTheme="majorHAnsi" w:cstheme="majorHAnsi"/>
                <w:b/>
                <w:color w:val="000000"/>
                <w:lang w:val="cs-CZ"/>
              </w:rPr>
            </w:pPr>
            <w:r w:rsidRPr="006070EA">
              <w:rPr>
                <w:rFonts w:asciiTheme="majorHAnsi" w:hAnsiTheme="majorHAnsi" w:cstheme="majorHAnsi"/>
                <w:b/>
                <w:color w:val="000000"/>
                <w:lang w:val="cs-CZ"/>
              </w:rPr>
              <w:t>Hradištko</w:t>
            </w:r>
          </w:p>
        </w:tc>
        <w:tc>
          <w:tcPr>
            <w:tcW w:w="3001" w:type="dxa"/>
            <w:tcBorders>
              <w:top w:val="single" w:sz="4" w:space="0" w:color="auto"/>
              <w:bottom w:val="single" w:sz="4" w:space="0" w:color="auto"/>
              <w:right w:val="single" w:sz="4" w:space="0" w:color="auto"/>
            </w:tcBorders>
            <w:vAlign w:val="center"/>
          </w:tcPr>
          <w:p w14:paraId="5C871118" w14:textId="77777777" w:rsidR="005968E7" w:rsidRPr="006070EA" w:rsidRDefault="005968E7" w:rsidP="00F8065C">
            <w:pPr>
              <w:pStyle w:val="Bezmezer"/>
              <w:rPr>
                <w:rFonts w:asciiTheme="majorHAnsi" w:hAnsiTheme="majorHAnsi" w:cstheme="majorHAnsi"/>
                <w:color w:val="000000"/>
                <w:lang w:val="cs-CZ"/>
              </w:rPr>
            </w:pPr>
            <w:r w:rsidRPr="006070EA">
              <w:rPr>
                <w:rFonts w:asciiTheme="majorHAnsi" w:hAnsiTheme="majorHAnsi" w:cstheme="majorHAnsi"/>
                <w:color w:val="000000"/>
                <w:lang w:val="cs-CZ"/>
              </w:rPr>
              <w:t>Hradištko</w:t>
            </w:r>
          </w:p>
          <w:p w14:paraId="44A7A674" w14:textId="77777777" w:rsidR="005968E7" w:rsidRPr="006070EA" w:rsidRDefault="005968E7" w:rsidP="00F8065C">
            <w:pPr>
              <w:pStyle w:val="Bezmezer"/>
              <w:rPr>
                <w:rFonts w:asciiTheme="majorHAnsi" w:hAnsiTheme="majorHAnsi" w:cstheme="majorHAnsi"/>
                <w:color w:val="000000"/>
                <w:lang w:val="cs-CZ"/>
              </w:rPr>
            </w:pPr>
            <w:r w:rsidRPr="006070EA">
              <w:rPr>
                <w:rFonts w:asciiTheme="majorHAnsi" w:hAnsiTheme="majorHAnsi" w:cstheme="majorHAnsi"/>
                <w:color w:val="000000"/>
                <w:lang w:val="cs-CZ"/>
              </w:rPr>
              <w:t>Kersko</w:t>
            </w:r>
          </w:p>
        </w:tc>
        <w:tc>
          <w:tcPr>
            <w:tcW w:w="1101" w:type="dxa"/>
            <w:tcBorders>
              <w:top w:val="single" w:sz="4" w:space="0" w:color="auto"/>
              <w:left w:val="single" w:sz="4" w:space="0" w:color="auto"/>
              <w:bottom w:val="single" w:sz="4" w:space="0" w:color="auto"/>
              <w:right w:val="nil"/>
            </w:tcBorders>
            <w:vAlign w:val="center"/>
          </w:tcPr>
          <w:p w14:paraId="6EA976B8" w14:textId="77777777" w:rsidR="005968E7" w:rsidRPr="006070EA" w:rsidRDefault="005968E7" w:rsidP="00F8065C">
            <w:pPr>
              <w:pStyle w:val="Bezmezer"/>
              <w:rPr>
                <w:rFonts w:asciiTheme="majorHAnsi" w:hAnsiTheme="majorHAnsi" w:cstheme="majorHAnsi"/>
                <w:color w:val="000000"/>
                <w:lang w:val="cs-CZ"/>
              </w:rPr>
            </w:pPr>
            <w:r w:rsidRPr="006070EA">
              <w:rPr>
                <w:rFonts w:asciiTheme="majorHAnsi" w:hAnsiTheme="majorHAnsi" w:cstheme="majorHAnsi"/>
                <w:color w:val="000000"/>
                <w:lang w:val="cs-CZ"/>
              </w:rPr>
              <w:t>Středočeský</w:t>
            </w:r>
          </w:p>
        </w:tc>
      </w:tr>
      <w:tr w:rsidR="005968E7" w:rsidRPr="006070EA" w14:paraId="18289584" w14:textId="77777777" w:rsidTr="00F8065C">
        <w:trPr>
          <w:trHeight w:val="283"/>
          <w:jc w:val="center"/>
        </w:trPr>
        <w:tc>
          <w:tcPr>
            <w:tcW w:w="1446" w:type="dxa"/>
            <w:tcBorders>
              <w:top w:val="single" w:sz="4" w:space="0" w:color="auto"/>
              <w:bottom w:val="single" w:sz="4" w:space="0" w:color="auto"/>
              <w:right w:val="single" w:sz="4" w:space="0" w:color="auto"/>
            </w:tcBorders>
            <w:vAlign w:val="center"/>
          </w:tcPr>
          <w:p w14:paraId="0864E420" w14:textId="77777777" w:rsidR="005968E7" w:rsidRPr="006070EA" w:rsidRDefault="005968E7" w:rsidP="00F8065C">
            <w:pPr>
              <w:pStyle w:val="Bezmezer"/>
              <w:rPr>
                <w:rFonts w:asciiTheme="majorHAnsi" w:hAnsiTheme="majorHAnsi" w:cstheme="majorHAnsi"/>
                <w:b/>
                <w:color w:val="000000"/>
                <w:lang w:val="cs-CZ"/>
              </w:rPr>
            </w:pPr>
            <w:r w:rsidRPr="006070EA">
              <w:rPr>
                <w:rFonts w:asciiTheme="majorHAnsi" w:hAnsiTheme="majorHAnsi" w:cstheme="majorHAnsi"/>
                <w:b/>
                <w:color w:val="000000"/>
                <w:lang w:val="cs-CZ"/>
              </w:rPr>
              <w:t>Kamenné Zboží</w:t>
            </w:r>
          </w:p>
        </w:tc>
        <w:tc>
          <w:tcPr>
            <w:tcW w:w="3001" w:type="dxa"/>
            <w:tcBorders>
              <w:top w:val="single" w:sz="4" w:space="0" w:color="auto"/>
              <w:bottom w:val="single" w:sz="4" w:space="0" w:color="auto"/>
              <w:right w:val="single" w:sz="4" w:space="0" w:color="auto"/>
            </w:tcBorders>
            <w:vAlign w:val="center"/>
          </w:tcPr>
          <w:p w14:paraId="21906157" w14:textId="77777777" w:rsidR="005968E7" w:rsidRPr="006070EA" w:rsidRDefault="005968E7" w:rsidP="00F8065C">
            <w:pPr>
              <w:pStyle w:val="Bezmezer"/>
              <w:rPr>
                <w:rFonts w:asciiTheme="majorHAnsi" w:hAnsiTheme="majorHAnsi" w:cstheme="majorHAnsi"/>
                <w:color w:val="000000"/>
                <w:lang w:val="cs-CZ"/>
              </w:rPr>
            </w:pPr>
            <w:r w:rsidRPr="006070EA">
              <w:rPr>
                <w:rFonts w:asciiTheme="majorHAnsi" w:hAnsiTheme="majorHAnsi" w:cstheme="majorHAnsi"/>
                <w:color w:val="000000"/>
                <w:lang w:val="cs-CZ"/>
              </w:rPr>
              <w:t>Kamenné Zboží</w:t>
            </w:r>
          </w:p>
        </w:tc>
        <w:tc>
          <w:tcPr>
            <w:tcW w:w="1101" w:type="dxa"/>
            <w:tcBorders>
              <w:top w:val="single" w:sz="4" w:space="0" w:color="auto"/>
              <w:left w:val="single" w:sz="4" w:space="0" w:color="auto"/>
              <w:bottom w:val="single" w:sz="4" w:space="0" w:color="auto"/>
              <w:right w:val="nil"/>
            </w:tcBorders>
            <w:vAlign w:val="center"/>
          </w:tcPr>
          <w:p w14:paraId="3AF3058C" w14:textId="77777777" w:rsidR="005968E7" w:rsidRPr="006070EA" w:rsidRDefault="005968E7" w:rsidP="00F8065C">
            <w:pPr>
              <w:pStyle w:val="Bezmezer"/>
              <w:rPr>
                <w:rFonts w:asciiTheme="majorHAnsi" w:hAnsiTheme="majorHAnsi" w:cstheme="majorHAnsi"/>
                <w:color w:val="000000"/>
                <w:lang w:val="cs-CZ"/>
              </w:rPr>
            </w:pPr>
            <w:r w:rsidRPr="006070EA">
              <w:rPr>
                <w:rFonts w:asciiTheme="majorHAnsi" w:hAnsiTheme="majorHAnsi" w:cstheme="majorHAnsi"/>
                <w:color w:val="000000"/>
                <w:lang w:val="cs-CZ"/>
              </w:rPr>
              <w:t>Středočeský</w:t>
            </w:r>
          </w:p>
        </w:tc>
      </w:tr>
      <w:tr w:rsidR="005968E7" w:rsidRPr="006070EA" w14:paraId="110E5BEE" w14:textId="77777777" w:rsidTr="00F8065C">
        <w:trPr>
          <w:trHeight w:val="283"/>
          <w:jc w:val="center"/>
        </w:trPr>
        <w:tc>
          <w:tcPr>
            <w:tcW w:w="1446" w:type="dxa"/>
            <w:tcBorders>
              <w:top w:val="single" w:sz="4" w:space="0" w:color="auto"/>
              <w:bottom w:val="single" w:sz="4" w:space="0" w:color="auto"/>
              <w:right w:val="single" w:sz="4" w:space="0" w:color="auto"/>
            </w:tcBorders>
            <w:vAlign w:val="center"/>
          </w:tcPr>
          <w:p w14:paraId="67FCB1A2" w14:textId="77777777" w:rsidR="005968E7" w:rsidRPr="006070EA" w:rsidRDefault="005968E7" w:rsidP="00F8065C">
            <w:pPr>
              <w:pStyle w:val="Bezmezer"/>
              <w:rPr>
                <w:rFonts w:asciiTheme="majorHAnsi" w:hAnsiTheme="majorHAnsi" w:cstheme="majorHAnsi"/>
                <w:b/>
                <w:color w:val="000000"/>
                <w:lang w:val="cs-CZ"/>
              </w:rPr>
            </w:pPr>
            <w:r w:rsidRPr="006070EA">
              <w:rPr>
                <w:rFonts w:asciiTheme="majorHAnsi" w:hAnsiTheme="majorHAnsi" w:cstheme="majorHAnsi"/>
                <w:b/>
                <w:color w:val="000000"/>
                <w:lang w:val="cs-CZ"/>
              </w:rPr>
              <w:t>Kostomlátky</w:t>
            </w:r>
          </w:p>
        </w:tc>
        <w:tc>
          <w:tcPr>
            <w:tcW w:w="3001" w:type="dxa"/>
            <w:tcBorders>
              <w:top w:val="single" w:sz="4" w:space="0" w:color="auto"/>
              <w:bottom w:val="single" w:sz="4" w:space="0" w:color="auto"/>
              <w:right w:val="single" w:sz="4" w:space="0" w:color="auto"/>
            </w:tcBorders>
            <w:vAlign w:val="center"/>
          </w:tcPr>
          <w:p w14:paraId="64377508" w14:textId="77777777" w:rsidR="005968E7" w:rsidRPr="006070EA" w:rsidRDefault="005968E7" w:rsidP="00F8065C">
            <w:pPr>
              <w:pStyle w:val="Bezmezer"/>
              <w:rPr>
                <w:rFonts w:asciiTheme="majorHAnsi" w:hAnsiTheme="majorHAnsi" w:cstheme="majorHAnsi"/>
                <w:color w:val="000000"/>
                <w:lang w:val="cs-CZ"/>
              </w:rPr>
            </w:pPr>
            <w:r w:rsidRPr="006070EA">
              <w:rPr>
                <w:rFonts w:asciiTheme="majorHAnsi" w:hAnsiTheme="majorHAnsi" w:cstheme="majorHAnsi"/>
                <w:color w:val="000000"/>
                <w:lang w:val="cs-CZ"/>
              </w:rPr>
              <w:t>Kostomlátky</w:t>
            </w:r>
          </w:p>
          <w:p w14:paraId="3E91A44D" w14:textId="77777777" w:rsidR="005968E7" w:rsidRPr="006070EA" w:rsidRDefault="005968E7" w:rsidP="00F8065C">
            <w:pPr>
              <w:pStyle w:val="Bezmezer"/>
              <w:rPr>
                <w:rFonts w:asciiTheme="majorHAnsi" w:hAnsiTheme="majorHAnsi" w:cstheme="majorHAnsi"/>
                <w:color w:val="000000"/>
                <w:lang w:val="cs-CZ"/>
              </w:rPr>
            </w:pPr>
            <w:r w:rsidRPr="006070EA">
              <w:rPr>
                <w:rFonts w:asciiTheme="majorHAnsi" w:hAnsiTheme="majorHAnsi" w:cstheme="majorHAnsi"/>
                <w:color w:val="000000"/>
                <w:lang w:val="cs-CZ"/>
              </w:rPr>
              <w:t>Doubrava</w:t>
            </w:r>
          </w:p>
        </w:tc>
        <w:tc>
          <w:tcPr>
            <w:tcW w:w="1101" w:type="dxa"/>
            <w:tcBorders>
              <w:top w:val="single" w:sz="4" w:space="0" w:color="auto"/>
              <w:left w:val="single" w:sz="4" w:space="0" w:color="auto"/>
              <w:bottom w:val="single" w:sz="4" w:space="0" w:color="auto"/>
              <w:right w:val="nil"/>
            </w:tcBorders>
            <w:vAlign w:val="center"/>
          </w:tcPr>
          <w:p w14:paraId="7458E321" w14:textId="77777777" w:rsidR="005968E7" w:rsidRPr="006070EA" w:rsidRDefault="005968E7" w:rsidP="00F8065C">
            <w:pPr>
              <w:pStyle w:val="Bezmezer"/>
              <w:rPr>
                <w:rFonts w:asciiTheme="majorHAnsi" w:hAnsiTheme="majorHAnsi" w:cstheme="majorHAnsi"/>
                <w:color w:val="000000"/>
                <w:lang w:val="cs-CZ"/>
              </w:rPr>
            </w:pPr>
            <w:r w:rsidRPr="006070EA">
              <w:rPr>
                <w:rFonts w:asciiTheme="majorHAnsi" w:hAnsiTheme="majorHAnsi" w:cstheme="majorHAnsi"/>
                <w:color w:val="000000"/>
                <w:lang w:val="cs-CZ"/>
              </w:rPr>
              <w:t>Středočeský</w:t>
            </w:r>
          </w:p>
        </w:tc>
      </w:tr>
      <w:tr w:rsidR="005968E7" w:rsidRPr="006070EA" w14:paraId="5F073E1E" w14:textId="77777777" w:rsidTr="00F8065C">
        <w:trPr>
          <w:trHeight w:val="283"/>
          <w:jc w:val="center"/>
        </w:trPr>
        <w:tc>
          <w:tcPr>
            <w:tcW w:w="1446" w:type="dxa"/>
            <w:tcBorders>
              <w:top w:val="single" w:sz="4" w:space="0" w:color="auto"/>
              <w:bottom w:val="single" w:sz="4" w:space="0" w:color="auto"/>
              <w:right w:val="single" w:sz="4" w:space="0" w:color="auto"/>
            </w:tcBorders>
            <w:vAlign w:val="center"/>
          </w:tcPr>
          <w:p w14:paraId="6EE98583" w14:textId="77777777" w:rsidR="005968E7" w:rsidRPr="006070EA" w:rsidRDefault="005968E7" w:rsidP="00F8065C">
            <w:pPr>
              <w:pStyle w:val="Bezmezer"/>
              <w:rPr>
                <w:rFonts w:asciiTheme="majorHAnsi" w:hAnsiTheme="majorHAnsi" w:cstheme="majorHAnsi"/>
                <w:b/>
                <w:color w:val="000000"/>
                <w:lang w:val="cs-CZ"/>
              </w:rPr>
            </w:pPr>
            <w:r w:rsidRPr="006070EA">
              <w:rPr>
                <w:rFonts w:asciiTheme="majorHAnsi" w:hAnsiTheme="majorHAnsi" w:cstheme="majorHAnsi"/>
                <w:b/>
                <w:color w:val="000000"/>
                <w:lang w:val="cs-CZ"/>
              </w:rPr>
              <w:t>Milovice</w:t>
            </w:r>
          </w:p>
        </w:tc>
        <w:tc>
          <w:tcPr>
            <w:tcW w:w="3001" w:type="dxa"/>
            <w:tcBorders>
              <w:top w:val="single" w:sz="4" w:space="0" w:color="auto"/>
              <w:bottom w:val="single" w:sz="4" w:space="0" w:color="auto"/>
              <w:right w:val="single" w:sz="4" w:space="0" w:color="auto"/>
            </w:tcBorders>
            <w:vAlign w:val="center"/>
          </w:tcPr>
          <w:p w14:paraId="0FB3DA72" w14:textId="77777777" w:rsidR="005968E7" w:rsidRPr="006070EA" w:rsidRDefault="005968E7" w:rsidP="00F8065C">
            <w:pPr>
              <w:pStyle w:val="Bezmezer"/>
              <w:rPr>
                <w:rFonts w:asciiTheme="majorHAnsi" w:hAnsiTheme="majorHAnsi" w:cstheme="majorHAnsi"/>
                <w:color w:val="000000"/>
                <w:lang w:val="cs-CZ"/>
              </w:rPr>
            </w:pPr>
            <w:r w:rsidRPr="006070EA">
              <w:rPr>
                <w:rFonts w:asciiTheme="majorHAnsi" w:hAnsiTheme="majorHAnsi" w:cstheme="majorHAnsi"/>
                <w:color w:val="000000"/>
                <w:lang w:val="cs-CZ"/>
              </w:rPr>
              <w:t>Benátecká Vrutice</w:t>
            </w:r>
          </w:p>
          <w:p w14:paraId="01CFF19A" w14:textId="77777777" w:rsidR="005968E7" w:rsidRPr="006070EA" w:rsidRDefault="005968E7" w:rsidP="00F8065C">
            <w:pPr>
              <w:pStyle w:val="Bezmezer"/>
              <w:rPr>
                <w:rFonts w:asciiTheme="majorHAnsi" w:hAnsiTheme="majorHAnsi" w:cstheme="majorHAnsi"/>
                <w:color w:val="000000"/>
                <w:lang w:val="cs-CZ"/>
              </w:rPr>
            </w:pPr>
            <w:r w:rsidRPr="006070EA">
              <w:rPr>
                <w:rFonts w:asciiTheme="majorHAnsi" w:hAnsiTheme="majorHAnsi" w:cstheme="majorHAnsi"/>
                <w:color w:val="000000"/>
                <w:lang w:val="cs-CZ"/>
              </w:rPr>
              <w:t>Boží Dar</w:t>
            </w:r>
          </w:p>
          <w:p w14:paraId="21745E8A" w14:textId="77777777" w:rsidR="005968E7" w:rsidRPr="006070EA" w:rsidRDefault="005968E7" w:rsidP="00F8065C">
            <w:pPr>
              <w:pStyle w:val="Bezmezer"/>
              <w:rPr>
                <w:rFonts w:asciiTheme="majorHAnsi" w:hAnsiTheme="majorHAnsi" w:cstheme="majorHAnsi"/>
                <w:color w:val="000000"/>
                <w:lang w:val="cs-CZ"/>
              </w:rPr>
            </w:pPr>
            <w:r w:rsidRPr="006070EA">
              <w:rPr>
                <w:rFonts w:asciiTheme="majorHAnsi" w:hAnsiTheme="majorHAnsi" w:cstheme="majorHAnsi"/>
                <w:color w:val="000000"/>
                <w:lang w:val="cs-CZ"/>
              </w:rPr>
              <w:t>Milovice</w:t>
            </w:r>
          </w:p>
          <w:p w14:paraId="085B9374" w14:textId="77777777" w:rsidR="005968E7" w:rsidRPr="006070EA" w:rsidRDefault="005968E7" w:rsidP="00F8065C">
            <w:pPr>
              <w:pStyle w:val="Bezmezer"/>
              <w:rPr>
                <w:rFonts w:asciiTheme="majorHAnsi" w:hAnsiTheme="majorHAnsi" w:cstheme="majorHAnsi"/>
                <w:color w:val="000000"/>
                <w:lang w:val="cs-CZ"/>
              </w:rPr>
            </w:pPr>
            <w:r w:rsidRPr="006070EA">
              <w:rPr>
                <w:rFonts w:asciiTheme="majorHAnsi" w:hAnsiTheme="majorHAnsi" w:cstheme="majorHAnsi"/>
                <w:color w:val="000000"/>
                <w:lang w:val="cs-CZ"/>
              </w:rPr>
              <w:t>Mladá I</w:t>
            </w:r>
          </w:p>
          <w:p w14:paraId="3C347FEA" w14:textId="77777777" w:rsidR="005968E7" w:rsidRPr="006070EA" w:rsidRDefault="005968E7" w:rsidP="00F8065C">
            <w:pPr>
              <w:pStyle w:val="Bezmezer"/>
              <w:rPr>
                <w:rFonts w:asciiTheme="majorHAnsi" w:hAnsiTheme="majorHAnsi" w:cstheme="majorHAnsi"/>
                <w:color w:val="000000"/>
                <w:lang w:val="cs-CZ"/>
              </w:rPr>
            </w:pPr>
            <w:r w:rsidRPr="006070EA">
              <w:rPr>
                <w:rFonts w:asciiTheme="majorHAnsi" w:hAnsiTheme="majorHAnsi" w:cstheme="majorHAnsi"/>
                <w:color w:val="000000"/>
                <w:lang w:val="cs-CZ"/>
              </w:rPr>
              <w:t>Mladá II</w:t>
            </w:r>
          </w:p>
        </w:tc>
        <w:tc>
          <w:tcPr>
            <w:tcW w:w="1101" w:type="dxa"/>
            <w:tcBorders>
              <w:top w:val="single" w:sz="4" w:space="0" w:color="auto"/>
              <w:left w:val="single" w:sz="4" w:space="0" w:color="auto"/>
              <w:bottom w:val="single" w:sz="4" w:space="0" w:color="auto"/>
              <w:right w:val="nil"/>
            </w:tcBorders>
            <w:vAlign w:val="center"/>
          </w:tcPr>
          <w:p w14:paraId="451C0561" w14:textId="77777777" w:rsidR="005968E7" w:rsidRPr="006070EA" w:rsidRDefault="005968E7" w:rsidP="00F8065C">
            <w:pPr>
              <w:pStyle w:val="Bezmezer"/>
              <w:rPr>
                <w:rFonts w:asciiTheme="majorHAnsi" w:hAnsiTheme="majorHAnsi" w:cstheme="majorHAnsi"/>
                <w:color w:val="000000"/>
                <w:lang w:val="cs-CZ"/>
              </w:rPr>
            </w:pPr>
            <w:r w:rsidRPr="006070EA">
              <w:rPr>
                <w:rFonts w:asciiTheme="majorHAnsi" w:hAnsiTheme="majorHAnsi" w:cstheme="majorHAnsi"/>
                <w:color w:val="000000"/>
                <w:lang w:val="cs-CZ"/>
              </w:rPr>
              <w:t>Středočeský</w:t>
            </w:r>
          </w:p>
        </w:tc>
      </w:tr>
      <w:tr w:rsidR="005968E7" w:rsidRPr="006070EA" w14:paraId="7FDA9A78" w14:textId="77777777" w:rsidTr="00F8065C">
        <w:trPr>
          <w:trHeight w:val="283"/>
          <w:jc w:val="center"/>
        </w:trPr>
        <w:tc>
          <w:tcPr>
            <w:tcW w:w="1446" w:type="dxa"/>
            <w:tcBorders>
              <w:top w:val="single" w:sz="4" w:space="0" w:color="auto"/>
              <w:bottom w:val="single" w:sz="4" w:space="0" w:color="auto"/>
              <w:right w:val="single" w:sz="4" w:space="0" w:color="auto"/>
            </w:tcBorders>
            <w:vAlign w:val="center"/>
          </w:tcPr>
          <w:p w14:paraId="33E6E39C" w14:textId="77777777" w:rsidR="005968E7" w:rsidRPr="006070EA" w:rsidRDefault="005968E7" w:rsidP="00F8065C">
            <w:pPr>
              <w:pStyle w:val="Bezmezer"/>
              <w:rPr>
                <w:rFonts w:asciiTheme="majorHAnsi" w:hAnsiTheme="majorHAnsi" w:cstheme="majorHAnsi"/>
                <w:b/>
                <w:color w:val="000000"/>
                <w:lang w:val="cs-CZ"/>
              </w:rPr>
            </w:pPr>
            <w:r w:rsidRPr="006070EA">
              <w:rPr>
                <w:rFonts w:asciiTheme="majorHAnsi" w:hAnsiTheme="majorHAnsi" w:cstheme="majorHAnsi"/>
                <w:b/>
                <w:color w:val="000000"/>
                <w:lang w:val="cs-CZ"/>
              </w:rPr>
              <w:t>Ostrá</w:t>
            </w:r>
          </w:p>
        </w:tc>
        <w:tc>
          <w:tcPr>
            <w:tcW w:w="3001" w:type="dxa"/>
            <w:tcBorders>
              <w:top w:val="single" w:sz="4" w:space="0" w:color="auto"/>
              <w:bottom w:val="single" w:sz="4" w:space="0" w:color="auto"/>
              <w:right w:val="single" w:sz="4" w:space="0" w:color="auto"/>
            </w:tcBorders>
            <w:vAlign w:val="center"/>
          </w:tcPr>
          <w:p w14:paraId="3BB6A1ED" w14:textId="77777777" w:rsidR="005968E7" w:rsidRPr="006070EA" w:rsidRDefault="005968E7" w:rsidP="00F8065C">
            <w:pPr>
              <w:pStyle w:val="Bezmezer"/>
              <w:rPr>
                <w:rFonts w:asciiTheme="majorHAnsi" w:hAnsiTheme="majorHAnsi" w:cstheme="majorHAnsi"/>
                <w:color w:val="000000"/>
                <w:lang w:val="cs-CZ"/>
              </w:rPr>
            </w:pPr>
            <w:r w:rsidRPr="006070EA">
              <w:rPr>
                <w:rFonts w:asciiTheme="majorHAnsi" w:hAnsiTheme="majorHAnsi" w:cstheme="majorHAnsi"/>
                <w:color w:val="000000"/>
                <w:lang w:val="cs-CZ"/>
              </w:rPr>
              <w:t>Ostrá, Šnepov</w:t>
            </w:r>
          </w:p>
        </w:tc>
        <w:tc>
          <w:tcPr>
            <w:tcW w:w="1101" w:type="dxa"/>
            <w:tcBorders>
              <w:top w:val="single" w:sz="4" w:space="0" w:color="auto"/>
              <w:left w:val="single" w:sz="4" w:space="0" w:color="auto"/>
              <w:bottom w:val="single" w:sz="4" w:space="0" w:color="auto"/>
              <w:right w:val="nil"/>
            </w:tcBorders>
            <w:vAlign w:val="center"/>
          </w:tcPr>
          <w:p w14:paraId="686EDB29" w14:textId="77777777" w:rsidR="005968E7" w:rsidRPr="006070EA" w:rsidRDefault="005968E7" w:rsidP="00F8065C">
            <w:pPr>
              <w:pStyle w:val="Bezmezer"/>
              <w:rPr>
                <w:rFonts w:asciiTheme="majorHAnsi" w:hAnsiTheme="majorHAnsi" w:cstheme="majorHAnsi"/>
                <w:color w:val="000000"/>
                <w:lang w:val="cs-CZ"/>
              </w:rPr>
            </w:pPr>
            <w:r w:rsidRPr="006070EA">
              <w:rPr>
                <w:rFonts w:asciiTheme="majorHAnsi" w:hAnsiTheme="majorHAnsi" w:cstheme="majorHAnsi"/>
                <w:color w:val="000000"/>
                <w:lang w:val="cs-CZ"/>
              </w:rPr>
              <w:t>Středočeský</w:t>
            </w:r>
          </w:p>
        </w:tc>
      </w:tr>
      <w:tr w:rsidR="005968E7" w:rsidRPr="006070EA" w14:paraId="0D17BC4D" w14:textId="77777777" w:rsidTr="005968E7">
        <w:trPr>
          <w:trHeight w:val="283"/>
          <w:jc w:val="center"/>
        </w:trPr>
        <w:tc>
          <w:tcPr>
            <w:tcW w:w="1446" w:type="dxa"/>
            <w:tcBorders>
              <w:top w:val="single" w:sz="4" w:space="0" w:color="auto"/>
              <w:bottom w:val="single" w:sz="4" w:space="0" w:color="auto"/>
              <w:right w:val="single" w:sz="4" w:space="0" w:color="auto"/>
            </w:tcBorders>
            <w:vAlign w:val="center"/>
          </w:tcPr>
          <w:p w14:paraId="0064E0FD" w14:textId="77777777" w:rsidR="005968E7" w:rsidRPr="006070EA" w:rsidRDefault="005968E7" w:rsidP="00F8065C">
            <w:pPr>
              <w:pStyle w:val="Bezmezer"/>
              <w:rPr>
                <w:rFonts w:asciiTheme="majorHAnsi" w:hAnsiTheme="majorHAnsi" w:cstheme="majorHAnsi"/>
                <w:b/>
                <w:color w:val="000000"/>
                <w:lang w:val="cs-CZ"/>
              </w:rPr>
            </w:pPr>
            <w:r w:rsidRPr="006070EA">
              <w:rPr>
                <w:rFonts w:asciiTheme="majorHAnsi" w:hAnsiTheme="majorHAnsi" w:cstheme="majorHAnsi"/>
                <w:b/>
                <w:color w:val="000000"/>
                <w:lang w:val="cs-CZ"/>
              </w:rPr>
              <w:t>Stratov</w:t>
            </w:r>
          </w:p>
        </w:tc>
        <w:tc>
          <w:tcPr>
            <w:tcW w:w="3001" w:type="dxa"/>
            <w:tcBorders>
              <w:top w:val="single" w:sz="4" w:space="0" w:color="auto"/>
              <w:bottom w:val="single" w:sz="4" w:space="0" w:color="auto"/>
              <w:right w:val="single" w:sz="4" w:space="0" w:color="auto"/>
            </w:tcBorders>
            <w:vAlign w:val="center"/>
          </w:tcPr>
          <w:p w14:paraId="3917F2E6" w14:textId="77777777" w:rsidR="005968E7" w:rsidRPr="006070EA" w:rsidRDefault="005968E7" w:rsidP="00F8065C">
            <w:pPr>
              <w:pStyle w:val="Bezmezer"/>
              <w:rPr>
                <w:rFonts w:asciiTheme="majorHAnsi" w:hAnsiTheme="majorHAnsi" w:cstheme="majorHAnsi"/>
                <w:color w:val="000000"/>
                <w:lang w:val="cs-CZ"/>
              </w:rPr>
            </w:pPr>
            <w:r w:rsidRPr="006070EA">
              <w:rPr>
                <w:rFonts w:asciiTheme="majorHAnsi" w:hAnsiTheme="majorHAnsi" w:cstheme="majorHAnsi"/>
                <w:color w:val="000000"/>
                <w:lang w:val="cs-CZ"/>
              </w:rPr>
              <w:t>Stratov</w:t>
            </w:r>
          </w:p>
        </w:tc>
        <w:tc>
          <w:tcPr>
            <w:tcW w:w="1101" w:type="dxa"/>
            <w:tcBorders>
              <w:top w:val="single" w:sz="4" w:space="0" w:color="auto"/>
              <w:left w:val="single" w:sz="4" w:space="0" w:color="auto"/>
              <w:bottom w:val="single" w:sz="4" w:space="0" w:color="auto"/>
              <w:right w:val="nil"/>
            </w:tcBorders>
            <w:vAlign w:val="center"/>
          </w:tcPr>
          <w:p w14:paraId="66CE22BE" w14:textId="77777777" w:rsidR="005968E7" w:rsidRPr="006070EA" w:rsidRDefault="005968E7" w:rsidP="00F8065C">
            <w:pPr>
              <w:pStyle w:val="Bezmezer"/>
              <w:rPr>
                <w:rFonts w:asciiTheme="majorHAnsi" w:hAnsiTheme="majorHAnsi" w:cstheme="majorHAnsi"/>
                <w:color w:val="000000"/>
                <w:lang w:val="cs-CZ"/>
              </w:rPr>
            </w:pPr>
            <w:r w:rsidRPr="006070EA">
              <w:rPr>
                <w:rFonts w:asciiTheme="majorHAnsi" w:hAnsiTheme="majorHAnsi" w:cstheme="majorHAnsi"/>
                <w:color w:val="000000"/>
                <w:lang w:val="cs-CZ"/>
              </w:rPr>
              <w:t>Středočeský</w:t>
            </w:r>
          </w:p>
        </w:tc>
      </w:tr>
      <w:tr w:rsidR="005968E7" w:rsidRPr="006070EA" w14:paraId="6EC2A822" w14:textId="77777777" w:rsidTr="005968E7">
        <w:trPr>
          <w:trHeight w:val="283"/>
          <w:jc w:val="center"/>
        </w:trPr>
        <w:tc>
          <w:tcPr>
            <w:tcW w:w="1446" w:type="dxa"/>
            <w:tcBorders>
              <w:top w:val="single" w:sz="4" w:space="0" w:color="auto"/>
              <w:bottom w:val="nil"/>
              <w:right w:val="single" w:sz="4" w:space="0" w:color="auto"/>
            </w:tcBorders>
            <w:vAlign w:val="center"/>
          </w:tcPr>
          <w:p w14:paraId="629F9150" w14:textId="77777777" w:rsidR="005968E7" w:rsidRPr="006070EA" w:rsidRDefault="005968E7" w:rsidP="00F8065C">
            <w:pPr>
              <w:pStyle w:val="Bezmezer"/>
              <w:rPr>
                <w:rFonts w:asciiTheme="majorHAnsi" w:hAnsiTheme="majorHAnsi" w:cstheme="majorHAnsi"/>
                <w:b/>
                <w:color w:val="000000"/>
                <w:lang w:val="cs-CZ"/>
              </w:rPr>
            </w:pPr>
            <w:r w:rsidRPr="006070EA">
              <w:rPr>
                <w:rFonts w:asciiTheme="majorHAnsi" w:hAnsiTheme="majorHAnsi" w:cstheme="majorHAnsi"/>
                <w:b/>
                <w:color w:val="000000"/>
                <w:lang w:val="cs-CZ"/>
              </w:rPr>
              <w:t>Zbožíčko</w:t>
            </w:r>
          </w:p>
        </w:tc>
        <w:tc>
          <w:tcPr>
            <w:tcW w:w="3001" w:type="dxa"/>
            <w:tcBorders>
              <w:top w:val="single" w:sz="4" w:space="0" w:color="auto"/>
              <w:bottom w:val="nil"/>
              <w:right w:val="single" w:sz="4" w:space="0" w:color="auto"/>
            </w:tcBorders>
            <w:vAlign w:val="center"/>
          </w:tcPr>
          <w:p w14:paraId="1E96A4DF" w14:textId="77777777" w:rsidR="005968E7" w:rsidRPr="006070EA" w:rsidRDefault="005968E7" w:rsidP="00F8065C">
            <w:pPr>
              <w:pStyle w:val="Bezmezer"/>
              <w:rPr>
                <w:rFonts w:asciiTheme="majorHAnsi" w:hAnsiTheme="majorHAnsi" w:cstheme="majorHAnsi"/>
                <w:color w:val="000000"/>
                <w:lang w:val="cs-CZ"/>
              </w:rPr>
            </w:pPr>
            <w:r w:rsidRPr="006070EA">
              <w:rPr>
                <w:rFonts w:asciiTheme="majorHAnsi" w:hAnsiTheme="majorHAnsi" w:cstheme="majorHAnsi"/>
                <w:color w:val="000000"/>
                <w:lang w:val="cs-CZ"/>
              </w:rPr>
              <w:t>Zbožíčko</w:t>
            </w:r>
          </w:p>
        </w:tc>
        <w:tc>
          <w:tcPr>
            <w:tcW w:w="1101" w:type="dxa"/>
            <w:tcBorders>
              <w:top w:val="single" w:sz="4" w:space="0" w:color="auto"/>
              <w:left w:val="single" w:sz="4" w:space="0" w:color="auto"/>
              <w:bottom w:val="nil"/>
              <w:right w:val="nil"/>
            </w:tcBorders>
            <w:vAlign w:val="center"/>
          </w:tcPr>
          <w:p w14:paraId="143FCDB0" w14:textId="77777777" w:rsidR="005968E7" w:rsidRPr="006070EA" w:rsidRDefault="005968E7" w:rsidP="00F8065C">
            <w:pPr>
              <w:pStyle w:val="Bezmezer"/>
              <w:rPr>
                <w:rFonts w:asciiTheme="majorHAnsi" w:hAnsiTheme="majorHAnsi" w:cstheme="majorHAnsi"/>
                <w:color w:val="000000"/>
                <w:lang w:val="cs-CZ"/>
              </w:rPr>
            </w:pPr>
            <w:r w:rsidRPr="006070EA">
              <w:rPr>
                <w:rFonts w:asciiTheme="majorHAnsi" w:hAnsiTheme="majorHAnsi" w:cstheme="majorHAnsi"/>
                <w:color w:val="000000"/>
                <w:lang w:val="cs-CZ"/>
              </w:rPr>
              <w:t>Středočeský</w:t>
            </w:r>
          </w:p>
        </w:tc>
      </w:tr>
    </w:tbl>
    <w:p w14:paraId="5EA3D476" w14:textId="29B7E0EF" w:rsidR="006064E3" w:rsidRPr="006070EA" w:rsidRDefault="006064E3" w:rsidP="006064E3">
      <w:pPr>
        <w:suppressAutoHyphens/>
        <w:spacing w:before="120" w:after="120" w:line="240" w:lineRule="auto"/>
        <w:ind w:firstLine="709"/>
        <w:jc w:val="both"/>
        <w:rPr>
          <w:rFonts w:asciiTheme="majorHAnsi" w:eastAsia="Times New Roman" w:hAnsiTheme="majorHAnsi" w:cstheme="majorHAnsi"/>
          <w:bCs/>
          <w:iCs/>
          <w:sz w:val="18"/>
          <w:szCs w:val="18"/>
          <w:lang w:eastAsia="ar-SA"/>
        </w:rPr>
      </w:pPr>
      <w:r w:rsidRPr="006070EA">
        <w:rPr>
          <w:rFonts w:asciiTheme="majorHAnsi" w:eastAsia="Times New Roman" w:hAnsiTheme="majorHAnsi" w:cstheme="majorHAnsi"/>
          <w:bCs/>
          <w:iCs/>
          <w:sz w:val="18"/>
          <w:szCs w:val="18"/>
          <w:lang w:eastAsia="ar-SA"/>
        </w:rPr>
        <w:t xml:space="preserve">Územní plán </w:t>
      </w:r>
      <w:r w:rsidR="005968E7" w:rsidRPr="006070EA">
        <w:rPr>
          <w:rFonts w:asciiTheme="majorHAnsi" w:eastAsia="Times New Roman" w:hAnsiTheme="majorHAnsi" w:cstheme="majorHAnsi"/>
          <w:bCs/>
          <w:iCs/>
          <w:sz w:val="18"/>
          <w:szCs w:val="18"/>
          <w:lang w:eastAsia="ar-SA"/>
        </w:rPr>
        <w:t>Kostomlaty nad Labem</w:t>
      </w:r>
      <w:r w:rsidRPr="006070EA">
        <w:rPr>
          <w:rFonts w:asciiTheme="majorHAnsi" w:eastAsia="Times New Roman" w:hAnsiTheme="majorHAnsi" w:cstheme="majorHAnsi"/>
          <w:bCs/>
          <w:iCs/>
          <w:sz w:val="18"/>
          <w:szCs w:val="18"/>
          <w:lang w:eastAsia="ar-SA"/>
        </w:rPr>
        <w:t xml:space="preserve"> obecně respektuje platnou územně plánovací dokumentaci sousedních obcí zpracovanou v souladu se zákonem č. 183/2006 Sb. Z hlediska širších vztahů je řešena návaznost jednotlivých ploch s rozdílným způsobem využití a dalších prostorových a funkčních vazeb, zejména v oblasti dopravní a technické infrastruktury a ochrany přírody a krajiny (především ÚSES). </w:t>
      </w:r>
    </w:p>
    <w:p w14:paraId="4E1A897C" w14:textId="349C568A" w:rsidR="006064E3" w:rsidRPr="006070EA" w:rsidRDefault="006064E3" w:rsidP="006064E3">
      <w:pPr>
        <w:suppressAutoHyphens/>
        <w:spacing w:before="120" w:after="120" w:line="240" w:lineRule="auto"/>
        <w:ind w:firstLine="709"/>
        <w:jc w:val="both"/>
        <w:rPr>
          <w:rFonts w:asciiTheme="majorHAnsi" w:eastAsia="Times New Roman" w:hAnsiTheme="majorHAnsi" w:cstheme="majorHAnsi"/>
          <w:bCs/>
          <w:iCs/>
          <w:sz w:val="18"/>
          <w:szCs w:val="18"/>
          <w:lang w:eastAsia="ar-SA"/>
        </w:rPr>
      </w:pPr>
      <w:r w:rsidRPr="006070EA">
        <w:rPr>
          <w:rFonts w:asciiTheme="majorHAnsi" w:eastAsia="Times New Roman" w:hAnsiTheme="majorHAnsi" w:cstheme="majorHAnsi"/>
          <w:bCs/>
          <w:iCs/>
          <w:sz w:val="18"/>
          <w:szCs w:val="18"/>
          <w:lang w:eastAsia="ar-SA"/>
        </w:rPr>
        <w:t>Potřeb</w:t>
      </w:r>
      <w:r w:rsidR="00D20F4B" w:rsidRPr="006070EA">
        <w:rPr>
          <w:rFonts w:asciiTheme="majorHAnsi" w:eastAsia="Times New Roman" w:hAnsiTheme="majorHAnsi" w:cstheme="majorHAnsi"/>
          <w:bCs/>
          <w:iCs/>
          <w:sz w:val="18"/>
          <w:szCs w:val="18"/>
          <w:lang w:eastAsia="ar-SA"/>
        </w:rPr>
        <w:t>a</w:t>
      </w:r>
      <w:r w:rsidRPr="006070EA">
        <w:rPr>
          <w:rFonts w:asciiTheme="majorHAnsi" w:eastAsia="Times New Roman" w:hAnsiTheme="majorHAnsi" w:cstheme="majorHAnsi"/>
          <w:bCs/>
          <w:iCs/>
          <w:sz w:val="18"/>
          <w:szCs w:val="18"/>
          <w:lang w:eastAsia="ar-SA"/>
        </w:rPr>
        <w:t xml:space="preserve"> </w:t>
      </w:r>
      <w:r w:rsidRPr="006070EA">
        <w:rPr>
          <w:rFonts w:asciiTheme="majorHAnsi" w:eastAsia="Times New Roman" w:hAnsiTheme="majorHAnsi" w:cstheme="majorHAnsi"/>
          <w:b/>
          <w:iCs/>
          <w:sz w:val="18"/>
          <w:szCs w:val="18"/>
          <w:lang w:eastAsia="ar-SA"/>
        </w:rPr>
        <w:t xml:space="preserve">koordinace řešení ÚP </w:t>
      </w:r>
      <w:r w:rsidR="005968E7" w:rsidRPr="006070EA">
        <w:rPr>
          <w:rFonts w:asciiTheme="majorHAnsi" w:eastAsia="Times New Roman" w:hAnsiTheme="majorHAnsi" w:cstheme="majorHAnsi"/>
          <w:b/>
          <w:iCs/>
          <w:sz w:val="18"/>
          <w:szCs w:val="18"/>
          <w:lang w:eastAsia="ar-SA"/>
        </w:rPr>
        <w:t>Kostomlaty nad Labem</w:t>
      </w:r>
      <w:r w:rsidRPr="006070EA">
        <w:rPr>
          <w:rFonts w:asciiTheme="majorHAnsi" w:eastAsia="Times New Roman" w:hAnsiTheme="majorHAnsi" w:cstheme="majorHAnsi"/>
          <w:b/>
          <w:iCs/>
          <w:sz w:val="18"/>
          <w:szCs w:val="18"/>
          <w:lang w:eastAsia="ar-SA"/>
        </w:rPr>
        <w:t xml:space="preserve"> s platnou územně plánovací dokumentací (ÚPD) sousedních obcí</w:t>
      </w:r>
      <w:r w:rsidRPr="006070EA">
        <w:rPr>
          <w:rFonts w:asciiTheme="majorHAnsi" w:eastAsia="Times New Roman" w:hAnsiTheme="majorHAnsi" w:cstheme="majorHAnsi"/>
          <w:bCs/>
          <w:iCs/>
          <w:sz w:val="18"/>
          <w:szCs w:val="18"/>
          <w:lang w:eastAsia="ar-SA"/>
        </w:rPr>
        <w:t xml:space="preserve"> je vyjádřena v následující tabulce: </w:t>
      </w:r>
    </w:p>
    <w:tbl>
      <w:tblPr>
        <w:tblW w:w="9071" w:type="dxa"/>
        <w:jc w:val="center"/>
        <w:tblBorders>
          <w:insideH w:val="single" w:sz="4" w:space="0" w:color="auto"/>
          <w:insideV w:val="single" w:sz="4" w:space="0" w:color="auto"/>
        </w:tblBorders>
        <w:tblLayout w:type="fixed"/>
        <w:tblLook w:val="04A0" w:firstRow="1" w:lastRow="0" w:firstColumn="1" w:lastColumn="0" w:noHBand="0" w:noVBand="1"/>
      </w:tblPr>
      <w:tblGrid>
        <w:gridCol w:w="1134"/>
        <w:gridCol w:w="2721"/>
        <w:gridCol w:w="1108"/>
        <w:gridCol w:w="4108"/>
      </w:tblGrid>
      <w:tr w:rsidR="00BF5C46" w:rsidRPr="006070EA" w14:paraId="76AABB60" w14:textId="77777777" w:rsidTr="00BF5C46">
        <w:trPr>
          <w:cantSplit/>
          <w:trHeight w:val="283"/>
          <w:tblHeader/>
          <w:jc w:val="center"/>
        </w:trPr>
        <w:tc>
          <w:tcPr>
            <w:tcW w:w="1134" w:type="dxa"/>
            <w:tcBorders>
              <w:top w:val="nil"/>
              <w:bottom w:val="single" w:sz="12" w:space="0" w:color="auto"/>
              <w:right w:val="single" w:sz="12" w:space="0" w:color="auto"/>
            </w:tcBorders>
            <w:vAlign w:val="center"/>
            <w:hideMark/>
          </w:tcPr>
          <w:p w14:paraId="6B1932FC" w14:textId="77777777" w:rsidR="006064E3" w:rsidRPr="006070EA" w:rsidRDefault="006064E3" w:rsidP="006064E3">
            <w:pPr>
              <w:keepNext/>
              <w:suppressAutoHyphens/>
              <w:spacing w:after="0" w:line="240" w:lineRule="auto"/>
              <w:rPr>
                <w:rFonts w:asciiTheme="majorHAnsi" w:eastAsia="Times New Roman" w:hAnsiTheme="majorHAnsi" w:cstheme="majorHAnsi"/>
                <w:b/>
                <w:iCs/>
                <w:sz w:val="18"/>
                <w:szCs w:val="18"/>
                <w:lang w:eastAsia="ar-SA"/>
              </w:rPr>
            </w:pPr>
            <w:r w:rsidRPr="006070EA">
              <w:rPr>
                <w:rFonts w:asciiTheme="majorHAnsi" w:eastAsia="Times New Roman" w:hAnsiTheme="majorHAnsi" w:cstheme="majorHAnsi"/>
                <w:b/>
                <w:iCs/>
                <w:sz w:val="18"/>
                <w:szCs w:val="18"/>
                <w:lang w:eastAsia="ar-SA"/>
              </w:rPr>
              <w:t>obec</w:t>
            </w:r>
          </w:p>
        </w:tc>
        <w:tc>
          <w:tcPr>
            <w:tcW w:w="2721" w:type="dxa"/>
            <w:tcBorders>
              <w:top w:val="nil"/>
              <w:left w:val="single" w:sz="12" w:space="0" w:color="auto"/>
              <w:bottom w:val="single" w:sz="12" w:space="0" w:color="auto"/>
              <w:right w:val="single" w:sz="12" w:space="0" w:color="auto"/>
            </w:tcBorders>
            <w:vAlign w:val="center"/>
          </w:tcPr>
          <w:p w14:paraId="40C5DEB0" w14:textId="77777777" w:rsidR="006064E3" w:rsidRPr="006070EA" w:rsidRDefault="006064E3" w:rsidP="006064E3">
            <w:pPr>
              <w:keepNext/>
              <w:suppressAutoHyphens/>
              <w:spacing w:after="0" w:line="240" w:lineRule="auto"/>
              <w:rPr>
                <w:rFonts w:asciiTheme="majorHAnsi" w:eastAsia="Times New Roman" w:hAnsiTheme="majorHAnsi" w:cstheme="majorHAnsi"/>
                <w:b/>
                <w:iCs/>
                <w:sz w:val="18"/>
                <w:szCs w:val="18"/>
                <w:lang w:eastAsia="ar-SA"/>
              </w:rPr>
            </w:pPr>
            <w:r w:rsidRPr="006070EA">
              <w:rPr>
                <w:rFonts w:asciiTheme="majorHAnsi" w:eastAsia="Times New Roman" w:hAnsiTheme="majorHAnsi" w:cstheme="majorHAnsi"/>
                <w:b/>
                <w:iCs/>
                <w:sz w:val="18"/>
                <w:szCs w:val="18"/>
                <w:lang w:eastAsia="ar-SA"/>
              </w:rPr>
              <w:t>platná územně plánovací dokumentace</w:t>
            </w:r>
          </w:p>
        </w:tc>
        <w:tc>
          <w:tcPr>
            <w:tcW w:w="1108" w:type="dxa"/>
            <w:tcBorders>
              <w:top w:val="nil"/>
              <w:left w:val="single" w:sz="12" w:space="0" w:color="auto"/>
              <w:bottom w:val="single" w:sz="12" w:space="0" w:color="auto"/>
              <w:right w:val="single" w:sz="12" w:space="0" w:color="auto"/>
            </w:tcBorders>
            <w:vAlign w:val="center"/>
          </w:tcPr>
          <w:p w14:paraId="01FCEA92" w14:textId="77777777" w:rsidR="006064E3" w:rsidRPr="006070EA" w:rsidRDefault="006064E3" w:rsidP="006064E3">
            <w:pPr>
              <w:keepNext/>
              <w:suppressAutoHyphens/>
              <w:spacing w:after="0" w:line="240" w:lineRule="auto"/>
              <w:rPr>
                <w:rFonts w:asciiTheme="majorHAnsi" w:eastAsia="Times New Roman" w:hAnsiTheme="majorHAnsi" w:cstheme="majorHAnsi"/>
                <w:b/>
                <w:iCs/>
                <w:sz w:val="18"/>
                <w:szCs w:val="18"/>
                <w:lang w:eastAsia="ar-SA"/>
              </w:rPr>
            </w:pPr>
            <w:r w:rsidRPr="006070EA">
              <w:rPr>
                <w:rFonts w:asciiTheme="majorHAnsi" w:eastAsia="Times New Roman" w:hAnsiTheme="majorHAnsi" w:cstheme="majorHAnsi"/>
                <w:b/>
                <w:iCs/>
                <w:sz w:val="18"/>
                <w:szCs w:val="18"/>
                <w:lang w:eastAsia="ar-SA"/>
              </w:rPr>
              <w:t>nabytí účinnosti</w:t>
            </w:r>
          </w:p>
        </w:tc>
        <w:tc>
          <w:tcPr>
            <w:tcW w:w="4108" w:type="dxa"/>
            <w:tcBorders>
              <w:top w:val="nil"/>
              <w:left w:val="single" w:sz="12" w:space="0" w:color="auto"/>
              <w:bottom w:val="single" w:sz="12" w:space="0" w:color="auto"/>
            </w:tcBorders>
            <w:vAlign w:val="center"/>
          </w:tcPr>
          <w:p w14:paraId="5EBF9457" w14:textId="77777777" w:rsidR="006064E3" w:rsidRPr="006070EA" w:rsidRDefault="006064E3" w:rsidP="006064E3">
            <w:pPr>
              <w:keepNext/>
              <w:suppressAutoHyphens/>
              <w:spacing w:after="0" w:line="240" w:lineRule="auto"/>
              <w:rPr>
                <w:rFonts w:asciiTheme="majorHAnsi" w:eastAsia="Times New Roman" w:hAnsiTheme="majorHAnsi" w:cstheme="majorHAnsi"/>
                <w:b/>
                <w:iCs/>
                <w:sz w:val="18"/>
                <w:szCs w:val="18"/>
                <w:lang w:eastAsia="ar-SA"/>
              </w:rPr>
            </w:pPr>
            <w:r w:rsidRPr="006070EA">
              <w:rPr>
                <w:rFonts w:asciiTheme="majorHAnsi" w:eastAsia="Times New Roman" w:hAnsiTheme="majorHAnsi" w:cstheme="majorHAnsi"/>
                <w:b/>
                <w:iCs/>
                <w:sz w:val="18"/>
                <w:szCs w:val="18"/>
                <w:lang w:eastAsia="ar-SA"/>
              </w:rPr>
              <w:t>popis koordinace</w:t>
            </w:r>
          </w:p>
        </w:tc>
      </w:tr>
      <w:tr w:rsidR="00BF5C46" w:rsidRPr="006070EA" w14:paraId="7E3CCD24" w14:textId="77777777" w:rsidTr="00BF5C46">
        <w:trPr>
          <w:trHeight w:val="65"/>
          <w:jc w:val="center"/>
        </w:trPr>
        <w:tc>
          <w:tcPr>
            <w:tcW w:w="1134" w:type="dxa"/>
            <w:tcBorders>
              <w:top w:val="single" w:sz="12" w:space="0" w:color="auto"/>
            </w:tcBorders>
            <w:vAlign w:val="center"/>
          </w:tcPr>
          <w:p w14:paraId="0EE346B1" w14:textId="68A56CC3" w:rsidR="00BF5C46" w:rsidRPr="006070EA" w:rsidRDefault="00BF5C46" w:rsidP="00BF5C46">
            <w:pPr>
              <w:suppressAutoHyphens/>
              <w:spacing w:after="0" w:line="240" w:lineRule="auto"/>
              <w:rPr>
                <w:rFonts w:asciiTheme="majorHAnsi" w:eastAsia="Times New Roman" w:hAnsiTheme="majorHAnsi" w:cstheme="majorHAnsi"/>
                <w:b/>
                <w:iCs/>
                <w:sz w:val="18"/>
                <w:szCs w:val="18"/>
                <w:lang w:eastAsia="ar-SA"/>
              </w:rPr>
            </w:pPr>
            <w:r w:rsidRPr="006070EA">
              <w:rPr>
                <w:rFonts w:asciiTheme="majorHAnsi" w:hAnsiTheme="majorHAnsi" w:cstheme="majorHAnsi"/>
                <w:b/>
                <w:sz w:val="18"/>
                <w:szCs w:val="18"/>
              </w:rPr>
              <w:t>Čilec</w:t>
            </w:r>
          </w:p>
        </w:tc>
        <w:tc>
          <w:tcPr>
            <w:tcW w:w="2721" w:type="dxa"/>
            <w:tcBorders>
              <w:top w:val="single" w:sz="12" w:space="0" w:color="auto"/>
            </w:tcBorders>
            <w:vAlign w:val="center"/>
          </w:tcPr>
          <w:p w14:paraId="401BAEAC" w14:textId="2A90606C" w:rsidR="00BF5C46" w:rsidRPr="006070EA" w:rsidRDefault="00BF5C46" w:rsidP="00BF5C46">
            <w:pPr>
              <w:suppressAutoHyphens/>
              <w:spacing w:after="0" w:line="240" w:lineRule="auto"/>
              <w:rPr>
                <w:rFonts w:asciiTheme="majorHAnsi" w:eastAsia="Times New Roman" w:hAnsiTheme="majorHAnsi" w:cstheme="majorHAnsi"/>
                <w:iCs/>
                <w:sz w:val="18"/>
                <w:szCs w:val="18"/>
                <w:lang w:eastAsia="ar-SA"/>
              </w:rPr>
            </w:pPr>
            <w:r w:rsidRPr="006070EA">
              <w:rPr>
                <w:rFonts w:asciiTheme="majorHAnsi" w:eastAsia="Times New Roman" w:hAnsiTheme="majorHAnsi" w:cstheme="majorHAnsi"/>
                <w:iCs/>
                <w:sz w:val="18"/>
                <w:szCs w:val="18"/>
                <w:lang w:eastAsia="ar-SA"/>
              </w:rPr>
              <w:t>ÚP Čilec</w:t>
            </w:r>
          </w:p>
        </w:tc>
        <w:tc>
          <w:tcPr>
            <w:tcW w:w="1108" w:type="dxa"/>
            <w:tcBorders>
              <w:top w:val="single" w:sz="12" w:space="0" w:color="auto"/>
            </w:tcBorders>
            <w:vAlign w:val="center"/>
          </w:tcPr>
          <w:p w14:paraId="0108C312" w14:textId="49F48E8E" w:rsidR="00BF5C46" w:rsidRPr="006070EA" w:rsidRDefault="00BF5C46" w:rsidP="00BF5C46">
            <w:pPr>
              <w:suppressAutoHyphens/>
              <w:spacing w:after="0" w:line="240" w:lineRule="auto"/>
              <w:rPr>
                <w:rFonts w:asciiTheme="majorHAnsi" w:eastAsia="Times New Roman" w:hAnsiTheme="majorHAnsi" w:cstheme="majorHAnsi"/>
                <w:iCs/>
                <w:sz w:val="18"/>
                <w:szCs w:val="18"/>
                <w:lang w:eastAsia="ar-SA"/>
              </w:rPr>
            </w:pPr>
            <w:r w:rsidRPr="006070EA">
              <w:rPr>
                <w:rFonts w:asciiTheme="majorHAnsi" w:eastAsia="Times New Roman" w:hAnsiTheme="majorHAnsi" w:cstheme="majorHAnsi"/>
                <w:iCs/>
                <w:sz w:val="18"/>
                <w:szCs w:val="18"/>
                <w:lang w:eastAsia="ar-SA"/>
              </w:rPr>
              <w:t>22. 6. 2010</w:t>
            </w:r>
          </w:p>
        </w:tc>
        <w:tc>
          <w:tcPr>
            <w:tcW w:w="4108" w:type="dxa"/>
            <w:tcBorders>
              <w:top w:val="single" w:sz="12" w:space="0" w:color="auto"/>
            </w:tcBorders>
            <w:vAlign w:val="center"/>
          </w:tcPr>
          <w:p w14:paraId="48304110" w14:textId="128C8E74" w:rsidR="00BF5C46" w:rsidRPr="006070EA" w:rsidRDefault="00BF5C46" w:rsidP="00BF5C46">
            <w:pPr>
              <w:suppressAutoHyphens/>
              <w:spacing w:after="0" w:line="240" w:lineRule="auto"/>
              <w:rPr>
                <w:rFonts w:asciiTheme="majorHAnsi" w:eastAsia="Times New Roman" w:hAnsiTheme="majorHAnsi" w:cstheme="majorHAnsi"/>
                <w:iCs/>
                <w:sz w:val="18"/>
                <w:szCs w:val="18"/>
                <w:lang w:eastAsia="ar-SA"/>
              </w:rPr>
            </w:pPr>
            <w:r w:rsidRPr="006070EA">
              <w:rPr>
                <w:rFonts w:asciiTheme="majorHAnsi" w:eastAsia="Times New Roman" w:hAnsiTheme="majorHAnsi" w:cstheme="majorHAnsi"/>
                <w:i/>
                <w:sz w:val="18"/>
                <w:szCs w:val="18"/>
                <w:lang w:eastAsia="ar-SA"/>
              </w:rPr>
              <w:t>Bez potřeby koordinace</w:t>
            </w:r>
          </w:p>
        </w:tc>
      </w:tr>
      <w:tr w:rsidR="00830D50" w:rsidRPr="006070EA" w14:paraId="7955CED4" w14:textId="77777777" w:rsidTr="00BF5C46">
        <w:trPr>
          <w:trHeight w:val="283"/>
          <w:jc w:val="center"/>
        </w:trPr>
        <w:tc>
          <w:tcPr>
            <w:tcW w:w="1134" w:type="dxa"/>
            <w:vMerge w:val="restart"/>
            <w:vAlign w:val="center"/>
          </w:tcPr>
          <w:p w14:paraId="6DDBAB14" w14:textId="7D1C107C" w:rsidR="00830D50" w:rsidRPr="006070EA" w:rsidRDefault="00830D50" w:rsidP="005968E7">
            <w:pPr>
              <w:suppressAutoHyphens/>
              <w:spacing w:after="0" w:line="240" w:lineRule="auto"/>
              <w:rPr>
                <w:rFonts w:asciiTheme="majorHAnsi" w:eastAsia="Times New Roman" w:hAnsiTheme="majorHAnsi" w:cstheme="majorHAnsi"/>
                <w:b/>
                <w:iCs/>
                <w:sz w:val="18"/>
                <w:szCs w:val="18"/>
                <w:lang w:eastAsia="ar-SA"/>
              </w:rPr>
            </w:pPr>
            <w:r w:rsidRPr="006070EA">
              <w:rPr>
                <w:rFonts w:asciiTheme="majorHAnsi" w:hAnsiTheme="majorHAnsi" w:cstheme="majorHAnsi"/>
                <w:b/>
                <w:sz w:val="18"/>
                <w:szCs w:val="18"/>
              </w:rPr>
              <w:t>Hradištko</w:t>
            </w:r>
          </w:p>
        </w:tc>
        <w:tc>
          <w:tcPr>
            <w:tcW w:w="2721" w:type="dxa"/>
            <w:vAlign w:val="center"/>
          </w:tcPr>
          <w:p w14:paraId="1F3F18ED" w14:textId="48E4C992" w:rsidR="00830D50" w:rsidRPr="006070EA" w:rsidRDefault="00830D50" w:rsidP="005968E7">
            <w:pPr>
              <w:suppressAutoHyphens/>
              <w:spacing w:after="0" w:line="240" w:lineRule="auto"/>
              <w:rPr>
                <w:rFonts w:asciiTheme="majorHAnsi" w:eastAsia="Times New Roman" w:hAnsiTheme="majorHAnsi" w:cstheme="majorHAnsi"/>
                <w:iCs/>
                <w:sz w:val="18"/>
                <w:szCs w:val="18"/>
                <w:lang w:eastAsia="ar-SA"/>
              </w:rPr>
            </w:pPr>
            <w:r w:rsidRPr="006070EA">
              <w:rPr>
                <w:rFonts w:asciiTheme="majorHAnsi" w:eastAsia="Times New Roman" w:hAnsiTheme="majorHAnsi" w:cstheme="majorHAnsi"/>
                <w:iCs/>
                <w:sz w:val="18"/>
                <w:szCs w:val="18"/>
                <w:lang w:eastAsia="ar-SA"/>
              </w:rPr>
              <w:t>ÚPO Hradištko</w:t>
            </w:r>
          </w:p>
        </w:tc>
        <w:tc>
          <w:tcPr>
            <w:tcW w:w="1108" w:type="dxa"/>
            <w:vAlign w:val="center"/>
          </w:tcPr>
          <w:p w14:paraId="52ABFCE9" w14:textId="0C15BF35" w:rsidR="00830D50" w:rsidRPr="006070EA" w:rsidRDefault="00830D50" w:rsidP="005968E7">
            <w:pPr>
              <w:suppressAutoHyphens/>
              <w:spacing w:after="0" w:line="240" w:lineRule="auto"/>
              <w:rPr>
                <w:rFonts w:asciiTheme="majorHAnsi" w:eastAsia="Times New Roman" w:hAnsiTheme="majorHAnsi" w:cstheme="majorHAnsi"/>
                <w:iCs/>
                <w:sz w:val="18"/>
                <w:szCs w:val="18"/>
                <w:lang w:eastAsia="ar-SA"/>
              </w:rPr>
            </w:pPr>
            <w:r w:rsidRPr="006070EA">
              <w:rPr>
                <w:rFonts w:asciiTheme="majorHAnsi" w:eastAsia="Times New Roman" w:hAnsiTheme="majorHAnsi" w:cstheme="majorHAnsi"/>
                <w:iCs/>
                <w:sz w:val="18"/>
                <w:szCs w:val="18"/>
                <w:lang w:eastAsia="ar-SA"/>
              </w:rPr>
              <w:t>-</w:t>
            </w:r>
          </w:p>
        </w:tc>
        <w:tc>
          <w:tcPr>
            <w:tcW w:w="4108" w:type="dxa"/>
            <w:vAlign w:val="center"/>
          </w:tcPr>
          <w:p w14:paraId="05502050" w14:textId="2D91A405" w:rsidR="00830D50" w:rsidRPr="006070EA" w:rsidRDefault="00830D50" w:rsidP="005968E7">
            <w:pPr>
              <w:suppressAutoHyphens/>
              <w:spacing w:after="0" w:line="240" w:lineRule="auto"/>
              <w:rPr>
                <w:rFonts w:asciiTheme="majorHAnsi" w:eastAsia="Times New Roman" w:hAnsiTheme="majorHAnsi" w:cstheme="majorHAnsi"/>
                <w:i/>
                <w:sz w:val="18"/>
                <w:szCs w:val="18"/>
                <w:lang w:eastAsia="ar-SA"/>
              </w:rPr>
            </w:pPr>
            <w:r w:rsidRPr="006070EA">
              <w:rPr>
                <w:rFonts w:asciiTheme="majorHAnsi" w:eastAsia="Times New Roman" w:hAnsiTheme="majorHAnsi" w:cstheme="majorHAnsi"/>
                <w:i/>
                <w:sz w:val="18"/>
                <w:szCs w:val="18"/>
                <w:lang w:eastAsia="ar-SA"/>
              </w:rPr>
              <w:t>Bez potřeby koordinace</w:t>
            </w:r>
          </w:p>
          <w:p w14:paraId="2B12550E" w14:textId="237D6C6C" w:rsidR="00830D50" w:rsidRPr="006070EA" w:rsidRDefault="00830D50" w:rsidP="005968E7">
            <w:pPr>
              <w:suppressAutoHyphens/>
              <w:spacing w:after="0" w:line="240" w:lineRule="auto"/>
              <w:rPr>
                <w:rFonts w:asciiTheme="majorHAnsi" w:eastAsia="Times New Roman" w:hAnsiTheme="majorHAnsi" w:cstheme="majorHAnsi"/>
                <w:iCs/>
                <w:sz w:val="18"/>
                <w:szCs w:val="18"/>
                <w:lang w:eastAsia="ar-SA"/>
              </w:rPr>
            </w:pPr>
            <w:r w:rsidRPr="006070EA">
              <w:rPr>
                <w:rFonts w:asciiTheme="majorHAnsi" w:eastAsia="Times New Roman" w:hAnsiTheme="majorHAnsi" w:cstheme="majorHAnsi"/>
                <w:iCs/>
                <w:sz w:val="18"/>
                <w:szCs w:val="18"/>
                <w:lang w:eastAsia="ar-SA"/>
              </w:rPr>
              <w:t xml:space="preserve">(ÚPD sousední obce bude </w:t>
            </w:r>
            <w:r w:rsidR="00BF5C46" w:rsidRPr="006070EA">
              <w:rPr>
                <w:rFonts w:asciiTheme="majorHAnsi" w:eastAsia="Times New Roman" w:hAnsiTheme="majorHAnsi" w:cstheme="majorHAnsi"/>
                <w:iCs/>
                <w:sz w:val="18"/>
                <w:szCs w:val="18"/>
                <w:lang w:eastAsia="ar-SA"/>
              </w:rPr>
              <w:t xml:space="preserve">nezbytné </w:t>
            </w:r>
            <w:r w:rsidRPr="006070EA">
              <w:rPr>
                <w:rFonts w:asciiTheme="majorHAnsi" w:eastAsia="Times New Roman" w:hAnsiTheme="majorHAnsi" w:cstheme="majorHAnsi"/>
                <w:iCs/>
                <w:sz w:val="18"/>
                <w:szCs w:val="18"/>
                <w:lang w:eastAsia="ar-SA"/>
              </w:rPr>
              <w:t>v rámci aktualizace koordinov</w:t>
            </w:r>
            <w:r w:rsidR="00BF5C46" w:rsidRPr="006070EA">
              <w:rPr>
                <w:rFonts w:asciiTheme="majorHAnsi" w:eastAsia="Times New Roman" w:hAnsiTheme="majorHAnsi" w:cstheme="majorHAnsi"/>
                <w:iCs/>
                <w:sz w:val="18"/>
                <w:szCs w:val="18"/>
                <w:lang w:eastAsia="ar-SA"/>
              </w:rPr>
              <w:t>at</w:t>
            </w:r>
            <w:r w:rsidRPr="006070EA">
              <w:rPr>
                <w:rFonts w:asciiTheme="majorHAnsi" w:eastAsia="Times New Roman" w:hAnsiTheme="majorHAnsi" w:cstheme="majorHAnsi"/>
                <w:iCs/>
                <w:sz w:val="18"/>
                <w:szCs w:val="18"/>
                <w:lang w:eastAsia="ar-SA"/>
              </w:rPr>
              <w:t xml:space="preserve"> s ÚP Kostomlaty nad Labem)</w:t>
            </w:r>
          </w:p>
        </w:tc>
      </w:tr>
      <w:tr w:rsidR="00830D50" w:rsidRPr="006070EA" w14:paraId="1403BCDE" w14:textId="77777777" w:rsidTr="00BF5C46">
        <w:trPr>
          <w:trHeight w:val="283"/>
          <w:jc w:val="center"/>
        </w:trPr>
        <w:tc>
          <w:tcPr>
            <w:tcW w:w="1134" w:type="dxa"/>
            <w:vMerge/>
            <w:vAlign w:val="center"/>
          </w:tcPr>
          <w:p w14:paraId="66E66C70" w14:textId="77777777" w:rsidR="00830D50" w:rsidRPr="006070EA" w:rsidRDefault="00830D50" w:rsidP="005968E7">
            <w:pPr>
              <w:suppressAutoHyphens/>
              <w:spacing w:after="0" w:line="240" w:lineRule="auto"/>
              <w:rPr>
                <w:rFonts w:asciiTheme="majorHAnsi" w:hAnsiTheme="majorHAnsi" w:cstheme="majorHAnsi"/>
                <w:b/>
                <w:sz w:val="18"/>
                <w:szCs w:val="18"/>
              </w:rPr>
            </w:pPr>
          </w:p>
        </w:tc>
        <w:tc>
          <w:tcPr>
            <w:tcW w:w="2721" w:type="dxa"/>
            <w:vAlign w:val="center"/>
          </w:tcPr>
          <w:p w14:paraId="30DAE4AC" w14:textId="793C8A4E" w:rsidR="00830D50" w:rsidRPr="006070EA" w:rsidRDefault="00830D50" w:rsidP="005968E7">
            <w:pPr>
              <w:suppressAutoHyphens/>
              <w:spacing w:after="0" w:line="240" w:lineRule="auto"/>
              <w:rPr>
                <w:rFonts w:asciiTheme="majorHAnsi" w:eastAsia="Times New Roman" w:hAnsiTheme="majorHAnsi" w:cstheme="majorHAnsi"/>
                <w:iCs/>
                <w:sz w:val="18"/>
                <w:szCs w:val="18"/>
                <w:lang w:eastAsia="ar-SA"/>
              </w:rPr>
            </w:pPr>
            <w:r w:rsidRPr="006070EA">
              <w:rPr>
                <w:rFonts w:asciiTheme="majorHAnsi" w:eastAsia="Times New Roman" w:hAnsiTheme="majorHAnsi" w:cstheme="majorHAnsi"/>
                <w:iCs/>
                <w:sz w:val="18"/>
                <w:szCs w:val="18"/>
                <w:lang w:eastAsia="ar-SA"/>
              </w:rPr>
              <w:t>Změna č. 1 ÚPO Hradištko</w:t>
            </w:r>
          </w:p>
        </w:tc>
        <w:tc>
          <w:tcPr>
            <w:tcW w:w="1108" w:type="dxa"/>
            <w:vAlign w:val="center"/>
          </w:tcPr>
          <w:p w14:paraId="5883681C" w14:textId="09552F8D" w:rsidR="00830D50" w:rsidRPr="006070EA" w:rsidRDefault="00830D50" w:rsidP="005968E7">
            <w:pPr>
              <w:suppressAutoHyphens/>
              <w:spacing w:after="0" w:line="240" w:lineRule="auto"/>
              <w:rPr>
                <w:rFonts w:asciiTheme="majorHAnsi" w:eastAsia="Times New Roman" w:hAnsiTheme="majorHAnsi" w:cstheme="majorHAnsi"/>
                <w:iCs/>
                <w:sz w:val="18"/>
                <w:szCs w:val="18"/>
                <w:lang w:eastAsia="ar-SA"/>
              </w:rPr>
            </w:pPr>
            <w:r w:rsidRPr="006070EA">
              <w:rPr>
                <w:rFonts w:asciiTheme="majorHAnsi" w:eastAsia="Times New Roman" w:hAnsiTheme="majorHAnsi" w:cstheme="majorHAnsi"/>
                <w:iCs/>
                <w:sz w:val="18"/>
                <w:szCs w:val="18"/>
                <w:lang w:eastAsia="ar-SA"/>
              </w:rPr>
              <w:t>2. 11. 2010</w:t>
            </w:r>
          </w:p>
        </w:tc>
        <w:tc>
          <w:tcPr>
            <w:tcW w:w="4108" w:type="dxa"/>
            <w:vAlign w:val="center"/>
          </w:tcPr>
          <w:p w14:paraId="443DDAE8" w14:textId="48FD4CC4" w:rsidR="00830D50" w:rsidRPr="006070EA" w:rsidRDefault="00830D50" w:rsidP="005968E7">
            <w:pPr>
              <w:suppressAutoHyphens/>
              <w:spacing w:after="0" w:line="240" w:lineRule="auto"/>
              <w:rPr>
                <w:rFonts w:asciiTheme="majorHAnsi" w:eastAsia="Times New Roman" w:hAnsiTheme="majorHAnsi" w:cstheme="majorHAnsi"/>
                <w:i/>
                <w:sz w:val="18"/>
                <w:szCs w:val="18"/>
                <w:lang w:eastAsia="ar-SA"/>
              </w:rPr>
            </w:pPr>
            <w:r w:rsidRPr="006070EA">
              <w:rPr>
                <w:rFonts w:asciiTheme="majorHAnsi" w:eastAsia="Times New Roman" w:hAnsiTheme="majorHAnsi" w:cstheme="majorHAnsi"/>
                <w:i/>
                <w:sz w:val="18"/>
                <w:szCs w:val="18"/>
                <w:lang w:eastAsia="ar-SA"/>
              </w:rPr>
              <w:t>Bez potřeby koordinace</w:t>
            </w:r>
          </w:p>
        </w:tc>
      </w:tr>
      <w:tr w:rsidR="00830D50" w:rsidRPr="006070EA" w14:paraId="277CF581" w14:textId="77777777" w:rsidTr="00BF5C46">
        <w:trPr>
          <w:trHeight w:val="283"/>
          <w:jc w:val="center"/>
        </w:trPr>
        <w:tc>
          <w:tcPr>
            <w:tcW w:w="1134" w:type="dxa"/>
            <w:vMerge/>
            <w:vAlign w:val="center"/>
          </w:tcPr>
          <w:p w14:paraId="57233ABF" w14:textId="77777777" w:rsidR="00830D50" w:rsidRPr="006070EA" w:rsidRDefault="00830D50" w:rsidP="00830D50">
            <w:pPr>
              <w:suppressAutoHyphens/>
              <w:spacing w:after="0" w:line="240" w:lineRule="auto"/>
              <w:rPr>
                <w:rFonts w:asciiTheme="majorHAnsi" w:hAnsiTheme="majorHAnsi" w:cstheme="majorHAnsi"/>
                <w:b/>
                <w:sz w:val="18"/>
                <w:szCs w:val="18"/>
              </w:rPr>
            </w:pPr>
          </w:p>
        </w:tc>
        <w:tc>
          <w:tcPr>
            <w:tcW w:w="2721" w:type="dxa"/>
            <w:vAlign w:val="center"/>
          </w:tcPr>
          <w:p w14:paraId="7D91A393" w14:textId="577F8647" w:rsidR="00830D50" w:rsidRPr="006070EA" w:rsidRDefault="00830D50" w:rsidP="00830D50">
            <w:pPr>
              <w:suppressAutoHyphens/>
              <w:spacing w:after="0" w:line="240" w:lineRule="auto"/>
              <w:rPr>
                <w:rFonts w:asciiTheme="majorHAnsi" w:eastAsia="Times New Roman" w:hAnsiTheme="majorHAnsi" w:cstheme="majorHAnsi"/>
                <w:iCs/>
                <w:sz w:val="18"/>
                <w:szCs w:val="18"/>
                <w:lang w:eastAsia="ar-SA"/>
              </w:rPr>
            </w:pPr>
            <w:r w:rsidRPr="006070EA">
              <w:rPr>
                <w:rFonts w:asciiTheme="majorHAnsi" w:eastAsia="Times New Roman" w:hAnsiTheme="majorHAnsi" w:cstheme="majorHAnsi"/>
                <w:iCs/>
                <w:sz w:val="18"/>
                <w:szCs w:val="18"/>
                <w:lang w:eastAsia="ar-SA"/>
              </w:rPr>
              <w:t>Změna č. 2 ÚPO Hradištko</w:t>
            </w:r>
          </w:p>
        </w:tc>
        <w:tc>
          <w:tcPr>
            <w:tcW w:w="1108" w:type="dxa"/>
            <w:vAlign w:val="center"/>
          </w:tcPr>
          <w:p w14:paraId="573D37B6" w14:textId="1DFF408B" w:rsidR="00830D50" w:rsidRPr="006070EA" w:rsidRDefault="00830D50" w:rsidP="00830D50">
            <w:pPr>
              <w:suppressAutoHyphens/>
              <w:spacing w:after="0" w:line="240" w:lineRule="auto"/>
              <w:rPr>
                <w:rFonts w:asciiTheme="majorHAnsi" w:eastAsia="Times New Roman" w:hAnsiTheme="majorHAnsi" w:cstheme="majorHAnsi"/>
                <w:iCs/>
                <w:sz w:val="18"/>
                <w:szCs w:val="18"/>
                <w:lang w:eastAsia="ar-SA"/>
              </w:rPr>
            </w:pPr>
            <w:r w:rsidRPr="006070EA">
              <w:rPr>
                <w:rFonts w:asciiTheme="majorHAnsi" w:eastAsia="Times New Roman" w:hAnsiTheme="majorHAnsi" w:cstheme="majorHAnsi"/>
                <w:iCs/>
                <w:sz w:val="18"/>
                <w:szCs w:val="18"/>
                <w:lang w:eastAsia="ar-SA"/>
              </w:rPr>
              <w:t>15. 8. 2019</w:t>
            </w:r>
          </w:p>
        </w:tc>
        <w:tc>
          <w:tcPr>
            <w:tcW w:w="4108" w:type="dxa"/>
            <w:vAlign w:val="center"/>
          </w:tcPr>
          <w:p w14:paraId="628F1DF4" w14:textId="3CFEAC51" w:rsidR="00830D50" w:rsidRPr="006070EA" w:rsidRDefault="00830D50" w:rsidP="00830D50">
            <w:pPr>
              <w:suppressAutoHyphens/>
              <w:spacing w:after="0" w:line="240" w:lineRule="auto"/>
              <w:rPr>
                <w:rFonts w:asciiTheme="majorHAnsi" w:eastAsia="Times New Roman" w:hAnsiTheme="majorHAnsi" w:cstheme="majorHAnsi"/>
                <w:i/>
                <w:sz w:val="18"/>
                <w:szCs w:val="18"/>
                <w:lang w:eastAsia="ar-SA"/>
              </w:rPr>
            </w:pPr>
            <w:r w:rsidRPr="006070EA">
              <w:rPr>
                <w:rFonts w:asciiTheme="majorHAnsi" w:eastAsia="Times New Roman" w:hAnsiTheme="majorHAnsi" w:cstheme="majorHAnsi"/>
                <w:i/>
                <w:sz w:val="18"/>
                <w:szCs w:val="18"/>
                <w:lang w:eastAsia="ar-SA"/>
              </w:rPr>
              <w:t>Bez potřeby koordinace</w:t>
            </w:r>
          </w:p>
        </w:tc>
      </w:tr>
      <w:tr w:rsidR="00830D50" w:rsidRPr="006070EA" w14:paraId="6469D092" w14:textId="77777777" w:rsidTr="00BF5C46">
        <w:trPr>
          <w:trHeight w:val="283"/>
          <w:jc w:val="center"/>
        </w:trPr>
        <w:tc>
          <w:tcPr>
            <w:tcW w:w="1134" w:type="dxa"/>
            <w:vMerge/>
            <w:vAlign w:val="center"/>
          </w:tcPr>
          <w:p w14:paraId="0A3AC05A" w14:textId="77777777" w:rsidR="00830D50" w:rsidRPr="006070EA" w:rsidRDefault="00830D50" w:rsidP="00830D50">
            <w:pPr>
              <w:suppressAutoHyphens/>
              <w:spacing w:after="0" w:line="240" w:lineRule="auto"/>
              <w:rPr>
                <w:rFonts w:asciiTheme="majorHAnsi" w:hAnsiTheme="majorHAnsi" w:cstheme="majorHAnsi"/>
                <w:b/>
                <w:sz w:val="18"/>
                <w:szCs w:val="18"/>
              </w:rPr>
            </w:pPr>
          </w:p>
        </w:tc>
        <w:tc>
          <w:tcPr>
            <w:tcW w:w="2721" w:type="dxa"/>
            <w:vAlign w:val="center"/>
          </w:tcPr>
          <w:p w14:paraId="0AF2036E" w14:textId="727169B3" w:rsidR="00830D50" w:rsidRPr="006070EA" w:rsidRDefault="00830D50" w:rsidP="00830D50">
            <w:pPr>
              <w:suppressAutoHyphens/>
              <w:spacing w:after="0" w:line="240" w:lineRule="auto"/>
              <w:rPr>
                <w:rFonts w:asciiTheme="majorHAnsi" w:eastAsia="Times New Roman" w:hAnsiTheme="majorHAnsi" w:cstheme="majorHAnsi"/>
                <w:iCs/>
                <w:sz w:val="18"/>
                <w:szCs w:val="18"/>
                <w:lang w:eastAsia="ar-SA"/>
              </w:rPr>
            </w:pPr>
            <w:r w:rsidRPr="006070EA">
              <w:rPr>
                <w:rFonts w:asciiTheme="majorHAnsi" w:eastAsia="Times New Roman" w:hAnsiTheme="majorHAnsi" w:cstheme="majorHAnsi"/>
                <w:iCs/>
                <w:sz w:val="18"/>
                <w:szCs w:val="18"/>
                <w:lang w:eastAsia="ar-SA"/>
              </w:rPr>
              <w:t>Změna č. 3 ÚPO Hradištko</w:t>
            </w:r>
          </w:p>
        </w:tc>
        <w:tc>
          <w:tcPr>
            <w:tcW w:w="1108" w:type="dxa"/>
            <w:vAlign w:val="center"/>
          </w:tcPr>
          <w:p w14:paraId="017A586C" w14:textId="408D9F93" w:rsidR="00830D50" w:rsidRPr="006070EA" w:rsidRDefault="00830D50" w:rsidP="00830D50">
            <w:pPr>
              <w:suppressAutoHyphens/>
              <w:spacing w:after="0" w:line="240" w:lineRule="auto"/>
              <w:rPr>
                <w:rFonts w:asciiTheme="majorHAnsi" w:eastAsia="Times New Roman" w:hAnsiTheme="majorHAnsi" w:cstheme="majorHAnsi"/>
                <w:iCs/>
                <w:sz w:val="18"/>
                <w:szCs w:val="18"/>
                <w:lang w:eastAsia="ar-SA"/>
              </w:rPr>
            </w:pPr>
            <w:r w:rsidRPr="006070EA">
              <w:rPr>
                <w:rFonts w:asciiTheme="majorHAnsi" w:eastAsia="Times New Roman" w:hAnsiTheme="majorHAnsi" w:cstheme="majorHAnsi"/>
                <w:iCs/>
                <w:sz w:val="18"/>
                <w:szCs w:val="18"/>
                <w:lang w:eastAsia="ar-SA"/>
              </w:rPr>
              <w:t>11. 11. 2021</w:t>
            </w:r>
          </w:p>
        </w:tc>
        <w:tc>
          <w:tcPr>
            <w:tcW w:w="4108" w:type="dxa"/>
            <w:vAlign w:val="center"/>
          </w:tcPr>
          <w:p w14:paraId="4D9EE952" w14:textId="3AE93738" w:rsidR="00830D50" w:rsidRPr="006070EA" w:rsidRDefault="00830D50" w:rsidP="00830D50">
            <w:pPr>
              <w:suppressAutoHyphens/>
              <w:spacing w:after="0" w:line="240" w:lineRule="auto"/>
              <w:rPr>
                <w:rFonts w:asciiTheme="majorHAnsi" w:eastAsia="Times New Roman" w:hAnsiTheme="majorHAnsi" w:cstheme="majorHAnsi"/>
                <w:i/>
                <w:sz w:val="18"/>
                <w:szCs w:val="18"/>
                <w:lang w:eastAsia="ar-SA"/>
              </w:rPr>
            </w:pPr>
            <w:r w:rsidRPr="006070EA">
              <w:rPr>
                <w:rFonts w:asciiTheme="majorHAnsi" w:eastAsia="Times New Roman" w:hAnsiTheme="majorHAnsi" w:cstheme="majorHAnsi"/>
                <w:i/>
                <w:sz w:val="18"/>
                <w:szCs w:val="18"/>
                <w:lang w:eastAsia="ar-SA"/>
              </w:rPr>
              <w:t>Bez potřeby koordinace</w:t>
            </w:r>
          </w:p>
        </w:tc>
      </w:tr>
      <w:tr w:rsidR="00234D81" w:rsidRPr="006070EA" w14:paraId="4265837C" w14:textId="77777777" w:rsidTr="00BF5C46">
        <w:trPr>
          <w:trHeight w:val="283"/>
          <w:jc w:val="center"/>
        </w:trPr>
        <w:tc>
          <w:tcPr>
            <w:tcW w:w="1134" w:type="dxa"/>
            <w:vAlign w:val="center"/>
          </w:tcPr>
          <w:p w14:paraId="6C723178" w14:textId="30160F16" w:rsidR="00830D50" w:rsidRPr="006070EA" w:rsidRDefault="00830D50" w:rsidP="00830D50">
            <w:pPr>
              <w:suppressAutoHyphens/>
              <w:spacing w:after="0" w:line="240" w:lineRule="auto"/>
              <w:rPr>
                <w:rFonts w:asciiTheme="majorHAnsi" w:eastAsia="Times New Roman" w:hAnsiTheme="majorHAnsi" w:cstheme="majorHAnsi"/>
                <w:b/>
                <w:iCs/>
                <w:sz w:val="18"/>
                <w:szCs w:val="18"/>
                <w:lang w:eastAsia="ar-SA"/>
              </w:rPr>
            </w:pPr>
            <w:r w:rsidRPr="006070EA">
              <w:rPr>
                <w:rFonts w:asciiTheme="majorHAnsi" w:eastAsia="Times New Roman" w:hAnsiTheme="majorHAnsi" w:cstheme="majorHAnsi"/>
                <w:b/>
                <w:iCs/>
                <w:sz w:val="18"/>
                <w:szCs w:val="18"/>
                <w:lang w:eastAsia="ar-SA"/>
              </w:rPr>
              <w:t>Kamenné Zboží</w:t>
            </w:r>
          </w:p>
        </w:tc>
        <w:tc>
          <w:tcPr>
            <w:tcW w:w="2721" w:type="dxa"/>
            <w:vAlign w:val="center"/>
          </w:tcPr>
          <w:p w14:paraId="73E0AC05" w14:textId="7492EB41" w:rsidR="00830D50" w:rsidRPr="006070EA" w:rsidRDefault="00830D50" w:rsidP="00830D50">
            <w:pPr>
              <w:suppressAutoHyphens/>
              <w:spacing w:after="0" w:line="240" w:lineRule="auto"/>
              <w:rPr>
                <w:rFonts w:asciiTheme="majorHAnsi" w:eastAsia="Times New Roman" w:hAnsiTheme="majorHAnsi" w:cstheme="majorHAnsi"/>
                <w:iCs/>
                <w:sz w:val="18"/>
                <w:szCs w:val="18"/>
                <w:lang w:eastAsia="ar-SA"/>
              </w:rPr>
            </w:pPr>
            <w:r w:rsidRPr="006070EA">
              <w:rPr>
                <w:rFonts w:asciiTheme="majorHAnsi" w:eastAsia="Times New Roman" w:hAnsiTheme="majorHAnsi" w:cstheme="majorHAnsi"/>
                <w:iCs/>
                <w:sz w:val="18"/>
                <w:szCs w:val="18"/>
                <w:lang w:eastAsia="ar-SA"/>
              </w:rPr>
              <w:t xml:space="preserve">ÚP </w:t>
            </w:r>
            <w:r w:rsidR="00234D81" w:rsidRPr="006070EA">
              <w:rPr>
                <w:rFonts w:asciiTheme="majorHAnsi" w:eastAsia="Times New Roman" w:hAnsiTheme="majorHAnsi" w:cstheme="majorHAnsi"/>
                <w:iCs/>
                <w:sz w:val="18"/>
                <w:szCs w:val="18"/>
                <w:lang w:eastAsia="ar-SA"/>
              </w:rPr>
              <w:t>Kamenné Zboží</w:t>
            </w:r>
          </w:p>
        </w:tc>
        <w:tc>
          <w:tcPr>
            <w:tcW w:w="1108" w:type="dxa"/>
            <w:vAlign w:val="center"/>
          </w:tcPr>
          <w:p w14:paraId="0D343D85" w14:textId="17144E11" w:rsidR="00830D50" w:rsidRPr="006070EA" w:rsidRDefault="00234D81" w:rsidP="00830D50">
            <w:pPr>
              <w:suppressAutoHyphens/>
              <w:spacing w:after="0" w:line="240" w:lineRule="auto"/>
              <w:rPr>
                <w:rFonts w:asciiTheme="majorHAnsi" w:eastAsia="Times New Roman" w:hAnsiTheme="majorHAnsi" w:cstheme="majorHAnsi"/>
                <w:iCs/>
                <w:sz w:val="18"/>
                <w:szCs w:val="18"/>
                <w:lang w:eastAsia="ar-SA"/>
              </w:rPr>
            </w:pPr>
            <w:r w:rsidRPr="006070EA">
              <w:rPr>
                <w:rFonts w:asciiTheme="majorHAnsi" w:eastAsia="Times New Roman" w:hAnsiTheme="majorHAnsi" w:cstheme="majorHAnsi"/>
                <w:iCs/>
                <w:sz w:val="18"/>
                <w:szCs w:val="18"/>
                <w:lang w:eastAsia="ar-SA"/>
              </w:rPr>
              <w:t>13. 2. 2016</w:t>
            </w:r>
          </w:p>
        </w:tc>
        <w:tc>
          <w:tcPr>
            <w:tcW w:w="4108" w:type="dxa"/>
            <w:vAlign w:val="center"/>
          </w:tcPr>
          <w:p w14:paraId="2828DAFA" w14:textId="6C39B3A1" w:rsidR="00830D50" w:rsidRPr="006070EA" w:rsidRDefault="00830D50" w:rsidP="00830D50">
            <w:pPr>
              <w:suppressAutoHyphens/>
              <w:spacing w:after="0" w:line="240" w:lineRule="auto"/>
              <w:rPr>
                <w:rFonts w:asciiTheme="majorHAnsi" w:eastAsia="Times New Roman" w:hAnsiTheme="majorHAnsi" w:cstheme="majorHAnsi"/>
                <w:iCs/>
                <w:sz w:val="18"/>
                <w:szCs w:val="18"/>
                <w:lang w:eastAsia="ar-SA"/>
              </w:rPr>
            </w:pPr>
            <w:r w:rsidRPr="006070EA">
              <w:rPr>
                <w:rFonts w:asciiTheme="majorHAnsi" w:eastAsia="Times New Roman" w:hAnsiTheme="majorHAnsi" w:cstheme="majorHAnsi"/>
                <w:iCs/>
                <w:sz w:val="18"/>
                <w:szCs w:val="18"/>
                <w:lang w:eastAsia="ar-SA"/>
              </w:rPr>
              <w:t xml:space="preserve">ÚSES: </w:t>
            </w:r>
            <w:r w:rsidR="00234D81" w:rsidRPr="006070EA">
              <w:rPr>
                <w:rFonts w:asciiTheme="majorHAnsi" w:eastAsia="Times New Roman" w:hAnsiTheme="majorHAnsi" w:cstheme="majorHAnsi"/>
                <w:iCs/>
                <w:sz w:val="18"/>
                <w:szCs w:val="18"/>
                <w:lang w:eastAsia="ar-SA"/>
              </w:rPr>
              <w:t>LBK 3</w:t>
            </w:r>
            <w:r w:rsidRPr="006070EA">
              <w:rPr>
                <w:rFonts w:asciiTheme="majorHAnsi" w:eastAsia="Times New Roman" w:hAnsiTheme="majorHAnsi" w:cstheme="majorHAnsi"/>
                <w:iCs/>
                <w:sz w:val="18"/>
                <w:szCs w:val="18"/>
                <w:lang w:eastAsia="ar-SA"/>
              </w:rPr>
              <w:t xml:space="preserve"> (ÚP </w:t>
            </w:r>
            <w:r w:rsidR="00234D81" w:rsidRPr="006070EA">
              <w:rPr>
                <w:rFonts w:asciiTheme="majorHAnsi" w:eastAsia="Times New Roman" w:hAnsiTheme="majorHAnsi" w:cstheme="majorHAnsi"/>
                <w:iCs/>
                <w:sz w:val="18"/>
                <w:szCs w:val="18"/>
                <w:lang w:eastAsia="ar-SA"/>
              </w:rPr>
              <w:t>Kamenné Zboží</w:t>
            </w:r>
            <w:r w:rsidRPr="006070EA">
              <w:rPr>
                <w:rFonts w:asciiTheme="majorHAnsi" w:eastAsia="Times New Roman" w:hAnsiTheme="majorHAnsi" w:cstheme="majorHAnsi"/>
                <w:iCs/>
                <w:sz w:val="18"/>
                <w:szCs w:val="18"/>
                <w:lang w:eastAsia="ar-SA"/>
              </w:rPr>
              <w:t xml:space="preserve">) </w:t>
            </w:r>
            <w:r w:rsidRPr="006070EA">
              <w:rPr>
                <w:rFonts w:asciiTheme="majorHAnsi" w:eastAsia="Times New Roman" w:hAnsiTheme="majorHAnsi" w:cstheme="majorHAnsi"/>
                <w:iCs/>
                <w:sz w:val="18"/>
                <w:szCs w:val="18"/>
                <w:lang w:eastAsia="ar-SA"/>
              </w:rPr>
              <w:sym w:font="Wingdings" w:char="F0E0"/>
            </w:r>
            <w:r w:rsidRPr="006070EA">
              <w:rPr>
                <w:rFonts w:asciiTheme="majorHAnsi" w:eastAsia="Times New Roman" w:hAnsiTheme="majorHAnsi" w:cstheme="majorHAnsi"/>
                <w:iCs/>
                <w:sz w:val="18"/>
                <w:szCs w:val="18"/>
                <w:lang w:eastAsia="ar-SA"/>
              </w:rPr>
              <w:t xml:space="preserve"> </w:t>
            </w:r>
            <w:r w:rsidR="000039CA" w:rsidRPr="006070EA">
              <w:rPr>
                <w:rFonts w:asciiTheme="majorHAnsi" w:eastAsia="Times New Roman" w:hAnsiTheme="majorHAnsi" w:cstheme="majorHAnsi"/>
                <w:iCs/>
                <w:sz w:val="18"/>
                <w:szCs w:val="18"/>
                <w:lang w:eastAsia="ar-SA"/>
              </w:rPr>
              <w:t>koordinován jako L</w:t>
            </w:r>
            <w:r w:rsidR="00234D81" w:rsidRPr="006070EA">
              <w:rPr>
                <w:rFonts w:asciiTheme="majorHAnsi" w:eastAsia="Times New Roman" w:hAnsiTheme="majorHAnsi" w:cstheme="majorHAnsi"/>
                <w:iCs/>
                <w:sz w:val="18"/>
                <w:szCs w:val="18"/>
                <w:lang w:eastAsia="ar-SA"/>
              </w:rPr>
              <w:t>4</w:t>
            </w:r>
            <w:r w:rsidR="000039CA" w:rsidRPr="006070EA">
              <w:rPr>
                <w:rFonts w:asciiTheme="majorHAnsi" w:eastAsia="Times New Roman" w:hAnsiTheme="majorHAnsi" w:cstheme="majorHAnsi"/>
                <w:iCs/>
                <w:sz w:val="18"/>
                <w:szCs w:val="18"/>
                <w:lang w:eastAsia="ar-SA"/>
              </w:rPr>
              <w:t xml:space="preserve"> 4 </w:t>
            </w:r>
            <w:r w:rsidR="00234D81" w:rsidRPr="006070EA">
              <w:rPr>
                <w:rFonts w:asciiTheme="majorHAnsi" w:eastAsia="Times New Roman" w:hAnsiTheme="majorHAnsi" w:cstheme="majorHAnsi"/>
                <w:iCs/>
                <w:sz w:val="18"/>
                <w:szCs w:val="18"/>
                <w:lang w:eastAsia="ar-SA"/>
              </w:rPr>
              <w:t xml:space="preserve">Hluboký příkop </w:t>
            </w:r>
            <w:r w:rsidRPr="006070EA">
              <w:rPr>
                <w:rFonts w:asciiTheme="majorHAnsi" w:eastAsia="Times New Roman" w:hAnsiTheme="majorHAnsi" w:cstheme="majorHAnsi"/>
                <w:iCs/>
                <w:sz w:val="18"/>
                <w:szCs w:val="18"/>
                <w:lang w:eastAsia="ar-SA"/>
              </w:rPr>
              <w:t>(ÚP </w:t>
            </w:r>
            <w:r w:rsidR="000039CA" w:rsidRPr="006070EA">
              <w:rPr>
                <w:rFonts w:asciiTheme="majorHAnsi" w:eastAsia="Times New Roman" w:hAnsiTheme="majorHAnsi" w:cstheme="majorHAnsi"/>
                <w:iCs/>
                <w:sz w:val="18"/>
                <w:szCs w:val="18"/>
                <w:lang w:eastAsia="ar-SA"/>
              </w:rPr>
              <w:t>Kostomlaty nad Labem</w:t>
            </w:r>
            <w:r w:rsidRPr="006070EA">
              <w:rPr>
                <w:rFonts w:asciiTheme="majorHAnsi" w:eastAsia="Times New Roman" w:hAnsiTheme="majorHAnsi" w:cstheme="majorHAnsi"/>
                <w:iCs/>
                <w:sz w:val="18"/>
                <w:szCs w:val="18"/>
                <w:lang w:eastAsia="ar-SA"/>
              </w:rPr>
              <w:t>)</w:t>
            </w:r>
          </w:p>
        </w:tc>
      </w:tr>
      <w:tr w:rsidR="00EE6217" w:rsidRPr="006070EA" w14:paraId="358FC74E" w14:textId="77777777" w:rsidTr="00BF5C46">
        <w:trPr>
          <w:trHeight w:val="722"/>
          <w:jc w:val="center"/>
        </w:trPr>
        <w:tc>
          <w:tcPr>
            <w:tcW w:w="1134" w:type="dxa"/>
            <w:vMerge w:val="restart"/>
            <w:vAlign w:val="center"/>
          </w:tcPr>
          <w:p w14:paraId="4B71FDA5" w14:textId="6588E589" w:rsidR="00EE6217" w:rsidRPr="006070EA" w:rsidRDefault="00EE6217" w:rsidP="00830D50">
            <w:pPr>
              <w:suppressAutoHyphens/>
              <w:spacing w:after="0" w:line="240" w:lineRule="auto"/>
              <w:rPr>
                <w:rFonts w:asciiTheme="majorHAnsi" w:eastAsia="Times New Roman" w:hAnsiTheme="majorHAnsi" w:cstheme="majorHAnsi"/>
                <w:b/>
                <w:iCs/>
                <w:sz w:val="18"/>
                <w:szCs w:val="18"/>
                <w:lang w:eastAsia="ar-SA"/>
              </w:rPr>
            </w:pPr>
            <w:r w:rsidRPr="006070EA">
              <w:rPr>
                <w:rFonts w:asciiTheme="majorHAnsi" w:eastAsia="Times New Roman" w:hAnsiTheme="majorHAnsi" w:cstheme="majorHAnsi"/>
                <w:b/>
                <w:iCs/>
                <w:sz w:val="18"/>
                <w:szCs w:val="18"/>
                <w:lang w:eastAsia="ar-SA"/>
              </w:rPr>
              <w:t>Kostomlátky</w:t>
            </w:r>
          </w:p>
        </w:tc>
        <w:tc>
          <w:tcPr>
            <w:tcW w:w="2721" w:type="dxa"/>
            <w:vMerge w:val="restart"/>
            <w:vAlign w:val="center"/>
          </w:tcPr>
          <w:p w14:paraId="6F1C755C" w14:textId="0613EEE1" w:rsidR="00EE6217" w:rsidRPr="006070EA" w:rsidRDefault="00EE6217" w:rsidP="00830D50">
            <w:pPr>
              <w:suppressAutoHyphens/>
              <w:spacing w:after="0" w:line="240" w:lineRule="auto"/>
              <w:rPr>
                <w:rFonts w:asciiTheme="majorHAnsi" w:eastAsia="Times New Roman" w:hAnsiTheme="majorHAnsi" w:cstheme="majorHAnsi"/>
                <w:iCs/>
                <w:sz w:val="18"/>
                <w:szCs w:val="18"/>
                <w:lang w:eastAsia="ar-SA"/>
              </w:rPr>
            </w:pPr>
            <w:r w:rsidRPr="006070EA">
              <w:rPr>
                <w:rFonts w:asciiTheme="majorHAnsi" w:eastAsia="Times New Roman" w:hAnsiTheme="majorHAnsi" w:cstheme="majorHAnsi"/>
                <w:iCs/>
                <w:sz w:val="18"/>
                <w:szCs w:val="18"/>
                <w:lang w:eastAsia="ar-SA"/>
              </w:rPr>
              <w:t>ÚP Kostomlátky</w:t>
            </w:r>
          </w:p>
        </w:tc>
        <w:tc>
          <w:tcPr>
            <w:tcW w:w="1108" w:type="dxa"/>
            <w:vMerge w:val="restart"/>
            <w:vAlign w:val="center"/>
          </w:tcPr>
          <w:p w14:paraId="31CF4322" w14:textId="05EE40DA" w:rsidR="00EE6217" w:rsidRPr="006070EA" w:rsidRDefault="00EE6217" w:rsidP="00830D50">
            <w:pPr>
              <w:suppressAutoHyphens/>
              <w:spacing w:after="0" w:line="240" w:lineRule="auto"/>
              <w:rPr>
                <w:rFonts w:asciiTheme="majorHAnsi" w:eastAsia="Times New Roman" w:hAnsiTheme="majorHAnsi" w:cstheme="majorHAnsi"/>
                <w:iCs/>
                <w:sz w:val="18"/>
                <w:szCs w:val="18"/>
                <w:lang w:eastAsia="ar-SA"/>
              </w:rPr>
            </w:pPr>
            <w:r w:rsidRPr="006070EA">
              <w:rPr>
                <w:rFonts w:asciiTheme="majorHAnsi" w:eastAsia="Times New Roman" w:hAnsiTheme="majorHAnsi" w:cstheme="majorHAnsi"/>
                <w:iCs/>
                <w:sz w:val="18"/>
                <w:szCs w:val="18"/>
                <w:lang w:eastAsia="ar-SA"/>
              </w:rPr>
              <w:t>28. 3. 2015</w:t>
            </w:r>
          </w:p>
        </w:tc>
        <w:tc>
          <w:tcPr>
            <w:tcW w:w="4108" w:type="dxa"/>
            <w:vAlign w:val="center"/>
          </w:tcPr>
          <w:p w14:paraId="774F3ACD" w14:textId="342D3727" w:rsidR="00EE6217" w:rsidRPr="006070EA" w:rsidRDefault="00EE6217" w:rsidP="00830D50">
            <w:pPr>
              <w:suppressAutoHyphens/>
              <w:spacing w:after="0" w:line="240" w:lineRule="auto"/>
              <w:rPr>
                <w:rFonts w:asciiTheme="majorHAnsi" w:eastAsia="Times New Roman" w:hAnsiTheme="majorHAnsi" w:cstheme="majorHAnsi"/>
                <w:iCs/>
                <w:sz w:val="18"/>
                <w:szCs w:val="18"/>
                <w:lang w:eastAsia="ar-SA"/>
              </w:rPr>
            </w:pPr>
            <w:r w:rsidRPr="006070EA">
              <w:rPr>
                <w:rFonts w:asciiTheme="majorHAnsi" w:eastAsia="Times New Roman" w:hAnsiTheme="majorHAnsi" w:cstheme="majorHAnsi"/>
                <w:iCs/>
                <w:sz w:val="18"/>
                <w:szCs w:val="18"/>
                <w:lang w:eastAsia="ar-SA"/>
              </w:rPr>
              <w:t xml:space="preserve">ÚSES: NK 10 Stříbrný roh – Polabský luh (ÚP Kostomlátky) </w:t>
            </w:r>
            <w:r w:rsidRPr="006070EA">
              <w:rPr>
                <w:rFonts w:asciiTheme="majorHAnsi" w:eastAsia="Times New Roman" w:hAnsiTheme="majorHAnsi" w:cstheme="majorHAnsi"/>
                <w:iCs/>
                <w:sz w:val="18"/>
                <w:szCs w:val="18"/>
                <w:lang w:eastAsia="ar-SA"/>
              </w:rPr>
              <w:sym w:font="Wingdings" w:char="F0E0"/>
            </w:r>
            <w:r w:rsidRPr="006070EA">
              <w:rPr>
                <w:rFonts w:asciiTheme="majorHAnsi" w:eastAsia="Times New Roman" w:hAnsiTheme="majorHAnsi" w:cstheme="majorHAnsi"/>
                <w:iCs/>
                <w:sz w:val="18"/>
                <w:szCs w:val="18"/>
                <w:lang w:eastAsia="ar-SA"/>
              </w:rPr>
              <w:t xml:space="preserve"> koordinován jako NK 10 Stříbrný roh – Polabský luh (ÚP Kostomlaty nad Labem)</w:t>
            </w:r>
          </w:p>
        </w:tc>
      </w:tr>
      <w:tr w:rsidR="00EE6217" w:rsidRPr="006070EA" w14:paraId="27558446" w14:textId="77777777" w:rsidTr="00BF5C46">
        <w:trPr>
          <w:trHeight w:val="722"/>
          <w:jc w:val="center"/>
        </w:trPr>
        <w:tc>
          <w:tcPr>
            <w:tcW w:w="1134" w:type="dxa"/>
            <w:vMerge/>
            <w:vAlign w:val="center"/>
          </w:tcPr>
          <w:p w14:paraId="29042105" w14:textId="77777777" w:rsidR="00EE6217" w:rsidRPr="006070EA" w:rsidRDefault="00EE6217" w:rsidP="00830D50">
            <w:pPr>
              <w:suppressAutoHyphens/>
              <w:spacing w:after="0" w:line="240" w:lineRule="auto"/>
              <w:rPr>
                <w:rFonts w:asciiTheme="majorHAnsi" w:eastAsia="Times New Roman" w:hAnsiTheme="majorHAnsi" w:cstheme="majorHAnsi"/>
                <w:b/>
                <w:iCs/>
                <w:sz w:val="18"/>
                <w:szCs w:val="18"/>
                <w:lang w:eastAsia="ar-SA"/>
              </w:rPr>
            </w:pPr>
          </w:p>
        </w:tc>
        <w:tc>
          <w:tcPr>
            <w:tcW w:w="2721" w:type="dxa"/>
            <w:vMerge/>
            <w:vAlign w:val="center"/>
          </w:tcPr>
          <w:p w14:paraId="1E7375EA" w14:textId="77777777" w:rsidR="00EE6217" w:rsidRPr="006070EA" w:rsidRDefault="00EE6217" w:rsidP="00830D50">
            <w:pPr>
              <w:suppressAutoHyphens/>
              <w:spacing w:after="0" w:line="240" w:lineRule="auto"/>
              <w:rPr>
                <w:rFonts w:asciiTheme="majorHAnsi" w:eastAsia="Times New Roman" w:hAnsiTheme="majorHAnsi" w:cstheme="majorHAnsi"/>
                <w:iCs/>
                <w:sz w:val="18"/>
                <w:szCs w:val="18"/>
                <w:lang w:eastAsia="ar-SA"/>
              </w:rPr>
            </w:pPr>
          </w:p>
        </w:tc>
        <w:tc>
          <w:tcPr>
            <w:tcW w:w="1108" w:type="dxa"/>
            <w:vMerge/>
            <w:vAlign w:val="center"/>
          </w:tcPr>
          <w:p w14:paraId="4E7F5538" w14:textId="77777777" w:rsidR="00EE6217" w:rsidRPr="006070EA" w:rsidRDefault="00EE6217" w:rsidP="00830D50">
            <w:pPr>
              <w:suppressAutoHyphens/>
              <w:spacing w:after="0" w:line="240" w:lineRule="auto"/>
              <w:rPr>
                <w:rFonts w:asciiTheme="majorHAnsi" w:eastAsia="Times New Roman" w:hAnsiTheme="majorHAnsi" w:cstheme="majorHAnsi"/>
                <w:iCs/>
                <w:sz w:val="18"/>
                <w:szCs w:val="18"/>
                <w:lang w:eastAsia="ar-SA"/>
              </w:rPr>
            </w:pPr>
          </w:p>
        </w:tc>
        <w:tc>
          <w:tcPr>
            <w:tcW w:w="4108" w:type="dxa"/>
            <w:vAlign w:val="center"/>
          </w:tcPr>
          <w:p w14:paraId="05F51C90" w14:textId="2C65A74B" w:rsidR="00EE6217" w:rsidRPr="006070EA" w:rsidRDefault="00EE6217" w:rsidP="00830D50">
            <w:pPr>
              <w:suppressAutoHyphens/>
              <w:spacing w:after="0" w:line="240" w:lineRule="auto"/>
              <w:rPr>
                <w:rFonts w:asciiTheme="majorHAnsi" w:eastAsia="Times New Roman" w:hAnsiTheme="majorHAnsi" w:cstheme="majorHAnsi"/>
                <w:iCs/>
                <w:sz w:val="18"/>
                <w:szCs w:val="18"/>
                <w:lang w:eastAsia="ar-SA"/>
              </w:rPr>
            </w:pPr>
            <w:r w:rsidRPr="006070EA">
              <w:rPr>
                <w:rFonts w:asciiTheme="majorHAnsi" w:eastAsia="Times New Roman" w:hAnsiTheme="majorHAnsi" w:cstheme="majorHAnsi"/>
                <w:iCs/>
                <w:sz w:val="18"/>
                <w:szCs w:val="18"/>
                <w:lang w:eastAsia="ar-SA"/>
              </w:rPr>
              <w:t xml:space="preserve">Vymezení koridoru pro Labskou vodní cestu v rámci koridoru KVL (ÚP Kostomlátky) </w:t>
            </w:r>
            <w:r w:rsidRPr="006070EA">
              <w:rPr>
                <w:rFonts w:asciiTheme="majorHAnsi" w:eastAsia="Times New Roman" w:hAnsiTheme="majorHAnsi" w:cstheme="majorHAnsi"/>
                <w:iCs/>
                <w:sz w:val="18"/>
                <w:szCs w:val="18"/>
                <w:lang w:eastAsia="ar-SA"/>
              </w:rPr>
              <w:sym w:font="Wingdings" w:char="F0E0"/>
            </w:r>
            <w:r w:rsidRPr="006070EA">
              <w:rPr>
                <w:rFonts w:asciiTheme="majorHAnsi" w:eastAsia="Times New Roman" w:hAnsiTheme="majorHAnsi" w:cstheme="majorHAnsi"/>
                <w:iCs/>
                <w:sz w:val="18"/>
                <w:szCs w:val="18"/>
                <w:lang w:eastAsia="ar-SA"/>
              </w:rPr>
              <w:t xml:space="preserve"> koordinován jako koridor dopravní infrastruktury – vodní </w:t>
            </w:r>
            <w:r w:rsidR="0097451F">
              <w:rPr>
                <w:rFonts w:asciiTheme="majorHAnsi" w:eastAsia="Times New Roman" w:hAnsiTheme="majorHAnsi" w:cstheme="majorHAnsi"/>
                <w:iCs/>
                <w:sz w:val="18"/>
                <w:szCs w:val="18"/>
                <w:lang w:eastAsia="ar-SA"/>
              </w:rPr>
              <w:t>CNZ.VD1</w:t>
            </w:r>
            <w:r w:rsidRPr="006070EA">
              <w:rPr>
                <w:rFonts w:asciiTheme="majorHAnsi" w:eastAsia="Times New Roman" w:hAnsiTheme="majorHAnsi" w:cstheme="majorHAnsi"/>
                <w:iCs/>
                <w:sz w:val="18"/>
                <w:szCs w:val="18"/>
                <w:lang w:eastAsia="ar-SA"/>
              </w:rPr>
              <w:t xml:space="preserve"> (ÚP</w:t>
            </w:r>
            <w:r w:rsidR="0097451F">
              <w:rPr>
                <w:rFonts w:asciiTheme="majorHAnsi" w:eastAsia="Times New Roman" w:hAnsiTheme="majorHAnsi" w:cstheme="majorHAnsi"/>
                <w:iCs/>
                <w:sz w:val="18"/>
                <w:szCs w:val="18"/>
                <w:lang w:eastAsia="ar-SA"/>
              </w:rPr>
              <w:t> </w:t>
            </w:r>
            <w:r w:rsidRPr="006070EA">
              <w:rPr>
                <w:rFonts w:asciiTheme="majorHAnsi" w:eastAsia="Times New Roman" w:hAnsiTheme="majorHAnsi" w:cstheme="majorHAnsi"/>
                <w:iCs/>
                <w:sz w:val="18"/>
                <w:szCs w:val="18"/>
                <w:lang w:eastAsia="ar-SA"/>
              </w:rPr>
              <w:t>Kostomlaty nad Labem)</w:t>
            </w:r>
          </w:p>
        </w:tc>
      </w:tr>
      <w:tr w:rsidR="00EE6217" w:rsidRPr="006070EA" w14:paraId="48224FE5" w14:textId="77777777" w:rsidTr="00BF5C46">
        <w:trPr>
          <w:trHeight w:val="722"/>
          <w:jc w:val="center"/>
        </w:trPr>
        <w:tc>
          <w:tcPr>
            <w:tcW w:w="1134" w:type="dxa"/>
            <w:vMerge/>
            <w:vAlign w:val="center"/>
          </w:tcPr>
          <w:p w14:paraId="50E3F558" w14:textId="77777777" w:rsidR="00EE6217" w:rsidRPr="006070EA" w:rsidRDefault="00EE6217" w:rsidP="00830D50">
            <w:pPr>
              <w:suppressAutoHyphens/>
              <w:spacing w:after="0" w:line="240" w:lineRule="auto"/>
              <w:rPr>
                <w:rFonts w:asciiTheme="majorHAnsi" w:eastAsia="Times New Roman" w:hAnsiTheme="majorHAnsi" w:cstheme="majorHAnsi"/>
                <w:b/>
                <w:iCs/>
                <w:sz w:val="18"/>
                <w:szCs w:val="18"/>
                <w:lang w:eastAsia="ar-SA"/>
              </w:rPr>
            </w:pPr>
          </w:p>
        </w:tc>
        <w:tc>
          <w:tcPr>
            <w:tcW w:w="2721" w:type="dxa"/>
            <w:vMerge/>
            <w:vAlign w:val="center"/>
          </w:tcPr>
          <w:p w14:paraId="544812F9" w14:textId="77777777" w:rsidR="00EE6217" w:rsidRPr="006070EA" w:rsidRDefault="00EE6217" w:rsidP="00830D50">
            <w:pPr>
              <w:suppressAutoHyphens/>
              <w:spacing w:after="0" w:line="240" w:lineRule="auto"/>
              <w:rPr>
                <w:rFonts w:asciiTheme="majorHAnsi" w:eastAsia="Times New Roman" w:hAnsiTheme="majorHAnsi" w:cstheme="majorHAnsi"/>
                <w:iCs/>
                <w:sz w:val="18"/>
                <w:szCs w:val="18"/>
                <w:lang w:eastAsia="ar-SA"/>
              </w:rPr>
            </w:pPr>
          </w:p>
        </w:tc>
        <w:tc>
          <w:tcPr>
            <w:tcW w:w="1108" w:type="dxa"/>
            <w:vMerge/>
            <w:vAlign w:val="center"/>
          </w:tcPr>
          <w:p w14:paraId="6C0CCAC6" w14:textId="77777777" w:rsidR="00EE6217" w:rsidRPr="006070EA" w:rsidRDefault="00EE6217" w:rsidP="00830D50">
            <w:pPr>
              <w:suppressAutoHyphens/>
              <w:spacing w:after="0" w:line="240" w:lineRule="auto"/>
              <w:rPr>
                <w:rFonts w:asciiTheme="majorHAnsi" w:eastAsia="Times New Roman" w:hAnsiTheme="majorHAnsi" w:cstheme="majorHAnsi"/>
                <w:iCs/>
                <w:sz w:val="18"/>
                <w:szCs w:val="18"/>
                <w:lang w:eastAsia="ar-SA"/>
              </w:rPr>
            </w:pPr>
          </w:p>
        </w:tc>
        <w:tc>
          <w:tcPr>
            <w:tcW w:w="4108" w:type="dxa"/>
            <w:vAlign w:val="center"/>
          </w:tcPr>
          <w:p w14:paraId="41CBF27C" w14:textId="0BAC8AD7" w:rsidR="00EE6217" w:rsidRPr="006070EA" w:rsidRDefault="00EE6217" w:rsidP="00830D50">
            <w:pPr>
              <w:suppressAutoHyphens/>
              <w:spacing w:after="0" w:line="240" w:lineRule="auto"/>
              <w:rPr>
                <w:rFonts w:asciiTheme="majorHAnsi" w:eastAsia="Times New Roman" w:hAnsiTheme="majorHAnsi" w:cstheme="majorHAnsi"/>
                <w:iCs/>
                <w:sz w:val="18"/>
                <w:szCs w:val="18"/>
                <w:lang w:eastAsia="ar-SA"/>
              </w:rPr>
            </w:pPr>
            <w:r w:rsidRPr="006070EA">
              <w:rPr>
                <w:rFonts w:asciiTheme="majorHAnsi" w:eastAsia="Times New Roman" w:hAnsiTheme="majorHAnsi" w:cstheme="majorHAnsi"/>
                <w:iCs/>
                <w:sz w:val="18"/>
                <w:szCs w:val="18"/>
                <w:lang w:eastAsia="ar-SA"/>
              </w:rPr>
              <w:t xml:space="preserve">Vymezení koridoru pro revitalizační opatření v krajině KRO1 (ÚP Kostomlátky) </w:t>
            </w:r>
            <w:r w:rsidRPr="006070EA">
              <w:rPr>
                <w:rFonts w:asciiTheme="majorHAnsi" w:eastAsia="Times New Roman" w:hAnsiTheme="majorHAnsi" w:cstheme="majorHAnsi"/>
                <w:iCs/>
                <w:sz w:val="18"/>
                <w:szCs w:val="18"/>
                <w:lang w:eastAsia="ar-SA"/>
              </w:rPr>
              <w:sym w:font="Wingdings" w:char="F0E0"/>
            </w:r>
            <w:r w:rsidRPr="006070EA">
              <w:rPr>
                <w:rFonts w:asciiTheme="majorHAnsi" w:eastAsia="Times New Roman" w:hAnsiTheme="majorHAnsi" w:cstheme="majorHAnsi"/>
                <w:iCs/>
                <w:sz w:val="18"/>
                <w:szCs w:val="18"/>
                <w:lang w:eastAsia="ar-SA"/>
              </w:rPr>
              <w:t xml:space="preserve"> </w:t>
            </w:r>
            <w:r w:rsidR="00130E86" w:rsidRPr="006070EA">
              <w:rPr>
                <w:rFonts w:asciiTheme="majorHAnsi" w:eastAsia="Times New Roman" w:hAnsiTheme="majorHAnsi" w:cstheme="majorHAnsi"/>
                <w:iCs/>
                <w:sz w:val="18"/>
                <w:szCs w:val="18"/>
                <w:lang w:eastAsia="ar-SA"/>
              </w:rPr>
              <w:t>revitalizační opatření umožněna v rámci stanovených podmínek ploch s rozdílným způsobem využití, vymezených v návaznosti na koridory revitalizačních opatření v ÚP Kostomlátky</w:t>
            </w:r>
          </w:p>
        </w:tc>
      </w:tr>
      <w:tr w:rsidR="00830D50" w:rsidRPr="006070EA" w14:paraId="3E0C4DB5" w14:textId="77777777" w:rsidTr="00BF5C46">
        <w:trPr>
          <w:trHeight w:val="283"/>
          <w:jc w:val="center"/>
        </w:trPr>
        <w:tc>
          <w:tcPr>
            <w:tcW w:w="1134" w:type="dxa"/>
            <w:vMerge w:val="restart"/>
            <w:vAlign w:val="center"/>
          </w:tcPr>
          <w:p w14:paraId="51922214" w14:textId="31AEEEF2" w:rsidR="00830D50" w:rsidRPr="006070EA" w:rsidRDefault="00830D50" w:rsidP="00830D50">
            <w:pPr>
              <w:suppressAutoHyphens/>
              <w:spacing w:after="0" w:line="240" w:lineRule="auto"/>
              <w:rPr>
                <w:rFonts w:asciiTheme="majorHAnsi" w:eastAsia="Times New Roman" w:hAnsiTheme="majorHAnsi" w:cstheme="majorHAnsi"/>
                <w:b/>
                <w:iCs/>
                <w:sz w:val="18"/>
                <w:szCs w:val="18"/>
                <w:lang w:eastAsia="ar-SA"/>
              </w:rPr>
            </w:pPr>
            <w:r w:rsidRPr="006070EA">
              <w:rPr>
                <w:rFonts w:asciiTheme="majorHAnsi" w:eastAsia="Times New Roman" w:hAnsiTheme="majorHAnsi" w:cstheme="majorHAnsi"/>
                <w:b/>
                <w:iCs/>
                <w:sz w:val="18"/>
                <w:szCs w:val="18"/>
                <w:lang w:eastAsia="ar-SA"/>
              </w:rPr>
              <w:t>Milovice</w:t>
            </w:r>
          </w:p>
        </w:tc>
        <w:tc>
          <w:tcPr>
            <w:tcW w:w="2721" w:type="dxa"/>
            <w:vMerge w:val="restart"/>
            <w:vAlign w:val="center"/>
          </w:tcPr>
          <w:p w14:paraId="6E322B3C" w14:textId="0C129115" w:rsidR="00830D50" w:rsidRPr="006070EA" w:rsidRDefault="00830D50" w:rsidP="00830D50">
            <w:pPr>
              <w:suppressAutoHyphens/>
              <w:spacing w:after="0" w:line="240" w:lineRule="auto"/>
              <w:rPr>
                <w:rFonts w:asciiTheme="majorHAnsi" w:eastAsia="Times New Roman" w:hAnsiTheme="majorHAnsi" w:cstheme="majorHAnsi"/>
                <w:iCs/>
                <w:sz w:val="18"/>
                <w:szCs w:val="18"/>
                <w:lang w:eastAsia="ar-SA"/>
              </w:rPr>
            </w:pPr>
            <w:r w:rsidRPr="006070EA">
              <w:rPr>
                <w:rFonts w:asciiTheme="majorHAnsi" w:eastAsia="Times New Roman" w:hAnsiTheme="majorHAnsi" w:cstheme="majorHAnsi"/>
                <w:iCs/>
                <w:sz w:val="18"/>
                <w:szCs w:val="18"/>
                <w:lang w:eastAsia="ar-SA"/>
              </w:rPr>
              <w:t>ÚP Milovic</w:t>
            </w:r>
          </w:p>
        </w:tc>
        <w:tc>
          <w:tcPr>
            <w:tcW w:w="1108" w:type="dxa"/>
            <w:vMerge w:val="restart"/>
            <w:vAlign w:val="center"/>
          </w:tcPr>
          <w:p w14:paraId="15B19210" w14:textId="15A55145" w:rsidR="00830D50" w:rsidRPr="006070EA" w:rsidRDefault="00830D50" w:rsidP="00830D50">
            <w:pPr>
              <w:suppressAutoHyphens/>
              <w:spacing w:after="0" w:line="240" w:lineRule="auto"/>
              <w:rPr>
                <w:rFonts w:asciiTheme="majorHAnsi" w:eastAsia="Times New Roman" w:hAnsiTheme="majorHAnsi" w:cstheme="majorHAnsi"/>
                <w:iCs/>
                <w:sz w:val="18"/>
                <w:szCs w:val="18"/>
                <w:lang w:eastAsia="ar-SA"/>
              </w:rPr>
            </w:pPr>
            <w:r w:rsidRPr="006070EA">
              <w:rPr>
                <w:rFonts w:asciiTheme="majorHAnsi" w:eastAsia="Times New Roman" w:hAnsiTheme="majorHAnsi" w:cstheme="majorHAnsi"/>
                <w:iCs/>
                <w:sz w:val="18"/>
                <w:szCs w:val="18"/>
                <w:lang w:eastAsia="ar-SA"/>
              </w:rPr>
              <w:t>5. 5. 2016</w:t>
            </w:r>
          </w:p>
        </w:tc>
        <w:tc>
          <w:tcPr>
            <w:tcW w:w="4108" w:type="dxa"/>
            <w:vAlign w:val="center"/>
          </w:tcPr>
          <w:p w14:paraId="583D2DA1" w14:textId="4891C592" w:rsidR="00830D50" w:rsidRPr="006070EA" w:rsidRDefault="00830D50" w:rsidP="00830D50">
            <w:pPr>
              <w:suppressAutoHyphens/>
              <w:spacing w:after="0" w:line="240" w:lineRule="auto"/>
              <w:rPr>
                <w:rFonts w:asciiTheme="majorHAnsi" w:eastAsia="Times New Roman" w:hAnsiTheme="majorHAnsi" w:cstheme="majorHAnsi"/>
                <w:iCs/>
                <w:sz w:val="18"/>
                <w:szCs w:val="18"/>
                <w:lang w:eastAsia="ar-SA"/>
              </w:rPr>
            </w:pPr>
            <w:r w:rsidRPr="006070EA">
              <w:rPr>
                <w:rFonts w:asciiTheme="majorHAnsi" w:eastAsia="Times New Roman" w:hAnsiTheme="majorHAnsi" w:cstheme="majorHAnsi"/>
                <w:iCs/>
                <w:sz w:val="18"/>
                <w:szCs w:val="18"/>
                <w:lang w:eastAsia="ar-SA"/>
              </w:rPr>
              <w:t xml:space="preserve">ÚSES: LBK 4 (ÚP Milovic) </w:t>
            </w:r>
            <w:r w:rsidRPr="006070EA">
              <w:rPr>
                <w:rFonts w:asciiTheme="majorHAnsi" w:eastAsia="Times New Roman" w:hAnsiTheme="majorHAnsi" w:cstheme="majorHAnsi"/>
                <w:iCs/>
                <w:sz w:val="18"/>
                <w:szCs w:val="18"/>
                <w:lang w:eastAsia="ar-SA"/>
              </w:rPr>
              <w:sym w:font="Wingdings" w:char="F0E0"/>
            </w:r>
            <w:r w:rsidRPr="006070EA">
              <w:rPr>
                <w:rFonts w:asciiTheme="majorHAnsi" w:eastAsia="Times New Roman" w:hAnsiTheme="majorHAnsi" w:cstheme="majorHAnsi"/>
                <w:iCs/>
                <w:sz w:val="18"/>
                <w:szCs w:val="18"/>
                <w:lang w:eastAsia="ar-SA"/>
              </w:rPr>
              <w:t xml:space="preserve"> koordinován jako LK 3 Mlynařice (ÚP Kostomlaty nad Labem) </w:t>
            </w:r>
          </w:p>
        </w:tc>
      </w:tr>
      <w:tr w:rsidR="00830D50" w:rsidRPr="006070EA" w14:paraId="79A60391" w14:textId="77777777" w:rsidTr="00BF5C46">
        <w:trPr>
          <w:trHeight w:val="648"/>
          <w:jc w:val="center"/>
        </w:trPr>
        <w:tc>
          <w:tcPr>
            <w:tcW w:w="1134" w:type="dxa"/>
            <w:vMerge/>
            <w:vAlign w:val="center"/>
          </w:tcPr>
          <w:p w14:paraId="790DF8E2" w14:textId="77777777" w:rsidR="00830D50" w:rsidRPr="006070EA" w:rsidRDefault="00830D50" w:rsidP="00830D50">
            <w:pPr>
              <w:suppressAutoHyphens/>
              <w:spacing w:after="0" w:line="240" w:lineRule="auto"/>
              <w:rPr>
                <w:rFonts w:asciiTheme="majorHAnsi" w:hAnsiTheme="majorHAnsi" w:cstheme="majorHAnsi"/>
                <w:b/>
                <w:sz w:val="18"/>
                <w:szCs w:val="18"/>
              </w:rPr>
            </w:pPr>
          </w:p>
        </w:tc>
        <w:tc>
          <w:tcPr>
            <w:tcW w:w="2721" w:type="dxa"/>
            <w:vMerge/>
            <w:vAlign w:val="center"/>
          </w:tcPr>
          <w:p w14:paraId="2811F807" w14:textId="3F54911F" w:rsidR="00830D50" w:rsidRPr="006070EA" w:rsidRDefault="00830D50" w:rsidP="00830D50">
            <w:pPr>
              <w:suppressAutoHyphens/>
              <w:spacing w:after="0" w:line="240" w:lineRule="auto"/>
              <w:rPr>
                <w:rFonts w:asciiTheme="majorHAnsi" w:eastAsia="Times New Roman" w:hAnsiTheme="majorHAnsi" w:cstheme="majorHAnsi"/>
                <w:iCs/>
                <w:sz w:val="18"/>
                <w:szCs w:val="18"/>
                <w:lang w:eastAsia="ar-SA"/>
              </w:rPr>
            </w:pPr>
          </w:p>
        </w:tc>
        <w:tc>
          <w:tcPr>
            <w:tcW w:w="1108" w:type="dxa"/>
            <w:vMerge/>
            <w:vAlign w:val="center"/>
          </w:tcPr>
          <w:p w14:paraId="5464FD2F" w14:textId="4CABFFEF" w:rsidR="00830D50" w:rsidRPr="006070EA" w:rsidRDefault="00830D50" w:rsidP="00830D50">
            <w:pPr>
              <w:suppressAutoHyphens/>
              <w:spacing w:after="0" w:line="240" w:lineRule="auto"/>
              <w:rPr>
                <w:rFonts w:asciiTheme="majorHAnsi" w:eastAsia="Times New Roman" w:hAnsiTheme="majorHAnsi" w:cstheme="majorHAnsi"/>
                <w:iCs/>
                <w:sz w:val="18"/>
                <w:szCs w:val="18"/>
                <w:lang w:eastAsia="ar-SA"/>
              </w:rPr>
            </w:pPr>
          </w:p>
        </w:tc>
        <w:tc>
          <w:tcPr>
            <w:tcW w:w="4108" w:type="dxa"/>
            <w:vAlign w:val="center"/>
          </w:tcPr>
          <w:p w14:paraId="4151C958" w14:textId="08E10A81" w:rsidR="00830D50" w:rsidRPr="006070EA" w:rsidRDefault="00830D50" w:rsidP="00830D50">
            <w:pPr>
              <w:suppressAutoHyphens/>
              <w:spacing w:after="0" w:line="240" w:lineRule="auto"/>
              <w:rPr>
                <w:rFonts w:asciiTheme="majorHAnsi" w:eastAsia="Times New Roman" w:hAnsiTheme="majorHAnsi" w:cstheme="majorHAnsi"/>
                <w:iCs/>
                <w:sz w:val="18"/>
                <w:szCs w:val="18"/>
                <w:lang w:eastAsia="ar-SA"/>
              </w:rPr>
            </w:pPr>
            <w:r w:rsidRPr="006070EA">
              <w:rPr>
                <w:rFonts w:asciiTheme="majorHAnsi" w:eastAsia="Times New Roman" w:hAnsiTheme="majorHAnsi" w:cstheme="majorHAnsi"/>
                <w:iCs/>
                <w:sz w:val="18"/>
                <w:szCs w:val="18"/>
                <w:lang w:eastAsia="ar-SA"/>
              </w:rPr>
              <w:t xml:space="preserve">Vymezení účelové komunikace s rekreačním využitím v rámci plochy PV-4234 (ÚP Milovic) </w:t>
            </w:r>
            <w:r w:rsidRPr="006070EA">
              <w:rPr>
                <w:rFonts w:asciiTheme="majorHAnsi" w:eastAsia="Times New Roman" w:hAnsiTheme="majorHAnsi" w:cstheme="majorHAnsi"/>
                <w:iCs/>
                <w:sz w:val="18"/>
                <w:szCs w:val="18"/>
                <w:lang w:eastAsia="ar-SA"/>
              </w:rPr>
              <w:sym w:font="Wingdings" w:char="F0E0"/>
            </w:r>
            <w:r w:rsidRPr="006070EA">
              <w:rPr>
                <w:rFonts w:asciiTheme="majorHAnsi" w:eastAsia="Times New Roman" w:hAnsiTheme="majorHAnsi" w:cstheme="majorHAnsi"/>
                <w:iCs/>
                <w:sz w:val="18"/>
                <w:szCs w:val="18"/>
                <w:lang w:eastAsia="ar-SA"/>
              </w:rPr>
              <w:t xml:space="preserve"> koordinováno jako směr zajištění prostupnosti území veřejným prostranstvím (ÚP Kostomlaty nad Labem)</w:t>
            </w:r>
          </w:p>
        </w:tc>
      </w:tr>
      <w:tr w:rsidR="00830D50" w:rsidRPr="006070EA" w14:paraId="2A70CDB2" w14:textId="77777777" w:rsidTr="009402D8">
        <w:trPr>
          <w:trHeight w:val="381"/>
          <w:jc w:val="center"/>
        </w:trPr>
        <w:tc>
          <w:tcPr>
            <w:tcW w:w="1134" w:type="dxa"/>
            <w:vAlign w:val="center"/>
          </w:tcPr>
          <w:p w14:paraId="720AAD41" w14:textId="1F1192DB" w:rsidR="00830D50" w:rsidRPr="006070EA" w:rsidRDefault="00830D50" w:rsidP="00830D50">
            <w:pPr>
              <w:suppressAutoHyphens/>
              <w:spacing w:after="0" w:line="240" w:lineRule="auto"/>
              <w:rPr>
                <w:rFonts w:asciiTheme="majorHAnsi" w:hAnsiTheme="majorHAnsi" w:cstheme="majorHAnsi"/>
                <w:b/>
                <w:sz w:val="18"/>
                <w:szCs w:val="18"/>
              </w:rPr>
            </w:pPr>
            <w:r w:rsidRPr="006070EA">
              <w:rPr>
                <w:rFonts w:asciiTheme="majorHAnsi" w:hAnsiTheme="majorHAnsi" w:cstheme="majorHAnsi"/>
                <w:b/>
                <w:sz w:val="18"/>
                <w:szCs w:val="18"/>
              </w:rPr>
              <w:lastRenderedPageBreak/>
              <w:t>Ostrá</w:t>
            </w:r>
          </w:p>
        </w:tc>
        <w:tc>
          <w:tcPr>
            <w:tcW w:w="2721" w:type="dxa"/>
            <w:vAlign w:val="center"/>
          </w:tcPr>
          <w:p w14:paraId="1EA58463" w14:textId="39CE8EAE" w:rsidR="00830D50" w:rsidRPr="006070EA" w:rsidRDefault="00830D50" w:rsidP="00830D50">
            <w:pPr>
              <w:suppressAutoHyphens/>
              <w:spacing w:after="0" w:line="240" w:lineRule="auto"/>
              <w:rPr>
                <w:rFonts w:asciiTheme="majorHAnsi" w:eastAsia="Times New Roman" w:hAnsiTheme="majorHAnsi" w:cstheme="majorHAnsi"/>
                <w:iCs/>
                <w:sz w:val="18"/>
                <w:szCs w:val="18"/>
                <w:lang w:eastAsia="ar-SA"/>
              </w:rPr>
            </w:pPr>
            <w:r w:rsidRPr="006070EA">
              <w:rPr>
                <w:rFonts w:asciiTheme="majorHAnsi" w:eastAsia="Times New Roman" w:hAnsiTheme="majorHAnsi" w:cstheme="majorHAnsi"/>
                <w:iCs/>
                <w:sz w:val="18"/>
                <w:szCs w:val="18"/>
                <w:lang w:eastAsia="ar-SA"/>
              </w:rPr>
              <w:t>ÚP Ostrá</w:t>
            </w:r>
          </w:p>
        </w:tc>
        <w:tc>
          <w:tcPr>
            <w:tcW w:w="1108" w:type="dxa"/>
            <w:vAlign w:val="center"/>
          </w:tcPr>
          <w:p w14:paraId="4ED4817C" w14:textId="0BC9AA8E" w:rsidR="00830D50" w:rsidRPr="006070EA" w:rsidRDefault="00830D50" w:rsidP="00830D50">
            <w:pPr>
              <w:suppressAutoHyphens/>
              <w:spacing w:after="0" w:line="240" w:lineRule="auto"/>
              <w:rPr>
                <w:rFonts w:asciiTheme="majorHAnsi" w:eastAsia="Times New Roman" w:hAnsiTheme="majorHAnsi" w:cstheme="majorHAnsi"/>
                <w:iCs/>
                <w:sz w:val="18"/>
                <w:szCs w:val="18"/>
                <w:lang w:eastAsia="ar-SA"/>
              </w:rPr>
            </w:pPr>
            <w:r w:rsidRPr="006070EA">
              <w:rPr>
                <w:rFonts w:asciiTheme="majorHAnsi" w:eastAsia="Times New Roman" w:hAnsiTheme="majorHAnsi" w:cstheme="majorHAnsi"/>
                <w:iCs/>
                <w:sz w:val="18"/>
                <w:szCs w:val="18"/>
                <w:lang w:eastAsia="ar-SA"/>
              </w:rPr>
              <w:t>25. 12. 2015</w:t>
            </w:r>
          </w:p>
        </w:tc>
        <w:tc>
          <w:tcPr>
            <w:tcW w:w="4108" w:type="dxa"/>
            <w:shd w:val="clear" w:color="auto" w:fill="auto"/>
            <w:vAlign w:val="center"/>
          </w:tcPr>
          <w:p w14:paraId="046237E1" w14:textId="77777777" w:rsidR="00830D50" w:rsidRPr="009402D8" w:rsidRDefault="00830D50" w:rsidP="00830D50">
            <w:pPr>
              <w:suppressAutoHyphens/>
              <w:spacing w:after="0" w:line="240" w:lineRule="auto"/>
              <w:rPr>
                <w:rFonts w:asciiTheme="majorHAnsi" w:eastAsia="Times New Roman" w:hAnsiTheme="majorHAnsi" w:cstheme="majorHAnsi"/>
                <w:iCs/>
                <w:sz w:val="18"/>
                <w:szCs w:val="18"/>
                <w:lang w:eastAsia="ar-SA"/>
              </w:rPr>
            </w:pPr>
            <w:r w:rsidRPr="009402D8">
              <w:rPr>
                <w:rFonts w:asciiTheme="majorHAnsi" w:eastAsia="Times New Roman" w:hAnsiTheme="majorHAnsi" w:cstheme="majorHAnsi"/>
                <w:iCs/>
                <w:sz w:val="18"/>
                <w:szCs w:val="18"/>
                <w:lang w:eastAsia="ar-SA"/>
              </w:rPr>
              <w:t xml:space="preserve">ÚSES: LBK 14 (ÚP Ostrá) </w:t>
            </w:r>
            <w:r w:rsidRPr="009402D8">
              <w:rPr>
                <w:rFonts w:asciiTheme="majorHAnsi" w:eastAsia="Times New Roman" w:hAnsiTheme="majorHAnsi" w:cstheme="majorHAnsi"/>
                <w:iCs/>
                <w:sz w:val="18"/>
                <w:szCs w:val="18"/>
                <w:lang w:eastAsia="ar-SA"/>
              </w:rPr>
              <w:sym w:font="Wingdings" w:char="F0E0"/>
            </w:r>
            <w:r w:rsidRPr="009402D8">
              <w:rPr>
                <w:rFonts w:asciiTheme="majorHAnsi" w:eastAsia="Times New Roman" w:hAnsiTheme="majorHAnsi" w:cstheme="majorHAnsi"/>
                <w:iCs/>
                <w:sz w:val="18"/>
                <w:szCs w:val="18"/>
                <w:lang w:eastAsia="ar-SA"/>
              </w:rPr>
              <w:t xml:space="preserve"> koordinován jako LK 2 Hronětický náhon (ÚP Kostomlaty nad Labem);</w:t>
            </w:r>
          </w:p>
          <w:p w14:paraId="497862BD" w14:textId="7844054C" w:rsidR="00830D50" w:rsidRPr="009402D8" w:rsidRDefault="00830D50" w:rsidP="00830D50">
            <w:pPr>
              <w:suppressAutoHyphens/>
              <w:spacing w:after="0" w:line="240" w:lineRule="auto"/>
              <w:rPr>
                <w:rFonts w:asciiTheme="majorHAnsi" w:eastAsia="Times New Roman" w:hAnsiTheme="majorHAnsi" w:cstheme="majorHAnsi"/>
                <w:iCs/>
                <w:sz w:val="18"/>
                <w:szCs w:val="18"/>
                <w:lang w:eastAsia="ar-SA"/>
              </w:rPr>
            </w:pPr>
            <w:r w:rsidRPr="009402D8">
              <w:rPr>
                <w:rFonts w:asciiTheme="majorHAnsi" w:eastAsia="Times New Roman" w:hAnsiTheme="majorHAnsi" w:cstheme="majorHAnsi"/>
                <w:iCs/>
                <w:sz w:val="18"/>
                <w:szCs w:val="18"/>
                <w:lang w:eastAsia="ar-SA"/>
              </w:rPr>
              <w:t xml:space="preserve">RBC 349 (ÚP Ostrá) </w:t>
            </w:r>
            <w:r w:rsidRPr="009402D8">
              <w:rPr>
                <w:rFonts w:asciiTheme="majorHAnsi" w:eastAsia="Times New Roman" w:hAnsiTheme="majorHAnsi" w:cstheme="majorHAnsi"/>
                <w:iCs/>
                <w:sz w:val="18"/>
                <w:szCs w:val="18"/>
                <w:lang w:eastAsia="ar-SA"/>
              </w:rPr>
              <w:sym w:font="Wingdings" w:char="F0E0"/>
            </w:r>
            <w:r w:rsidRPr="009402D8">
              <w:rPr>
                <w:rFonts w:asciiTheme="majorHAnsi" w:eastAsia="Times New Roman" w:hAnsiTheme="majorHAnsi" w:cstheme="majorHAnsi"/>
                <w:iCs/>
                <w:sz w:val="18"/>
                <w:szCs w:val="18"/>
                <w:lang w:eastAsia="ar-SA"/>
              </w:rPr>
              <w:t xml:space="preserve"> koordinováno jako RC 349 Niva Labe u </w:t>
            </w:r>
            <w:r w:rsidR="004C536A" w:rsidRPr="009402D8">
              <w:rPr>
                <w:rFonts w:asciiTheme="majorHAnsi" w:eastAsia="Times New Roman" w:hAnsiTheme="majorHAnsi" w:cstheme="majorHAnsi"/>
                <w:iCs/>
                <w:sz w:val="18"/>
                <w:szCs w:val="18"/>
                <w:lang w:eastAsia="ar-SA"/>
              </w:rPr>
              <w:t>Lysé nad Labem</w:t>
            </w:r>
            <w:r w:rsidRPr="009402D8">
              <w:rPr>
                <w:rFonts w:asciiTheme="majorHAnsi" w:eastAsia="Times New Roman" w:hAnsiTheme="majorHAnsi" w:cstheme="majorHAnsi"/>
                <w:iCs/>
                <w:sz w:val="18"/>
                <w:szCs w:val="18"/>
                <w:lang w:eastAsia="ar-SA"/>
              </w:rPr>
              <w:t xml:space="preserve"> (ÚP Kostomlaty nad Labem)</w:t>
            </w:r>
          </w:p>
        </w:tc>
      </w:tr>
      <w:tr w:rsidR="00830D50" w:rsidRPr="006070EA" w14:paraId="4FE1E20E" w14:textId="77777777" w:rsidTr="00BF5C46">
        <w:trPr>
          <w:trHeight w:val="339"/>
          <w:jc w:val="center"/>
        </w:trPr>
        <w:tc>
          <w:tcPr>
            <w:tcW w:w="1134" w:type="dxa"/>
            <w:vAlign w:val="center"/>
          </w:tcPr>
          <w:p w14:paraId="4C37420D" w14:textId="555E5759" w:rsidR="00830D50" w:rsidRPr="006070EA" w:rsidRDefault="00830D50" w:rsidP="00830D50">
            <w:pPr>
              <w:suppressAutoHyphens/>
              <w:spacing w:after="0" w:line="240" w:lineRule="auto"/>
              <w:rPr>
                <w:rFonts w:asciiTheme="majorHAnsi" w:hAnsiTheme="majorHAnsi" w:cstheme="majorHAnsi"/>
                <w:b/>
                <w:sz w:val="18"/>
                <w:szCs w:val="18"/>
              </w:rPr>
            </w:pPr>
            <w:r w:rsidRPr="006070EA">
              <w:rPr>
                <w:rFonts w:asciiTheme="majorHAnsi" w:hAnsiTheme="majorHAnsi" w:cstheme="majorHAnsi"/>
                <w:b/>
                <w:sz w:val="18"/>
                <w:szCs w:val="18"/>
              </w:rPr>
              <w:t>Stratov</w:t>
            </w:r>
          </w:p>
        </w:tc>
        <w:tc>
          <w:tcPr>
            <w:tcW w:w="2721" w:type="dxa"/>
            <w:vAlign w:val="center"/>
          </w:tcPr>
          <w:p w14:paraId="7EEDBCD1" w14:textId="68172D9D" w:rsidR="00830D50" w:rsidRPr="006070EA" w:rsidRDefault="00830D50" w:rsidP="00830D50">
            <w:pPr>
              <w:suppressAutoHyphens/>
              <w:spacing w:after="0" w:line="240" w:lineRule="auto"/>
              <w:rPr>
                <w:rFonts w:asciiTheme="majorHAnsi" w:eastAsia="Times New Roman" w:hAnsiTheme="majorHAnsi" w:cstheme="majorHAnsi"/>
                <w:iCs/>
                <w:sz w:val="18"/>
                <w:szCs w:val="18"/>
                <w:lang w:eastAsia="ar-SA"/>
              </w:rPr>
            </w:pPr>
            <w:r w:rsidRPr="006070EA">
              <w:rPr>
                <w:rFonts w:asciiTheme="majorHAnsi" w:eastAsia="Times New Roman" w:hAnsiTheme="majorHAnsi" w:cstheme="majorHAnsi"/>
                <w:iCs/>
                <w:sz w:val="18"/>
                <w:szCs w:val="18"/>
                <w:lang w:eastAsia="ar-SA"/>
              </w:rPr>
              <w:t>ÚP Stratov</w:t>
            </w:r>
          </w:p>
        </w:tc>
        <w:tc>
          <w:tcPr>
            <w:tcW w:w="1108" w:type="dxa"/>
            <w:vAlign w:val="center"/>
          </w:tcPr>
          <w:p w14:paraId="0171A4CD" w14:textId="62D52F32" w:rsidR="00830D50" w:rsidRPr="006070EA" w:rsidRDefault="00830D50" w:rsidP="00830D50">
            <w:pPr>
              <w:suppressAutoHyphens/>
              <w:spacing w:after="0" w:line="240" w:lineRule="auto"/>
              <w:rPr>
                <w:rFonts w:asciiTheme="majorHAnsi" w:eastAsia="Times New Roman" w:hAnsiTheme="majorHAnsi" w:cstheme="majorHAnsi"/>
                <w:iCs/>
                <w:sz w:val="18"/>
                <w:szCs w:val="18"/>
                <w:lang w:eastAsia="ar-SA"/>
              </w:rPr>
            </w:pPr>
            <w:r w:rsidRPr="006070EA">
              <w:rPr>
                <w:rFonts w:asciiTheme="majorHAnsi" w:eastAsia="Times New Roman" w:hAnsiTheme="majorHAnsi" w:cstheme="majorHAnsi"/>
                <w:iCs/>
                <w:sz w:val="18"/>
                <w:szCs w:val="18"/>
                <w:lang w:eastAsia="ar-SA"/>
              </w:rPr>
              <w:t>31. 8. 2017</w:t>
            </w:r>
          </w:p>
        </w:tc>
        <w:tc>
          <w:tcPr>
            <w:tcW w:w="4108" w:type="dxa"/>
            <w:vAlign w:val="center"/>
          </w:tcPr>
          <w:p w14:paraId="7FCBFE26" w14:textId="51299AEE" w:rsidR="00830D50" w:rsidRPr="006070EA" w:rsidRDefault="00830D50" w:rsidP="00830D50">
            <w:pPr>
              <w:suppressAutoHyphens/>
              <w:spacing w:after="0" w:line="240" w:lineRule="auto"/>
              <w:rPr>
                <w:rFonts w:asciiTheme="majorHAnsi" w:eastAsia="Times New Roman" w:hAnsiTheme="majorHAnsi" w:cstheme="majorHAnsi"/>
                <w:iCs/>
                <w:sz w:val="18"/>
                <w:szCs w:val="18"/>
                <w:lang w:eastAsia="ar-SA"/>
              </w:rPr>
            </w:pPr>
            <w:r w:rsidRPr="006070EA">
              <w:rPr>
                <w:rFonts w:asciiTheme="majorHAnsi" w:eastAsia="Times New Roman" w:hAnsiTheme="majorHAnsi" w:cstheme="majorHAnsi"/>
                <w:iCs/>
                <w:sz w:val="18"/>
                <w:szCs w:val="18"/>
                <w:lang w:eastAsia="ar-SA"/>
              </w:rPr>
              <w:t xml:space="preserve">ÚSES: LK1 Na Babsku (ÚP Stratov) </w:t>
            </w:r>
            <w:r w:rsidRPr="006070EA">
              <w:rPr>
                <w:rFonts w:asciiTheme="majorHAnsi" w:eastAsia="Times New Roman" w:hAnsiTheme="majorHAnsi" w:cstheme="majorHAnsi"/>
                <w:iCs/>
                <w:sz w:val="18"/>
                <w:szCs w:val="18"/>
                <w:lang w:eastAsia="ar-SA"/>
              </w:rPr>
              <w:sym w:font="Wingdings" w:char="F0E0"/>
            </w:r>
            <w:r w:rsidRPr="006070EA">
              <w:rPr>
                <w:rFonts w:asciiTheme="majorHAnsi" w:eastAsia="Times New Roman" w:hAnsiTheme="majorHAnsi" w:cstheme="majorHAnsi"/>
                <w:iCs/>
                <w:sz w:val="18"/>
                <w:szCs w:val="18"/>
                <w:lang w:eastAsia="ar-SA"/>
              </w:rPr>
              <w:t xml:space="preserve"> koordinován jako LK 5 Ke Stratovu (ÚP Kostomlaty nad Labem);</w:t>
            </w:r>
          </w:p>
        </w:tc>
      </w:tr>
      <w:tr w:rsidR="00BF5C46" w:rsidRPr="006070EA" w14:paraId="7BCD13CD" w14:textId="77777777" w:rsidTr="00BF5C46">
        <w:trPr>
          <w:trHeight w:val="70"/>
          <w:jc w:val="center"/>
        </w:trPr>
        <w:tc>
          <w:tcPr>
            <w:tcW w:w="1134" w:type="dxa"/>
            <w:vAlign w:val="center"/>
          </w:tcPr>
          <w:p w14:paraId="32343E3E" w14:textId="72BA5C50" w:rsidR="00BF5C46" w:rsidRPr="006070EA" w:rsidRDefault="00BF5C46" w:rsidP="00BF5C46">
            <w:pPr>
              <w:suppressAutoHyphens/>
              <w:spacing w:after="0" w:line="240" w:lineRule="auto"/>
              <w:rPr>
                <w:rFonts w:asciiTheme="majorHAnsi" w:hAnsiTheme="majorHAnsi" w:cstheme="majorHAnsi"/>
                <w:b/>
                <w:sz w:val="18"/>
                <w:szCs w:val="18"/>
              </w:rPr>
            </w:pPr>
            <w:r w:rsidRPr="006070EA">
              <w:rPr>
                <w:rFonts w:asciiTheme="majorHAnsi" w:hAnsiTheme="majorHAnsi" w:cstheme="majorHAnsi"/>
                <w:b/>
                <w:sz w:val="18"/>
                <w:szCs w:val="18"/>
              </w:rPr>
              <w:t>Zbožíčko</w:t>
            </w:r>
          </w:p>
        </w:tc>
        <w:tc>
          <w:tcPr>
            <w:tcW w:w="2721" w:type="dxa"/>
            <w:vAlign w:val="center"/>
          </w:tcPr>
          <w:p w14:paraId="19449D2E" w14:textId="19A3BDFA" w:rsidR="00BF5C46" w:rsidRPr="006070EA" w:rsidRDefault="00BF5C46" w:rsidP="00BF5C46">
            <w:pPr>
              <w:suppressAutoHyphens/>
              <w:spacing w:after="0" w:line="240" w:lineRule="auto"/>
              <w:rPr>
                <w:rFonts w:asciiTheme="majorHAnsi" w:eastAsia="Times New Roman" w:hAnsiTheme="majorHAnsi" w:cstheme="majorHAnsi"/>
                <w:iCs/>
                <w:sz w:val="18"/>
                <w:szCs w:val="18"/>
                <w:lang w:eastAsia="ar-SA"/>
              </w:rPr>
            </w:pPr>
            <w:r w:rsidRPr="006070EA">
              <w:rPr>
                <w:rFonts w:asciiTheme="majorHAnsi" w:eastAsia="Times New Roman" w:hAnsiTheme="majorHAnsi" w:cstheme="majorHAnsi"/>
                <w:iCs/>
                <w:sz w:val="18"/>
                <w:szCs w:val="18"/>
                <w:lang w:eastAsia="ar-SA"/>
              </w:rPr>
              <w:t>ÚP Zbožíčko</w:t>
            </w:r>
          </w:p>
        </w:tc>
        <w:tc>
          <w:tcPr>
            <w:tcW w:w="1108" w:type="dxa"/>
            <w:vAlign w:val="center"/>
          </w:tcPr>
          <w:p w14:paraId="784E9A37" w14:textId="718BE7B3" w:rsidR="00BF5C46" w:rsidRPr="006070EA" w:rsidRDefault="00BF5C46" w:rsidP="00BF5C46">
            <w:pPr>
              <w:suppressAutoHyphens/>
              <w:spacing w:after="0" w:line="240" w:lineRule="auto"/>
              <w:rPr>
                <w:rFonts w:asciiTheme="majorHAnsi" w:eastAsia="Times New Roman" w:hAnsiTheme="majorHAnsi" w:cstheme="majorHAnsi"/>
                <w:iCs/>
                <w:sz w:val="18"/>
                <w:szCs w:val="18"/>
                <w:lang w:eastAsia="ar-SA"/>
              </w:rPr>
            </w:pPr>
            <w:r w:rsidRPr="006070EA">
              <w:rPr>
                <w:rFonts w:asciiTheme="majorHAnsi" w:eastAsia="Times New Roman" w:hAnsiTheme="majorHAnsi" w:cstheme="majorHAnsi"/>
                <w:iCs/>
                <w:sz w:val="18"/>
                <w:szCs w:val="18"/>
                <w:lang w:eastAsia="ar-SA"/>
              </w:rPr>
              <w:t>12. 9. 2008</w:t>
            </w:r>
          </w:p>
        </w:tc>
        <w:tc>
          <w:tcPr>
            <w:tcW w:w="4108" w:type="dxa"/>
            <w:vAlign w:val="center"/>
          </w:tcPr>
          <w:p w14:paraId="7A7F2C22" w14:textId="36DD0CCC" w:rsidR="00BF5C46" w:rsidRPr="006070EA" w:rsidRDefault="00BF5C46" w:rsidP="00BF5C46">
            <w:pPr>
              <w:suppressAutoHyphens/>
              <w:spacing w:after="0" w:line="240" w:lineRule="auto"/>
              <w:rPr>
                <w:rFonts w:asciiTheme="majorHAnsi" w:eastAsia="Times New Roman" w:hAnsiTheme="majorHAnsi" w:cstheme="majorHAnsi"/>
                <w:iCs/>
                <w:sz w:val="18"/>
                <w:szCs w:val="18"/>
                <w:lang w:eastAsia="ar-SA"/>
              </w:rPr>
            </w:pPr>
            <w:r w:rsidRPr="006070EA">
              <w:rPr>
                <w:rFonts w:asciiTheme="majorHAnsi" w:eastAsia="Times New Roman" w:hAnsiTheme="majorHAnsi" w:cstheme="majorHAnsi"/>
                <w:iCs/>
                <w:sz w:val="18"/>
                <w:szCs w:val="18"/>
                <w:lang w:eastAsia="ar-SA"/>
              </w:rPr>
              <w:t xml:space="preserve">ÚSES: bezejmenné biocentrum (ÚP Zbožíčko) </w:t>
            </w:r>
            <w:r w:rsidRPr="006070EA">
              <w:rPr>
                <w:rFonts w:asciiTheme="majorHAnsi" w:eastAsia="Times New Roman" w:hAnsiTheme="majorHAnsi" w:cstheme="majorHAnsi"/>
                <w:iCs/>
                <w:sz w:val="18"/>
                <w:szCs w:val="18"/>
                <w:lang w:eastAsia="ar-SA"/>
              </w:rPr>
              <w:sym w:font="Wingdings" w:char="F0E0"/>
            </w:r>
            <w:r w:rsidRPr="006070EA">
              <w:rPr>
                <w:rFonts w:asciiTheme="majorHAnsi" w:eastAsia="Times New Roman" w:hAnsiTheme="majorHAnsi" w:cstheme="majorHAnsi"/>
                <w:iCs/>
                <w:sz w:val="18"/>
                <w:szCs w:val="18"/>
                <w:lang w:eastAsia="ar-SA"/>
              </w:rPr>
              <w:t xml:space="preserve"> koordinováno jako LC 4 Vápensko (ÚP Kostomlaty nad Labem)</w:t>
            </w:r>
          </w:p>
        </w:tc>
      </w:tr>
    </w:tbl>
    <w:p w14:paraId="5485ADEC" w14:textId="77777777" w:rsidR="00197159" w:rsidRPr="006070EA" w:rsidRDefault="008C420C" w:rsidP="00867F29">
      <w:pPr>
        <w:pStyle w:val="Odstavecseseznamem"/>
        <w:keepNext/>
        <w:numPr>
          <w:ilvl w:val="1"/>
          <w:numId w:val="2"/>
        </w:numPr>
        <w:spacing w:before="160" w:after="120" w:line="240" w:lineRule="auto"/>
        <w:ind w:left="709" w:hanging="709"/>
        <w:contextualSpacing w:val="0"/>
        <w:outlineLvl w:val="1"/>
        <w:rPr>
          <w:rFonts w:asciiTheme="majorHAnsi" w:hAnsiTheme="majorHAnsi" w:cstheme="majorHAnsi"/>
          <w:b/>
          <w:sz w:val="24"/>
          <w:szCs w:val="20"/>
        </w:rPr>
      </w:pPr>
      <w:bookmarkStart w:id="31" w:name="_Toc424119792"/>
      <w:bookmarkStart w:id="32" w:name="_Toc204678165"/>
      <w:r w:rsidRPr="006070EA">
        <w:rPr>
          <w:rFonts w:asciiTheme="majorHAnsi" w:hAnsiTheme="majorHAnsi" w:cstheme="majorHAnsi"/>
          <w:b/>
          <w:sz w:val="24"/>
          <w:szCs w:val="20"/>
        </w:rPr>
        <w:t>Širší dopravní vztahy, širší vztahy technické infrastruktury</w:t>
      </w:r>
      <w:bookmarkEnd w:id="31"/>
      <w:bookmarkEnd w:id="32"/>
    </w:p>
    <w:p w14:paraId="276E28B4" w14:textId="77777777" w:rsidR="008C420C" w:rsidRPr="006070EA" w:rsidRDefault="008C420C" w:rsidP="00867F29">
      <w:pPr>
        <w:keepNext/>
        <w:spacing w:after="120" w:line="240" w:lineRule="auto"/>
        <w:rPr>
          <w:rFonts w:asciiTheme="majorHAnsi" w:hAnsiTheme="majorHAnsi" w:cstheme="majorHAnsi"/>
          <w:b/>
          <w:sz w:val="20"/>
          <w:szCs w:val="20"/>
        </w:rPr>
      </w:pPr>
      <w:r w:rsidRPr="006070EA">
        <w:rPr>
          <w:rFonts w:asciiTheme="majorHAnsi" w:hAnsiTheme="majorHAnsi" w:cstheme="majorHAnsi"/>
          <w:b/>
          <w:sz w:val="20"/>
          <w:szCs w:val="20"/>
        </w:rPr>
        <w:t>ŠIRŠÍ DOPRAVNÍ VZTAHY</w:t>
      </w:r>
    </w:p>
    <w:p w14:paraId="215581BA" w14:textId="6AAAAE5E" w:rsidR="00E90389" w:rsidRPr="006070EA" w:rsidRDefault="00E90389" w:rsidP="00E90389">
      <w:pPr>
        <w:suppressAutoHyphens/>
        <w:spacing w:before="120" w:after="120" w:line="240" w:lineRule="auto"/>
        <w:ind w:firstLine="709"/>
        <w:jc w:val="both"/>
        <w:rPr>
          <w:rFonts w:asciiTheme="majorHAnsi" w:eastAsia="Times New Roman" w:hAnsiTheme="majorHAnsi" w:cstheme="majorHAnsi"/>
          <w:bCs/>
          <w:iCs/>
          <w:sz w:val="18"/>
          <w:szCs w:val="18"/>
          <w:lang w:eastAsia="ar-SA"/>
        </w:rPr>
      </w:pPr>
      <w:r w:rsidRPr="006070EA">
        <w:rPr>
          <w:rFonts w:asciiTheme="majorHAnsi" w:eastAsia="Times New Roman" w:hAnsiTheme="majorHAnsi" w:cstheme="majorHAnsi"/>
          <w:bCs/>
          <w:iCs/>
          <w:sz w:val="18"/>
          <w:szCs w:val="18"/>
          <w:lang w:eastAsia="ar-SA"/>
        </w:rPr>
        <w:t xml:space="preserve">Obec Kostomlaty nad Labem leží mimo páteřní dopravní tahy. </w:t>
      </w:r>
      <w:r w:rsidR="00AB7C78" w:rsidRPr="006070EA">
        <w:rPr>
          <w:rFonts w:asciiTheme="majorHAnsi" w:eastAsia="Times New Roman" w:hAnsiTheme="majorHAnsi" w:cstheme="majorHAnsi"/>
          <w:bCs/>
          <w:iCs/>
          <w:sz w:val="18"/>
          <w:szCs w:val="18"/>
          <w:lang w:eastAsia="ar-SA"/>
        </w:rPr>
        <w:t>Nejvýznamnější komunikace</w:t>
      </w:r>
      <w:r w:rsidRPr="006070EA">
        <w:rPr>
          <w:rFonts w:asciiTheme="majorHAnsi" w:eastAsia="Times New Roman" w:hAnsiTheme="majorHAnsi" w:cstheme="majorHAnsi"/>
          <w:bCs/>
          <w:iCs/>
          <w:sz w:val="18"/>
          <w:szCs w:val="18"/>
          <w:lang w:eastAsia="ar-SA"/>
        </w:rPr>
        <w:t>, která řešeným územím prochází, je silnice II/331 zajišťující propojení obce s vyššími správními celky –</w:t>
      </w:r>
      <w:r w:rsidR="00AB7C78" w:rsidRPr="006070EA">
        <w:rPr>
          <w:rFonts w:asciiTheme="majorHAnsi" w:eastAsia="Times New Roman" w:hAnsiTheme="majorHAnsi" w:cstheme="majorHAnsi"/>
          <w:bCs/>
          <w:iCs/>
          <w:sz w:val="18"/>
          <w:szCs w:val="18"/>
          <w:lang w:eastAsia="ar-SA"/>
        </w:rPr>
        <w:t xml:space="preserve"> </w:t>
      </w:r>
      <w:r w:rsidRPr="006070EA">
        <w:rPr>
          <w:rFonts w:asciiTheme="majorHAnsi" w:eastAsia="Times New Roman" w:hAnsiTheme="majorHAnsi" w:cstheme="majorHAnsi"/>
          <w:bCs/>
          <w:iCs/>
          <w:sz w:val="18"/>
          <w:szCs w:val="18"/>
          <w:lang w:eastAsia="ar-SA"/>
        </w:rPr>
        <w:t xml:space="preserve">Lysou nad Labem a Nymburkem. Silnice II/331 je hlavní dopravní osou řešeného území a společně </w:t>
      </w:r>
      <w:r w:rsidR="00AB7C78" w:rsidRPr="006070EA">
        <w:rPr>
          <w:rFonts w:asciiTheme="majorHAnsi" w:eastAsia="Times New Roman" w:hAnsiTheme="majorHAnsi" w:cstheme="majorHAnsi"/>
          <w:bCs/>
          <w:iCs/>
          <w:sz w:val="18"/>
          <w:szCs w:val="18"/>
          <w:lang w:eastAsia="ar-SA"/>
        </w:rPr>
        <w:t xml:space="preserve">se </w:t>
      </w:r>
      <w:r w:rsidRPr="006070EA">
        <w:rPr>
          <w:rFonts w:asciiTheme="majorHAnsi" w:eastAsia="Times New Roman" w:hAnsiTheme="majorHAnsi" w:cstheme="majorHAnsi"/>
          <w:bCs/>
          <w:iCs/>
          <w:sz w:val="18"/>
          <w:szCs w:val="18"/>
          <w:lang w:eastAsia="ar-SA"/>
        </w:rPr>
        <w:t>silnice</w:t>
      </w:r>
      <w:r w:rsidR="00AB7C78" w:rsidRPr="006070EA">
        <w:rPr>
          <w:rFonts w:asciiTheme="majorHAnsi" w:eastAsia="Times New Roman" w:hAnsiTheme="majorHAnsi" w:cstheme="majorHAnsi"/>
          <w:bCs/>
          <w:iCs/>
          <w:sz w:val="18"/>
          <w:szCs w:val="18"/>
          <w:lang w:eastAsia="ar-SA"/>
        </w:rPr>
        <w:t>mi</w:t>
      </w:r>
      <w:r w:rsidRPr="006070EA">
        <w:rPr>
          <w:rFonts w:asciiTheme="majorHAnsi" w:eastAsia="Times New Roman" w:hAnsiTheme="majorHAnsi" w:cstheme="majorHAnsi"/>
          <w:bCs/>
          <w:iCs/>
          <w:sz w:val="18"/>
          <w:szCs w:val="18"/>
          <w:lang w:eastAsia="ar-SA"/>
        </w:rPr>
        <w:t xml:space="preserve"> III. třídy </w:t>
      </w:r>
      <w:r w:rsidR="00AB7C78" w:rsidRPr="006070EA">
        <w:rPr>
          <w:rFonts w:asciiTheme="majorHAnsi" w:eastAsia="Times New Roman" w:hAnsiTheme="majorHAnsi" w:cstheme="majorHAnsi"/>
          <w:bCs/>
          <w:iCs/>
          <w:sz w:val="18"/>
          <w:szCs w:val="18"/>
          <w:lang w:eastAsia="ar-SA"/>
        </w:rPr>
        <w:t xml:space="preserve">v řešeném území </w:t>
      </w:r>
      <w:r w:rsidRPr="006070EA">
        <w:rPr>
          <w:rFonts w:asciiTheme="majorHAnsi" w:eastAsia="Times New Roman" w:hAnsiTheme="majorHAnsi" w:cstheme="majorHAnsi"/>
          <w:bCs/>
          <w:iCs/>
          <w:sz w:val="18"/>
          <w:szCs w:val="18"/>
          <w:lang w:eastAsia="ar-SA"/>
        </w:rPr>
        <w:t xml:space="preserve">propojuje jednotlivé místní části. </w:t>
      </w:r>
    </w:p>
    <w:p w14:paraId="685E7FA1" w14:textId="124F7CAA" w:rsidR="00E90389" w:rsidRPr="006070EA" w:rsidRDefault="00E90389" w:rsidP="00E90389">
      <w:pPr>
        <w:suppressAutoHyphens/>
        <w:spacing w:before="120" w:after="120" w:line="240" w:lineRule="auto"/>
        <w:ind w:firstLine="709"/>
        <w:jc w:val="both"/>
        <w:rPr>
          <w:rFonts w:asciiTheme="majorHAnsi" w:eastAsia="Times New Roman" w:hAnsiTheme="majorHAnsi" w:cstheme="majorHAnsi"/>
          <w:bCs/>
          <w:iCs/>
          <w:sz w:val="18"/>
          <w:szCs w:val="18"/>
          <w:lang w:eastAsia="ar-SA"/>
        </w:rPr>
      </w:pPr>
      <w:r w:rsidRPr="006070EA">
        <w:rPr>
          <w:rFonts w:asciiTheme="majorHAnsi" w:eastAsia="Times New Roman" w:hAnsiTheme="majorHAnsi" w:cstheme="majorHAnsi"/>
          <w:bCs/>
          <w:iCs/>
          <w:sz w:val="18"/>
          <w:szCs w:val="18"/>
          <w:lang w:eastAsia="ar-SA"/>
        </w:rPr>
        <w:t xml:space="preserve">Z hlediska širších dopravních vztahů je pro obec významná silnice I/38 procházející městy Nymburk, Poděbrady, Kolín, Kutná Hora, Čáslav a dalšími významnými městy. Nejvýznamnější je však blízkost hlavních dopravních tepen </w:t>
      </w:r>
      <w:r w:rsidR="00AB7C78" w:rsidRPr="006070EA">
        <w:rPr>
          <w:rFonts w:asciiTheme="majorHAnsi" w:eastAsia="Times New Roman" w:hAnsiTheme="majorHAnsi" w:cstheme="majorHAnsi"/>
          <w:bCs/>
          <w:iCs/>
          <w:sz w:val="18"/>
          <w:szCs w:val="18"/>
          <w:lang w:eastAsia="ar-SA"/>
        </w:rPr>
        <w:t>nadregionálního významu</w:t>
      </w:r>
      <w:r w:rsidRPr="006070EA">
        <w:rPr>
          <w:rFonts w:asciiTheme="majorHAnsi" w:eastAsia="Times New Roman" w:hAnsiTheme="majorHAnsi" w:cstheme="majorHAnsi"/>
          <w:bCs/>
          <w:iCs/>
          <w:sz w:val="18"/>
          <w:szCs w:val="18"/>
          <w:lang w:eastAsia="ar-SA"/>
        </w:rPr>
        <w:t xml:space="preserve"> – dálnice D10 a D1 dostupné po silnicích nižších tříd. </w:t>
      </w:r>
    </w:p>
    <w:p w14:paraId="0C533323" w14:textId="77777777" w:rsidR="00E90389" w:rsidRPr="006070EA" w:rsidRDefault="00E90389" w:rsidP="00E90389">
      <w:pPr>
        <w:keepNext/>
        <w:suppressAutoHyphens/>
        <w:spacing w:before="120" w:after="120" w:line="240" w:lineRule="auto"/>
        <w:jc w:val="both"/>
        <w:rPr>
          <w:rFonts w:asciiTheme="majorHAnsi" w:eastAsia="Times New Roman" w:hAnsiTheme="majorHAnsi" w:cstheme="majorHAnsi"/>
          <w:i/>
          <w:color w:val="000000"/>
          <w:sz w:val="18"/>
          <w:szCs w:val="18"/>
          <w:lang w:eastAsia="ar-SA"/>
        </w:rPr>
      </w:pPr>
      <w:r w:rsidRPr="006070EA">
        <w:rPr>
          <w:rFonts w:asciiTheme="majorHAnsi" w:eastAsia="Times New Roman" w:hAnsiTheme="majorHAnsi" w:cstheme="majorHAnsi"/>
          <w:i/>
          <w:color w:val="000000"/>
          <w:sz w:val="18"/>
          <w:szCs w:val="18"/>
          <w:lang w:eastAsia="ar-SA"/>
        </w:rPr>
        <w:t>Tab.: Dojezdové vzdálenosti a doby z Kostomlat nad Labem do vyšších správních center</w:t>
      </w:r>
    </w:p>
    <w:tbl>
      <w:tblPr>
        <w:tblW w:w="9528" w:type="dxa"/>
        <w:tblBorders>
          <w:insideH w:val="single" w:sz="4" w:space="0" w:color="auto"/>
          <w:insideV w:val="single" w:sz="4" w:space="0" w:color="auto"/>
        </w:tblBorders>
        <w:tblLayout w:type="fixed"/>
        <w:tblLook w:val="04A0" w:firstRow="1" w:lastRow="0" w:firstColumn="1" w:lastColumn="0" w:noHBand="0" w:noVBand="1"/>
      </w:tblPr>
      <w:tblGrid>
        <w:gridCol w:w="1809"/>
        <w:gridCol w:w="1102"/>
        <w:gridCol w:w="1103"/>
        <w:gridCol w:w="1103"/>
        <w:gridCol w:w="1102"/>
        <w:gridCol w:w="1103"/>
        <w:gridCol w:w="1103"/>
        <w:gridCol w:w="1103"/>
      </w:tblGrid>
      <w:tr w:rsidR="00E90389" w:rsidRPr="006070EA" w14:paraId="4495D4FB" w14:textId="77777777" w:rsidTr="00AB7C78">
        <w:trPr>
          <w:cantSplit/>
          <w:trHeight w:val="454"/>
          <w:tblHeader/>
        </w:trPr>
        <w:tc>
          <w:tcPr>
            <w:tcW w:w="1809" w:type="dxa"/>
            <w:tcBorders>
              <w:top w:val="nil"/>
              <w:bottom w:val="single" w:sz="12" w:space="0" w:color="auto"/>
              <w:right w:val="single" w:sz="12" w:space="0" w:color="auto"/>
            </w:tcBorders>
            <w:shd w:val="clear" w:color="auto" w:fill="auto"/>
            <w:vAlign w:val="center"/>
          </w:tcPr>
          <w:p w14:paraId="6EDD6B8D" w14:textId="376FFBE8" w:rsidR="00E90389" w:rsidRPr="006070EA" w:rsidRDefault="00AB7C78" w:rsidP="00AB7C78">
            <w:pPr>
              <w:keepNext/>
              <w:spacing w:after="0" w:line="240" w:lineRule="auto"/>
              <w:jc w:val="center"/>
              <w:rPr>
                <w:rFonts w:asciiTheme="majorHAnsi" w:eastAsia="Calibri" w:hAnsiTheme="majorHAnsi" w:cstheme="majorHAnsi"/>
                <w:b/>
                <w:color w:val="000000"/>
                <w:sz w:val="18"/>
                <w:szCs w:val="18"/>
              </w:rPr>
            </w:pPr>
            <w:r w:rsidRPr="006070EA">
              <w:rPr>
                <w:rFonts w:asciiTheme="majorHAnsi" w:eastAsia="Calibri" w:hAnsiTheme="majorHAnsi" w:cstheme="majorHAnsi"/>
                <w:b/>
                <w:color w:val="000000"/>
                <w:sz w:val="18"/>
                <w:szCs w:val="18"/>
              </w:rPr>
              <w:t>město</w:t>
            </w:r>
          </w:p>
        </w:tc>
        <w:tc>
          <w:tcPr>
            <w:tcW w:w="1102" w:type="dxa"/>
            <w:tcBorders>
              <w:top w:val="nil"/>
              <w:left w:val="single" w:sz="12" w:space="0" w:color="auto"/>
              <w:bottom w:val="single" w:sz="12" w:space="0" w:color="auto"/>
              <w:right w:val="single" w:sz="12" w:space="0" w:color="auto"/>
            </w:tcBorders>
            <w:shd w:val="clear" w:color="auto" w:fill="auto"/>
            <w:vAlign w:val="center"/>
          </w:tcPr>
          <w:p w14:paraId="3F73F603" w14:textId="77777777" w:rsidR="00E90389" w:rsidRPr="006070EA" w:rsidRDefault="00E90389" w:rsidP="00AB7C78">
            <w:pPr>
              <w:keepNext/>
              <w:spacing w:after="0" w:line="240" w:lineRule="auto"/>
              <w:jc w:val="center"/>
              <w:rPr>
                <w:rFonts w:asciiTheme="majorHAnsi" w:eastAsia="Calibri" w:hAnsiTheme="majorHAnsi" w:cstheme="majorHAnsi"/>
                <w:b/>
                <w:color w:val="000000"/>
                <w:sz w:val="18"/>
                <w:szCs w:val="18"/>
              </w:rPr>
            </w:pPr>
            <w:r w:rsidRPr="006070EA">
              <w:rPr>
                <w:rFonts w:asciiTheme="majorHAnsi" w:eastAsia="Calibri" w:hAnsiTheme="majorHAnsi" w:cstheme="majorHAnsi"/>
                <w:b/>
                <w:color w:val="000000"/>
                <w:sz w:val="18"/>
                <w:szCs w:val="18"/>
              </w:rPr>
              <w:t>Nymburk</w:t>
            </w:r>
          </w:p>
        </w:tc>
        <w:tc>
          <w:tcPr>
            <w:tcW w:w="1103" w:type="dxa"/>
            <w:tcBorders>
              <w:top w:val="nil"/>
              <w:left w:val="single" w:sz="12" w:space="0" w:color="auto"/>
              <w:bottom w:val="single" w:sz="12" w:space="0" w:color="auto"/>
              <w:right w:val="single" w:sz="12" w:space="0" w:color="auto"/>
            </w:tcBorders>
            <w:shd w:val="clear" w:color="auto" w:fill="auto"/>
            <w:vAlign w:val="center"/>
          </w:tcPr>
          <w:p w14:paraId="5EB1993F" w14:textId="77777777" w:rsidR="00E90389" w:rsidRPr="006070EA" w:rsidRDefault="00E90389" w:rsidP="00AB7C78">
            <w:pPr>
              <w:keepNext/>
              <w:spacing w:after="0" w:line="240" w:lineRule="auto"/>
              <w:jc w:val="center"/>
              <w:rPr>
                <w:rFonts w:asciiTheme="majorHAnsi" w:eastAsia="Calibri" w:hAnsiTheme="majorHAnsi" w:cstheme="majorHAnsi"/>
                <w:b/>
                <w:color w:val="000000"/>
                <w:sz w:val="18"/>
                <w:szCs w:val="18"/>
              </w:rPr>
            </w:pPr>
            <w:r w:rsidRPr="006070EA">
              <w:rPr>
                <w:rFonts w:asciiTheme="majorHAnsi" w:eastAsia="Calibri" w:hAnsiTheme="majorHAnsi" w:cstheme="majorHAnsi"/>
                <w:b/>
                <w:color w:val="000000"/>
                <w:sz w:val="18"/>
                <w:szCs w:val="18"/>
              </w:rPr>
              <w:t>Lysá nad Labem</w:t>
            </w:r>
          </w:p>
        </w:tc>
        <w:tc>
          <w:tcPr>
            <w:tcW w:w="1103" w:type="dxa"/>
            <w:tcBorders>
              <w:top w:val="nil"/>
              <w:left w:val="single" w:sz="12" w:space="0" w:color="auto"/>
              <w:bottom w:val="single" w:sz="12" w:space="0" w:color="auto"/>
              <w:right w:val="single" w:sz="12" w:space="0" w:color="auto"/>
            </w:tcBorders>
            <w:shd w:val="clear" w:color="auto" w:fill="auto"/>
            <w:vAlign w:val="center"/>
          </w:tcPr>
          <w:p w14:paraId="5E50DCA7" w14:textId="77777777" w:rsidR="00E90389" w:rsidRPr="006070EA" w:rsidRDefault="00E90389" w:rsidP="00AB7C78">
            <w:pPr>
              <w:keepNext/>
              <w:spacing w:after="0" w:line="240" w:lineRule="auto"/>
              <w:jc w:val="center"/>
              <w:rPr>
                <w:rFonts w:asciiTheme="majorHAnsi" w:eastAsia="Calibri" w:hAnsiTheme="majorHAnsi" w:cstheme="majorHAnsi"/>
                <w:b/>
                <w:color w:val="000000"/>
                <w:sz w:val="18"/>
                <w:szCs w:val="18"/>
              </w:rPr>
            </w:pPr>
            <w:r w:rsidRPr="006070EA">
              <w:rPr>
                <w:rFonts w:asciiTheme="majorHAnsi" w:eastAsia="Calibri" w:hAnsiTheme="majorHAnsi" w:cstheme="majorHAnsi"/>
                <w:b/>
                <w:color w:val="000000"/>
                <w:sz w:val="18"/>
                <w:szCs w:val="18"/>
              </w:rPr>
              <w:t>Mladá Boleslav</w:t>
            </w:r>
          </w:p>
        </w:tc>
        <w:tc>
          <w:tcPr>
            <w:tcW w:w="1102" w:type="dxa"/>
            <w:tcBorders>
              <w:top w:val="nil"/>
              <w:left w:val="single" w:sz="12" w:space="0" w:color="auto"/>
              <w:bottom w:val="single" w:sz="12" w:space="0" w:color="auto"/>
              <w:right w:val="single" w:sz="12" w:space="0" w:color="auto"/>
            </w:tcBorders>
            <w:shd w:val="clear" w:color="auto" w:fill="auto"/>
            <w:vAlign w:val="center"/>
          </w:tcPr>
          <w:p w14:paraId="5F2DD98B" w14:textId="77777777" w:rsidR="00E90389" w:rsidRPr="006070EA" w:rsidRDefault="00E90389" w:rsidP="00AB7C78">
            <w:pPr>
              <w:keepNext/>
              <w:spacing w:after="0" w:line="240" w:lineRule="auto"/>
              <w:jc w:val="center"/>
              <w:rPr>
                <w:rFonts w:asciiTheme="majorHAnsi" w:eastAsia="Calibri" w:hAnsiTheme="majorHAnsi" w:cstheme="majorHAnsi"/>
                <w:b/>
                <w:color w:val="000000"/>
                <w:sz w:val="18"/>
                <w:szCs w:val="18"/>
              </w:rPr>
            </w:pPr>
            <w:r w:rsidRPr="006070EA">
              <w:rPr>
                <w:rFonts w:asciiTheme="majorHAnsi" w:eastAsia="Calibri" w:hAnsiTheme="majorHAnsi" w:cstheme="majorHAnsi"/>
                <w:b/>
                <w:color w:val="000000"/>
                <w:sz w:val="18"/>
                <w:szCs w:val="18"/>
              </w:rPr>
              <w:t>Kolín</w:t>
            </w:r>
          </w:p>
        </w:tc>
        <w:tc>
          <w:tcPr>
            <w:tcW w:w="1103" w:type="dxa"/>
            <w:tcBorders>
              <w:top w:val="nil"/>
              <w:left w:val="single" w:sz="12" w:space="0" w:color="auto"/>
              <w:bottom w:val="single" w:sz="12" w:space="0" w:color="auto"/>
              <w:right w:val="single" w:sz="12" w:space="0" w:color="auto"/>
            </w:tcBorders>
            <w:shd w:val="clear" w:color="auto" w:fill="auto"/>
            <w:vAlign w:val="center"/>
          </w:tcPr>
          <w:p w14:paraId="7CFF9264" w14:textId="77777777" w:rsidR="00E90389" w:rsidRPr="006070EA" w:rsidRDefault="00E90389" w:rsidP="00AB7C78">
            <w:pPr>
              <w:keepNext/>
              <w:spacing w:after="0" w:line="240" w:lineRule="auto"/>
              <w:jc w:val="center"/>
              <w:rPr>
                <w:rFonts w:asciiTheme="majorHAnsi" w:eastAsia="Calibri" w:hAnsiTheme="majorHAnsi" w:cstheme="majorHAnsi"/>
                <w:b/>
                <w:color w:val="000000"/>
                <w:sz w:val="18"/>
                <w:szCs w:val="18"/>
              </w:rPr>
            </w:pPr>
            <w:r w:rsidRPr="006070EA">
              <w:rPr>
                <w:rFonts w:asciiTheme="majorHAnsi" w:eastAsia="Calibri" w:hAnsiTheme="majorHAnsi" w:cstheme="majorHAnsi"/>
                <w:b/>
                <w:color w:val="000000"/>
                <w:sz w:val="18"/>
                <w:szCs w:val="18"/>
              </w:rPr>
              <w:t>Mělník</w:t>
            </w:r>
          </w:p>
        </w:tc>
        <w:tc>
          <w:tcPr>
            <w:tcW w:w="1103" w:type="dxa"/>
            <w:tcBorders>
              <w:top w:val="nil"/>
              <w:left w:val="single" w:sz="12" w:space="0" w:color="auto"/>
              <w:bottom w:val="single" w:sz="12" w:space="0" w:color="auto"/>
              <w:right w:val="single" w:sz="12" w:space="0" w:color="auto"/>
            </w:tcBorders>
            <w:shd w:val="clear" w:color="auto" w:fill="auto"/>
            <w:vAlign w:val="center"/>
          </w:tcPr>
          <w:p w14:paraId="73A011EB" w14:textId="77777777" w:rsidR="00E90389" w:rsidRPr="006070EA" w:rsidRDefault="00E90389" w:rsidP="00AB7C78">
            <w:pPr>
              <w:keepNext/>
              <w:spacing w:after="0" w:line="240" w:lineRule="auto"/>
              <w:jc w:val="center"/>
              <w:rPr>
                <w:rFonts w:asciiTheme="majorHAnsi" w:eastAsia="Calibri" w:hAnsiTheme="majorHAnsi" w:cstheme="majorHAnsi"/>
                <w:b/>
                <w:color w:val="000000"/>
                <w:sz w:val="18"/>
                <w:szCs w:val="18"/>
              </w:rPr>
            </w:pPr>
            <w:r w:rsidRPr="006070EA">
              <w:rPr>
                <w:rFonts w:asciiTheme="majorHAnsi" w:eastAsia="Calibri" w:hAnsiTheme="majorHAnsi" w:cstheme="majorHAnsi"/>
                <w:b/>
                <w:color w:val="000000"/>
                <w:sz w:val="18"/>
                <w:szCs w:val="18"/>
              </w:rPr>
              <w:t>Brno</w:t>
            </w:r>
          </w:p>
        </w:tc>
        <w:tc>
          <w:tcPr>
            <w:tcW w:w="1103" w:type="dxa"/>
            <w:tcBorders>
              <w:top w:val="nil"/>
              <w:left w:val="single" w:sz="12" w:space="0" w:color="auto"/>
              <w:bottom w:val="single" w:sz="12" w:space="0" w:color="auto"/>
            </w:tcBorders>
            <w:shd w:val="clear" w:color="auto" w:fill="auto"/>
            <w:vAlign w:val="center"/>
          </w:tcPr>
          <w:p w14:paraId="5EDC4D7E" w14:textId="77777777" w:rsidR="00E90389" w:rsidRPr="006070EA" w:rsidRDefault="00E90389" w:rsidP="00AB7C78">
            <w:pPr>
              <w:keepNext/>
              <w:spacing w:after="0" w:line="240" w:lineRule="auto"/>
              <w:jc w:val="center"/>
              <w:rPr>
                <w:rFonts w:asciiTheme="majorHAnsi" w:eastAsia="Calibri" w:hAnsiTheme="majorHAnsi" w:cstheme="majorHAnsi"/>
                <w:b/>
                <w:color w:val="000000"/>
                <w:sz w:val="18"/>
                <w:szCs w:val="18"/>
              </w:rPr>
            </w:pPr>
            <w:r w:rsidRPr="006070EA">
              <w:rPr>
                <w:rFonts w:asciiTheme="majorHAnsi" w:eastAsia="Calibri" w:hAnsiTheme="majorHAnsi" w:cstheme="majorHAnsi"/>
                <w:b/>
                <w:color w:val="000000"/>
                <w:sz w:val="18"/>
                <w:szCs w:val="18"/>
              </w:rPr>
              <w:t>Praha</w:t>
            </w:r>
          </w:p>
        </w:tc>
      </w:tr>
      <w:tr w:rsidR="00E90389" w:rsidRPr="006070EA" w14:paraId="457DA215" w14:textId="77777777" w:rsidTr="00AB7C78">
        <w:trPr>
          <w:trHeight w:val="283"/>
        </w:trPr>
        <w:tc>
          <w:tcPr>
            <w:tcW w:w="1809" w:type="dxa"/>
            <w:tcBorders>
              <w:top w:val="single" w:sz="12" w:space="0" w:color="auto"/>
              <w:bottom w:val="single" w:sz="12" w:space="0" w:color="auto"/>
              <w:right w:val="single" w:sz="12" w:space="0" w:color="auto"/>
            </w:tcBorders>
            <w:shd w:val="clear" w:color="auto" w:fill="auto"/>
            <w:vAlign w:val="center"/>
          </w:tcPr>
          <w:p w14:paraId="431884D7" w14:textId="0E6E46A6" w:rsidR="00E90389" w:rsidRPr="006070EA" w:rsidRDefault="00E90389" w:rsidP="00AB7C78">
            <w:pPr>
              <w:spacing w:after="0" w:line="240" w:lineRule="auto"/>
              <w:jc w:val="center"/>
              <w:rPr>
                <w:rFonts w:asciiTheme="majorHAnsi" w:eastAsia="Calibri" w:hAnsiTheme="majorHAnsi" w:cstheme="majorHAnsi"/>
                <w:b/>
                <w:color w:val="000000"/>
                <w:sz w:val="18"/>
                <w:szCs w:val="18"/>
              </w:rPr>
            </w:pPr>
            <w:r w:rsidRPr="006070EA">
              <w:rPr>
                <w:rFonts w:asciiTheme="majorHAnsi" w:eastAsia="Calibri" w:hAnsiTheme="majorHAnsi" w:cstheme="majorHAnsi"/>
                <w:b/>
                <w:color w:val="000000"/>
                <w:sz w:val="18"/>
                <w:szCs w:val="18"/>
              </w:rPr>
              <w:t>dojezdová vzdálenost</w:t>
            </w:r>
          </w:p>
        </w:tc>
        <w:tc>
          <w:tcPr>
            <w:tcW w:w="1102" w:type="dxa"/>
            <w:tcBorders>
              <w:top w:val="single" w:sz="12" w:space="0" w:color="auto"/>
              <w:left w:val="single" w:sz="12" w:space="0" w:color="auto"/>
            </w:tcBorders>
            <w:shd w:val="clear" w:color="auto" w:fill="auto"/>
            <w:vAlign w:val="center"/>
          </w:tcPr>
          <w:p w14:paraId="1EACF5EA" w14:textId="77777777" w:rsidR="00E90389" w:rsidRPr="006070EA" w:rsidRDefault="00E90389" w:rsidP="00AB7C78">
            <w:pPr>
              <w:spacing w:after="0" w:line="240" w:lineRule="auto"/>
              <w:jc w:val="center"/>
              <w:rPr>
                <w:rFonts w:asciiTheme="majorHAnsi" w:eastAsia="Calibri" w:hAnsiTheme="majorHAnsi" w:cstheme="majorHAnsi"/>
                <w:color w:val="000000"/>
                <w:sz w:val="18"/>
                <w:szCs w:val="18"/>
              </w:rPr>
            </w:pPr>
            <w:r w:rsidRPr="006070EA">
              <w:rPr>
                <w:rFonts w:asciiTheme="majorHAnsi" w:eastAsia="Calibri" w:hAnsiTheme="majorHAnsi" w:cstheme="majorHAnsi"/>
                <w:color w:val="000000"/>
                <w:sz w:val="18"/>
                <w:szCs w:val="18"/>
              </w:rPr>
              <w:t>6,3 km</w:t>
            </w:r>
          </w:p>
        </w:tc>
        <w:tc>
          <w:tcPr>
            <w:tcW w:w="1103" w:type="dxa"/>
            <w:tcBorders>
              <w:top w:val="single" w:sz="12" w:space="0" w:color="auto"/>
            </w:tcBorders>
            <w:shd w:val="clear" w:color="auto" w:fill="auto"/>
            <w:vAlign w:val="center"/>
          </w:tcPr>
          <w:p w14:paraId="6C62C242" w14:textId="77777777" w:rsidR="00E90389" w:rsidRPr="006070EA" w:rsidRDefault="00E90389" w:rsidP="00AB7C78">
            <w:pPr>
              <w:spacing w:after="0" w:line="240" w:lineRule="auto"/>
              <w:jc w:val="center"/>
              <w:rPr>
                <w:rFonts w:asciiTheme="majorHAnsi" w:eastAsia="Calibri" w:hAnsiTheme="majorHAnsi" w:cstheme="majorHAnsi"/>
                <w:color w:val="000000"/>
                <w:sz w:val="18"/>
                <w:szCs w:val="18"/>
              </w:rPr>
            </w:pPr>
            <w:r w:rsidRPr="006070EA">
              <w:rPr>
                <w:rFonts w:asciiTheme="majorHAnsi" w:eastAsia="Calibri" w:hAnsiTheme="majorHAnsi" w:cstheme="majorHAnsi"/>
                <w:color w:val="000000"/>
                <w:sz w:val="18"/>
                <w:szCs w:val="18"/>
              </w:rPr>
              <w:t>11,1 km</w:t>
            </w:r>
          </w:p>
        </w:tc>
        <w:tc>
          <w:tcPr>
            <w:tcW w:w="1103" w:type="dxa"/>
            <w:tcBorders>
              <w:top w:val="single" w:sz="12" w:space="0" w:color="auto"/>
            </w:tcBorders>
            <w:shd w:val="clear" w:color="auto" w:fill="auto"/>
            <w:vAlign w:val="center"/>
          </w:tcPr>
          <w:p w14:paraId="23C35D48" w14:textId="77777777" w:rsidR="00E90389" w:rsidRPr="006070EA" w:rsidRDefault="00E90389" w:rsidP="00AB7C78">
            <w:pPr>
              <w:spacing w:after="0" w:line="240" w:lineRule="auto"/>
              <w:jc w:val="center"/>
              <w:rPr>
                <w:rFonts w:asciiTheme="majorHAnsi" w:eastAsia="Calibri" w:hAnsiTheme="majorHAnsi" w:cstheme="majorHAnsi"/>
                <w:color w:val="000000"/>
                <w:sz w:val="18"/>
                <w:szCs w:val="18"/>
              </w:rPr>
            </w:pPr>
            <w:r w:rsidRPr="006070EA">
              <w:rPr>
                <w:rFonts w:asciiTheme="majorHAnsi" w:eastAsia="Calibri" w:hAnsiTheme="majorHAnsi" w:cstheme="majorHAnsi"/>
                <w:color w:val="000000"/>
                <w:sz w:val="18"/>
                <w:szCs w:val="18"/>
              </w:rPr>
              <w:t>40,4 km</w:t>
            </w:r>
          </w:p>
        </w:tc>
        <w:tc>
          <w:tcPr>
            <w:tcW w:w="1102" w:type="dxa"/>
            <w:tcBorders>
              <w:top w:val="single" w:sz="12" w:space="0" w:color="auto"/>
            </w:tcBorders>
            <w:shd w:val="clear" w:color="auto" w:fill="auto"/>
            <w:vAlign w:val="center"/>
          </w:tcPr>
          <w:p w14:paraId="18DE5E03" w14:textId="77777777" w:rsidR="00E90389" w:rsidRPr="006070EA" w:rsidRDefault="00E90389" w:rsidP="00AB7C78">
            <w:pPr>
              <w:spacing w:after="0" w:line="240" w:lineRule="auto"/>
              <w:jc w:val="center"/>
              <w:rPr>
                <w:rFonts w:asciiTheme="majorHAnsi" w:eastAsia="Calibri" w:hAnsiTheme="majorHAnsi" w:cstheme="majorHAnsi"/>
                <w:color w:val="000000"/>
                <w:sz w:val="18"/>
                <w:szCs w:val="18"/>
              </w:rPr>
            </w:pPr>
            <w:r w:rsidRPr="006070EA">
              <w:rPr>
                <w:rFonts w:asciiTheme="majorHAnsi" w:eastAsia="Calibri" w:hAnsiTheme="majorHAnsi" w:cstheme="majorHAnsi"/>
                <w:color w:val="000000"/>
                <w:sz w:val="18"/>
                <w:szCs w:val="18"/>
              </w:rPr>
              <w:t>30,3 km</w:t>
            </w:r>
          </w:p>
        </w:tc>
        <w:tc>
          <w:tcPr>
            <w:tcW w:w="1103" w:type="dxa"/>
            <w:tcBorders>
              <w:top w:val="single" w:sz="12" w:space="0" w:color="auto"/>
            </w:tcBorders>
            <w:shd w:val="clear" w:color="auto" w:fill="auto"/>
            <w:vAlign w:val="center"/>
          </w:tcPr>
          <w:p w14:paraId="25C95E2D" w14:textId="3AD0BF9D" w:rsidR="00E90389" w:rsidRPr="006070EA" w:rsidRDefault="00A04AE9" w:rsidP="00AB7C78">
            <w:pPr>
              <w:spacing w:after="0" w:line="240" w:lineRule="auto"/>
              <w:jc w:val="center"/>
              <w:rPr>
                <w:rFonts w:asciiTheme="majorHAnsi" w:eastAsia="Calibri" w:hAnsiTheme="majorHAnsi" w:cstheme="majorHAnsi"/>
                <w:color w:val="000000"/>
                <w:sz w:val="18"/>
                <w:szCs w:val="18"/>
              </w:rPr>
            </w:pPr>
            <w:r>
              <w:rPr>
                <w:rFonts w:asciiTheme="majorHAnsi" w:eastAsia="Calibri" w:hAnsiTheme="majorHAnsi" w:cstheme="majorHAnsi"/>
                <w:color w:val="000000"/>
                <w:sz w:val="18"/>
                <w:szCs w:val="18"/>
              </w:rPr>
              <w:t>5</w:t>
            </w:r>
            <w:r w:rsidR="00E90389" w:rsidRPr="006070EA">
              <w:rPr>
                <w:rFonts w:asciiTheme="majorHAnsi" w:eastAsia="Calibri" w:hAnsiTheme="majorHAnsi" w:cstheme="majorHAnsi"/>
                <w:color w:val="000000"/>
                <w:sz w:val="18"/>
                <w:szCs w:val="18"/>
              </w:rPr>
              <w:t>2 km</w:t>
            </w:r>
          </w:p>
        </w:tc>
        <w:tc>
          <w:tcPr>
            <w:tcW w:w="1103" w:type="dxa"/>
            <w:tcBorders>
              <w:top w:val="single" w:sz="12" w:space="0" w:color="auto"/>
            </w:tcBorders>
            <w:shd w:val="clear" w:color="auto" w:fill="auto"/>
            <w:vAlign w:val="center"/>
          </w:tcPr>
          <w:p w14:paraId="392EA9F5" w14:textId="77777777" w:rsidR="00E90389" w:rsidRPr="006070EA" w:rsidRDefault="00E90389" w:rsidP="00AB7C78">
            <w:pPr>
              <w:spacing w:after="0" w:line="240" w:lineRule="auto"/>
              <w:jc w:val="center"/>
              <w:rPr>
                <w:rFonts w:asciiTheme="majorHAnsi" w:eastAsia="Calibri" w:hAnsiTheme="majorHAnsi" w:cstheme="majorHAnsi"/>
                <w:color w:val="000000"/>
                <w:sz w:val="18"/>
                <w:szCs w:val="18"/>
              </w:rPr>
            </w:pPr>
            <w:r w:rsidRPr="006070EA">
              <w:rPr>
                <w:rFonts w:asciiTheme="majorHAnsi" w:eastAsia="Calibri" w:hAnsiTheme="majorHAnsi" w:cstheme="majorHAnsi"/>
                <w:color w:val="000000"/>
                <w:sz w:val="18"/>
                <w:szCs w:val="18"/>
              </w:rPr>
              <w:t>192 km</w:t>
            </w:r>
          </w:p>
        </w:tc>
        <w:tc>
          <w:tcPr>
            <w:tcW w:w="1103" w:type="dxa"/>
            <w:tcBorders>
              <w:top w:val="single" w:sz="12" w:space="0" w:color="auto"/>
            </w:tcBorders>
            <w:shd w:val="clear" w:color="auto" w:fill="auto"/>
            <w:vAlign w:val="center"/>
          </w:tcPr>
          <w:p w14:paraId="4E3AEC07" w14:textId="77777777" w:rsidR="00E90389" w:rsidRPr="006070EA" w:rsidRDefault="00E90389" w:rsidP="00AB7C78">
            <w:pPr>
              <w:spacing w:after="0" w:line="240" w:lineRule="auto"/>
              <w:jc w:val="center"/>
              <w:rPr>
                <w:rFonts w:asciiTheme="majorHAnsi" w:eastAsia="Calibri" w:hAnsiTheme="majorHAnsi" w:cstheme="majorHAnsi"/>
                <w:color w:val="000000"/>
                <w:sz w:val="18"/>
                <w:szCs w:val="18"/>
              </w:rPr>
            </w:pPr>
            <w:r w:rsidRPr="006070EA">
              <w:rPr>
                <w:rFonts w:asciiTheme="majorHAnsi" w:eastAsia="Calibri" w:hAnsiTheme="majorHAnsi" w:cstheme="majorHAnsi"/>
                <w:color w:val="000000"/>
                <w:sz w:val="18"/>
                <w:szCs w:val="18"/>
              </w:rPr>
              <w:t>53 km</w:t>
            </w:r>
          </w:p>
        </w:tc>
      </w:tr>
      <w:tr w:rsidR="00E90389" w:rsidRPr="006070EA" w14:paraId="0214EA00" w14:textId="77777777" w:rsidTr="00AB7C78">
        <w:trPr>
          <w:trHeight w:val="283"/>
        </w:trPr>
        <w:tc>
          <w:tcPr>
            <w:tcW w:w="1809" w:type="dxa"/>
            <w:tcBorders>
              <w:top w:val="single" w:sz="12" w:space="0" w:color="auto"/>
              <w:bottom w:val="nil"/>
              <w:right w:val="single" w:sz="12" w:space="0" w:color="auto"/>
            </w:tcBorders>
            <w:shd w:val="clear" w:color="auto" w:fill="auto"/>
            <w:vAlign w:val="center"/>
          </w:tcPr>
          <w:p w14:paraId="7FBFDBCA" w14:textId="77777777" w:rsidR="00E90389" w:rsidRPr="006070EA" w:rsidRDefault="00E90389" w:rsidP="00AB7C78">
            <w:pPr>
              <w:spacing w:after="0" w:line="240" w:lineRule="auto"/>
              <w:jc w:val="center"/>
              <w:rPr>
                <w:rFonts w:asciiTheme="majorHAnsi" w:eastAsia="Calibri" w:hAnsiTheme="majorHAnsi" w:cstheme="majorHAnsi"/>
                <w:b/>
                <w:color w:val="000000"/>
                <w:sz w:val="18"/>
                <w:szCs w:val="18"/>
              </w:rPr>
            </w:pPr>
            <w:r w:rsidRPr="006070EA">
              <w:rPr>
                <w:rFonts w:asciiTheme="majorHAnsi" w:eastAsia="Calibri" w:hAnsiTheme="majorHAnsi" w:cstheme="majorHAnsi"/>
                <w:b/>
                <w:color w:val="000000"/>
                <w:sz w:val="18"/>
                <w:szCs w:val="18"/>
              </w:rPr>
              <w:t>dojezdová doba</w:t>
            </w:r>
          </w:p>
        </w:tc>
        <w:tc>
          <w:tcPr>
            <w:tcW w:w="1102" w:type="dxa"/>
            <w:tcBorders>
              <w:left w:val="single" w:sz="12" w:space="0" w:color="auto"/>
            </w:tcBorders>
            <w:shd w:val="clear" w:color="auto" w:fill="auto"/>
            <w:vAlign w:val="center"/>
          </w:tcPr>
          <w:p w14:paraId="7E5FBE41" w14:textId="77777777" w:rsidR="00E90389" w:rsidRPr="006070EA" w:rsidRDefault="00E90389" w:rsidP="00AB7C78">
            <w:pPr>
              <w:spacing w:after="0" w:line="240" w:lineRule="auto"/>
              <w:jc w:val="center"/>
              <w:rPr>
                <w:rFonts w:asciiTheme="majorHAnsi" w:eastAsia="Calibri" w:hAnsiTheme="majorHAnsi" w:cstheme="majorHAnsi"/>
                <w:color w:val="000000"/>
                <w:sz w:val="18"/>
                <w:szCs w:val="18"/>
              </w:rPr>
            </w:pPr>
            <w:r w:rsidRPr="006070EA">
              <w:rPr>
                <w:rFonts w:asciiTheme="majorHAnsi" w:eastAsia="Calibri" w:hAnsiTheme="majorHAnsi" w:cstheme="majorHAnsi"/>
                <w:color w:val="000000"/>
                <w:sz w:val="18"/>
                <w:szCs w:val="18"/>
              </w:rPr>
              <w:t>10 min.</w:t>
            </w:r>
          </w:p>
        </w:tc>
        <w:tc>
          <w:tcPr>
            <w:tcW w:w="1103" w:type="dxa"/>
            <w:shd w:val="clear" w:color="auto" w:fill="auto"/>
            <w:vAlign w:val="center"/>
          </w:tcPr>
          <w:p w14:paraId="3A12B6C7" w14:textId="77777777" w:rsidR="00E90389" w:rsidRPr="006070EA" w:rsidRDefault="00E90389" w:rsidP="00AB7C78">
            <w:pPr>
              <w:spacing w:after="0" w:line="240" w:lineRule="auto"/>
              <w:jc w:val="center"/>
              <w:rPr>
                <w:rFonts w:asciiTheme="majorHAnsi" w:eastAsia="Calibri" w:hAnsiTheme="majorHAnsi" w:cstheme="majorHAnsi"/>
                <w:color w:val="000000"/>
                <w:sz w:val="18"/>
                <w:szCs w:val="18"/>
              </w:rPr>
            </w:pPr>
            <w:r w:rsidRPr="006070EA">
              <w:rPr>
                <w:rFonts w:asciiTheme="majorHAnsi" w:eastAsia="Calibri" w:hAnsiTheme="majorHAnsi" w:cstheme="majorHAnsi"/>
                <w:color w:val="000000"/>
                <w:sz w:val="18"/>
                <w:szCs w:val="18"/>
              </w:rPr>
              <w:t>17 min.</w:t>
            </w:r>
          </w:p>
        </w:tc>
        <w:tc>
          <w:tcPr>
            <w:tcW w:w="1103" w:type="dxa"/>
            <w:shd w:val="clear" w:color="auto" w:fill="auto"/>
            <w:vAlign w:val="center"/>
          </w:tcPr>
          <w:p w14:paraId="7AFAD12C" w14:textId="77777777" w:rsidR="00E90389" w:rsidRPr="006070EA" w:rsidRDefault="00E90389" w:rsidP="00AB7C78">
            <w:pPr>
              <w:spacing w:after="0" w:line="240" w:lineRule="auto"/>
              <w:jc w:val="center"/>
              <w:rPr>
                <w:rFonts w:asciiTheme="majorHAnsi" w:eastAsia="Calibri" w:hAnsiTheme="majorHAnsi" w:cstheme="majorHAnsi"/>
                <w:color w:val="000000"/>
                <w:sz w:val="18"/>
                <w:szCs w:val="18"/>
              </w:rPr>
            </w:pPr>
            <w:r w:rsidRPr="006070EA">
              <w:rPr>
                <w:rFonts w:asciiTheme="majorHAnsi" w:eastAsia="Calibri" w:hAnsiTheme="majorHAnsi" w:cstheme="majorHAnsi"/>
                <w:color w:val="000000"/>
                <w:sz w:val="18"/>
                <w:szCs w:val="18"/>
              </w:rPr>
              <w:t>43 min.</w:t>
            </w:r>
          </w:p>
        </w:tc>
        <w:tc>
          <w:tcPr>
            <w:tcW w:w="1102" w:type="dxa"/>
            <w:shd w:val="clear" w:color="auto" w:fill="auto"/>
            <w:vAlign w:val="center"/>
          </w:tcPr>
          <w:p w14:paraId="03377FDF" w14:textId="77777777" w:rsidR="00E90389" w:rsidRPr="006070EA" w:rsidRDefault="00E90389" w:rsidP="00AB7C78">
            <w:pPr>
              <w:spacing w:after="0" w:line="240" w:lineRule="auto"/>
              <w:jc w:val="center"/>
              <w:rPr>
                <w:rFonts w:asciiTheme="majorHAnsi" w:eastAsia="Calibri" w:hAnsiTheme="majorHAnsi" w:cstheme="majorHAnsi"/>
                <w:color w:val="000000"/>
                <w:sz w:val="18"/>
                <w:szCs w:val="18"/>
              </w:rPr>
            </w:pPr>
            <w:r w:rsidRPr="006070EA">
              <w:rPr>
                <w:rFonts w:asciiTheme="majorHAnsi" w:eastAsia="Calibri" w:hAnsiTheme="majorHAnsi" w:cstheme="majorHAnsi"/>
                <w:color w:val="000000"/>
                <w:sz w:val="18"/>
                <w:szCs w:val="18"/>
              </w:rPr>
              <w:t>38 min.</w:t>
            </w:r>
          </w:p>
        </w:tc>
        <w:tc>
          <w:tcPr>
            <w:tcW w:w="1103" w:type="dxa"/>
            <w:shd w:val="clear" w:color="auto" w:fill="auto"/>
            <w:vAlign w:val="center"/>
          </w:tcPr>
          <w:p w14:paraId="03313D4C" w14:textId="77777777" w:rsidR="00E90389" w:rsidRPr="006070EA" w:rsidRDefault="00E90389" w:rsidP="00AB7C78">
            <w:pPr>
              <w:spacing w:after="0" w:line="240" w:lineRule="auto"/>
              <w:jc w:val="center"/>
              <w:rPr>
                <w:rFonts w:asciiTheme="majorHAnsi" w:eastAsia="Calibri" w:hAnsiTheme="majorHAnsi" w:cstheme="majorHAnsi"/>
                <w:color w:val="000000"/>
                <w:sz w:val="18"/>
                <w:szCs w:val="18"/>
              </w:rPr>
            </w:pPr>
            <w:r w:rsidRPr="006070EA">
              <w:rPr>
                <w:rFonts w:asciiTheme="majorHAnsi" w:eastAsia="Calibri" w:hAnsiTheme="majorHAnsi" w:cstheme="majorHAnsi"/>
                <w:color w:val="000000"/>
                <w:sz w:val="18"/>
                <w:szCs w:val="18"/>
              </w:rPr>
              <w:t>65 min.</w:t>
            </w:r>
          </w:p>
        </w:tc>
        <w:tc>
          <w:tcPr>
            <w:tcW w:w="1103" w:type="dxa"/>
            <w:shd w:val="clear" w:color="auto" w:fill="auto"/>
            <w:vAlign w:val="center"/>
          </w:tcPr>
          <w:p w14:paraId="13093154" w14:textId="77777777" w:rsidR="00E90389" w:rsidRPr="006070EA" w:rsidRDefault="00E90389" w:rsidP="00AB7C78">
            <w:pPr>
              <w:spacing w:after="0" w:line="240" w:lineRule="auto"/>
              <w:jc w:val="center"/>
              <w:rPr>
                <w:rFonts w:asciiTheme="majorHAnsi" w:eastAsia="Calibri" w:hAnsiTheme="majorHAnsi" w:cstheme="majorHAnsi"/>
                <w:color w:val="000000"/>
                <w:sz w:val="18"/>
                <w:szCs w:val="18"/>
              </w:rPr>
            </w:pPr>
            <w:r w:rsidRPr="006070EA">
              <w:rPr>
                <w:rFonts w:asciiTheme="majorHAnsi" w:eastAsia="Calibri" w:hAnsiTheme="majorHAnsi" w:cstheme="majorHAnsi"/>
                <w:color w:val="000000"/>
                <w:sz w:val="18"/>
                <w:szCs w:val="18"/>
              </w:rPr>
              <w:t>146 min.</w:t>
            </w:r>
          </w:p>
        </w:tc>
        <w:tc>
          <w:tcPr>
            <w:tcW w:w="1103" w:type="dxa"/>
            <w:shd w:val="clear" w:color="auto" w:fill="auto"/>
            <w:vAlign w:val="center"/>
          </w:tcPr>
          <w:p w14:paraId="62B62E23" w14:textId="77777777" w:rsidR="00E90389" w:rsidRPr="006070EA" w:rsidRDefault="00E90389" w:rsidP="00AB7C78">
            <w:pPr>
              <w:spacing w:after="0" w:line="240" w:lineRule="auto"/>
              <w:jc w:val="center"/>
              <w:rPr>
                <w:rFonts w:asciiTheme="majorHAnsi" w:eastAsia="Calibri" w:hAnsiTheme="majorHAnsi" w:cstheme="majorHAnsi"/>
                <w:color w:val="000000"/>
                <w:sz w:val="18"/>
                <w:szCs w:val="18"/>
              </w:rPr>
            </w:pPr>
            <w:r w:rsidRPr="006070EA">
              <w:rPr>
                <w:rFonts w:asciiTheme="majorHAnsi" w:eastAsia="Calibri" w:hAnsiTheme="majorHAnsi" w:cstheme="majorHAnsi"/>
                <w:color w:val="000000"/>
                <w:sz w:val="18"/>
                <w:szCs w:val="18"/>
              </w:rPr>
              <w:t>48 min.</w:t>
            </w:r>
          </w:p>
        </w:tc>
      </w:tr>
    </w:tbl>
    <w:p w14:paraId="790DF6F9" w14:textId="3CC1F733" w:rsidR="00E90389" w:rsidRPr="006070EA" w:rsidRDefault="00E90389" w:rsidP="00E90389">
      <w:pPr>
        <w:keepNext/>
        <w:spacing w:before="120" w:after="60" w:line="240" w:lineRule="auto"/>
        <w:ind w:firstLine="709"/>
        <w:rPr>
          <w:rFonts w:asciiTheme="majorHAnsi" w:hAnsiTheme="majorHAnsi" w:cstheme="majorHAnsi"/>
          <w:color w:val="FF0000"/>
          <w:sz w:val="18"/>
          <w:szCs w:val="18"/>
          <w:u w:val="single"/>
        </w:rPr>
      </w:pPr>
      <w:r w:rsidRPr="006070EA">
        <w:rPr>
          <w:rFonts w:asciiTheme="majorHAnsi" w:eastAsia="Times New Roman" w:hAnsiTheme="majorHAnsi" w:cstheme="majorHAnsi"/>
          <w:color w:val="000000"/>
          <w:sz w:val="18"/>
          <w:szCs w:val="18"/>
          <w:lang w:eastAsia="cs-CZ"/>
        </w:rPr>
        <w:t xml:space="preserve">Řešeným územím prochází celostátní dráha č. 231 </w:t>
      </w:r>
      <w:r w:rsidR="00AB7C78" w:rsidRPr="006070EA">
        <w:rPr>
          <w:rFonts w:asciiTheme="majorHAnsi" w:eastAsia="Times New Roman" w:hAnsiTheme="majorHAnsi" w:cstheme="majorHAnsi"/>
          <w:color w:val="000000"/>
          <w:sz w:val="18"/>
          <w:szCs w:val="18"/>
          <w:lang w:eastAsia="cs-CZ"/>
        </w:rPr>
        <w:t>Praha – Lysá nad Labem – Kolín</w:t>
      </w:r>
      <w:r w:rsidRPr="006070EA">
        <w:rPr>
          <w:rFonts w:asciiTheme="majorHAnsi" w:eastAsia="Times New Roman" w:hAnsiTheme="majorHAnsi" w:cstheme="majorHAnsi"/>
          <w:color w:val="000000"/>
          <w:sz w:val="18"/>
          <w:szCs w:val="18"/>
          <w:lang w:eastAsia="cs-CZ"/>
        </w:rPr>
        <w:t>. V</w:t>
      </w:r>
      <w:r w:rsidR="00AB7C78" w:rsidRPr="006070EA">
        <w:rPr>
          <w:rFonts w:asciiTheme="majorHAnsi" w:eastAsia="Times New Roman" w:hAnsiTheme="majorHAnsi" w:cstheme="majorHAnsi"/>
          <w:color w:val="000000"/>
          <w:sz w:val="18"/>
          <w:szCs w:val="18"/>
          <w:lang w:eastAsia="cs-CZ"/>
        </w:rPr>
        <w:t xml:space="preserve"> Kostomlatech nad Labem je na této trati provozována </w:t>
      </w:r>
      <w:r w:rsidRPr="006070EA">
        <w:rPr>
          <w:rFonts w:asciiTheme="majorHAnsi" w:eastAsia="Times New Roman" w:hAnsiTheme="majorHAnsi" w:cstheme="majorHAnsi"/>
          <w:color w:val="000000"/>
          <w:sz w:val="18"/>
          <w:szCs w:val="18"/>
          <w:lang w:eastAsia="cs-CZ"/>
        </w:rPr>
        <w:t xml:space="preserve">jedna železniční stanice </w:t>
      </w:r>
      <w:r w:rsidRPr="006070EA">
        <w:rPr>
          <w:rFonts w:asciiTheme="majorHAnsi" w:eastAsia="Times New Roman" w:hAnsiTheme="majorHAnsi" w:cstheme="majorHAnsi"/>
          <w:i/>
          <w:iCs/>
          <w:color w:val="000000"/>
          <w:sz w:val="18"/>
          <w:szCs w:val="18"/>
          <w:lang w:eastAsia="cs-CZ"/>
        </w:rPr>
        <w:t>Kostomlaty nad Labem</w:t>
      </w:r>
      <w:r w:rsidRPr="006070EA">
        <w:rPr>
          <w:rFonts w:asciiTheme="majorHAnsi" w:eastAsia="Times New Roman" w:hAnsiTheme="majorHAnsi" w:cstheme="majorHAnsi"/>
          <w:color w:val="000000"/>
          <w:sz w:val="18"/>
          <w:szCs w:val="18"/>
          <w:lang w:eastAsia="cs-CZ"/>
        </w:rPr>
        <w:t xml:space="preserve">. Ostatní </w:t>
      </w:r>
      <w:r w:rsidR="00AB7C78" w:rsidRPr="006070EA">
        <w:rPr>
          <w:rFonts w:asciiTheme="majorHAnsi" w:eastAsia="Times New Roman" w:hAnsiTheme="majorHAnsi" w:cstheme="majorHAnsi"/>
          <w:color w:val="000000"/>
          <w:sz w:val="18"/>
          <w:szCs w:val="18"/>
          <w:lang w:eastAsia="cs-CZ"/>
        </w:rPr>
        <w:t xml:space="preserve">místní </w:t>
      </w:r>
      <w:r w:rsidRPr="006070EA">
        <w:rPr>
          <w:rFonts w:asciiTheme="majorHAnsi" w:eastAsia="Times New Roman" w:hAnsiTheme="majorHAnsi" w:cstheme="majorHAnsi"/>
          <w:color w:val="000000"/>
          <w:sz w:val="18"/>
          <w:szCs w:val="18"/>
          <w:lang w:eastAsia="cs-CZ"/>
        </w:rPr>
        <w:t xml:space="preserve">části v území nejsou železniční dopravou </w:t>
      </w:r>
      <w:r w:rsidR="00AB7C78" w:rsidRPr="006070EA">
        <w:rPr>
          <w:rFonts w:asciiTheme="majorHAnsi" w:eastAsia="Times New Roman" w:hAnsiTheme="majorHAnsi" w:cstheme="majorHAnsi"/>
          <w:color w:val="000000"/>
          <w:sz w:val="18"/>
          <w:szCs w:val="18"/>
          <w:lang w:eastAsia="cs-CZ"/>
        </w:rPr>
        <w:t>dostupné</w:t>
      </w:r>
      <w:r w:rsidRPr="006070EA">
        <w:rPr>
          <w:rFonts w:asciiTheme="majorHAnsi" w:eastAsia="Times New Roman" w:hAnsiTheme="majorHAnsi" w:cstheme="majorHAnsi"/>
          <w:color w:val="000000"/>
          <w:sz w:val="18"/>
          <w:szCs w:val="18"/>
          <w:lang w:eastAsia="cs-CZ"/>
        </w:rPr>
        <w:t>.</w:t>
      </w:r>
    </w:p>
    <w:p w14:paraId="2BF7499C" w14:textId="77777777" w:rsidR="001A03EB" w:rsidRPr="006070EA" w:rsidRDefault="001A03EB" w:rsidP="00152AB3">
      <w:pPr>
        <w:keepNext/>
        <w:spacing w:after="120" w:line="240" w:lineRule="auto"/>
        <w:rPr>
          <w:rFonts w:asciiTheme="majorHAnsi" w:hAnsiTheme="majorHAnsi" w:cstheme="majorHAnsi"/>
          <w:b/>
          <w:sz w:val="20"/>
          <w:szCs w:val="20"/>
        </w:rPr>
      </w:pPr>
      <w:r w:rsidRPr="006070EA">
        <w:rPr>
          <w:rFonts w:asciiTheme="majorHAnsi" w:hAnsiTheme="majorHAnsi" w:cstheme="majorHAnsi"/>
          <w:b/>
          <w:sz w:val="20"/>
          <w:szCs w:val="20"/>
        </w:rPr>
        <w:t>ŠIRŠÍ VZTAHY TECHNICKÉ INFRASTRUKTURY</w:t>
      </w:r>
    </w:p>
    <w:p w14:paraId="117761D0" w14:textId="77777777" w:rsidR="00E90389" w:rsidRPr="006070EA" w:rsidRDefault="00E90389" w:rsidP="00E90389">
      <w:pPr>
        <w:pStyle w:val="Anadpispodtren"/>
        <w:rPr>
          <w:rFonts w:asciiTheme="majorHAnsi" w:hAnsiTheme="majorHAnsi" w:cstheme="majorHAnsi"/>
        </w:rPr>
      </w:pPr>
      <w:r w:rsidRPr="006070EA">
        <w:rPr>
          <w:rFonts w:asciiTheme="majorHAnsi" w:hAnsiTheme="majorHAnsi" w:cstheme="majorHAnsi"/>
        </w:rPr>
        <w:t>Zásobování pitnou vodou, kanalizace</w:t>
      </w:r>
    </w:p>
    <w:p w14:paraId="2BF02BA0" w14:textId="173E0400" w:rsidR="00E90389" w:rsidRPr="006070EA" w:rsidRDefault="00E90389" w:rsidP="00E90389">
      <w:pPr>
        <w:pStyle w:val="Atext"/>
        <w:rPr>
          <w:rFonts w:asciiTheme="majorHAnsi" w:hAnsiTheme="majorHAnsi" w:cstheme="majorHAnsi"/>
        </w:rPr>
      </w:pPr>
      <w:r w:rsidRPr="006070EA">
        <w:rPr>
          <w:rFonts w:asciiTheme="majorHAnsi" w:hAnsiTheme="majorHAnsi" w:cstheme="majorHAnsi"/>
        </w:rPr>
        <w:t>Sídla v řešeném území jsou zásobována pitnou vodou převážně z</w:t>
      </w:r>
      <w:r w:rsidRPr="006070EA">
        <w:rPr>
          <w:rFonts w:asciiTheme="majorHAnsi" w:hAnsiTheme="majorHAnsi" w:cstheme="majorHAnsi"/>
          <w:shd w:val="clear" w:color="auto" w:fill="FFFFFF"/>
        </w:rPr>
        <w:t xml:space="preserve"> vodovodního </w:t>
      </w:r>
      <w:r w:rsidR="00AB7C78" w:rsidRPr="006070EA">
        <w:rPr>
          <w:rFonts w:asciiTheme="majorHAnsi" w:hAnsiTheme="majorHAnsi" w:cstheme="majorHAnsi"/>
          <w:shd w:val="clear" w:color="auto" w:fill="FFFFFF"/>
        </w:rPr>
        <w:t>systému</w:t>
      </w:r>
      <w:r w:rsidRPr="006070EA">
        <w:rPr>
          <w:rFonts w:asciiTheme="majorHAnsi" w:hAnsiTheme="majorHAnsi" w:cstheme="majorHAnsi"/>
          <w:shd w:val="clear" w:color="auto" w:fill="FFFFFF"/>
        </w:rPr>
        <w:t xml:space="preserve"> Nymburk – Doubrava – Kostomlaty. </w:t>
      </w:r>
    </w:p>
    <w:p w14:paraId="37C66268" w14:textId="77777777" w:rsidR="00E90389" w:rsidRPr="006070EA" w:rsidRDefault="00E90389" w:rsidP="00E90389">
      <w:pPr>
        <w:pStyle w:val="Anadpispodtren"/>
        <w:rPr>
          <w:rFonts w:asciiTheme="majorHAnsi" w:hAnsiTheme="majorHAnsi" w:cstheme="majorHAnsi"/>
        </w:rPr>
      </w:pPr>
      <w:r w:rsidRPr="006070EA">
        <w:rPr>
          <w:rFonts w:asciiTheme="majorHAnsi" w:hAnsiTheme="majorHAnsi" w:cstheme="majorHAnsi"/>
        </w:rPr>
        <w:t>Kanalizace a odstraňování odpadních vod</w:t>
      </w:r>
    </w:p>
    <w:p w14:paraId="50B9FBFC" w14:textId="2DBDC59A" w:rsidR="00E90389" w:rsidRPr="006070EA" w:rsidRDefault="00E90389" w:rsidP="00E90389">
      <w:pPr>
        <w:pStyle w:val="Atext"/>
        <w:rPr>
          <w:rFonts w:asciiTheme="majorHAnsi" w:hAnsiTheme="majorHAnsi" w:cstheme="majorHAnsi"/>
        </w:rPr>
      </w:pPr>
      <w:r w:rsidRPr="006070EA">
        <w:rPr>
          <w:rFonts w:asciiTheme="majorHAnsi" w:hAnsiTheme="majorHAnsi" w:cstheme="majorHAnsi"/>
        </w:rPr>
        <w:t xml:space="preserve">Kanalizační systémy nadmístního významu </w:t>
      </w:r>
      <w:r w:rsidR="00AB7C78" w:rsidRPr="006070EA">
        <w:rPr>
          <w:rFonts w:asciiTheme="majorHAnsi" w:hAnsiTheme="majorHAnsi" w:cstheme="majorHAnsi"/>
        </w:rPr>
        <w:t>nejsou</w:t>
      </w:r>
      <w:r w:rsidRPr="006070EA">
        <w:rPr>
          <w:rFonts w:asciiTheme="majorHAnsi" w:hAnsiTheme="majorHAnsi" w:cstheme="majorHAnsi"/>
        </w:rPr>
        <w:t xml:space="preserve"> v</w:t>
      </w:r>
      <w:r w:rsidR="00AB7C78" w:rsidRPr="006070EA">
        <w:rPr>
          <w:rFonts w:asciiTheme="majorHAnsi" w:hAnsiTheme="majorHAnsi" w:cstheme="majorHAnsi"/>
        </w:rPr>
        <w:t xml:space="preserve"> řešeném </w:t>
      </w:r>
      <w:r w:rsidRPr="006070EA">
        <w:rPr>
          <w:rFonts w:asciiTheme="majorHAnsi" w:hAnsiTheme="majorHAnsi" w:cstheme="majorHAnsi"/>
        </w:rPr>
        <w:t xml:space="preserve">území </w:t>
      </w:r>
      <w:r w:rsidR="00AB7C78" w:rsidRPr="006070EA">
        <w:rPr>
          <w:rFonts w:asciiTheme="majorHAnsi" w:hAnsiTheme="majorHAnsi" w:cstheme="majorHAnsi"/>
        </w:rPr>
        <w:t>provozovány</w:t>
      </w:r>
      <w:r w:rsidRPr="006070EA">
        <w:rPr>
          <w:rFonts w:asciiTheme="majorHAnsi" w:hAnsiTheme="majorHAnsi" w:cstheme="majorHAnsi"/>
        </w:rPr>
        <w:t>.</w:t>
      </w:r>
    </w:p>
    <w:p w14:paraId="0A04C1F9" w14:textId="77777777" w:rsidR="00E90389" w:rsidRPr="006070EA" w:rsidRDefault="00E90389" w:rsidP="00E90389">
      <w:pPr>
        <w:pStyle w:val="Anadpispodtren"/>
        <w:rPr>
          <w:rFonts w:asciiTheme="majorHAnsi" w:hAnsiTheme="majorHAnsi" w:cstheme="majorHAnsi"/>
        </w:rPr>
      </w:pPr>
      <w:r w:rsidRPr="006070EA">
        <w:rPr>
          <w:rFonts w:asciiTheme="majorHAnsi" w:hAnsiTheme="majorHAnsi" w:cstheme="majorHAnsi"/>
        </w:rPr>
        <w:t>Zásobování elektrickou energií</w:t>
      </w:r>
    </w:p>
    <w:p w14:paraId="7392359C" w14:textId="77777777" w:rsidR="00E90389" w:rsidRPr="006070EA" w:rsidRDefault="00E90389" w:rsidP="00E90389">
      <w:pPr>
        <w:pStyle w:val="Atext"/>
        <w:rPr>
          <w:rFonts w:asciiTheme="majorHAnsi" w:hAnsiTheme="majorHAnsi" w:cstheme="majorHAnsi"/>
          <w:lang w:eastAsia="cs-CZ"/>
        </w:rPr>
      </w:pPr>
      <w:r w:rsidRPr="006070EA">
        <w:rPr>
          <w:rFonts w:asciiTheme="majorHAnsi" w:hAnsiTheme="majorHAnsi" w:cstheme="majorHAnsi"/>
          <w:lang w:eastAsia="cs-CZ"/>
        </w:rPr>
        <w:t xml:space="preserve">Provozovatelem sítě elektrické energie v SO ORP Nymburk je ČEZ Distribuce, a.s. </w:t>
      </w:r>
    </w:p>
    <w:p w14:paraId="4B1F9ECD" w14:textId="77777777" w:rsidR="00E90389" w:rsidRPr="006070EA" w:rsidRDefault="00E90389" w:rsidP="00E90389">
      <w:pPr>
        <w:pStyle w:val="Atext"/>
        <w:rPr>
          <w:rFonts w:asciiTheme="majorHAnsi" w:hAnsiTheme="majorHAnsi" w:cstheme="majorHAnsi"/>
          <w:sz w:val="6"/>
          <w:lang w:eastAsia="cs-CZ"/>
        </w:rPr>
      </w:pPr>
      <w:r w:rsidRPr="006070EA">
        <w:rPr>
          <w:rFonts w:asciiTheme="majorHAnsi" w:hAnsiTheme="majorHAnsi" w:cstheme="majorHAnsi"/>
          <w:lang w:eastAsia="cs-CZ"/>
        </w:rPr>
        <w:t>Distribuce elektrické energie je realizována vedením vysokého napětí o napěťové hladině 22 kV. Jednotlivé větve tohoto typu vedení jsou zakončeny transformačními stanicemi.</w:t>
      </w:r>
    </w:p>
    <w:p w14:paraId="171C0580" w14:textId="77777777" w:rsidR="00E90389" w:rsidRPr="006070EA" w:rsidRDefault="00E90389" w:rsidP="00E90389">
      <w:pPr>
        <w:pStyle w:val="Anadpispodtren"/>
        <w:rPr>
          <w:rFonts w:asciiTheme="majorHAnsi" w:hAnsiTheme="majorHAnsi" w:cstheme="majorHAnsi"/>
        </w:rPr>
      </w:pPr>
      <w:r w:rsidRPr="006070EA">
        <w:rPr>
          <w:rFonts w:asciiTheme="majorHAnsi" w:hAnsiTheme="majorHAnsi" w:cstheme="majorHAnsi"/>
        </w:rPr>
        <w:t>Zásobování plynem a teplem</w:t>
      </w:r>
    </w:p>
    <w:p w14:paraId="290BCFFA" w14:textId="77C42B62" w:rsidR="00E90389" w:rsidRPr="006070EA" w:rsidRDefault="00E90389" w:rsidP="00E90389">
      <w:pPr>
        <w:pStyle w:val="Anadpispodtren"/>
        <w:rPr>
          <w:rFonts w:asciiTheme="majorHAnsi" w:hAnsiTheme="majorHAnsi" w:cstheme="majorHAnsi"/>
          <w:bCs/>
          <w:iCs/>
          <w:u w:val="none"/>
          <w:lang w:eastAsia="cs-CZ"/>
        </w:rPr>
      </w:pPr>
      <w:r w:rsidRPr="006070EA">
        <w:rPr>
          <w:rFonts w:asciiTheme="majorHAnsi" w:hAnsiTheme="majorHAnsi" w:cstheme="majorHAnsi"/>
          <w:bCs/>
          <w:iCs/>
          <w:u w:val="none"/>
          <w:lang w:eastAsia="cs-CZ"/>
        </w:rPr>
        <w:tab/>
        <w:t>Územím OPR Nymburk prochází 3 trasy vysokotlakého plynovodu. Distribuce plynu v</w:t>
      </w:r>
      <w:r w:rsidR="00C51B11" w:rsidRPr="006070EA">
        <w:rPr>
          <w:rFonts w:asciiTheme="majorHAnsi" w:hAnsiTheme="majorHAnsi" w:cstheme="majorHAnsi"/>
          <w:bCs/>
          <w:iCs/>
          <w:u w:val="none"/>
          <w:lang w:eastAsia="cs-CZ"/>
        </w:rPr>
        <w:t> jednotlivých sídlech</w:t>
      </w:r>
      <w:r w:rsidRPr="006070EA">
        <w:rPr>
          <w:rFonts w:asciiTheme="majorHAnsi" w:hAnsiTheme="majorHAnsi" w:cstheme="majorHAnsi"/>
          <w:bCs/>
          <w:iCs/>
          <w:u w:val="none"/>
          <w:lang w:eastAsia="cs-CZ"/>
        </w:rPr>
        <w:t xml:space="preserve"> je realizována středotlakými plynovody. </w:t>
      </w:r>
    </w:p>
    <w:p w14:paraId="45366071" w14:textId="77777777" w:rsidR="00E90389" w:rsidRPr="006070EA" w:rsidRDefault="00E90389" w:rsidP="00E90389">
      <w:pPr>
        <w:pStyle w:val="Anadpispodtren"/>
        <w:rPr>
          <w:rFonts w:asciiTheme="majorHAnsi" w:hAnsiTheme="majorHAnsi" w:cstheme="majorHAnsi"/>
        </w:rPr>
      </w:pPr>
      <w:r w:rsidRPr="006070EA">
        <w:rPr>
          <w:rFonts w:asciiTheme="majorHAnsi" w:hAnsiTheme="majorHAnsi" w:cstheme="majorHAnsi"/>
        </w:rPr>
        <w:t>Telekomunikace, radiokomunikace</w:t>
      </w:r>
    </w:p>
    <w:p w14:paraId="521EB8D9" w14:textId="11660E8A" w:rsidR="00E90389" w:rsidRPr="006070EA" w:rsidRDefault="00E90389" w:rsidP="00E90389">
      <w:pPr>
        <w:pStyle w:val="Atext"/>
        <w:rPr>
          <w:rFonts w:asciiTheme="majorHAnsi" w:hAnsiTheme="majorHAnsi" w:cstheme="majorHAnsi"/>
        </w:rPr>
      </w:pPr>
      <w:r w:rsidRPr="006070EA">
        <w:rPr>
          <w:rFonts w:asciiTheme="majorHAnsi" w:hAnsiTheme="majorHAnsi" w:cstheme="majorHAnsi"/>
        </w:rPr>
        <w:t>Územím procházejí trasy radioreléových spojů</w:t>
      </w:r>
      <w:r w:rsidR="00C51B11" w:rsidRPr="006070EA">
        <w:rPr>
          <w:rFonts w:asciiTheme="majorHAnsi" w:hAnsiTheme="majorHAnsi" w:cstheme="majorHAnsi"/>
        </w:rPr>
        <w:t xml:space="preserve"> a</w:t>
      </w:r>
      <w:r w:rsidRPr="006070EA">
        <w:rPr>
          <w:rFonts w:asciiTheme="majorHAnsi" w:hAnsiTheme="majorHAnsi" w:cstheme="majorHAnsi"/>
        </w:rPr>
        <w:t xml:space="preserve"> veřejn</w:t>
      </w:r>
      <w:r w:rsidR="00C51B11" w:rsidRPr="006070EA">
        <w:rPr>
          <w:rFonts w:asciiTheme="majorHAnsi" w:hAnsiTheme="majorHAnsi" w:cstheme="majorHAnsi"/>
        </w:rPr>
        <w:t>á</w:t>
      </w:r>
      <w:r w:rsidRPr="006070EA">
        <w:rPr>
          <w:rFonts w:asciiTheme="majorHAnsi" w:hAnsiTheme="majorHAnsi" w:cstheme="majorHAnsi"/>
        </w:rPr>
        <w:t xml:space="preserve"> komunikační sí</w:t>
      </w:r>
      <w:r w:rsidR="00C51B11" w:rsidRPr="006070EA">
        <w:rPr>
          <w:rFonts w:asciiTheme="majorHAnsi" w:hAnsiTheme="majorHAnsi" w:cstheme="majorHAnsi"/>
        </w:rPr>
        <w:t>ť</w:t>
      </w:r>
      <w:r w:rsidRPr="006070EA">
        <w:rPr>
          <w:rFonts w:asciiTheme="majorHAnsi" w:hAnsiTheme="majorHAnsi" w:cstheme="majorHAnsi"/>
        </w:rPr>
        <w:t xml:space="preserve">. </w:t>
      </w:r>
    </w:p>
    <w:p w14:paraId="7FA648F3" w14:textId="77777777" w:rsidR="00E90389" w:rsidRPr="006070EA" w:rsidRDefault="00E90389" w:rsidP="00E90389">
      <w:pPr>
        <w:pStyle w:val="Anadpispodtren"/>
        <w:rPr>
          <w:rFonts w:asciiTheme="majorHAnsi" w:hAnsiTheme="majorHAnsi" w:cstheme="majorHAnsi"/>
        </w:rPr>
      </w:pPr>
      <w:r w:rsidRPr="006070EA">
        <w:rPr>
          <w:rFonts w:asciiTheme="majorHAnsi" w:hAnsiTheme="majorHAnsi" w:cstheme="majorHAnsi"/>
        </w:rPr>
        <w:t>Nakládání s odpady</w:t>
      </w:r>
    </w:p>
    <w:p w14:paraId="2949969A" w14:textId="77777777" w:rsidR="00E90389" w:rsidRPr="006070EA" w:rsidRDefault="00E90389" w:rsidP="00E90389">
      <w:pPr>
        <w:pStyle w:val="Atext"/>
        <w:rPr>
          <w:rFonts w:asciiTheme="majorHAnsi" w:hAnsiTheme="majorHAnsi" w:cstheme="majorHAnsi"/>
        </w:rPr>
      </w:pPr>
      <w:r w:rsidRPr="006070EA">
        <w:rPr>
          <w:rFonts w:asciiTheme="majorHAnsi" w:hAnsiTheme="majorHAnsi" w:cstheme="majorHAnsi"/>
        </w:rPr>
        <w:t xml:space="preserve">V řešeném území se nenacházejí plochy či objekty nadmístního významu určené pro nakládání s odpady. </w:t>
      </w:r>
    </w:p>
    <w:p w14:paraId="2190F530" w14:textId="77777777" w:rsidR="00B75DC8" w:rsidRPr="006070EA" w:rsidRDefault="00B75DC8" w:rsidP="00982B04">
      <w:pPr>
        <w:pStyle w:val="Odstavecseseznamem"/>
        <w:numPr>
          <w:ilvl w:val="1"/>
          <w:numId w:val="2"/>
        </w:numPr>
        <w:spacing w:before="160" w:after="120" w:line="240" w:lineRule="auto"/>
        <w:ind w:left="709" w:hanging="709"/>
        <w:contextualSpacing w:val="0"/>
        <w:outlineLvl w:val="1"/>
        <w:rPr>
          <w:rFonts w:asciiTheme="majorHAnsi" w:hAnsiTheme="majorHAnsi" w:cstheme="majorHAnsi"/>
          <w:b/>
          <w:sz w:val="24"/>
          <w:szCs w:val="20"/>
        </w:rPr>
      </w:pPr>
      <w:bookmarkStart w:id="33" w:name="_Toc424119793"/>
      <w:bookmarkStart w:id="34" w:name="_Toc204678166"/>
      <w:r w:rsidRPr="006070EA">
        <w:rPr>
          <w:rFonts w:asciiTheme="majorHAnsi" w:hAnsiTheme="majorHAnsi" w:cstheme="majorHAnsi"/>
          <w:b/>
          <w:sz w:val="24"/>
          <w:szCs w:val="20"/>
        </w:rPr>
        <w:t>Širší vztahy ÚSES a další přírodní systémy</w:t>
      </w:r>
      <w:bookmarkEnd w:id="33"/>
      <w:bookmarkEnd w:id="34"/>
    </w:p>
    <w:p w14:paraId="66EA77F8" w14:textId="77777777" w:rsidR="00E90389" w:rsidRPr="006070EA" w:rsidRDefault="00E90389" w:rsidP="00C51B11">
      <w:pPr>
        <w:spacing w:before="120" w:after="60" w:line="240" w:lineRule="auto"/>
        <w:ind w:firstLine="709"/>
        <w:jc w:val="both"/>
        <w:rPr>
          <w:rFonts w:asciiTheme="majorHAnsi" w:hAnsiTheme="majorHAnsi" w:cstheme="majorHAnsi"/>
          <w:sz w:val="18"/>
          <w:szCs w:val="20"/>
        </w:rPr>
      </w:pPr>
      <w:r w:rsidRPr="006070EA">
        <w:rPr>
          <w:rFonts w:asciiTheme="majorHAnsi" w:hAnsiTheme="majorHAnsi" w:cstheme="majorHAnsi"/>
          <w:sz w:val="18"/>
          <w:szCs w:val="20"/>
        </w:rPr>
        <w:t>Správní území obce Kostomlaty nad Labem je dotčeno následujícími přírodními prvky nadmístního významu, které přesahují hranice řešeného území:</w:t>
      </w:r>
    </w:p>
    <w:p w14:paraId="4C0946E0" w14:textId="13489163" w:rsidR="00E90389" w:rsidRPr="009402D8" w:rsidRDefault="00E90389" w:rsidP="00E90389">
      <w:pPr>
        <w:spacing w:after="60" w:line="240" w:lineRule="auto"/>
        <w:ind w:firstLine="709"/>
        <w:jc w:val="both"/>
        <w:rPr>
          <w:rFonts w:asciiTheme="majorHAnsi" w:hAnsiTheme="majorHAnsi" w:cstheme="majorHAnsi"/>
          <w:sz w:val="18"/>
          <w:szCs w:val="20"/>
        </w:rPr>
      </w:pPr>
      <w:r w:rsidRPr="009402D8">
        <w:rPr>
          <w:rFonts w:asciiTheme="majorHAnsi" w:hAnsiTheme="majorHAnsi" w:cstheme="majorHAnsi"/>
          <w:sz w:val="18"/>
          <w:szCs w:val="20"/>
        </w:rPr>
        <w:lastRenderedPageBreak/>
        <w:t>-</w:t>
      </w:r>
      <w:r w:rsidRPr="009402D8">
        <w:rPr>
          <w:rFonts w:asciiTheme="majorHAnsi" w:hAnsiTheme="majorHAnsi" w:cstheme="majorHAnsi"/>
          <w:sz w:val="18"/>
          <w:szCs w:val="20"/>
        </w:rPr>
        <w:tab/>
        <w:t>přírodní rezervace 1171 Mydlovarský Luh</w:t>
      </w:r>
    </w:p>
    <w:p w14:paraId="1AF0DACA" w14:textId="77777777" w:rsidR="00E90389" w:rsidRPr="009402D8" w:rsidRDefault="00E90389" w:rsidP="00E90389">
      <w:pPr>
        <w:spacing w:after="60" w:line="240" w:lineRule="auto"/>
        <w:ind w:firstLine="709"/>
        <w:jc w:val="both"/>
        <w:rPr>
          <w:rFonts w:asciiTheme="majorHAnsi" w:hAnsiTheme="majorHAnsi" w:cstheme="majorHAnsi"/>
          <w:sz w:val="18"/>
          <w:szCs w:val="20"/>
        </w:rPr>
      </w:pPr>
      <w:r w:rsidRPr="009402D8">
        <w:rPr>
          <w:rFonts w:asciiTheme="majorHAnsi" w:hAnsiTheme="majorHAnsi" w:cstheme="majorHAnsi"/>
          <w:sz w:val="18"/>
          <w:szCs w:val="20"/>
        </w:rPr>
        <w:t>-</w:t>
      </w:r>
      <w:r w:rsidRPr="009402D8">
        <w:rPr>
          <w:rFonts w:asciiTheme="majorHAnsi" w:hAnsiTheme="majorHAnsi" w:cstheme="majorHAnsi"/>
          <w:sz w:val="18"/>
          <w:szCs w:val="20"/>
        </w:rPr>
        <w:tab/>
        <w:t>nadregionální biokoridor NK 10 Stříbrný roh – Polabský luh</w:t>
      </w:r>
    </w:p>
    <w:p w14:paraId="250641F0" w14:textId="2A54F81E" w:rsidR="00E90389" w:rsidRPr="009402D8" w:rsidRDefault="00E90389" w:rsidP="00E90389">
      <w:pPr>
        <w:spacing w:after="60" w:line="240" w:lineRule="auto"/>
        <w:ind w:firstLine="709"/>
        <w:jc w:val="both"/>
        <w:rPr>
          <w:rFonts w:asciiTheme="majorHAnsi" w:hAnsiTheme="majorHAnsi" w:cstheme="majorHAnsi"/>
          <w:sz w:val="18"/>
          <w:szCs w:val="20"/>
        </w:rPr>
      </w:pPr>
      <w:r w:rsidRPr="009402D8">
        <w:rPr>
          <w:rFonts w:asciiTheme="majorHAnsi" w:hAnsiTheme="majorHAnsi" w:cstheme="majorHAnsi"/>
          <w:sz w:val="18"/>
          <w:szCs w:val="20"/>
        </w:rPr>
        <w:t>-</w:t>
      </w:r>
      <w:r w:rsidRPr="009402D8">
        <w:rPr>
          <w:rFonts w:asciiTheme="majorHAnsi" w:hAnsiTheme="majorHAnsi" w:cstheme="majorHAnsi"/>
          <w:sz w:val="18"/>
          <w:szCs w:val="20"/>
        </w:rPr>
        <w:tab/>
        <w:t xml:space="preserve">regionální biocentrum RC 349 Niva Labe u </w:t>
      </w:r>
      <w:r w:rsidR="004C536A" w:rsidRPr="009402D8">
        <w:rPr>
          <w:rFonts w:asciiTheme="majorHAnsi" w:hAnsiTheme="majorHAnsi" w:cstheme="majorHAnsi"/>
          <w:sz w:val="18"/>
          <w:szCs w:val="20"/>
        </w:rPr>
        <w:t>Lysé nad Labem</w:t>
      </w:r>
    </w:p>
    <w:p w14:paraId="38A1CDD4" w14:textId="77777777" w:rsidR="00E90389" w:rsidRPr="009402D8" w:rsidRDefault="00E90389" w:rsidP="00C51B11">
      <w:pPr>
        <w:spacing w:before="120" w:after="120" w:line="240" w:lineRule="auto"/>
        <w:ind w:firstLine="709"/>
        <w:jc w:val="both"/>
        <w:rPr>
          <w:rFonts w:asciiTheme="majorHAnsi" w:hAnsiTheme="majorHAnsi" w:cstheme="majorHAnsi"/>
          <w:sz w:val="18"/>
          <w:szCs w:val="20"/>
        </w:rPr>
      </w:pPr>
      <w:r w:rsidRPr="009402D8">
        <w:rPr>
          <w:rFonts w:asciiTheme="majorHAnsi" w:hAnsiTheme="majorHAnsi" w:cstheme="majorHAnsi"/>
          <w:sz w:val="18"/>
          <w:szCs w:val="20"/>
        </w:rPr>
        <w:t>V širších územních souvislostech je významným přírodním a kompozičním prvkem území řeka Labe, jeden z nejvýznamnějších vodních toků na území ČR.</w:t>
      </w:r>
    </w:p>
    <w:p w14:paraId="2E71890B" w14:textId="5042634B" w:rsidR="00D9787E" w:rsidRPr="009402D8" w:rsidRDefault="009D25BC" w:rsidP="009D25BC">
      <w:pPr>
        <w:pStyle w:val="Atext"/>
        <w:rPr>
          <w:rFonts w:asciiTheme="majorHAnsi" w:hAnsiTheme="majorHAnsi" w:cstheme="majorHAnsi"/>
        </w:rPr>
      </w:pPr>
      <w:r w:rsidRPr="009402D8">
        <w:rPr>
          <w:rFonts w:asciiTheme="majorHAnsi" w:hAnsiTheme="majorHAnsi" w:cstheme="majorHAnsi"/>
        </w:rPr>
        <w:t>Vazby přírodních prvků nadmístního významu přesahující hranice řešeného území (</w:t>
      </w:r>
      <w:r w:rsidR="00496AB7" w:rsidRPr="009402D8">
        <w:rPr>
          <w:rFonts w:asciiTheme="majorHAnsi" w:hAnsiTheme="majorHAnsi" w:cstheme="majorHAnsi"/>
        </w:rPr>
        <w:t xml:space="preserve">zejména </w:t>
      </w:r>
      <w:r w:rsidRPr="009402D8">
        <w:rPr>
          <w:rFonts w:asciiTheme="majorHAnsi" w:hAnsiTheme="majorHAnsi" w:cstheme="majorHAnsi"/>
        </w:rPr>
        <w:t>vymezení prvků územního systému ekologické stability) jsou územním plánem koordinovány s platnou (vydanou dle zákona č. 183/2006 Sb.) územně plánovací dokumentací sousedních obcí</w:t>
      </w:r>
      <w:r w:rsidR="00C51B11" w:rsidRPr="009402D8">
        <w:rPr>
          <w:rFonts w:asciiTheme="majorHAnsi" w:hAnsiTheme="majorHAnsi" w:cstheme="majorHAnsi"/>
        </w:rPr>
        <w:t xml:space="preserve"> (podrobněji viz kapitola 2.2</w:t>
      </w:r>
      <w:r w:rsidR="00D9787E" w:rsidRPr="009402D8">
        <w:rPr>
          <w:rFonts w:asciiTheme="majorHAnsi" w:hAnsiTheme="majorHAnsi" w:cstheme="majorHAnsi"/>
        </w:rPr>
        <w:t xml:space="preserve">. </w:t>
      </w:r>
    </w:p>
    <w:p w14:paraId="408AB7EC" w14:textId="77777777" w:rsidR="00F41B08" w:rsidRPr="009402D8" w:rsidRDefault="00FC425E" w:rsidP="0068493C">
      <w:pPr>
        <w:pStyle w:val="Odstavecseseznamem"/>
        <w:keepNext/>
        <w:keepLines/>
        <w:numPr>
          <w:ilvl w:val="0"/>
          <w:numId w:val="1"/>
        </w:numPr>
        <w:pBdr>
          <w:top w:val="single" w:sz="8" w:space="1" w:color="auto"/>
          <w:left w:val="single" w:sz="8" w:space="4" w:color="auto"/>
          <w:bottom w:val="single" w:sz="8" w:space="1" w:color="auto"/>
          <w:right w:val="single" w:sz="8" w:space="4" w:color="auto"/>
        </w:pBdr>
        <w:shd w:val="clear" w:color="auto" w:fill="F2F2F2" w:themeFill="background1" w:themeFillShade="F2"/>
        <w:spacing w:before="200" w:after="200" w:line="240" w:lineRule="auto"/>
        <w:ind w:left="709" w:hanging="709"/>
        <w:contextualSpacing w:val="0"/>
        <w:jc w:val="both"/>
        <w:outlineLvl w:val="0"/>
        <w:rPr>
          <w:rFonts w:asciiTheme="majorHAnsi" w:hAnsiTheme="majorHAnsi" w:cstheme="majorHAnsi"/>
          <w:b/>
          <w:sz w:val="24"/>
          <w:szCs w:val="28"/>
        </w:rPr>
      </w:pPr>
      <w:bookmarkStart w:id="35" w:name="_Toc204678167"/>
      <w:r w:rsidRPr="009402D8">
        <w:rPr>
          <w:rFonts w:asciiTheme="majorHAnsi" w:hAnsiTheme="majorHAnsi" w:cstheme="majorHAnsi"/>
          <w:b/>
          <w:sz w:val="24"/>
          <w:szCs w:val="28"/>
        </w:rPr>
        <w:t xml:space="preserve">VYHODNOCENÍ </w:t>
      </w:r>
      <w:r w:rsidR="00370603" w:rsidRPr="009402D8">
        <w:rPr>
          <w:rFonts w:asciiTheme="majorHAnsi" w:hAnsiTheme="majorHAnsi" w:cstheme="majorHAnsi"/>
          <w:b/>
          <w:sz w:val="24"/>
          <w:szCs w:val="28"/>
        </w:rPr>
        <w:t>SOULAD</w:t>
      </w:r>
      <w:r w:rsidRPr="009402D8">
        <w:rPr>
          <w:rFonts w:asciiTheme="majorHAnsi" w:hAnsiTheme="majorHAnsi" w:cstheme="majorHAnsi"/>
          <w:b/>
          <w:sz w:val="24"/>
          <w:szCs w:val="28"/>
        </w:rPr>
        <w:t>U</w:t>
      </w:r>
      <w:r w:rsidR="00370603" w:rsidRPr="009402D8">
        <w:rPr>
          <w:rFonts w:asciiTheme="majorHAnsi" w:hAnsiTheme="majorHAnsi" w:cstheme="majorHAnsi"/>
          <w:b/>
          <w:sz w:val="24"/>
          <w:szCs w:val="28"/>
        </w:rPr>
        <w:t xml:space="preserve"> ÚZEMNÍHO PLÁNU S POLITIKOU ÚZEMNÍHO ROZVOJE A</w:t>
      </w:r>
      <w:r w:rsidRPr="009402D8">
        <w:rPr>
          <w:rFonts w:asciiTheme="majorHAnsi" w:hAnsiTheme="majorHAnsi" w:cstheme="majorHAnsi"/>
          <w:b/>
          <w:sz w:val="24"/>
          <w:szCs w:val="28"/>
        </w:rPr>
        <w:t> </w:t>
      </w:r>
      <w:r w:rsidR="00370603" w:rsidRPr="009402D8">
        <w:rPr>
          <w:rFonts w:asciiTheme="majorHAnsi" w:hAnsiTheme="majorHAnsi" w:cstheme="majorHAnsi"/>
          <w:b/>
          <w:sz w:val="24"/>
          <w:szCs w:val="28"/>
        </w:rPr>
        <w:t>ÚZEMNĚ PLÁNOVACÍ DOKUMENTACÍ VYDANOU KRAJEM</w:t>
      </w:r>
      <w:bookmarkEnd w:id="35"/>
    </w:p>
    <w:p w14:paraId="24BEB4D3" w14:textId="77777777" w:rsidR="00370603" w:rsidRPr="009402D8" w:rsidRDefault="003B72F5" w:rsidP="0068493C">
      <w:pPr>
        <w:keepNext/>
        <w:keepLines/>
        <w:spacing w:after="120" w:line="240" w:lineRule="auto"/>
        <w:ind w:left="709"/>
        <w:rPr>
          <w:rFonts w:asciiTheme="majorHAnsi" w:hAnsiTheme="majorHAnsi" w:cstheme="majorHAnsi"/>
          <w:i/>
          <w:sz w:val="18"/>
          <w:szCs w:val="20"/>
        </w:rPr>
      </w:pPr>
      <w:r w:rsidRPr="009402D8">
        <w:rPr>
          <w:rFonts w:asciiTheme="majorHAnsi" w:hAnsiTheme="majorHAnsi" w:cstheme="majorHAnsi"/>
          <w:i/>
          <w:sz w:val="18"/>
          <w:szCs w:val="20"/>
        </w:rPr>
        <w:t>Zákon č. 183/2006 Sb., o územním plánování a stavebním řádu (stavební zákon), ve znění pozdějších předpisů (dále jen „Zákon č. 183/2006 Sb.“), § 53, odst. 4 a)</w:t>
      </w:r>
    </w:p>
    <w:p w14:paraId="432BBF32" w14:textId="77777777" w:rsidR="003B72F5" w:rsidRPr="009402D8" w:rsidRDefault="003B72F5" w:rsidP="0068493C">
      <w:pPr>
        <w:keepNext/>
        <w:keepLines/>
        <w:spacing w:after="120" w:line="240" w:lineRule="auto"/>
        <w:ind w:firstLine="709"/>
        <w:rPr>
          <w:rFonts w:asciiTheme="majorHAnsi" w:hAnsiTheme="majorHAnsi" w:cstheme="majorHAnsi"/>
          <w:b/>
          <w:i/>
          <w:sz w:val="18"/>
          <w:szCs w:val="20"/>
        </w:rPr>
      </w:pPr>
      <w:r w:rsidRPr="009402D8">
        <w:rPr>
          <w:rFonts w:asciiTheme="majorHAnsi" w:hAnsiTheme="majorHAnsi" w:cstheme="majorHAnsi"/>
          <w:b/>
          <w:i/>
          <w:sz w:val="18"/>
          <w:szCs w:val="20"/>
        </w:rPr>
        <w:t>Zpracovává projektant.</w:t>
      </w:r>
    </w:p>
    <w:p w14:paraId="580452C6" w14:textId="77777777" w:rsidR="00257A6D" w:rsidRPr="009402D8" w:rsidRDefault="00257A6D" w:rsidP="00257A6D">
      <w:pPr>
        <w:pStyle w:val="Odstavecseseznamem"/>
        <w:keepNext/>
        <w:numPr>
          <w:ilvl w:val="1"/>
          <w:numId w:val="20"/>
        </w:numPr>
        <w:spacing w:before="160" w:after="120" w:line="240" w:lineRule="auto"/>
        <w:ind w:left="709" w:hanging="709"/>
        <w:contextualSpacing w:val="0"/>
        <w:outlineLvl w:val="1"/>
        <w:rPr>
          <w:rFonts w:asciiTheme="majorHAnsi" w:hAnsiTheme="majorHAnsi" w:cstheme="majorHAnsi"/>
          <w:b/>
          <w:sz w:val="24"/>
          <w:szCs w:val="20"/>
        </w:rPr>
      </w:pPr>
      <w:bookmarkStart w:id="36" w:name="_Toc415755940"/>
      <w:bookmarkStart w:id="37" w:name="_Toc415756306"/>
      <w:bookmarkStart w:id="38" w:name="_Toc415756665"/>
      <w:bookmarkStart w:id="39" w:name="_Toc415756915"/>
      <w:bookmarkStart w:id="40" w:name="_Toc415757165"/>
      <w:bookmarkStart w:id="41" w:name="_Toc415757414"/>
      <w:bookmarkStart w:id="42" w:name="_Toc415757572"/>
      <w:bookmarkStart w:id="43" w:name="_Toc424050098"/>
      <w:bookmarkStart w:id="44" w:name="_Toc424050272"/>
      <w:bookmarkStart w:id="45" w:name="_Toc424050430"/>
      <w:bookmarkStart w:id="46" w:name="_Toc424112292"/>
      <w:bookmarkStart w:id="47" w:name="_Toc424119316"/>
      <w:bookmarkStart w:id="48" w:name="_Toc424119796"/>
      <w:bookmarkStart w:id="49" w:name="_Toc424120052"/>
      <w:bookmarkStart w:id="50" w:name="_Toc424120478"/>
      <w:bookmarkStart w:id="51" w:name="_Toc424126184"/>
      <w:bookmarkStart w:id="52" w:name="_Toc424138765"/>
      <w:bookmarkStart w:id="53" w:name="_Toc445291880"/>
      <w:bookmarkStart w:id="54" w:name="_Toc445910393"/>
      <w:bookmarkStart w:id="55" w:name="_Toc448831872"/>
      <w:bookmarkStart w:id="56" w:name="_Toc448832062"/>
      <w:bookmarkStart w:id="57" w:name="_Toc450037722"/>
      <w:bookmarkStart w:id="58" w:name="_Toc450223016"/>
      <w:bookmarkStart w:id="59" w:name="_Toc472325667"/>
      <w:bookmarkStart w:id="60" w:name="_Toc485214877"/>
      <w:bookmarkStart w:id="61" w:name="_Toc485378031"/>
      <w:bookmarkStart w:id="62" w:name="_Toc485378154"/>
      <w:bookmarkStart w:id="63" w:name="_Toc204678168"/>
      <w:bookmarkStart w:id="64" w:name="_Toc424119797"/>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r w:rsidRPr="009402D8">
        <w:rPr>
          <w:rFonts w:asciiTheme="majorHAnsi" w:hAnsiTheme="majorHAnsi" w:cstheme="majorHAnsi"/>
          <w:b/>
          <w:sz w:val="24"/>
          <w:szCs w:val="20"/>
        </w:rPr>
        <w:t>Vyhodnocení souladu územního plánu s Politikou územního rozvoje</w:t>
      </w:r>
      <w:bookmarkEnd w:id="63"/>
    </w:p>
    <w:p w14:paraId="48265807" w14:textId="2760E043" w:rsidR="0068493C" w:rsidRPr="006070EA" w:rsidRDefault="0068493C" w:rsidP="0068493C">
      <w:pPr>
        <w:keepNext/>
        <w:keepLines/>
        <w:spacing w:before="120" w:after="60" w:line="240" w:lineRule="auto"/>
        <w:ind w:firstLine="709"/>
        <w:jc w:val="both"/>
        <w:rPr>
          <w:rFonts w:asciiTheme="majorHAnsi" w:hAnsiTheme="majorHAnsi" w:cstheme="majorHAnsi"/>
          <w:sz w:val="18"/>
          <w:szCs w:val="18"/>
        </w:rPr>
      </w:pPr>
      <w:r w:rsidRPr="009402D8">
        <w:rPr>
          <w:rFonts w:asciiTheme="majorHAnsi" w:hAnsiTheme="majorHAnsi" w:cstheme="majorHAnsi"/>
          <w:sz w:val="18"/>
          <w:szCs w:val="18"/>
        </w:rPr>
        <w:t xml:space="preserve">Územní plán Kostomlaty nad Labem </w:t>
      </w:r>
      <w:r w:rsidR="008F08A8" w:rsidRPr="009402D8">
        <w:rPr>
          <w:rFonts w:asciiTheme="majorHAnsi" w:hAnsiTheme="majorHAnsi" w:cstheme="majorHAnsi"/>
          <w:sz w:val="18"/>
          <w:szCs w:val="18"/>
        </w:rPr>
        <w:t>je zpracován v souladu s Politikou územního rozvoje České republiky, ve znění Aktualizací č. 1, 2, 3, 4, 5, 6</w:t>
      </w:r>
      <w:r w:rsidR="00F46326">
        <w:rPr>
          <w:rFonts w:asciiTheme="majorHAnsi" w:hAnsiTheme="majorHAnsi" w:cstheme="majorHAnsi"/>
          <w:sz w:val="18"/>
          <w:szCs w:val="18"/>
        </w:rPr>
        <w:t>,</w:t>
      </w:r>
      <w:r w:rsidR="008F08A8" w:rsidRPr="009402D8">
        <w:rPr>
          <w:rFonts w:asciiTheme="majorHAnsi" w:hAnsiTheme="majorHAnsi" w:cstheme="majorHAnsi"/>
          <w:sz w:val="18"/>
          <w:szCs w:val="18"/>
        </w:rPr>
        <w:t xml:space="preserve"> 7</w:t>
      </w:r>
      <w:r w:rsidR="00F46326">
        <w:rPr>
          <w:rFonts w:asciiTheme="majorHAnsi" w:hAnsiTheme="majorHAnsi" w:cstheme="majorHAnsi"/>
          <w:sz w:val="18"/>
          <w:szCs w:val="18"/>
        </w:rPr>
        <w:t xml:space="preserve"> a Změny č. 9</w:t>
      </w:r>
      <w:r w:rsidR="008F08A8" w:rsidRPr="009402D8">
        <w:rPr>
          <w:rFonts w:asciiTheme="majorHAnsi" w:hAnsiTheme="majorHAnsi" w:cstheme="majorHAnsi"/>
          <w:sz w:val="18"/>
          <w:szCs w:val="18"/>
        </w:rPr>
        <w:t xml:space="preserve"> (dále také jen „PÚR ČR“). Vyhodnocení souladu je provedeno ve vztahu k jednotlivým požadavkům</w:t>
      </w:r>
      <w:r w:rsidRPr="009402D8">
        <w:rPr>
          <w:rFonts w:asciiTheme="majorHAnsi" w:hAnsiTheme="majorHAnsi" w:cstheme="majorHAnsi"/>
          <w:sz w:val="18"/>
          <w:szCs w:val="18"/>
        </w:rPr>
        <w:t>.</w:t>
      </w:r>
      <w:r w:rsidRPr="006070EA">
        <w:rPr>
          <w:rFonts w:asciiTheme="majorHAnsi" w:hAnsiTheme="majorHAnsi" w:cstheme="majorHAnsi"/>
          <w:sz w:val="18"/>
          <w:szCs w:val="18"/>
        </w:rPr>
        <w:t xml:space="preserve"> </w:t>
      </w:r>
    </w:p>
    <w:p w14:paraId="020BE115" w14:textId="2D7F36B4" w:rsidR="0068493C" w:rsidRPr="006070EA" w:rsidRDefault="0068493C" w:rsidP="0068493C">
      <w:pPr>
        <w:spacing w:before="120" w:after="60" w:line="240" w:lineRule="auto"/>
        <w:ind w:firstLine="709"/>
        <w:jc w:val="both"/>
        <w:rPr>
          <w:rFonts w:asciiTheme="majorHAnsi" w:hAnsiTheme="majorHAnsi" w:cstheme="majorHAnsi"/>
          <w:sz w:val="18"/>
          <w:szCs w:val="18"/>
        </w:rPr>
      </w:pPr>
      <w:r w:rsidRPr="006070EA">
        <w:rPr>
          <w:rFonts w:asciiTheme="majorHAnsi" w:hAnsiTheme="majorHAnsi" w:cstheme="majorHAnsi"/>
          <w:sz w:val="18"/>
          <w:szCs w:val="18"/>
        </w:rPr>
        <w:t xml:space="preserve">Z PÚR ČR vyplývají pro řešené území konkrétní záměry a nároky. Obec neleží v rozvojové oblasti ani v rozvojové ose republikového významu, její území je dotčeno </w:t>
      </w:r>
      <w:r w:rsidRPr="006070EA">
        <w:rPr>
          <w:rFonts w:asciiTheme="majorHAnsi" w:hAnsiTheme="majorHAnsi" w:cstheme="majorHAnsi"/>
          <w:b/>
          <w:bCs/>
          <w:sz w:val="18"/>
          <w:szCs w:val="18"/>
        </w:rPr>
        <w:t>koridorem vodní dopravy VD1</w:t>
      </w:r>
      <w:r w:rsidRPr="006070EA">
        <w:rPr>
          <w:rFonts w:asciiTheme="majorHAnsi" w:hAnsiTheme="majorHAnsi" w:cstheme="majorHAnsi"/>
          <w:sz w:val="18"/>
          <w:szCs w:val="18"/>
        </w:rPr>
        <w:t xml:space="preserve"> – zabezpečení splavnosti Labe v úseku Pardubice – hranice ČR/Německo </w:t>
      </w:r>
      <w:r w:rsidR="00404149" w:rsidRPr="006070EA">
        <w:rPr>
          <w:rFonts w:asciiTheme="majorHAnsi" w:hAnsiTheme="majorHAnsi" w:cstheme="majorHAnsi"/>
          <w:sz w:val="18"/>
          <w:szCs w:val="18"/>
        </w:rPr>
        <w:t>–</w:t>
      </w:r>
      <w:r w:rsidRPr="006070EA">
        <w:rPr>
          <w:rFonts w:asciiTheme="majorHAnsi" w:hAnsiTheme="majorHAnsi" w:cstheme="majorHAnsi"/>
          <w:sz w:val="18"/>
          <w:szCs w:val="18"/>
        </w:rPr>
        <w:t xml:space="preserve"> Dresden, vymezenými v PÚR ČR. Obec leží ve </w:t>
      </w:r>
      <w:r w:rsidRPr="006070EA">
        <w:rPr>
          <w:rFonts w:asciiTheme="majorHAnsi" w:hAnsiTheme="majorHAnsi" w:cstheme="majorHAnsi"/>
          <w:b/>
          <w:bCs/>
          <w:sz w:val="18"/>
          <w:szCs w:val="18"/>
        </w:rPr>
        <w:t>Specifické oblasti, ve které se projevuje aktuální problém ohrožení území suchem (SOB9)</w:t>
      </w:r>
      <w:r w:rsidRPr="006070EA">
        <w:rPr>
          <w:rFonts w:asciiTheme="majorHAnsi" w:hAnsiTheme="majorHAnsi" w:cstheme="majorHAnsi"/>
          <w:sz w:val="18"/>
          <w:szCs w:val="18"/>
        </w:rPr>
        <w:t>.</w:t>
      </w:r>
    </w:p>
    <w:p w14:paraId="1CC6A29F" w14:textId="243D2BDB" w:rsidR="0068493C" w:rsidRPr="006070EA" w:rsidRDefault="0068493C" w:rsidP="0068493C">
      <w:pPr>
        <w:spacing w:before="120" w:after="60" w:line="240" w:lineRule="auto"/>
        <w:ind w:firstLine="709"/>
        <w:jc w:val="both"/>
        <w:rPr>
          <w:rFonts w:asciiTheme="majorHAnsi" w:hAnsiTheme="majorHAnsi" w:cstheme="majorHAnsi"/>
          <w:sz w:val="18"/>
          <w:szCs w:val="18"/>
        </w:rPr>
      </w:pPr>
      <w:r w:rsidRPr="006070EA">
        <w:rPr>
          <w:rFonts w:asciiTheme="majorHAnsi" w:hAnsiTheme="majorHAnsi" w:cstheme="majorHAnsi"/>
          <w:sz w:val="18"/>
          <w:szCs w:val="18"/>
        </w:rPr>
        <w:t xml:space="preserve">Územní plán Kostomlaty nad Labem respektuje obecné zásady PÚR ČR (kapitola 2), vytváří podmínky pro naplnění jejích cílů a je v souladu s republikovými prioritami územního plánování pro zajištění udržitelného rozvoje území. Pro správní území obce Kostomlaty nad Labem vyplývá v souladu se Zadáním ÚP nutnost zohlednění zejména následujících bodů </w:t>
      </w:r>
      <w:r w:rsidRPr="006070EA">
        <w:rPr>
          <w:rFonts w:asciiTheme="majorHAnsi" w:hAnsiTheme="majorHAnsi" w:cstheme="majorHAnsi"/>
          <w:b/>
          <w:sz w:val="18"/>
          <w:szCs w:val="18"/>
        </w:rPr>
        <w:t>republikových priorit</w:t>
      </w:r>
      <w:r w:rsidRPr="006070EA">
        <w:rPr>
          <w:rFonts w:asciiTheme="majorHAnsi" w:hAnsiTheme="majorHAnsi" w:cstheme="majorHAnsi"/>
          <w:sz w:val="18"/>
          <w:szCs w:val="18"/>
        </w:rPr>
        <w:t>:</w:t>
      </w:r>
    </w:p>
    <w:p w14:paraId="0B5965E4" w14:textId="77777777" w:rsidR="0068493C" w:rsidRPr="006070EA" w:rsidRDefault="0068493C" w:rsidP="0068493C">
      <w:pPr>
        <w:spacing w:before="120" w:after="60" w:line="240" w:lineRule="auto"/>
        <w:ind w:firstLine="703"/>
        <w:jc w:val="both"/>
        <w:rPr>
          <w:rFonts w:asciiTheme="majorHAnsi" w:hAnsiTheme="majorHAnsi" w:cstheme="majorHAnsi"/>
          <w:sz w:val="18"/>
          <w:szCs w:val="18"/>
        </w:rPr>
      </w:pPr>
      <w:r w:rsidRPr="006070EA">
        <w:rPr>
          <w:rFonts w:asciiTheme="majorHAnsi" w:hAnsiTheme="majorHAnsi" w:cstheme="majorHAnsi"/>
          <w:sz w:val="18"/>
          <w:szCs w:val="18"/>
        </w:rPr>
        <w:t>(citace z PÚR ČR je uvedena kurzívou a redukována pouze na relevantní požadavky pro řešené území dle Zadání ÚP Kostomlaty nad Labem)</w:t>
      </w:r>
    </w:p>
    <w:p w14:paraId="7FA681D0" w14:textId="77777777" w:rsidR="0068493C" w:rsidRPr="006070EA" w:rsidRDefault="0068493C" w:rsidP="0068493C">
      <w:pPr>
        <w:spacing w:after="60" w:line="240" w:lineRule="auto"/>
        <w:ind w:left="703" w:hanging="703"/>
        <w:jc w:val="both"/>
        <w:rPr>
          <w:rFonts w:asciiTheme="majorHAnsi" w:hAnsiTheme="majorHAnsi" w:cstheme="majorHAnsi"/>
          <w:i/>
          <w:sz w:val="18"/>
          <w:szCs w:val="18"/>
        </w:rPr>
      </w:pPr>
      <w:r w:rsidRPr="006070EA">
        <w:rPr>
          <w:rFonts w:asciiTheme="majorHAnsi" w:hAnsiTheme="majorHAnsi" w:cstheme="majorHAnsi"/>
          <w:sz w:val="18"/>
          <w:szCs w:val="18"/>
        </w:rPr>
        <w:t xml:space="preserve">(14) </w:t>
      </w:r>
      <w:r w:rsidRPr="006070EA">
        <w:rPr>
          <w:rFonts w:asciiTheme="majorHAnsi" w:hAnsiTheme="majorHAnsi" w:cstheme="majorHAnsi"/>
          <w:sz w:val="18"/>
          <w:szCs w:val="18"/>
        </w:rPr>
        <w:tab/>
      </w:r>
      <w:r w:rsidRPr="006070EA">
        <w:rPr>
          <w:rFonts w:asciiTheme="majorHAnsi" w:hAnsiTheme="majorHAnsi" w:cstheme="majorHAnsi"/>
          <w:i/>
          <w:sz w:val="18"/>
          <w:szCs w:val="18"/>
        </w:rPr>
        <w:t>Ve veřejném zájmu chránit a rozvíjet přírodní, civilizační a kulturní hodnoty území, včetně urbanistického, architektonického a archeologického dědictví. Zachovat ráz jedinečné urbanistické struktury území, struktury osídlení a jedinečné kulturní krajiny, které jsou výrazem identity území, jeho historie a tradice. Tato území mají značnou hodnotu, např. i jako turistické atraktivity. Jejich ochrana by měla být provázána s potřebami ekonomického a sociálního rozvoje v souladu s principy udržitelného rozvoje. V některých případech je nutná cílená ochrana míst zvláštního zájmu, v jiných případech je třeba chránit, respektive obnovit celé krajinné celky. Krajina je živým v čase proměnným celkem, který vyžaduje tvůrčí, avšak citlivý přístup k vyváženému všestrannému rozvoji tak, aby byly zachovány její stěžejní kulturní, přírodní a užitné hodnoty.</w:t>
      </w:r>
    </w:p>
    <w:p w14:paraId="31CF0C4A" w14:textId="720C318C" w:rsidR="0068493C" w:rsidRPr="006070EA" w:rsidRDefault="0068493C" w:rsidP="0068493C">
      <w:pPr>
        <w:pStyle w:val="Mra2-reakceern"/>
        <w:keepLines/>
        <w:rPr>
          <w:rFonts w:asciiTheme="majorHAnsi" w:hAnsiTheme="majorHAnsi" w:cstheme="majorHAnsi"/>
          <w:color w:val="auto"/>
        </w:rPr>
      </w:pPr>
      <w:r w:rsidRPr="006070EA">
        <w:rPr>
          <w:rFonts w:asciiTheme="majorHAnsi" w:hAnsiTheme="majorHAnsi" w:cstheme="majorHAnsi"/>
          <w:color w:val="auto"/>
        </w:rPr>
        <w:t>ÚP Kostomlaty nad Labem vytváří podmínky pro ochranu a rozvoj hodnot území. Návrh urbanistické koncepce vychází ze stabilizované historicky vytvořené struktury obce. Stávající struktura osídlení je respektována a dále rozvíjena. Zastavitelné plochy jsou vymezovány v přímé vazbě na zastavěné území, provozované a plánované systémy technické a dopravní infrastruktury a s ohledem na specifický krajinný ráz. Podmínky využívání jednotlivých ploch s rozdílným způsobem využití respektují estetickou hodnotu území spočívající v harmonickém uspořádání přírodních a civilizačních prvků. V souladu s principy udržitelného rozvoje jsou vymezeny funkce umožňující vyvážený rozvoj sociálních a ekonomických potřeb a současně ochranu hodnot území.</w:t>
      </w:r>
    </w:p>
    <w:p w14:paraId="6F1732F2" w14:textId="77777777" w:rsidR="0068493C" w:rsidRPr="006070EA" w:rsidRDefault="0068493C" w:rsidP="0068493C">
      <w:pPr>
        <w:pStyle w:val="Atextkurzva"/>
        <w:ind w:left="709" w:hanging="709"/>
        <w:rPr>
          <w:rFonts w:asciiTheme="majorHAnsi" w:eastAsia="Calibri" w:hAnsiTheme="majorHAnsi" w:cstheme="majorHAnsi"/>
          <w:lang w:eastAsia="en-US"/>
        </w:rPr>
      </w:pPr>
      <w:r w:rsidRPr="006070EA">
        <w:rPr>
          <w:rFonts w:asciiTheme="majorHAnsi" w:eastAsiaTheme="minorHAnsi" w:hAnsiTheme="majorHAnsi" w:cstheme="majorHAnsi"/>
          <w:i w:val="0"/>
          <w:iCs/>
          <w:szCs w:val="18"/>
          <w:lang w:eastAsia="en-US"/>
        </w:rPr>
        <w:t>(15)</w:t>
      </w:r>
      <w:r w:rsidRPr="006070EA">
        <w:rPr>
          <w:rFonts w:asciiTheme="majorHAnsi" w:eastAsiaTheme="minorHAnsi" w:hAnsiTheme="majorHAnsi" w:cstheme="majorHAnsi"/>
          <w:szCs w:val="18"/>
          <w:lang w:eastAsia="en-US"/>
        </w:rPr>
        <w:tab/>
        <w:t>Předcházet při změnách nebo vytváření urbánního prostředí prostorově sociální segregaci s negativními vlivy na sociální soudržnost obyvatel.</w:t>
      </w:r>
      <w:r w:rsidRPr="006070EA">
        <w:rPr>
          <w:rFonts w:asciiTheme="majorHAnsi" w:eastAsia="Calibri" w:hAnsiTheme="majorHAnsi" w:cstheme="majorHAnsi"/>
          <w:lang w:eastAsia="en-US"/>
        </w:rPr>
        <w:tab/>
      </w:r>
    </w:p>
    <w:p w14:paraId="680A535D" w14:textId="77777777" w:rsidR="0068493C" w:rsidRPr="006070EA" w:rsidRDefault="0068493C" w:rsidP="0068493C">
      <w:pPr>
        <w:pStyle w:val="Mra2-reakceern"/>
        <w:keepLines/>
        <w:rPr>
          <w:rFonts w:asciiTheme="majorHAnsi" w:hAnsiTheme="majorHAnsi" w:cstheme="majorHAnsi"/>
          <w:color w:val="auto"/>
        </w:rPr>
      </w:pPr>
      <w:r w:rsidRPr="006070EA">
        <w:rPr>
          <w:rFonts w:asciiTheme="majorHAnsi" w:hAnsiTheme="majorHAnsi" w:cstheme="majorHAnsi"/>
          <w:color w:val="auto"/>
        </w:rPr>
        <w:t>Rozvojové plochy jsou lokalizovány v návaznosti na stávající zástavbu. Systém místních komunikací propojuje rozvojové plochy se stávající zástavbou a plochami veřejných prostranství. Územní plán dále vytváří podmínky pro rozvoj občanské vybavenosti, kterou je možné realizovat i v rámci ploch bydlení (BI, BH) či smíšených obytných (SV, SM), čímž rovněž přispívá ke snížení míry sociální segregace.</w:t>
      </w:r>
    </w:p>
    <w:p w14:paraId="6F2D14E3" w14:textId="77777777" w:rsidR="0068493C" w:rsidRPr="006070EA" w:rsidRDefault="0068493C" w:rsidP="0068493C">
      <w:pPr>
        <w:pStyle w:val="Mra2-reakceern"/>
        <w:keepLines/>
        <w:ind w:firstLine="709"/>
        <w:rPr>
          <w:rFonts w:asciiTheme="majorHAnsi" w:hAnsiTheme="majorHAnsi" w:cstheme="majorHAnsi"/>
        </w:rPr>
      </w:pPr>
      <w:r w:rsidRPr="006070EA">
        <w:rPr>
          <w:rFonts w:asciiTheme="majorHAnsi" w:hAnsiTheme="majorHAnsi" w:cstheme="majorHAnsi"/>
          <w:color w:val="auto"/>
        </w:rPr>
        <w:t>V řešení ÚP je dominantním koncepčním principem zachování a dotváření kompaktnosti sídel. Ve volné krajině naopak nejsou vymezovány žádné samostatné obytné komplexy nebo soubory, které zpravidla utvářejí tzv. „gated communities,“ tedy nepřístupné obytné celky sociálně a prostorově izolované od ostatní zástavby a obyvatel obce. Rozvoj izolovaných sídelních enkláv je v rámci obecné urbanistické koncepce vyloučen.</w:t>
      </w:r>
    </w:p>
    <w:p w14:paraId="2F873D34" w14:textId="77777777" w:rsidR="0068493C" w:rsidRPr="006070EA" w:rsidRDefault="0068493C" w:rsidP="0068493C">
      <w:pPr>
        <w:pStyle w:val="Atextkurzva"/>
        <w:ind w:left="709" w:hanging="709"/>
        <w:rPr>
          <w:rFonts w:asciiTheme="majorHAnsi" w:eastAsia="Calibri" w:hAnsiTheme="majorHAnsi" w:cstheme="majorHAnsi"/>
          <w:lang w:eastAsia="en-US"/>
        </w:rPr>
      </w:pPr>
      <w:r w:rsidRPr="006070EA">
        <w:rPr>
          <w:rFonts w:asciiTheme="majorHAnsi" w:eastAsia="Calibri" w:hAnsiTheme="majorHAnsi" w:cstheme="majorHAnsi"/>
          <w:i w:val="0"/>
          <w:iCs/>
          <w:lang w:eastAsia="en-US"/>
        </w:rPr>
        <w:lastRenderedPageBreak/>
        <w:t>(16)</w:t>
      </w:r>
      <w:r w:rsidRPr="006070EA">
        <w:rPr>
          <w:rFonts w:asciiTheme="majorHAnsi" w:eastAsia="Calibri" w:hAnsiTheme="majorHAnsi" w:cstheme="majorHAnsi"/>
          <w:lang w:eastAsia="en-US"/>
        </w:rPr>
        <w:t xml:space="preserve"> </w:t>
      </w:r>
      <w:r w:rsidRPr="006070EA">
        <w:rPr>
          <w:rFonts w:asciiTheme="majorHAnsi" w:eastAsia="Calibri" w:hAnsiTheme="majorHAnsi" w:cstheme="majorHAnsi"/>
          <w:lang w:eastAsia="en-US"/>
        </w:rPr>
        <w:tab/>
      </w:r>
      <w:r w:rsidRPr="006070EA">
        <w:rPr>
          <w:rFonts w:asciiTheme="majorHAnsi" w:eastAsiaTheme="minorHAnsi" w:hAnsiTheme="majorHAnsi" w:cstheme="majorHAnsi"/>
          <w:szCs w:val="18"/>
          <w:lang w:eastAsia="en-US"/>
        </w:rPr>
        <w:t>Při stanovování způsobu využití území v územně plánovací dokumentaci upřednostnit komplexní řešení před uplatňováním jednostranných hledisek a požadavků, které ve svých důsledcích zhoršují stav i hodnoty území. Vhodná řešení územního rozvoje je zapotřebí hledat ve spolupráci s obyvateli území i s jeho uživateli a v souladu s určením a charakterem oblastí, os, ploch a koridorů vymezených v PÚR ČR.</w:t>
      </w:r>
    </w:p>
    <w:p w14:paraId="7243CDBA" w14:textId="49EF0B33" w:rsidR="0068493C" w:rsidRPr="006070EA" w:rsidRDefault="0068493C" w:rsidP="0068493C">
      <w:pPr>
        <w:pStyle w:val="Mra2-reakceern"/>
        <w:keepLines/>
        <w:rPr>
          <w:rFonts w:asciiTheme="majorHAnsi" w:hAnsiTheme="majorHAnsi" w:cstheme="majorHAnsi"/>
          <w:color w:val="auto"/>
        </w:rPr>
      </w:pPr>
      <w:r w:rsidRPr="006070EA">
        <w:rPr>
          <w:rFonts w:asciiTheme="majorHAnsi" w:hAnsiTheme="majorHAnsi" w:cstheme="majorHAnsi"/>
          <w:color w:val="auto"/>
        </w:rPr>
        <w:t>Územní plán vychází ze stávajícího optimálního rozložení všech funkčních složek v území. Primární funkci v</w:t>
      </w:r>
      <w:r w:rsidR="00404149" w:rsidRPr="006070EA">
        <w:rPr>
          <w:rFonts w:asciiTheme="majorHAnsi" w:hAnsiTheme="majorHAnsi" w:cstheme="majorHAnsi"/>
          <w:color w:val="auto"/>
        </w:rPr>
        <w:t> </w:t>
      </w:r>
      <w:r w:rsidRPr="006070EA">
        <w:rPr>
          <w:rFonts w:asciiTheme="majorHAnsi" w:hAnsiTheme="majorHAnsi" w:cstheme="majorHAnsi"/>
          <w:color w:val="auto"/>
        </w:rPr>
        <w:t xml:space="preserve">urbanizovaném území představují plochy smíšené obytné a plochy bydlení. Tyto plochy umožňují integraci bydlení, rekreace, občanského vybavení případně nerušící výroby. Vymezením stabilizovaných ploch občanského vybavení jsou vytvořeny podmínky pro jejich ochranu ve struktuře sídla a případný kvalitativní rozvoj. </w:t>
      </w:r>
    </w:p>
    <w:p w14:paraId="2E38509B" w14:textId="77777777" w:rsidR="0068493C" w:rsidRPr="006070EA" w:rsidRDefault="0068493C" w:rsidP="0068493C">
      <w:pPr>
        <w:pStyle w:val="Mra2-reakceern"/>
        <w:keepLines/>
        <w:ind w:firstLine="709"/>
        <w:rPr>
          <w:rFonts w:asciiTheme="majorHAnsi" w:hAnsiTheme="majorHAnsi" w:cstheme="majorHAnsi"/>
          <w:color w:val="auto"/>
        </w:rPr>
      </w:pPr>
      <w:r w:rsidRPr="006070EA">
        <w:rPr>
          <w:rFonts w:asciiTheme="majorHAnsi" w:hAnsiTheme="majorHAnsi" w:cstheme="majorHAnsi"/>
          <w:color w:val="auto"/>
        </w:rPr>
        <w:t xml:space="preserve">Jedním ze základních principů tvorby územního plánu je komunikace nejen s městem a dotčenými orgány, ale také s širší veřejností. V rámci přípravy zadání ÚP byly shromážděny jednotlivé podněty a požadavky vlastníků pozemků a městské samosprávy na změny v území, které byly v rámci zpracování návrhu ÚP vyhodnoceny a případně zapracovány. Při stanovování způsobu využití území byla upřednostněna komplexní řešení před parciálními zájmy – v tomto smyslu byly do koncepce řešení nového ÚP převzaty pouze koncepční a odůvodněné principy řešení stávající ÚPD. </w:t>
      </w:r>
    </w:p>
    <w:p w14:paraId="417923D9" w14:textId="1849EEF3" w:rsidR="0068493C" w:rsidRPr="006070EA" w:rsidRDefault="0068493C" w:rsidP="0068493C">
      <w:pPr>
        <w:pStyle w:val="Mra2-reakceern"/>
        <w:keepLines/>
        <w:ind w:firstLine="709"/>
        <w:rPr>
          <w:rFonts w:asciiTheme="majorHAnsi" w:hAnsiTheme="majorHAnsi" w:cstheme="majorHAnsi"/>
          <w:color w:val="auto"/>
        </w:rPr>
      </w:pPr>
      <w:r w:rsidRPr="006070EA">
        <w:rPr>
          <w:rFonts w:asciiTheme="majorHAnsi" w:hAnsiTheme="majorHAnsi" w:cstheme="majorHAnsi"/>
          <w:color w:val="auto"/>
        </w:rPr>
        <w:t>S ohledem na ochranu hodnot území, současný stav a podmínky v území, jeho rozvojové předpoklady, význam a pozici města v sídelní struktuře, limity využití území a nadřazenou územně plánovací dokumentaci byl stanoven optimální způsob využití území a rozsah zastavitelných ploch. Základní body koncepce byly formulovány ve spolupráci s představiteli samosprávy města.</w:t>
      </w:r>
    </w:p>
    <w:p w14:paraId="5F6117FE" w14:textId="016FA980" w:rsidR="0068493C" w:rsidRPr="006070EA" w:rsidRDefault="0068493C" w:rsidP="0068493C">
      <w:pPr>
        <w:pStyle w:val="Mra2-reakceern"/>
        <w:keepLines/>
        <w:ind w:firstLine="709"/>
        <w:rPr>
          <w:rFonts w:asciiTheme="majorHAnsi" w:hAnsiTheme="majorHAnsi" w:cstheme="majorHAnsi"/>
        </w:rPr>
      </w:pPr>
      <w:r w:rsidRPr="006070EA">
        <w:rPr>
          <w:rFonts w:asciiTheme="majorHAnsi" w:hAnsiTheme="majorHAnsi" w:cstheme="majorHAnsi"/>
          <w:color w:val="auto"/>
        </w:rPr>
        <w:t>V rámci koncepce ochrany a rozvoje hodnot jsou respektovány hodnoty vymezené v podkladech pro rozbor udržitelného rozvoje (v rámci ÚAP SO ORP Nymburk) a další hodnoty území identifikované na základě interních průzkumů a rozborů zpracovatele se zohledněním zvyšování kvality života obyvatel a hospodářského rozvoje území.</w:t>
      </w:r>
    </w:p>
    <w:p w14:paraId="2AE25526" w14:textId="77777777" w:rsidR="0068493C" w:rsidRPr="006070EA" w:rsidRDefault="0068493C" w:rsidP="0068493C">
      <w:pPr>
        <w:spacing w:before="120" w:after="60" w:line="240" w:lineRule="auto"/>
        <w:ind w:left="703" w:hanging="703"/>
        <w:jc w:val="both"/>
        <w:rPr>
          <w:rFonts w:asciiTheme="majorHAnsi" w:hAnsiTheme="majorHAnsi" w:cstheme="majorHAnsi"/>
          <w:i/>
          <w:sz w:val="18"/>
          <w:szCs w:val="18"/>
        </w:rPr>
      </w:pPr>
      <w:r w:rsidRPr="006070EA">
        <w:rPr>
          <w:rFonts w:asciiTheme="majorHAnsi" w:hAnsiTheme="majorHAnsi" w:cstheme="majorHAnsi"/>
          <w:iCs/>
          <w:sz w:val="18"/>
          <w:szCs w:val="18"/>
        </w:rPr>
        <w:t>(18)</w:t>
      </w:r>
      <w:r w:rsidRPr="006070EA">
        <w:rPr>
          <w:rFonts w:asciiTheme="majorHAnsi" w:hAnsiTheme="majorHAnsi" w:cstheme="majorHAnsi"/>
          <w:i/>
          <w:sz w:val="18"/>
          <w:szCs w:val="18"/>
        </w:rPr>
        <w:tab/>
      </w:r>
      <w:r w:rsidRPr="006070EA">
        <w:rPr>
          <w:rFonts w:asciiTheme="majorHAnsi" w:hAnsiTheme="majorHAnsi" w:cstheme="majorHAnsi"/>
          <w:i/>
          <w:sz w:val="18"/>
          <w:szCs w:val="18"/>
        </w:rPr>
        <w:tab/>
        <w:t>Podporovat vyvážený a polycentrický rozvoj sídelní struktury. Vytvářet územní předpoklady pro posílení vazeb mezi městskými a venkovskými oblastmi s ohledem na jejich rozdílnost z hlediska přírodního, krajinného, urbanistického i hospodářského prostředí.</w:t>
      </w:r>
    </w:p>
    <w:p w14:paraId="47E95F88" w14:textId="39FB0637" w:rsidR="0068493C" w:rsidRPr="006070EA" w:rsidRDefault="0068493C" w:rsidP="0068493C">
      <w:pPr>
        <w:pStyle w:val="Mra2-reakceern"/>
        <w:keepLines/>
        <w:ind w:firstLine="709"/>
        <w:rPr>
          <w:rFonts w:asciiTheme="majorHAnsi" w:hAnsiTheme="majorHAnsi" w:cstheme="majorHAnsi"/>
          <w:color w:val="auto"/>
        </w:rPr>
      </w:pPr>
      <w:r w:rsidRPr="006070EA">
        <w:rPr>
          <w:rFonts w:asciiTheme="majorHAnsi" w:hAnsiTheme="majorHAnsi" w:cstheme="majorHAnsi"/>
          <w:color w:val="auto"/>
        </w:rPr>
        <w:t>Obec Kostomlaty nad Labem je lokálním spádovým centrem, se silnými vazbami na vyšší centra osídlení (Nymburk, Lysá nad Labem, Praha). Územním plánem je zachována pozice v sídelní struktuře, v rámci možností jsou posilovány vazby na vyšší správní centra a zároveň rozvoj vybavenosti v obci. ÚP v rámci zastavitelných ploch vytváří podmínky zejména pro rozvoj a zkvalitnění bydlení, vybavenosti a krajinného zázemí sídel. Obsahově se snaží o</w:t>
      </w:r>
      <w:r w:rsidR="00404149" w:rsidRPr="006070EA">
        <w:rPr>
          <w:rFonts w:asciiTheme="majorHAnsi" w:hAnsiTheme="majorHAnsi" w:cstheme="majorHAnsi"/>
          <w:color w:val="auto"/>
        </w:rPr>
        <w:t> </w:t>
      </w:r>
      <w:r w:rsidRPr="006070EA">
        <w:rPr>
          <w:rFonts w:asciiTheme="majorHAnsi" w:hAnsiTheme="majorHAnsi" w:cstheme="majorHAnsi"/>
          <w:color w:val="auto"/>
        </w:rPr>
        <w:t xml:space="preserve">funkční i prostorovou koncentraci a posiluje tak pozici obce v rámci sídelní struktury. </w:t>
      </w:r>
    </w:p>
    <w:p w14:paraId="5F02BE3E" w14:textId="77777777" w:rsidR="0068493C" w:rsidRPr="006070EA" w:rsidRDefault="0068493C" w:rsidP="0068493C">
      <w:pPr>
        <w:pStyle w:val="Mra2-reakceern"/>
        <w:keepLines/>
        <w:ind w:firstLine="709"/>
        <w:rPr>
          <w:rFonts w:asciiTheme="majorHAnsi" w:hAnsiTheme="majorHAnsi" w:cstheme="majorHAnsi"/>
        </w:rPr>
      </w:pPr>
      <w:r w:rsidRPr="006070EA">
        <w:rPr>
          <w:rFonts w:asciiTheme="majorHAnsi" w:hAnsiTheme="majorHAnsi" w:cstheme="majorHAnsi"/>
          <w:color w:val="auto"/>
        </w:rPr>
        <w:t xml:space="preserve">Zastavitelné plochy byly navrženy a vymezeny v rozsahu umožňujícím udržitelný rozvoj území s ohledem na přírodní, civilizační a kulturní hodnoty území. Vymezením zastavěného území a zastavitelných ploch přispívá územní plán k rozvoji polycentrické sídelní struktury v dotčené části regionu. </w:t>
      </w:r>
    </w:p>
    <w:p w14:paraId="07494890" w14:textId="77777777" w:rsidR="0068493C" w:rsidRPr="006070EA" w:rsidRDefault="0068493C" w:rsidP="0068493C">
      <w:pPr>
        <w:spacing w:before="120" w:after="60" w:line="240" w:lineRule="auto"/>
        <w:ind w:left="703" w:hanging="703"/>
        <w:jc w:val="both"/>
        <w:rPr>
          <w:rFonts w:asciiTheme="majorHAnsi" w:hAnsiTheme="majorHAnsi" w:cstheme="majorHAnsi"/>
          <w:i/>
          <w:sz w:val="18"/>
          <w:szCs w:val="18"/>
        </w:rPr>
      </w:pPr>
      <w:r w:rsidRPr="006070EA">
        <w:rPr>
          <w:rFonts w:asciiTheme="majorHAnsi" w:hAnsiTheme="majorHAnsi" w:cstheme="majorHAnsi"/>
          <w:iCs/>
          <w:sz w:val="18"/>
          <w:szCs w:val="18"/>
        </w:rPr>
        <w:t>(19)</w:t>
      </w:r>
      <w:r w:rsidRPr="006070EA">
        <w:rPr>
          <w:rFonts w:asciiTheme="majorHAnsi" w:hAnsiTheme="majorHAnsi" w:cstheme="majorHAnsi"/>
          <w:i/>
          <w:sz w:val="18"/>
          <w:szCs w:val="18"/>
        </w:rPr>
        <w:tab/>
        <w:t>Vytvářet předpoklady pro rozvoj, využití potenciálu a polyfunkční využívání opuštěných areálů a ploch (tzv. brownfields průmyslového, zemědělského, vojenského a jiného původu, vč. území bývalých vojenských újezdů). Hospodárně využívat zastavěné území (podpora přestaveb revitalizací a sanací území) a zajistit ochranu nezastavěného území (zejména zemědělské a lesní půdy) a zachování veřejné zeleně, včetně minimalizace její fragmentace. Cílem je účelné využívání a uspořádání území úsporné v nárocích na veřejné rozpočty na dopravu a energie, které koordinací veřejných a soukromých zájmů na rozvoji území omezuje negativní důsledky suburbanizace pro udržitelný rozvoj území.</w:t>
      </w:r>
    </w:p>
    <w:p w14:paraId="21716F57" w14:textId="77777777" w:rsidR="0068493C" w:rsidRPr="006070EA" w:rsidRDefault="0068493C" w:rsidP="0068493C">
      <w:pPr>
        <w:pStyle w:val="Mra2-reakceern"/>
        <w:rPr>
          <w:rFonts w:asciiTheme="majorHAnsi" w:hAnsiTheme="majorHAnsi" w:cstheme="majorHAnsi"/>
          <w:color w:val="auto"/>
        </w:rPr>
      </w:pPr>
      <w:r w:rsidRPr="006070EA">
        <w:rPr>
          <w:rFonts w:asciiTheme="majorHAnsi" w:hAnsiTheme="majorHAnsi" w:cstheme="majorHAnsi"/>
          <w:color w:val="auto"/>
        </w:rPr>
        <w:t>Vymezením rozvojových ploch v rámci zastavěného území a stanovením podmínek využití ve stabilizovaných plochách v zastavěném území jsou vytvořeny podmínky pro intenzifikaci zastavěného území a jeho hospodárné využití. Územním plánem jsou stabilizovány plochy zemědělské výroby a rozvíjeny plochy lehké výroby v návaznosti na stávající zástavbu. Brownfieldy nejsou v území identifikovány, zastavěné území je účelně využíváno.</w:t>
      </w:r>
    </w:p>
    <w:p w14:paraId="17C92AD5" w14:textId="77777777" w:rsidR="0068493C" w:rsidRPr="006070EA" w:rsidRDefault="0068493C" w:rsidP="0068493C">
      <w:pPr>
        <w:pStyle w:val="Mra2-reakceern"/>
        <w:ind w:firstLine="709"/>
        <w:rPr>
          <w:rFonts w:asciiTheme="majorHAnsi" w:hAnsiTheme="majorHAnsi" w:cstheme="majorHAnsi"/>
          <w:color w:val="auto"/>
        </w:rPr>
      </w:pPr>
      <w:r w:rsidRPr="006070EA">
        <w:rPr>
          <w:rFonts w:asciiTheme="majorHAnsi" w:hAnsiTheme="majorHAnsi" w:cstheme="majorHAnsi"/>
          <w:color w:val="auto"/>
        </w:rPr>
        <w:t xml:space="preserve">Zastavitelné plochy jsou vymezeny výhradně v přímé vazbě na zastavěné území s cílem minimalizovat nároky na veřejné rozpočty a chránit nezastavěné území, především nejkvalitnější zemědělskou a lesní půdu. Jejich umístění vychází zejména ze struktury stávající zástavby, přírodních, geomorfologických a dalších podmínek v území a koncepce stanovené stávající ÚPD obce. </w:t>
      </w:r>
    </w:p>
    <w:p w14:paraId="1B7CF922" w14:textId="4274B84A" w:rsidR="0068493C" w:rsidRPr="006070EA" w:rsidRDefault="0068493C" w:rsidP="0068493C">
      <w:pPr>
        <w:pStyle w:val="Mra2-reakceern"/>
        <w:ind w:firstLine="709"/>
        <w:rPr>
          <w:rFonts w:asciiTheme="majorHAnsi" w:hAnsiTheme="majorHAnsi" w:cstheme="majorHAnsi"/>
          <w:color w:val="auto"/>
        </w:rPr>
      </w:pPr>
      <w:r w:rsidRPr="006070EA">
        <w:rPr>
          <w:rFonts w:asciiTheme="majorHAnsi" w:hAnsiTheme="majorHAnsi" w:cstheme="majorHAnsi"/>
          <w:color w:val="auto"/>
        </w:rPr>
        <w:t xml:space="preserve">Stávající veřejná zeleň je územním plánem chráněna a stabilizována jejich zařazením mezi plochy s rozdílným způsobem využití </w:t>
      </w:r>
      <w:r w:rsidRPr="006070EA">
        <w:rPr>
          <w:rFonts w:asciiTheme="majorHAnsi" w:hAnsiTheme="majorHAnsi" w:cstheme="majorHAnsi"/>
          <w:i/>
          <w:color w:val="auto"/>
        </w:rPr>
        <w:t>zeleň</w:t>
      </w:r>
      <w:r w:rsidRPr="006070EA">
        <w:rPr>
          <w:rFonts w:asciiTheme="majorHAnsi" w:hAnsiTheme="majorHAnsi" w:cstheme="majorHAnsi"/>
          <w:color w:val="auto"/>
        </w:rPr>
        <w:t xml:space="preserve"> </w:t>
      </w:r>
      <w:r w:rsidR="00D32D19" w:rsidRPr="006070EA">
        <w:rPr>
          <w:rFonts w:asciiTheme="majorHAnsi" w:hAnsiTheme="majorHAnsi" w:cstheme="majorHAnsi"/>
          <w:color w:val="auto"/>
        </w:rPr>
        <w:t xml:space="preserve">– </w:t>
      </w:r>
      <w:r w:rsidR="00D32D19" w:rsidRPr="006070EA">
        <w:rPr>
          <w:rFonts w:asciiTheme="majorHAnsi" w:hAnsiTheme="majorHAnsi" w:cstheme="majorHAnsi"/>
          <w:i/>
          <w:iCs w:val="0"/>
          <w:color w:val="auto"/>
        </w:rPr>
        <w:t>parky a parkově upravené plochy</w:t>
      </w:r>
      <w:r w:rsidR="00D32D19" w:rsidRPr="006070EA">
        <w:rPr>
          <w:rFonts w:asciiTheme="majorHAnsi" w:hAnsiTheme="majorHAnsi" w:cstheme="majorHAnsi"/>
          <w:color w:val="auto"/>
        </w:rPr>
        <w:t xml:space="preserve"> </w:t>
      </w:r>
      <w:r w:rsidRPr="006070EA">
        <w:rPr>
          <w:rFonts w:asciiTheme="majorHAnsi" w:hAnsiTheme="majorHAnsi" w:cstheme="majorHAnsi"/>
          <w:color w:val="auto"/>
        </w:rPr>
        <w:t>(Z</w:t>
      </w:r>
      <w:r w:rsidR="00D32D19" w:rsidRPr="006070EA">
        <w:rPr>
          <w:rFonts w:asciiTheme="majorHAnsi" w:hAnsiTheme="majorHAnsi" w:cstheme="majorHAnsi"/>
          <w:color w:val="auto"/>
        </w:rPr>
        <w:t>P</w:t>
      </w:r>
      <w:r w:rsidRPr="006070EA">
        <w:rPr>
          <w:rFonts w:asciiTheme="majorHAnsi" w:hAnsiTheme="majorHAnsi" w:cstheme="majorHAnsi"/>
          <w:color w:val="auto"/>
        </w:rPr>
        <w:t xml:space="preserve">), příp. </w:t>
      </w:r>
      <w:r w:rsidRPr="006070EA">
        <w:rPr>
          <w:rFonts w:asciiTheme="majorHAnsi" w:hAnsiTheme="majorHAnsi" w:cstheme="majorHAnsi"/>
          <w:i/>
          <w:color w:val="auto"/>
        </w:rPr>
        <w:t>veřejná prostranství</w:t>
      </w:r>
      <w:r w:rsidRPr="006070EA">
        <w:rPr>
          <w:rFonts w:asciiTheme="majorHAnsi" w:hAnsiTheme="majorHAnsi" w:cstheme="majorHAnsi"/>
          <w:color w:val="auto"/>
        </w:rPr>
        <w:t xml:space="preserve"> </w:t>
      </w:r>
      <w:r w:rsidR="00D32D19" w:rsidRPr="006070EA">
        <w:rPr>
          <w:rFonts w:asciiTheme="majorHAnsi" w:hAnsiTheme="majorHAnsi" w:cstheme="majorHAnsi"/>
          <w:i/>
          <w:iCs w:val="0"/>
          <w:color w:val="auto"/>
        </w:rPr>
        <w:t>všeobecná</w:t>
      </w:r>
      <w:r w:rsidR="00D32D19" w:rsidRPr="006070EA">
        <w:rPr>
          <w:rFonts w:asciiTheme="majorHAnsi" w:hAnsiTheme="majorHAnsi" w:cstheme="majorHAnsi"/>
          <w:color w:val="auto"/>
        </w:rPr>
        <w:t xml:space="preserve"> </w:t>
      </w:r>
      <w:r w:rsidRPr="006070EA">
        <w:rPr>
          <w:rFonts w:asciiTheme="majorHAnsi" w:hAnsiTheme="majorHAnsi" w:cstheme="majorHAnsi"/>
          <w:color w:val="auto"/>
        </w:rPr>
        <w:t>(P</w:t>
      </w:r>
      <w:r w:rsidR="00D32D19" w:rsidRPr="006070EA">
        <w:rPr>
          <w:rFonts w:asciiTheme="majorHAnsi" w:hAnsiTheme="majorHAnsi" w:cstheme="majorHAnsi"/>
          <w:color w:val="auto"/>
        </w:rPr>
        <w:t>U</w:t>
      </w:r>
      <w:r w:rsidRPr="006070EA">
        <w:rPr>
          <w:rFonts w:asciiTheme="majorHAnsi" w:hAnsiTheme="majorHAnsi" w:cstheme="majorHAnsi"/>
          <w:color w:val="auto"/>
        </w:rPr>
        <w:t xml:space="preserve">) nebo </w:t>
      </w:r>
      <w:r w:rsidRPr="006070EA">
        <w:rPr>
          <w:rFonts w:asciiTheme="majorHAnsi" w:hAnsiTheme="majorHAnsi" w:cstheme="majorHAnsi"/>
          <w:i/>
          <w:color w:val="auto"/>
        </w:rPr>
        <w:t>zeleň</w:t>
      </w:r>
      <w:r w:rsidRPr="006070EA">
        <w:rPr>
          <w:rFonts w:asciiTheme="majorHAnsi" w:hAnsiTheme="majorHAnsi" w:cstheme="majorHAnsi"/>
          <w:color w:val="auto"/>
        </w:rPr>
        <w:t xml:space="preserve"> </w:t>
      </w:r>
      <w:r w:rsidR="00D32D19" w:rsidRPr="006070EA">
        <w:rPr>
          <w:rFonts w:asciiTheme="majorHAnsi" w:hAnsiTheme="majorHAnsi" w:cstheme="majorHAnsi"/>
          <w:i/>
          <w:iCs w:val="0"/>
          <w:color w:val="auto"/>
        </w:rPr>
        <w:t>krajinná</w:t>
      </w:r>
      <w:r w:rsidRPr="006070EA">
        <w:rPr>
          <w:rFonts w:asciiTheme="majorHAnsi" w:hAnsiTheme="majorHAnsi" w:cstheme="majorHAnsi"/>
          <w:color w:val="auto"/>
        </w:rPr>
        <w:t xml:space="preserve"> (Z</w:t>
      </w:r>
      <w:r w:rsidR="00D32D19" w:rsidRPr="006070EA">
        <w:rPr>
          <w:rFonts w:asciiTheme="majorHAnsi" w:hAnsiTheme="majorHAnsi" w:cstheme="majorHAnsi"/>
          <w:color w:val="auto"/>
        </w:rPr>
        <w:t>K</w:t>
      </w:r>
      <w:r w:rsidRPr="006070EA">
        <w:rPr>
          <w:rFonts w:asciiTheme="majorHAnsi" w:hAnsiTheme="majorHAnsi" w:cstheme="majorHAnsi"/>
          <w:color w:val="auto"/>
        </w:rPr>
        <w:t xml:space="preserve">), veřejná zeleň může být i součástí dalších ploch s rozdílným způsobem využití (SV, SM, BI, BH). Územní plán klade důraz na provázanost systému veřejně přístupné zeleně a minimalizuje její fragmentaci. </w:t>
      </w:r>
    </w:p>
    <w:p w14:paraId="246E5955" w14:textId="67CDCF10" w:rsidR="0068493C" w:rsidRPr="006070EA" w:rsidRDefault="0068493C" w:rsidP="0068493C">
      <w:pPr>
        <w:keepNext/>
        <w:keepLines/>
        <w:spacing w:before="120" w:after="60" w:line="240" w:lineRule="auto"/>
        <w:ind w:left="703" w:hanging="703"/>
        <w:jc w:val="both"/>
        <w:rPr>
          <w:rFonts w:asciiTheme="majorHAnsi" w:hAnsiTheme="majorHAnsi" w:cstheme="majorHAnsi"/>
          <w:i/>
          <w:iCs/>
          <w:sz w:val="18"/>
          <w:szCs w:val="18"/>
        </w:rPr>
      </w:pPr>
      <w:r w:rsidRPr="006070EA">
        <w:rPr>
          <w:rFonts w:asciiTheme="majorHAnsi" w:hAnsiTheme="majorHAnsi" w:cstheme="majorHAnsi"/>
          <w:sz w:val="18"/>
          <w:szCs w:val="18"/>
        </w:rPr>
        <w:lastRenderedPageBreak/>
        <w:t>(20)</w:t>
      </w:r>
      <w:r w:rsidRPr="006070EA">
        <w:rPr>
          <w:rFonts w:asciiTheme="majorHAnsi" w:hAnsiTheme="majorHAnsi" w:cstheme="majorHAnsi"/>
          <w:sz w:val="18"/>
          <w:szCs w:val="18"/>
        </w:rPr>
        <w:tab/>
      </w:r>
      <w:r w:rsidRPr="006070EA">
        <w:rPr>
          <w:rFonts w:asciiTheme="majorHAnsi" w:hAnsiTheme="majorHAnsi" w:cstheme="majorHAnsi"/>
          <w:i/>
          <w:iCs/>
          <w:sz w:val="18"/>
          <w:szCs w:val="18"/>
        </w:rPr>
        <w:t>Rozvojové záměry, které mohou významně ovlivnit charakter krajiny, umísťovat do co nejméně konfliktních lokalit a</w:t>
      </w:r>
      <w:r w:rsidR="00404149" w:rsidRPr="006070EA">
        <w:rPr>
          <w:rFonts w:asciiTheme="majorHAnsi" w:hAnsiTheme="majorHAnsi" w:cstheme="majorHAnsi"/>
          <w:i/>
          <w:iCs/>
          <w:sz w:val="18"/>
          <w:szCs w:val="18"/>
        </w:rPr>
        <w:t> </w:t>
      </w:r>
      <w:r w:rsidRPr="006070EA">
        <w:rPr>
          <w:rFonts w:asciiTheme="majorHAnsi" w:hAnsiTheme="majorHAnsi" w:cstheme="majorHAnsi"/>
          <w:i/>
          <w:iCs/>
          <w:sz w:val="18"/>
          <w:szCs w:val="18"/>
        </w:rPr>
        <w:t>následně podporovat potřebná kompenzační opatření. S ohledem na to při územně plánovací činnosti respektovat veřejné zájmy např. ochrany biologické rozmanitosti a kvality životního prostředí, zejména formou důsledné ochrany zvláště chráněných území, lokalit soustavy Natura 2000, mokřadů, ochranných pásem vodních zdrojů, chráněné oblasti přirozené akumulace vod a nerostného bohatství, ochrany zemědělského a lesního půdního fondu. Vytvářet územní podmínky pro implementaci a respektování územních systémů ekologické stability a zvyšování a udržování ekologické stability a k zajištění ekologických funkcí i v ostatní volné krajině a pro ochranu krajinných prvků přírodního charakteru v zastavěných územích, zvyšování a udržování rozmanitosti venkovské krajiny. V rámci územně plánovací činnosti vytvářet podmínky pro ochranu krajinného rázu s ohledem na cílové kvality krajiny a vytvářet podmínky pro využití přírodních zdrojů.</w:t>
      </w:r>
    </w:p>
    <w:p w14:paraId="3865CC66" w14:textId="77777777" w:rsidR="0068493C" w:rsidRPr="006070EA" w:rsidRDefault="0068493C" w:rsidP="0068493C">
      <w:pPr>
        <w:pStyle w:val="Mra2-reakceern"/>
        <w:rPr>
          <w:rFonts w:asciiTheme="majorHAnsi" w:hAnsiTheme="majorHAnsi" w:cstheme="majorHAnsi"/>
          <w:color w:val="auto"/>
        </w:rPr>
      </w:pPr>
      <w:r w:rsidRPr="006070EA">
        <w:rPr>
          <w:rFonts w:asciiTheme="majorHAnsi" w:hAnsiTheme="majorHAnsi" w:cstheme="majorHAnsi"/>
          <w:color w:val="auto"/>
        </w:rPr>
        <w:t xml:space="preserve">Územní plán respektuje a dále rozvíjí konsolidovanou strukturu sídla. Územní aktivity jsou soustředěny výhradně v rámci urbanizovaných ploch a v návaznosti na ně. Cílem je stabilizace pozice obce ve struktuře osídlení a upevnění primární socioekonomické svébytnosti. V rámci koncepce uspořádání krajiny jsou v nezastavěném území vymezeny především stabilizované plochy vodní, přírodní, zemědělské a smíšené nezastavěného území. Stabilizován je systém hodnotných přírodních prvků zajišťujících ekologickou stabilitu území, zejména vymezením ÚSES. </w:t>
      </w:r>
    </w:p>
    <w:p w14:paraId="345F3993" w14:textId="7E80A888" w:rsidR="0068493C" w:rsidRPr="006070EA" w:rsidRDefault="0068493C" w:rsidP="0068493C">
      <w:pPr>
        <w:pStyle w:val="Mra2-reakceern"/>
        <w:rPr>
          <w:rFonts w:asciiTheme="majorHAnsi" w:hAnsiTheme="majorHAnsi" w:cstheme="majorHAnsi"/>
          <w:color w:val="auto"/>
        </w:rPr>
      </w:pPr>
      <w:r w:rsidRPr="006070EA">
        <w:rPr>
          <w:rFonts w:asciiTheme="majorHAnsi" w:hAnsiTheme="majorHAnsi" w:cstheme="majorHAnsi"/>
          <w:color w:val="auto"/>
        </w:rPr>
        <w:tab/>
        <w:t xml:space="preserve">Územní plán respektuje přírodní hodnoty a limity a svou koncepcí je nenarušuje. Rozvojové záměry nejsou lokalizovány v konfliktu se zvláště chráněnými územími. Podmínky pro ochranu krajinného rázu s ohledem na cílové charakteristiky a typy krajiny jsou územním plánem vytvořeny především stanoveným využitím jednotlivých ploch s rozdílným způsobem využití včetně jejich podmínek prostorového uspořádání. Územním plánem jsou vymezovány plochy změn v krajině a </w:t>
      </w:r>
      <w:r w:rsidR="00130E86" w:rsidRPr="006070EA">
        <w:rPr>
          <w:rFonts w:asciiTheme="majorHAnsi" w:hAnsiTheme="majorHAnsi" w:cstheme="majorHAnsi"/>
          <w:color w:val="auto"/>
        </w:rPr>
        <w:t xml:space="preserve">v rámci stanovených podmínek vybraných ploch s rozdílným způsobem využití jsou umožněna </w:t>
      </w:r>
      <w:r w:rsidRPr="006070EA">
        <w:rPr>
          <w:rFonts w:asciiTheme="majorHAnsi" w:hAnsiTheme="majorHAnsi" w:cstheme="majorHAnsi"/>
          <w:color w:val="auto"/>
        </w:rPr>
        <w:t>revitalizační opatření podporující funkce ÚSES a posilujících ekologickou stabilitu a rozmanitost intenzivně využívané zemědělské krajiny.</w:t>
      </w:r>
    </w:p>
    <w:p w14:paraId="4430920C" w14:textId="77777777" w:rsidR="0068493C" w:rsidRPr="006070EA" w:rsidRDefault="0068493C" w:rsidP="0068493C">
      <w:pPr>
        <w:pStyle w:val="Atextkurzva"/>
        <w:ind w:left="709" w:hanging="709"/>
        <w:rPr>
          <w:rFonts w:asciiTheme="majorHAnsi" w:eastAsia="Calibri" w:hAnsiTheme="majorHAnsi" w:cstheme="majorHAnsi"/>
          <w:lang w:eastAsia="en-US"/>
        </w:rPr>
      </w:pPr>
      <w:r w:rsidRPr="006070EA">
        <w:rPr>
          <w:rFonts w:asciiTheme="majorHAnsi" w:eastAsiaTheme="minorHAnsi" w:hAnsiTheme="majorHAnsi" w:cstheme="majorHAnsi"/>
          <w:i w:val="0"/>
          <w:szCs w:val="18"/>
          <w:lang w:eastAsia="en-US"/>
        </w:rPr>
        <w:t>(21)</w:t>
      </w:r>
      <w:r w:rsidRPr="006070EA">
        <w:rPr>
          <w:rFonts w:asciiTheme="majorHAnsi" w:eastAsia="Calibri" w:hAnsiTheme="majorHAnsi" w:cstheme="majorHAnsi"/>
          <w:lang w:eastAsia="en-US"/>
        </w:rPr>
        <w:t xml:space="preserve"> </w:t>
      </w:r>
      <w:r w:rsidRPr="006070EA">
        <w:rPr>
          <w:rFonts w:asciiTheme="majorHAnsi" w:eastAsiaTheme="minorHAnsi" w:hAnsiTheme="majorHAnsi" w:cstheme="majorHAnsi"/>
          <w:iCs/>
          <w:szCs w:val="18"/>
          <w:lang w:eastAsia="en-US"/>
        </w:rPr>
        <w:tab/>
        <w:t>Vymezit a chránit ve spolupráci s dotčenými obcemi před zastavěním pozemky nezbytné pro vytvoření souvislých ploch veřejně přístupné zeleně v rozvojových oblastech a v rozvojových osách a ve specifických oblastech, na jejichž území je krajina negativně poznamenána lidskou činností, s využitím její přirozené obnovy; cílem je zachování souvislých ploch nezastavěného území v bezprostředním okolí velkých měst, způsobilých pro nenáročné formy krátkodobé rekreace a dále pro vznik a rozvoj lesních porostů a zachování prostupnosti krajiny.</w:t>
      </w:r>
    </w:p>
    <w:p w14:paraId="165FA171" w14:textId="6802F0FF" w:rsidR="0068493C" w:rsidRPr="006070EA" w:rsidRDefault="0068493C" w:rsidP="0068493C">
      <w:pPr>
        <w:pStyle w:val="Mra2-reakceern"/>
        <w:rPr>
          <w:rFonts w:asciiTheme="majorHAnsi" w:hAnsiTheme="majorHAnsi" w:cstheme="majorHAnsi"/>
        </w:rPr>
      </w:pPr>
      <w:r w:rsidRPr="006070EA">
        <w:rPr>
          <w:rFonts w:asciiTheme="majorHAnsi" w:hAnsiTheme="majorHAnsi" w:cstheme="majorHAnsi"/>
          <w:color w:val="auto"/>
        </w:rPr>
        <w:t>V rámci řešení ÚP Kostomlaty nad Labem je kladen důraz na ochranu volné krajiny a její dostupnost ze sídel, a to zejména vymezením uceleného a vzájemně propojeného systému veřejných prostranství a veřejně přístupné zeleně. Územní plán chrání před zastavěním pozemky bezprostředně obepínající jednotlivá sídla a nepřipouští jejich srůstání, čímž vytváří podmínky pro zachování souvislých pásů nezastavěného území oddělující jednotlivá sídla. Současně je řešením územního plánu respektováno sídelní uspořádání území a dostupnost rekreačního zázemí ve volné krajině. Konkrétním řešením územního plánu, naplňujícím prioritu (21), je například vytvoření přechodového pásu nepobytové rekreace v nezastavěném území (</w:t>
      </w:r>
      <w:r w:rsidR="00D32D19" w:rsidRPr="006070EA">
        <w:rPr>
          <w:rFonts w:asciiTheme="majorHAnsi" w:hAnsiTheme="majorHAnsi" w:cstheme="majorHAnsi"/>
          <w:color w:val="auto"/>
        </w:rPr>
        <w:t>MU.r</w:t>
      </w:r>
      <w:r w:rsidRPr="006070EA">
        <w:rPr>
          <w:rFonts w:asciiTheme="majorHAnsi" w:hAnsiTheme="majorHAnsi" w:cstheme="majorHAnsi"/>
          <w:color w:val="auto"/>
        </w:rPr>
        <w:t>) na jihovýchodním okraji zástavby města mezi rezidenční zástavbou a intenzivně zemědělsky využívanou krajinou.</w:t>
      </w:r>
    </w:p>
    <w:p w14:paraId="6DC11FAD" w14:textId="77777777" w:rsidR="0068493C" w:rsidRPr="006070EA" w:rsidRDefault="0068493C" w:rsidP="0068493C">
      <w:pPr>
        <w:pStyle w:val="Norml"/>
        <w:keepNext/>
        <w:keepLines/>
        <w:ind w:left="703" w:hanging="703"/>
        <w:rPr>
          <w:rFonts w:asciiTheme="majorHAnsi" w:hAnsiTheme="majorHAnsi" w:cstheme="majorHAnsi"/>
          <w:szCs w:val="18"/>
        </w:rPr>
      </w:pPr>
      <w:r w:rsidRPr="006070EA">
        <w:rPr>
          <w:rFonts w:asciiTheme="majorHAnsi" w:hAnsiTheme="majorHAnsi" w:cstheme="majorHAnsi"/>
          <w:iCs/>
          <w:szCs w:val="18"/>
        </w:rPr>
        <w:t>(22)</w:t>
      </w:r>
      <w:r w:rsidRPr="006070EA">
        <w:rPr>
          <w:rFonts w:asciiTheme="majorHAnsi" w:hAnsiTheme="majorHAnsi" w:cstheme="majorHAnsi"/>
          <w:i/>
          <w:szCs w:val="18"/>
        </w:rPr>
        <w:tab/>
        <w:t>Vytvářet podmínky pro rozvoj a využití předpokladů území pro různé formy udržitelného cestovního ruchu (např. cykloturistika, agroturistika, poznávací turistika), při zachování a rozvoji hodnot území. Podporovat propojení míst turistickými cestami, které umožňují celoroční využití pro různé formy turistiky (např. pěší, cyklo, lyžařská, hipo).</w:t>
      </w:r>
    </w:p>
    <w:p w14:paraId="24E90F75" w14:textId="77777777" w:rsidR="0068493C" w:rsidRPr="006070EA" w:rsidRDefault="0068493C" w:rsidP="0068493C">
      <w:pPr>
        <w:pStyle w:val="Mra2-reakceern"/>
        <w:rPr>
          <w:rFonts w:asciiTheme="majorHAnsi" w:hAnsiTheme="majorHAnsi" w:cstheme="majorHAnsi"/>
          <w:color w:val="auto"/>
        </w:rPr>
      </w:pPr>
      <w:r w:rsidRPr="006070EA">
        <w:rPr>
          <w:rFonts w:asciiTheme="majorHAnsi" w:hAnsiTheme="majorHAnsi" w:cstheme="majorHAnsi"/>
          <w:color w:val="auto"/>
        </w:rPr>
        <w:t xml:space="preserve">V rámci opatření zaměřených na podporu cestovního ruchu jsou vymezovány zastavitelné plochy pro funkce umožňující rozvoj činností podporujících cestovní ruch (občanské vybavení, služby, technická a dopravní infrastruktura apod.). </w:t>
      </w:r>
    </w:p>
    <w:p w14:paraId="1C02CCA7" w14:textId="6FB30A09" w:rsidR="0068493C" w:rsidRPr="006070EA" w:rsidRDefault="0068493C" w:rsidP="0068493C">
      <w:pPr>
        <w:pStyle w:val="Mra2-reakceern"/>
        <w:ind w:firstLine="709"/>
        <w:rPr>
          <w:rFonts w:asciiTheme="majorHAnsi" w:hAnsiTheme="majorHAnsi" w:cstheme="majorHAnsi"/>
          <w:color w:val="auto"/>
        </w:rPr>
      </w:pPr>
      <w:r w:rsidRPr="006070EA">
        <w:rPr>
          <w:rFonts w:asciiTheme="majorHAnsi" w:hAnsiTheme="majorHAnsi" w:cstheme="majorHAnsi"/>
          <w:color w:val="auto"/>
        </w:rPr>
        <w:t xml:space="preserve">Územní plán dále vytváří podmínky pro vedení pěších turistických a cyklistických tras navazujících na systémy stávajících cyklotras a turistických cest v sousedních obcích a regionech v souladu s podmínkami využití prakticky ve všech plochách s rozdílným způsobem využití. Konkrétním řešením, podporujícím rozvoj turistické infrastruktury, je vymezení koridoru nemotorové dopravy </w:t>
      </w:r>
      <w:r w:rsidR="00D32D19" w:rsidRPr="006070EA">
        <w:rPr>
          <w:rFonts w:asciiTheme="majorHAnsi" w:hAnsiTheme="majorHAnsi" w:cstheme="majorHAnsi"/>
          <w:color w:val="auto"/>
        </w:rPr>
        <w:t>CNU.</w:t>
      </w:r>
      <w:r w:rsidRPr="006070EA">
        <w:rPr>
          <w:rFonts w:asciiTheme="majorHAnsi" w:hAnsiTheme="majorHAnsi" w:cstheme="majorHAnsi"/>
          <w:color w:val="auto"/>
        </w:rPr>
        <w:t xml:space="preserve">KDN1 – lávka přes Labe a související návrh propojení cyklodopravy na obou březích směrem na Hradištko. </w:t>
      </w:r>
    </w:p>
    <w:p w14:paraId="3271F1A5" w14:textId="77777777" w:rsidR="0068493C" w:rsidRPr="006070EA" w:rsidRDefault="0068493C" w:rsidP="0068493C">
      <w:pPr>
        <w:pStyle w:val="Mra2-reakceern"/>
        <w:ind w:firstLine="709"/>
        <w:rPr>
          <w:rFonts w:asciiTheme="majorHAnsi" w:hAnsiTheme="majorHAnsi" w:cstheme="majorHAnsi"/>
          <w:color w:val="auto"/>
        </w:rPr>
      </w:pPr>
      <w:r w:rsidRPr="006070EA">
        <w:rPr>
          <w:rFonts w:asciiTheme="majorHAnsi" w:hAnsiTheme="majorHAnsi" w:cstheme="majorHAnsi"/>
          <w:color w:val="auto"/>
        </w:rPr>
        <w:t xml:space="preserve">Turistika a cestovní ruch jsou podpořeny vymezením ploch veřejných prostranství, které zajišťují ochranu stávajících turistických a cyklistických tras. </w:t>
      </w:r>
    </w:p>
    <w:p w14:paraId="58500BA6" w14:textId="4D17F334" w:rsidR="0068493C" w:rsidRPr="006070EA" w:rsidRDefault="0068493C" w:rsidP="008F08A8">
      <w:pPr>
        <w:pStyle w:val="Norml"/>
        <w:keepLines/>
        <w:ind w:left="703" w:hanging="703"/>
        <w:rPr>
          <w:rFonts w:asciiTheme="majorHAnsi" w:hAnsiTheme="majorHAnsi" w:cstheme="majorHAnsi"/>
          <w:i/>
          <w:szCs w:val="18"/>
        </w:rPr>
      </w:pPr>
      <w:r w:rsidRPr="006070EA">
        <w:rPr>
          <w:rFonts w:asciiTheme="majorHAnsi" w:hAnsiTheme="majorHAnsi" w:cstheme="majorHAnsi"/>
          <w:iCs/>
          <w:szCs w:val="18"/>
        </w:rPr>
        <w:t>(23)</w:t>
      </w:r>
      <w:r w:rsidRPr="006070EA">
        <w:rPr>
          <w:rFonts w:asciiTheme="majorHAnsi" w:hAnsiTheme="majorHAnsi" w:cstheme="majorHAnsi"/>
          <w:b/>
          <w:i/>
          <w:szCs w:val="18"/>
        </w:rPr>
        <w:tab/>
      </w:r>
      <w:r w:rsidRPr="006070EA">
        <w:rPr>
          <w:rFonts w:asciiTheme="majorHAnsi" w:hAnsiTheme="majorHAnsi" w:cstheme="majorHAnsi"/>
          <w:b/>
          <w:i/>
          <w:szCs w:val="18"/>
        </w:rPr>
        <w:tab/>
      </w:r>
      <w:r w:rsidRPr="006070EA">
        <w:rPr>
          <w:rFonts w:asciiTheme="majorHAnsi" w:hAnsiTheme="majorHAnsi" w:cstheme="majorHAnsi"/>
          <w:i/>
          <w:szCs w:val="18"/>
        </w:rPr>
        <w:t>Podle místních podmínek vytvářet předpoklady pro lepší dostupnost území a zkvalitnění dopravní a technické infrastruktury s ohledem na prostupnost krajiny. Při umisťování dopravní a technické infrastruktury zachovat prostupnost krajiny a minimalizovat rozsah fragmentace krajiny; je-li to z těchto hledisek účelné, umisťovat tato zařízení souběžně. U stávající i budované sítě dálnic, kapacitních komunikací a silnic I. třídy zohledňovat i potřebu a</w:t>
      </w:r>
      <w:r w:rsidR="00404149" w:rsidRPr="006070EA">
        <w:rPr>
          <w:rFonts w:asciiTheme="majorHAnsi" w:hAnsiTheme="majorHAnsi" w:cstheme="majorHAnsi"/>
          <w:i/>
          <w:szCs w:val="18"/>
        </w:rPr>
        <w:t> </w:t>
      </w:r>
      <w:r w:rsidRPr="006070EA">
        <w:rPr>
          <w:rFonts w:asciiTheme="majorHAnsi" w:hAnsiTheme="majorHAnsi" w:cstheme="majorHAnsi"/>
          <w:i/>
          <w:szCs w:val="18"/>
        </w:rPr>
        <w:t>možnosti umístění odpočívek, které jsou jejich nedílnou součástí.</w:t>
      </w:r>
    </w:p>
    <w:p w14:paraId="11DBCECD" w14:textId="061E0C22" w:rsidR="0068493C" w:rsidRPr="006070EA" w:rsidRDefault="0068493C" w:rsidP="008F08A8">
      <w:pPr>
        <w:pStyle w:val="Norml"/>
        <w:keepLines/>
        <w:ind w:left="703" w:hanging="703"/>
        <w:rPr>
          <w:rFonts w:asciiTheme="majorHAnsi" w:hAnsiTheme="majorHAnsi" w:cstheme="majorHAnsi"/>
          <w:i/>
          <w:szCs w:val="18"/>
        </w:rPr>
      </w:pPr>
      <w:r w:rsidRPr="006070EA">
        <w:rPr>
          <w:rFonts w:asciiTheme="majorHAnsi" w:hAnsiTheme="majorHAnsi" w:cstheme="majorHAnsi"/>
          <w:i/>
          <w:szCs w:val="18"/>
        </w:rPr>
        <w:tab/>
        <w:t>Zmírňovat vystavení městských oblastí nepříznivým účinkům tranzitní železniční a silniční dopravy, mimo jiné i</w:t>
      </w:r>
      <w:r w:rsidR="00404149" w:rsidRPr="006070EA">
        <w:rPr>
          <w:rFonts w:asciiTheme="majorHAnsi" w:hAnsiTheme="majorHAnsi" w:cstheme="majorHAnsi"/>
          <w:i/>
          <w:szCs w:val="18"/>
        </w:rPr>
        <w:t> </w:t>
      </w:r>
      <w:r w:rsidRPr="006070EA">
        <w:rPr>
          <w:rFonts w:asciiTheme="majorHAnsi" w:hAnsiTheme="majorHAnsi" w:cstheme="majorHAnsi"/>
          <w:i/>
          <w:szCs w:val="18"/>
        </w:rPr>
        <w:t xml:space="preserve">prostřednictvím obchvatů městských oblastí, nebo zajistit ochranu jinými vhodnými opatřeními v území. Zároveň však vymezovat plochy pro novou obytnou zástavbu tak, aby byl zachován dostatečný odstup od vymezených koridorů pro nové úseky dálnic, silnic I. třídy a železnic, a tímto způsobem důsledně předcházet zneprůchodnění území pro dopravní stavby i možnému nežádoucímu působení negativních účinků provozu dopravy na veřejné zdraví obyvatel (bez nutnosti budování nákladných technických opatření na eliminaci těchto účinků). </w:t>
      </w:r>
    </w:p>
    <w:p w14:paraId="38994CBD" w14:textId="273DB7F9" w:rsidR="0068493C" w:rsidRPr="006070EA" w:rsidRDefault="0068493C" w:rsidP="0068493C">
      <w:pPr>
        <w:pStyle w:val="Norml"/>
        <w:keepNext/>
        <w:keepLines/>
        <w:ind w:left="703" w:hanging="703"/>
        <w:rPr>
          <w:rFonts w:asciiTheme="majorHAnsi" w:hAnsiTheme="majorHAnsi" w:cstheme="majorHAnsi"/>
          <w:i/>
          <w:szCs w:val="18"/>
        </w:rPr>
      </w:pPr>
      <w:r w:rsidRPr="006070EA">
        <w:rPr>
          <w:rFonts w:asciiTheme="majorHAnsi" w:hAnsiTheme="majorHAnsi" w:cstheme="majorHAnsi"/>
          <w:iCs/>
          <w:szCs w:val="18"/>
        </w:rPr>
        <w:lastRenderedPageBreak/>
        <w:t>(24)</w:t>
      </w:r>
      <w:r w:rsidRPr="006070EA">
        <w:rPr>
          <w:rFonts w:asciiTheme="majorHAnsi" w:hAnsiTheme="majorHAnsi" w:cstheme="majorHAnsi"/>
          <w:i/>
          <w:szCs w:val="18"/>
        </w:rPr>
        <w:tab/>
        <w:t>Vytvářet podmínky pro zlepšování dostupnosti území rozšiřováním a zkvalitňováním dopravní infrastruktury s ohledem na potřeby veřejné dopravy a požadavky ochrany veřejného zdraví a v souladu s principy udržitelné mobility osob a</w:t>
      </w:r>
      <w:r w:rsidR="008F08A8">
        <w:rPr>
          <w:rFonts w:asciiTheme="majorHAnsi" w:hAnsiTheme="majorHAnsi" w:cstheme="majorHAnsi"/>
          <w:i/>
          <w:szCs w:val="18"/>
        </w:rPr>
        <w:t> </w:t>
      </w:r>
      <w:r w:rsidRPr="006070EA">
        <w:rPr>
          <w:rFonts w:asciiTheme="majorHAnsi" w:hAnsiTheme="majorHAnsi" w:cstheme="majorHAnsi"/>
          <w:i/>
          <w:szCs w:val="18"/>
        </w:rPr>
        <w:t>zboží, zejména uvnitř rozvojových oblastí a rozvojových os. Možnosti nové výstavby je třeba dostatečnou veřejnou infrastrukturou přímo podmínit. Vytvářet podmínky pro zvyšování bezpečnosti a plynulosti dopravy, ochrany a</w:t>
      </w:r>
      <w:r w:rsidR="008F08A8">
        <w:rPr>
          <w:rFonts w:asciiTheme="majorHAnsi" w:hAnsiTheme="majorHAnsi" w:cstheme="majorHAnsi"/>
          <w:i/>
          <w:szCs w:val="18"/>
        </w:rPr>
        <w:t> </w:t>
      </w:r>
      <w:r w:rsidRPr="006070EA">
        <w:rPr>
          <w:rFonts w:asciiTheme="majorHAnsi" w:hAnsiTheme="majorHAnsi" w:cstheme="majorHAnsi"/>
          <w:i/>
          <w:szCs w:val="18"/>
        </w:rPr>
        <w:t>bezpečnosti obyvatelstva a zlepšování jeho ochrany před hlukem a emisemi, s ohledem na to vytvářet v území podmínky pro environmentálně šetrné formy dopravy (např. železniční, cyklistickou).</w:t>
      </w:r>
    </w:p>
    <w:p w14:paraId="6C21C653" w14:textId="666CEC74" w:rsidR="0068493C" w:rsidRPr="006070EA" w:rsidRDefault="0068493C" w:rsidP="0068493C">
      <w:pPr>
        <w:pStyle w:val="Mra2-reakceern"/>
        <w:rPr>
          <w:rFonts w:asciiTheme="majorHAnsi" w:hAnsiTheme="majorHAnsi" w:cstheme="majorHAnsi"/>
          <w:color w:val="auto"/>
        </w:rPr>
      </w:pPr>
      <w:r w:rsidRPr="006070EA">
        <w:rPr>
          <w:rFonts w:asciiTheme="majorHAnsi" w:hAnsiTheme="majorHAnsi" w:cstheme="majorHAnsi"/>
          <w:color w:val="auto"/>
        </w:rPr>
        <w:t xml:space="preserve">Územní plán vytváří předpoklady pro dostupnost území a zkvalitnění dopravní infrastruktury zejména stabilizací stávajícího dopravního systému a podporou jeho rozvoje. </w:t>
      </w:r>
    </w:p>
    <w:p w14:paraId="66C24BEC" w14:textId="6957B914" w:rsidR="0068493C" w:rsidRPr="006070EA" w:rsidRDefault="0068493C" w:rsidP="0068493C">
      <w:pPr>
        <w:pStyle w:val="Mra2-reakceern"/>
        <w:ind w:firstLine="709"/>
        <w:rPr>
          <w:rFonts w:asciiTheme="majorHAnsi" w:hAnsiTheme="majorHAnsi" w:cstheme="majorHAnsi"/>
        </w:rPr>
      </w:pPr>
      <w:r w:rsidRPr="006070EA">
        <w:rPr>
          <w:rFonts w:asciiTheme="majorHAnsi" w:hAnsiTheme="majorHAnsi" w:cstheme="majorHAnsi"/>
          <w:color w:val="auto"/>
        </w:rPr>
        <w:t>Územní plán svým řešením vytváří podmínky pro lepší dostupnost v širším území za současné snahy o</w:t>
      </w:r>
      <w:r w:rsidR="00D32D19" w:rsidRPr="006070EA">
        <w:rPr>
          <w:rFonts w:asciiTheme="majorHAnsi" w:hAnsiTheme="majorHAnsi" w:cstheme="majorHAnsi"/>
          <w:color w:val="auto"/>
        </w:rPr>
        <w:t> </w:t>
      </w:r>
      <w:r w:rsidRPr="006070EA">
        <w:rPr>
          <w:rFonts w:asciiTheme="majorHAnsi" w:hAnsiTheme="majorHAnsi" w:cstheme="majorHAnsi"/>
          <w:color w:val="auto"/>
        </w:rPr>
        <w:t xml:space="preserve">eliminaci negativních dopadů fragmentace krajiny. Prostupnost krajiny a minimalizace rozsahu její fragmentace je zajištěna vymezením zastavitelných ploch v přímé vazbě na stávající zástavbu a dotvářením kompaktního tvaru sídel. </w:t>
      </w:r>
    </w:p>
    <w:p w14:paraId="46E77A9F" w14:textId="526AE8BF" w:rsidR="0068493C" w:rsidRPr="006070EA" w:rsidRDefault="0068493C" w:rsidP="00257A6D">
      <w:pPr>
        <w:pStyle w:val="Atextkurzva"/>
        <w:keepLines/>
        <w:ind w:left="709" w:hanging="709"/>
        <w:rPr>
          <w:rFonts w:asciiTheme="majorHAnsi" w:hAnsiTheme="majorHAnsi" w:cstheme="majorHAnsi"/>
          <w:bCs/>
          <w:szCs w:val="18"/>
          <w:lang w:eastAsia="cs-CZ"/>
        </w:rPr>
      </w:pPr>
      <w:r w:rsidRPr="006070EA">
        <w:rPr>
          <w:rFonts w:asciiTheme="majorHAnsi" w:hAnsiTheme="majorHAnsi" w:cstheme="majorHAnsi"/>
          <w:i w:val="0"/>
          <w:iCs/>
          <w:szCs w:val="18"/>
        </w:rPr>
        <w:t>(25)</w:t>
      </w:r>
      <w:r w:rsidRPr="006070EA">
        <w:rPr>
          <w:rFonts w:asciiTheme="majorHAnsi" w:hAnsiTheme="majorHAnsi" w:cstheme="majorHAnsi"/>
          <w:szCs w:val="18"/>
        </w:rPr>
        <w:tab/>
      </w:r>
      <w:r w:rsidRPr="006070EA">
        <w:rPr>
          <w:rFonts w:asciiTheme="majorHAnsi" w:hAnsiTheme="majorHAnsi" w:cstheme="majorHAnsi"/>
          <w:bCs/>
          <w:szCs w:val="18"/>
          <w:lang w:eastAsia="cs-CZ"/>
        </w:rPr>
        <w:t>Vytvářet podmínky pro preventivní ochranu území a obyvatelstva před potenciálními riziky a přírodními katastrofami v území (záplavy, sesuvy půdy, eroze, sucho atd.) s cílem jim předcházet a minimalizovat jejich negativní dopady. Zejména zajistit územní ochranu ploch potřebných pro umísťování staveb a opatření na ochranu před povodněmi a</w:t>
      </w:r>
      <w:r w:rsidR="00D32D19" w:rsidRPr="006070EA">
        <w:rPr>
          <w:rFonts w:asciiTheme="majorHAnsi" w:hAnsiTheme="majorHAnsi" w:cstheme="majorHAnsi"/>
          <w:bCs/>
          <w:szCs w:val="18"/>
          <w:lang w:eastAsia="cs-CZ"/>
        </w:rPr>
        <w:t> </w:t>
      </w:r>
      <w:r w:rsidRPr="006070EA">
        <w:rPr>
          <w:rFonts w:asciiTheme="majorHAnsi" w:hAnsiTheme="majorHAnsi" w:cstheme="majorHAnsi"/>
          <w:bCs/>
          <w:szCs w:val="18"/>
          <w:lang w:eastAsia="cs-CZ"/>
        </w:rPr>
        <w:t>pro vymezení území určených k řízeným rozlivům povodní. Vytvářet podmínky pro zvýšení přirozené retence srážkových vod v území a využívání přírodě blízkých opatření pro zadržování a akumulaci povrchové vody tam, kde je to možné s</w:t>
      </w:r>
      <w:r w:rsidR="00D32D19" w:rsidRPr="006070EA">
        <w:rPr>
          <w:rFonts w:asciiTheme="majorHAnsi" w:hAnsiTheme="majorHAnsi" w:cstheme="majorHAnsi"/>
          <w:bCs/>
          <w:szCs w:val="18"/>
          <w:lang w:eastAsia="cs-CZ"/>
        </w:rPr>
        <w:t> </w:t>
      </w:r>
      <w:r w:rsidRPr="006070EA">
        <w:rPr>
          <w:rFonts w:asciiTheme="majorHAnsi" w:hAnsiTheme="majorHAnsi" w:cstheme="majorHAnsi"/>
          <w:bCs/>
          <w:szCs w:val="18"/>
          <w:lang w:eastAsia="cs-CZ"/>
        </w:rPr>
        <w:t>ohledem na strukturu osídlení a kulturní krajinu, jako jedno z adaptačních opatření v případě dopadů změny klimatu.</w:t>
      </w:r>
    </w:p>
    <w:p w14:paraId="3957F017" w14:textId="77777777" w:rsidR="0068493C" w:rsidRPr="006070EA" w:rsidRDefault="0068493C" w:rsidP="0068493C">
      <w:pPr>
        <w:pStyle w:val="Atextkurzva"/>
        <w:ind w:left="709" w:hanging="709"/>
        <w:rPr>
          <w:rFonts w:asciiTheme="majorHAnsi" w:hAnsiTheme="majorHAnsi" w:cstheme="majorHAnsi"/>
          <w:bCs/>
          <w:szCs w:val="18"/>
          <w:lang w:eastAsia="cs-CZ"/>
        </w:rPr>
      </w:pPr>
      <w:r w:rsidRPr="006070EA">
        <w:rPr>
          <w:rFonts w:asciiTheme="majorHAnsi" w:hAnsiTheme="majorHAnsi" w:cstheme="majorHAnsi"/>
          <w:bCs/>
          <w:szCs w:val="18"/>
          <w:lang w:eastAsia="cs-CZ"/>
        </w:rPr>
        <w:tab/>
        <w:t>V území vytvářet podmínky pro zadržování, vsakování i využívání srážkových vod jako zdroje vody a s cílem zmírňování účinků povodní a sucha.</w:t>
      </w:r>
    </w:p>
    <w:p w14:paraId="7DA28362" w14:textId="77777777" w:rsidR="0068493C" w:rsidRPr="006070EA" w:rsidRDefault="0068493C" w:rsidP="0068493C">
      <w:pPr>
        <w:pStyle w:val="Atextkurzva"/>
        <w:ind w:left="709" w:hanging="709"/>
        <w:rPr>
          <w:rFonts w:asciiTheme="majorHAnsi" w:hAnsiTheme="majorHAnsi" w:cstheme="majorHAnsi"/>
          <w:bCs/>
          <w:szCs w:val="18"/>
          <w:lang w:eastAsia="cs-CZ"/>
        </w:rPr>
      </w:pPr>
      <w:r w:rsidRPr="006070EA">
        <w:rPr>
          <w:rFonts w:asciiTheme="majorHAnsi" w:hAnsiTheme="majorHAnsi" w:cstheme="majorHAnsi"/>
          <w:bCs/>
          <w:szCs w:val="18"/>
          <w:lang w:eastAsia="cs-CZ"/>
        </w:rPr>
        <w:tab/>
        <w:t>Při vymezování zastavitelných ploch zohlednit hospodaření se srážkovými vodami.</w:t>
      </w:r>
    </w:p>
    <w:p w14:paraId="5E974F6B" w14:textId="5B044EDF" w:rsidR="0068493C" w:rsidRPr="006070EA" w:rsidRDefault="0068493C" w:rsidP="0068493C">
      <w:pPr>
        <w:pStyle w:val="Mra2-reakceern"/>
        <w:rPr>
          <w:rFonts w:asciiTheme="majorHAnsi" w:hAnsiTheme="majorHAnsi" w:cstheme="majorHAnsi"/>
          <w:color w:val="auto"/>
        </w:rPr>
      </w:pPr>
      <w:r w:rsidRPr="006070EA">
        <w:rPr>
          <w:rFonts w:asciiTheme="majorHAnsi" w:hAnsiTheme="majorHAnsi" w:cstheme="majorHAnsi"/>
          <w:color w:val="auto"/>
        </w:rPr>
        <w:t>Opatření na ochranu před povodněmi a ochranná protierozní opatření směřující k celkovému zvyšování ekologické stability krajiny je možno realizovat v rámci většiny ploch s rozdílným způsobem využití ve volné krajině, zejména v</w:t>
      </w:r>
      <w:r w:rsidR="00D32D19" w:rsidRPr="006070EA">
        <w:rPr>
          <w:rFonts w:asciiTheme="majorHAnsi" w:hAnsiTheme="majorHAnsi" w:cstheme="majorHAnsi"/>
          <w:color w:val="auto"/>
        </w:rPr>
        <w:t> </w:t>
      </w:r>
      <w:r w:rsidRPr="006070EA">
        <w:rPr>
          <w:rFonts w:asciiTheme="majorHAnsi" w:hAnsiTheme="majorHAnsi" w:cstheme="majorHAnsi"/>
          <w:color w:val="auto"/>
        </w:rPr>
        <w:t>plochách smíšených nezastavěného území; protipovodňová opatření jsou podpořena také v rámci ploch vodních a vodohospodářských, zemědělských a lesních. Celkově jsou v nezastavěném území vymezeny plochy primárně určené k posílení ekologické stability území, přičemž ve většině z nich je umožněna realizace dalších opatření (liniové výsadby, zatravňovací pásy, protierozní průlehy apod.) zvyšujících přirozenou retenční schopnost území.</w:t>
      </w:r>
    </w:p>
    <w:p w14:paraId="6DCEAFC8" w14:textId="71675BA0" w:rsidR="0068493C" w:rsidRPr="006070EA" w:rsidRDefault="0068493C" w:rsidP="0068493C">
      <w:pPr>
        <w:pStyle w:val="Mra2-reakceern"/>
        <w:ind w:firstLine="709"/>
        <w:rPr>
          <w:rFonts w:asciiTheme="majorHAnsi" w:hAnsiTheme="majorHAnsi" w:cstheme="majorHAnsi"/>
          <w:color w:val="auto"/>
        </w:rPr>
      </w:pPr>
      <w:r w:rsidRPr="006070EA">
        <w:rPr>
          <w:rFonts w:asciiTheme="majorHAnsi" w:hAnsiTheme="majorHAnsi" w:cstheme="majorHAnsi"/>
          <w:color w:val="auto"/>
        </w:rPr>
        <w:t xml:space="preserve">S ohledem na požadavek vytváření podmínek pro zadržování, vsakování i využívání dešťových vod jako zdrojů vody a s cílem zmírňování účinků povodní je v rámci koncepce likvidace odpadních vod v území upřednostněno odstraňování dešťových vod vsakováním. Územní plán současně </w:t>
      </w:r>
      <w:r w:rsidR="00130E86" w:rsidRPr="006070EA">
        <w:rPr>
          <w:rFonts w:asciiTheme="majorHAnsi" w:hAnsiTheme="majorHAnsi" w:cstheme="majorHAnsi"/>
          <w:color w:val="auto"/>
        </w:rPr>
        <w:t xml:space="preserve">v rámci stanovených podmínek vybraných ploch s rozdílným způsobem využití jsou umožňuje realizaci opatření </w:t>
      </w:r>
      <w:r w:rsidRPr="006070EA">
        <w:rPr>
          <w:rFonts w:asciiTheme="majorHAnsi" w:hAnsiTheme="majorHAnsi" w:cstheme="majorHAnsi"/>
          <w:color w:val="auto"/>
        </w:rPr>
        <w:t>zvýšení retenční schopnosti území, čímž jsou spoluvytvářeny podmínky pro zvýšení přirozené retence v intenzivně zemědělsky využívaném území.</w:t>
      </w:r>
    </w:p>
    <w:p w14:paraId="2D3A8BC9" w14:textId="77777777" w:rsidR="0068493C" w:rsidRPr="006070EA" w:rsidRDefault="0068493C" w:rsidP="0068493C">
      <w:pPr>
        <w:pStyle w:val="Atextkurzva"/>
        <w:ind w:left="709" w:hanging="709"/>
        <w:rPr>
          <w:rFonts w:asciiTheme="majorHAnsi" w:hAnsiTheme="majorHAnsi" w:cstheme="majorHAnsi"/>
          <w:bCs/>
          <w:szCs w:val="18"/>
          <w:lang w:eastAsia="cs-CZ"/>
        </w:rPr>
      </w:pPr>
      <w:r w:rsidRPr="006070EA">
        <w:rPr>
          <w:rFonts w:asciiTheme="majorHAnsi" w:hAnsiTheme="majorHAnsi" w:cstheme="majorHAnsi"/>
          <w:bCs/>
          <w:i w:val="0"/>
          <w:iCs/>
          <w:szCs w:val="18"/>
          <w:lang w:eastAsia="cs-CZ"/>
        </w:rPr>
        <w:t>(27)</w:t>
      </w:r>
      <w:r w:rsidRPr="006070EA">
        <w:rPr>
          <w:rFonts w:asciiTheme="majorHAnsi" w:hAnsiTheme="majorHAnsi" w:cstheme="majorHAnsi"/>
          <w:bCs/>
          <w:szCs w:val="18"/>
          <w:lang w:eastAsia="cs-CZ"/>
        </w:rPr>
        <w:tab/>
        <w:t>Vytvářet podmínky pro koordinované umísťování veřejné infrastruktury v území a její rozvoj a tím podporovat její účelné využívání v rámci sídelní struktury, včetně podmínek pro rozvoj digitální technické infrastruktury. Vytvářet rovněž podmínky pro zkvalitnění dopravní dostupnosti obcí (měst), které jsou přirozenými regionálními centry v území tak, aby se díky možnostem, poloze i infrastruktuře těchto obcí zlepšovaly i podmínky pro rozvoj okolních obcí ve venkovských oblastech a v oblastech se specifickými geografickými podmínkami.</w:t>
      </w:r>
    </w:p>
    <w:p w14:paraId="3A1168E0" w14:textId="77777777" w:rsidR="0068493C" w:rsidRPr="006070EA" w:rsidRDefault="0068493C" w:rsidP="0068493C">
      <w:pPr>
        <w:pStyle w:val="Atextkurzva"/>
        <w:ind w:left="709"/>
        <w:rPr>
          <w:rFonts w:asciiTheme="majorHAnsi" w:hAnsiTheme="majorHAnsi" w:cstheme="majorHAnsi"/>
          <w:bCs/>
          <w:szCs w:val="18"/>
          <w:lang w:eastAsia="cs-CZ"/>
        </w:rPr>
      </w:pPr>
      <w:r w:rsidRPr="006070EA">
        <w:rPr>
          <w:rFonts w:asciiTheme="majorHAnsi" w:hAnsiTheme="majorHAnsi" w:cstheme="majorHAnsi"/>
          <w:bCs/>
          <w:szCs w:val="18"/>
          <w:lang w:eastAsia="cs-CZ"/>
        </w:rPr>
        <w:t xml:space="preserve">Při územně plánovací činnosti stanovovat podmínky pro vytvoření výkonné sítě osobní i nákladní železniční, silniční, vodní a letecké dopravy, včetně sítí regionálních letišť, efektivní dopravní sítě pro spojení městských oblastí s venkovskými oblastmi, stejně jako řešení přeshraniční dopravy, protože mobilita a dostupnost jsou klíčovými předpoklady hospodářského rozvoje ve všech regionech. </w:t>
      </w:r>
    </w:p>
    <w:p w14:paraId="48F11E75" w14:textId="6CD6E857" w:rsidR="0068493C" w:rsidRPr="006070EA" w:rsidRDefault="0068493C" w:rsidP="0068493C">
      <w:pPr>
        <w:pStyle w:val="Mra2-reakceern"/>
        <w:rPr>
          <w:rFonts w:asciiTheme="majorHAnsi" w:hAnsiTheme="majorHAnsi" w:cstheme="majorHAnsi"/>
        </w:rPr>
      </w:pPr>
      <w:r w:rsidRPr="006070EA">
        <w:rPr>
          <w:rFonts w:asciiTheme="majorHAnsi" w:hAnsiTheme="majorHAnsi" w:cstheme="majorHAnsi"/>
          <w:color w:val="auto"/>
        </w:rPr>
        <w:t xml:space="preserve">Koncepce veřejné infrastruktury je územním plánem stanovena s ohledem na stávající strukturu sídla, využívání území a stabilizovanou síť systémů technické a dopravní infrastruktury. Zastavitelné plochy jsou situovány ve vazbě na plochy stabilizované plochy tak, aby bylo možné zajistit efektivní zásobování pitnou vodou a energiemi. Územním plánem je v rámci veřejné infrastruktury podpořen především kvalitativní rozvoj dopravní a technické infrastruktury a občanského vybavení koordinovaný s okolními obcemi. Územním plánem je vymezen koridor železniční dopravy </w:t>
      </w:r>
      <w:r w:rsidR="00D32D19" w:rsidRPr="006070EA">
        <w:rPr>
          <w:rFonts w:asciiTheme="majorHAnsi" w:hAnsiTheme="majorHAnsi" w:cstheme="majorHAnsi"/>
          <w:color w:val="auto"/>
        </w:rPr>
        <w:t>CN</w:t>
      </w:r>
      <w:r w:rsidR="008F08A8">
        <w:rPr>
          <w:rFonts w:asciiTheme="majorHAnsi" w:hAnsiTheme="majorHAnsi" w:cstheme="majorHAnsi"/>
          <w:color w:val="auto"/>
        </w:rPr>
        <w:t>Z</w:t>
      </w:r>
      <w:r w:rsidR="00D32D19" w:rsidRPr="006070EA">
        <w:rPr>
          <w:rFonts w:asciiTheme="majorHAnsi" w:hAnsiTheme="majorHAnsi" w:cstheme="majorHAnsi"/>
          <w:color w:val="auto"/>
        </w:rPr>
        <w:t>.</w:t>
      </w:r>
      <w:r w:rsidR="008F08A8">
        <w:rPr>
          <w:rFonts w:asciiTheme="majorHAnsi" w:hAnsiTheme="majorHAnsi" w:cstheme="majorHAnsi"/>
          <w:color w:val="auto"/>
        </w:rPr>
        <w:t>D322</w:t>
      </w:r>
      <w:r w:rsidRPr="006070EA">
        <w:rPr>
          <w:rFonts w:asciiTheme="majorHAnsi" w:hAnsiTheme="majorHAnsi" w:cstheme="majorHAnsi"/>
          <w:color w:val="auto"/>
        </w:rPr>
        <w:t xml:space="preserve"> pro modernizaci železniční trati č. 231 (v úseku Nymburk – Lysá nad Labem) umožňující zkvalitnění veřejného dopravního spojení s vyššími centry.</w:t>
      </w:r>
    </w:p>
    <w:p w14:paraId="652A5A79" w14:textId="77777777" w:rsidR="0068493C" w:rsidRPr="006070EA" w:rsidRDefault="0068493C" w:rsidP="0068493C">
      <w:pPr>
        <w:keepNext/>
        <w:spacing w:before="120" w:after="60" w:line="240" w:lineRule="auto"/>
        <w:ind w:left="703" w:hanging="703"/>
        <w:jc w:val="both"/>
        <w:rPr>
          <w:rFonts w:asciiTheme="majorHAnsi" w:hAnsiTheme="majorHAnsi" w:cstheme="majorHAnsi"/>
          <w:sz w:val="18"/>
          <w:szCs w:val="18"/>
        </w:rPr>
      </w:pPr>
      <w:r w:rsidRPr="006070EA">
        <w:rPr>
          <w:rFonts w:asciiTheme="majorHAnsi" w:hAnsiTheme="majorHAnsi" w:cstheme="majorHAnsi"/>
          <w:sz w:val="18"/>
          <w:szCs w:val="18"/>
        </w:rPr>
        <w:t xml:space="preserve"> (30)</w:t>
      </w:r>
      <w:r w:rsidRPr="006070EA">
        <w:rPr>
          <w:rFonts w:asciiTheme="majorHAnsi" w:hAnsiTheme="majorHAnsi" w:cstheme="majorHAnsi"/>
          <w:sz w:val="18"/>
          <w:szCs w:val="18"/>
        </w:rPr>
        <w:tab/>
      </w:r>
      <w:r w:rsidRPr="006070EA">
        <w:rPr>
          <w:rFonts w:asciiTheme="majorHAnsi" w:hAnsiTheme="majorHAnsi" w:cstheme="majorHAnsi"/>
          <w:i/>
          <w:sz w:val="18"/>
          <w:szCs w:val="18"/>
        </w:rPr>
        <w:t>Úroveň technické infrastruktury, zejména dodávku vody a zpracování odpadních vod je nutno koncipovat tak, aby splňovala požadavky na vysokou kvalitu života v současnosti i budoucnosti.</w:t>
      </w:r>
    </w:p>
    <w:p w14:paraId="24DDCA59" w14:textId="77777777" w:rsidR="0068493C" w:rsidRPr="006070EA" w:rsidRDefault="0068493C" w:rsidP="0068493C">
      <w:pPr>
        <w:pStyle w:val="Mra2-reakceern"/>
        <w:rPr>
          <w:rFonts w:asciiTheme="majorHAnsi" w:hAnsiTheme="majorHAnsi" w:cstheme="majorHAnsi"/>
          <w:color w:val="auto"/>
        </w:rPr>
      </w:pPr>
      <w:r w:rsidRPr="006070EA">
        <w:rPr>
          <w:rFonts w:asciiTheme="majorHAnsi" w:hAnsiTheme="majorHAnsi" w:cstheme="majorHAnsi"/>
          <w:color w:val="auto"/>
        </w:rPr>
        <w:t xml:space="preserve">Územní plán řeší jednotlivé koncepce technické infrastruktury v oblastech zásobování pitnou vodou a odkanalizování samostatně, podrobněji viz kapitola </w:t>
      </w:r>
      <w:r w:rsidRPr="006070EA">
        <w:rPr>
          <w:rFonts w:asciiTheme="majorHAnsi" w:hAnsiTheme="majorHAnsi" w:cstheme="majorHAnsi"/>
          <w:i/>
          <w:color w:val="auto"/>
        </w:rPr>
        <w:t>11.4.4 Odůvodnění koncepce technické infrastruktury</w:t>
      </w:r>
      <w:r w:rsidRPr="006070EA">
        <w:rPr>
          <w:rFonts w:asciiTheme="majorHAnsi" w:hAnsiTheme="majorHAnsi" w:cstheme="majorHAnsi"/>
          <w:color w:val="auto"/>
        </w:rPr>
        <w:t xml:space="preserve">. </w:t>
      </w:r>
    </w:p>
    <w:p w14:paraId="6BA86B81" w14:textId="77777777" w:rsidR="0068493C" w:rsidRPr="006070EA" w:rsidRDefault="0068493C" w:rsidP="0068493C">
      <w:pPr>
        <w:pStyle w:val="Mra2-reakceern"/>
        <w:ind w:firstLine="709"/>
        <w:rPr>
          <w:rFonts w:asciiTheme="majorHAnsi" w:hAnsiTheme="majorHAnsi" w:cstheme="majorHAnsi"/>
          <w:color w:val="auto"/>
        </w:rPr>
      </w:pPr>
      <w:r w:rsidRPr="006070EA">
        <w:rPr>
          <w:rFonts w:asciiTheme="majorHAnsi" w:hAnsiTheme="majorHAnsi" w:cstheme="majorHAnsi"/>
          <w:color w:val="auto"/>
        </w:rPr>
        <w:t xml:space="preserve">Při vymezování zastavitelných ploch byla jedním z kritérií dostupnost provozovaných systémů technické infrastruktury (veřejného vodovodu, plynovodu, elektrické energie). Zastavitelné plochy jsou situovány ve vazbě na stávající a navrhované systémy technické infrastruktury tak, aby bylo umožněno napojení těchto lokalit na stávající inženýrské sítě s minimálními dodatečnými náklady. </w:t>
      </w:r>
    </w:p>
    <w:p w14:paraId="37313664" w14:textId="3A1BD300" w:rsidR="0068493C" w:rsidRPr="006070EA" w:rsidRDefault="0068493C" w:rsidP="0068493C">
      <w:pPr>
        <w:pStyle w:val="Mra2-reakceern"/>
        <w:ind w:firstLine="709"/>
        <w:rPr>
          <w:rFonts w:asciiTheme="majorHAnsi" w:hAnsiTheme="majorHAnsi" w:cstheme="majorHAnsi"/>
          <w:color w:val="auto"/>
        </w:rPr>
      </w:pPr>
      <w:r w:rsidRPr="006070EA">
        <w:rPr>
          <w:rFonts w:asciiTheme="majorHAnsi" w:hAnsiTheme="majorHAnsi" w:cstheme="majorHAnsi"/>
          <w:color w:val="auto"/>
        </w:rPr>
        <w:t xml:space="preserve">Ve snaze o zvýšení úrovně technické infrastruktury v území jsou vytvořeny podmínky pro rozvoj všech systémů technické infrastruktury v rámci urbanizovaného území. Územní plán vymezuje koridory pro rozvoj </w:t>
      </w:r>
      <w:r w:rsidRPr="006070EA">
        <w:rPr>
          <w:rFonts w:asciiTheme="majorHAnsi" w:hAnsiTheme="majorHAnsi" w:cstheme="majorHAnsi"/>
          <w:color w:val="auto"/>
        </w:rPr>
        <w:lastRenderedPageBreak/>
        <w:t>vodovodů a kanalizací mezi jednotlivými sídly řešeného území (</w:t>
      </w:r>
      <w:r w:rsidR="00D32D19" w:rsidRPr="006070EA">
        <w:rPr>
          <w:rFonts w:asciiTheme="majorHAnsi" w:hAnsiTheme="majorHAnsi" w:cstheme="majorHAnsi"/>
          <w:color w:val="auto"/>
        </w:rPr>
        <w:t>CNU.</w:t>
      </w:r>
      <w:r w:rsidRPr="006070EA">
        <w:rPr>
          <w:rFonts w:asciiTheme="majorHAnsi" w:hAnsiTheme="majorHAnsi" w:cstheme="majorHAnsi"/>
          <w:color w:val="auto"/>
        </w:rPr>
        <w:t>KTI</w:t>
      </w:r>
      <w:r w:rsidR="00D32D19" w:rsidRPr="006070EA">
        <w:rPr>
          <w:rFonts w:asciiTheme="majorHAnsi" w:hAnsiTheme="majorHAnsi" w:cstheme="majorHAnsi"/>
          <w:color w:val="auto"/>
        </w:rPr>
        <w:t>1</w:t>
      </w:r>
      <w:r w:rsidRPr="006070EA">
        <w:rPr>
          <w:rFonts w:asciiTheme="majorHAnsi" w:hAnsiTheme="majorHAnsi" w:cstheme="majorHAnsi"/>
          <w:color w:val="auto"/>
        </w:rPr>
        <w:t xml:space="preserve">) pro koordinaci rozvoje zejména technické a dopravní veřejné infrastruktury v území. </w:t>
      </w:r>
    </w:p>
    <w:p w14:paraId="76005DFC" w14:textId="77777777" w:rsidR="0068493C" w:rsidRPr="006070EA" w:rsidRDefault="0068493C" w:rsidP="0068493C">
      <w:pPr>
        <w:pStyle w:val="Anadpistun"/>
        <w:rPr>
          <w:rFonts w:asciiTheme="majorHAnsi" w:hAnsiTheme="majorHAnsi" w:cstheme="majorHAnsi"/>
        </w:rPr>
      </w:pPr>
      <w:r w:rsidRPr="006070EA">
        <w:rPr>
          <w:rFonts w:asciiTheme="majorHAnsi" w:hAnsiTheme="majorHAnsi" w:cstheme="majorHAnsi"/>
        </w:rPr>
        <w:t xml:space="preserve">Specifické oblasti </w:t>
      </w:r>
    </w:p>
    <w:p w14:paraId="07228D94" w14:textId="77777777" w:rsidR="0068493C" w:rsidRPr="006070EA" w:rsidRDefault="0068493C" w:rsidP="0068493C">
      <w:pPr>
        <w:suppressAutoHyphens/>
        <w:spacing w:before="120" w:after="120" w:line="240" w:lineRule="auto"/>
        <w:ind w:left="709" w:hanging="709"/>
        <w:jc w:val="both"/>
        <w:rPr>
          <w:rFonts w:asciiTheme="majorHAnsi" w:eastAsia="Times New Roman" w:hAnsiTheme="majorHAnsi" w:cstheme="majorHAnsi"/>
          <w:i/>
          <w:sz w:val="18"/>
          <w:szCs w:val="20"/>
          <w:lang w:eastAsia="ar-SA"/>
        </w:rPr>
      </w:pPr>
      <w:r w:rsidRPr="006070EA">
        <w:rPr>
          <w:rFonts w:asciiTheme="majorHAnsi" w:eastAsia="Times New Roman" w:hAnsiTheme="majorHAnsi" w:cstheme="majorHAnsi"/>
          <w:iCs/>
          <w:sz w:val="18"/>
          <w:szCs w:val="20"/>
          <w:lang w:eastAsia="ar-SA"/>
        </w:rPr>
        <w:t>(75b)</w:t>
      </w:r>
      <w:r w:rsidRPr="006070EA">
        <w:rPr>
          <w:rFonts w:asciiTheme="majorHAnsi" w:eastAsia="Times New Roman" w:hAnsiTheme="majorHAnsi" w:cstheme="majorHAnsi"/>
          <w:i/>
          <w:sz w:val="18"/>
          <w:szCs w:val="20"/>
          <w:lang w:eastAsia="ar-SA"/>
        </w:rPr>
        <w:t xml:space="preserve"> </w:t>
      </w:r>
      <w:r w:rsidRPr="006070EA">
        <w:rPr>
          <w:rFonts w:asciiTheme="majorHAnsi" w:eastAsia="Times New Roman" w:hAnsiTheme="majorHAnsi" w:cstheme="majorHAnsi"/>
          <w:i/>
          <w:sz w:val="18"/>
          <w:szCs w:val="20"/>
          <w:lang w:eastAsia="ar-SA"/>
        </w:rPr>
        <w:tab/>
      </w:r>
      <w:r w:rsidRPr="006070EA">
        <w:rPr>
          <w:rFonts w:asciiTheme="majorHAnsi" w:eastAsia="Times New Roman" w:hAnsiTheme="majorHAnsi" w:cstheme="majorHAnsi"/>
          <w:b/>
          <w:bCs/>
          <w:i/>
          <w:sz w:val="18"/>
          <w:szCs w:val="20"/>
          <w:lang w:eastAsia="ar-SA"/>
        </w:rPr>
        <w:t>SOB9 Specifická oblast, ve které se projevuje aktuální problém ohrožení území suchem</w:t>
      </w:r>
      <w:r w:rsidRPr="006070EA">
        <w:rPr>
          <w:rFonts w:asciiTheme="majorHAnsi" w:eastAsia="Times New Roman" w:hAnsiTheme="majorHAnsi" w:cstheme="majorHAnsi"/>
          <w:i/>
          <w:sz w:val="18"/>
          <w:szCs w:val="20"/>
          <w:lang w:eastAsia="ar-SA"/>
        </w:rPr>
        <w:t xml:space="preserve"> </w:t>
      </w:r>
    </w:p>
    <w:p w14:paraId="539E1226" w14:textId="77777777" w:rsidR="0068493C" w:rsidRPr="006070EA" w:rsidRDefault="0068493C" w:rsidP="0068493C">
      <w:pPr>
        <w:suppressAutoHyphens/>
        <w:spacing w:before="120" w:after="120" w:line="240" w:lineRule="auto"/>
        <w:ind w:left="709"/>
        <w:jc w:val="both"/>
        <w:rPr>
          <w:rFonts w:asciiTheme="majorHAnsi" w:eastAsia="Times New Roman" w:hAnsiTheme="majorHAnsi" w:cstheme="majorHAnsi"/>
          <w:bCs/>
          <w:i/>
          <w:sz w:val="18"/>
          <w:szCs w:val="20"/>
          <w:lang w:eastAsia="ar-SA"/>
        </w:rPr>
      </w:pPr>
      <w:r w:rsidRPr="006070EA">
        <w:rPr>
          <w:rFonts w:asciiTheme="majorHAnsi" w:eastAsia="Times New Roman" w:hAnsiTheme="majorHAnsi" w:cstheme="majorHAnsi"/>
          <w:bCs/>
          <w:i/>
          <w:sz w:val="18"/>
          <w:szCs w:val="20"/>
          <w:lang w:eastAsia="ar-SA"/>
        </w:rPr>
        <w:t xml:space="preserve">Úkoly pro územní plánování: </w:t>
      </w:r>
    </w:p>
    <w:p w14:paraId="722B1C29" w14:textId="77777777" w:rsidR="0068493C" w:rsidRPr="006070EA" w:rsidRDefault="0068493C" w:rsidP="0068493C">
      <w:pPr>
        <w:suppressAutoHyphens/>
        <w:spacing w:before="120" w:after="120" w:line="240" w:lineRule="auto"/>
        <w:ind w:left="709"/>
        <w:jc w:val="both"/>
        <w:rPr>
          <w:rFonts w:asciiTheme="majorHAnsi" w:eastAsia="Times New Roman" w:hAnsiTheme="majorHAnsi" w:cstheme="majorHAnsi"/>
          <w:bCs/>
          <w:i/>
          <w:sz w:val="18"/>
          <w:szCs w:val="20"/>
          <w:lang w:eastAsia="ar-SA"/>
        </w:rPr>
      </w:pPr>
      <w:r w:rsidRPr="006070EA">
        <w:rPr>
          <w:rFonts w:asciiTheme="majorHAnsi" w:eastAsia="Times New Roman" w:hAnsiTheme="majorHAnsi" w:cstheme="majorHAnsi"/>
          <w:bCs/>
          <w:i/>
          <w:sz w:val="18"/>
          <w:szCs w:val="20"/>
          <w:lang w:eastAsia="ar-SA"/>
        </w:rPr>
        <w:t xml:space="preserve">V rámci územně plánovací činnosti kraje a koordinace územně plánovací činnosti obcí </w:t>
      </w:r>
    </w:p>
    <w:p w14:paraId="7AE4415C" w14:textId="77777777" w:rsidR="0068493C" w:rsidRPr="006070EA" w:rsidRDefault="0068493C" w:rsidP="0068493C">
      <w:pPr>
        <w:suppressAutoHyphens/>
        <w:spacing w:before="120" w:after="120" w:line="240" w:lineRule="auto"/>
        <w:ind w:left="709"/>
        <w:jc w:val="both"/>
        <w:rPr>
          <w:rFonts w:asciiTheme="majorHAnsi" w:eastAsia="Times New Roman" w:hAnsiTheme="majorHAnsi" w:cstheme="majorHAnsi"/>
          <w:bCs/>
          <w:i/>
          <w:sz w:val="18"/>
          <w:szCs w:val="20"/>
          <w:lang w:eastAsia="ar-SA"/>
        </w:rPr>
      </w:pPr>
      <w:bookmarkStart w:id="65" w:name="_Hlk89540521"/>
      <w:r w:rsidRPr="006070EA">
        <w:rPr>
          <w:rFonts w:asciiTheme="majorHAnsi" w:eastAsia="Times New Roman" w:hAnsiTheme="majorHAnsi" w:cstheme="majorHAnsi"/>
          <w:bCs/>
          <w:i/>
          <w:sz w:val="18"/>
          <w:szCs w:val="20"/>
          <w:lang w:eastAsia="ar-SA"/>
        </w:rPr>
        <w:t xml:space="preserve">a) vytvářet územní podmínky pro podporu přirozeného vodního režimu v krajině a zvyšování jejích retenčních a akumulačních vlastností, zejm. vytvářením územních podmínek pro vznik a zachování odolné stabilní vyvážené pestré a členité krajiny, tj. krajiny s vhodným poměrem ploch lesů, mezí, luk, vodních ploch a vodních toků (zejména neregulované vodní toky s doprovodnou zelení), cestní sítě (s doprovodnou zelení), a orné půdy (zejm. velké plochy orné půdy rozčleněné mezemi, cestní sítí, vsakovacími travními pruhy), </w:t>
      </w:r>
    </w:p>
    <w:p w14:paraId="21AC58FD" w14:textId="77777777" w:rsidR="0068493C" w:rsidRPr="006070EA" w:rsidRDefault="0068493C" w:rsidP="0068493C">
      <w:pPr>
        <w:suppressAutoHyphens/>
        <w:spacing w:before="120" w:after="120" w:line="240" w:lineRule="auto"/>
        <w:ind w:left="709"/>
        <w:jc w:val="both"/>
        <w:rPr>
          <w:rFonts w:asciiTheme="majorHAnsi" w:eastAsia="Times New Roman" w:hAnsiTheme="majorHAnsi" w:cstheme="majorHAnsi"/>
          <w:bCs/>
          <w:i/>
          <w:sz w:val="18"/>
          <w:szCs w:val="20"/>
          <w:lang w:eastAsia="ar-SA"/>
        </w:rPr>
      </w:pPr>
      <w:bookmarkStart w:id="66" w:name="_Hlk89540549"/>
      <w:bookmarkEnd w:id="65"/>
      <w:r w:rsidRPr="006070EA">
        <w:rPr>
          <w:rFonts w:asciiTheme="majorHAnsi" w:eastAsia="Times New Roman" w:hAnsiTheme="majorHAnsi" w:cstheme="majorHAnsi"/>
          <w:bCs/>
          <w:i/>
          <w:sz w:val="18"/>
          <w:szCs w:val="20"/>
          <w:lang w:eastAsia="ar-SA"/>
        </w:rPr>
        <w:t xml:space="preserve">b) vytvářet územní podmínky pro revitalizaci a renaturaci vodních toků a niv a pro obnovu ostatních vodních prvků v krajině, </w:t>
      </w:r>
    </w:p>
    <w:p w14:paraId="6BDEB168" w14:textId="77777777" w:rsidR="0068493C" w:rsidRPr="006070EA" w:rsidRDefault="0068493C" w:rsidP="0068493C">
      <w:pPr>
        <w:suppressAutoHyphens/>
        <w:spacing w:before="120" w:after="120" w:line="240" w:lineRule="auto"/>
        <w:ind w:left="709"/>
        <w:jc w:val="both"/>
        <w:rPr>
          <w:rFonts w:asciiTheme="majorHAnsi" w:eastAsia="Times New Roman" w:hAnsiTheme="majorHAnsi" w:cstheme="majorHAnsi"/>
          <w:bCs/>
          <w:i/>
          <w:sz w:val="18"/>
          <w:szCs w:val="20"/>
          <w:lang w:eastAsia="ar-SA"/>
        </w:rPr>
      </w:pPr>
      <w:r w:rsidRPr="006070EA">
        <w:rPr>
          <w:rFonts w:asciiTheme="majorHAnsi" w:eastAsia="Times New Roman" w:hAnsiTheme="majorHAnsi" w:cstheme="majorHAnsi"/>
          <w:bCs/>
          <w:i/>
          <w:sz w:val="18"/>
          <w:szCs w:val="20"/>
          <w:lang w:eastAsia="ar-SA"/>
        </w:rPr>
        <w:t xml:space="preserve">c) vytvářet územní podmínky pro hospodaření se srážkovými vodami v urbanizovaných územích, tj. dbát na dostatek ploch sídelní zeleně a vodních ploch určených pro zadržování a zasakování vody, </w:t>
      </w:r>
    </w:p>
    <w:bookmarkEnd w:id="66"/>
    <w:p w14:paraId="5948D845" w14:textId="77777777" w:rsidR="0068493C" w:rsidRPr="006070EA" w:rsidRDefault="0068493C" w:rsidP="0068493C">
      <w:pPr>
        <w:suppressAutoHyphens/>
        <w:spacing w:before="120" w:after="120" w:line="240" w:lineRule="auto"/>
        <w:ind w:left="709"/>
        <w:jc w:val="both"/>
        <w:rPr>
          <w:rFonts w:asciiTheme="majorHAnsi" w:eastAsia="Times New Roman" w:hAnsiTheme="majorHAnsi" w:cstheme="majorHAnsi"/>
          <w:bCs/>
          <w:i/>
          <w:sz w:val="18"/>
          <w:szCs w:val="20"/>
          <w:lang w:eastAsia="ar-SA"/>
        </w:rPr>
      </w:pPr>
      <w:r w:rsidRPr="006070EA">
        <w:rPr>
          <w:rFonts w:asciiTheme="majorHAnsi" w:eastAsia="Times New Roman" w:hAnsiTheme="majorHAnsi" w:cstheme="majorHAnsi"/>
          <w:bCs/>
          <w:i/>
          <w:sz w:val="18"/>
          <w:szCs w:val="20"/>
          <w:lang w:eastAsia="ar-SA"/>
        </w:rPr>
        <w:t xml:space="preserve">d) vytvářet územní podmínky pro zvyšování odolnosti půdy vůči větrné a vodní erozi, zejm. zatravněním a zakládáním a udržováním dalších protierozních prvků, např. větrolamů, mezí, zasakovacích pásů a příkopů, </w:t>
      </w:r>
    </w:p>
    <w:p w14:paraId="5A9DA1B6" w14:textId="77777777" w:rsidR="0068493C" w:rsidRPr="006070EA" w:rsidRDefault="0068493C" w:rsidP="0068493C">
      <w:pPr>
        <w:suppressAutoHyphens/>
        <w:spacing w:before="120" w:after="120" w:line="240" w:lineRule="auto"/>
        <w:ind w:left="709"/>
        <w:jc w:val="both"/>
        <w:rPr>
          <w:rFonts w:asciiTheme="majorHAnsi" w:eastAsia="Times New Roman" w:hAnsiTheme="majorHAnsi" w:cstheme="majorHAnsi"/>
          <w:bCs/>
          <w:i/>
          <w:sz w:val="18"/>
          <w:szCs w:val="20"/>
          <w:lang w:eastAsia="ar-SA"/>
        </w:rPr>
      </w:pPr>
      <w:r w:rsidRPr="006070EA">
        <w:rPr>
          <w:rFonts w:asciiTheme="majorHAnsi" w:eastAsia="Times New Roman" w:hAnsiTheme="majorHAnsi" w:cstheme="majorHAnsi"/>
          <w:bCs/>
          <w:i/>
          <w:sz w:val="18"/>
          <w:szCs w:val="20"/>
          <w:lang w:eastAsia="ar-SA"/>
        </w:rPr>
        <w:t xml:space="preserve">e) vytvářet územní podmínky pro rozvoj a údržbu vodohospodářské infrastruktury, pro zabezpečení požadavků na dodávky vody v období nepříznivých hydrologických 45 podmínek, zejm. pro infrastrukturu k zajištění dodávek vody z oblastí s příznivější vodohospodářskou situací a s ohledem na místní podmínky pro budování nových zejm. povrchových zdrojů vody, </w:t>
      </w:r>
    </w:p>
    <w:p w14:paraId="6C51AA5E" w14:textId="77777777" w:rsidR="0068493C" w:rsidRPr="006070EA" w:rsidRDefault="0068493C" w:rsidP="0068493C">
      <w:pPr>
        <w:suppressAutoHyphens/>
        <w:spacing w:before="120" w:after="120" w:line="240" w:lineRule="auto"/>
        <w:ind w:left="709"/>
        <w:jc w:val="both"/>
        <w:rPr>
          <w:rFonts w:asciiTheme="majorHAnsi" w:eastAsia="Times New Roman" w:hAnsiTheme="majorHAnsi" w:cstheme="majorHAnsi"/>
          <w:bCs/>
          <w:i/>
          <w:sz w:val="18"/>
          <w:szCs w:val="20"/>
          <w:lang w:eastAsia="ar-SA"/>
        </w:rPr>
      </w:pPr>
      <w:r w:rsidRPr="006070EA">
        <w:rPr>
          <w:rFonts w:asciiTheme="majorHAnsi" w:eastAsia="Times New Roman" w:hAnsiTheme="majorHAnsi" w:cstheme="majorHAnsi"/>
          <w:bCs/>
          <w:i/>
          <w:sz w:val="18"/>
          <w:szCs w:val="20"/>
          <w:lang w:eastAsia="ar-SA"/>
        </w:rPr>
        <w:t>f) pro řešení problematiky sucha, zejm. tak jak je specifikováno výše v písm. a) až e) (příp. navrhovat i další vhodná opatření pro obnovu přirozeného vodního režimu v krajině) využívat zejména územní studie krajiny.</w:t>
      </w:r>
    </w:p>
    <w:p w14:paraId="1401BD88" w14:textId="459A6333" w:rsidR="0068493C" w:rsidRPr="006070EA" w:rsidRDefault="0068493C" w:rsidP="0068493C">
      <w:pPr>
        <w:pStyle w:val="Mra2-reakceern"/>
        <w:rPr>
          <w:rFonts w:asciiTheme="majorHAnsi" w:hAnsiTheme="majorHAnsi" w:cstheme="majorHAnsi"/>
          <w:color w:val="auto"/>
        </w:rPr>
      </w:pPr>
      <w:r w:rsidRPr="006070EA">
        <w:rPr>
          <w:rFonts w:asciiTheme="majorHAnsi" w:hAnsiTheme="majorHAnsi" w:cstheme="majorHAnsi"/>
          <w:color w:val="auto"/>
        </w:rPr>
        <w:t xml:space="preserve">Územní plán vytváří podmínky pro zlepšení vodního režimu a zvýšení retenční schopnosti krajiny </w:t>
      </w:r>
      <w:r w:rsidR="00130E86" w:rsidRPr="006070EA">
        <w:rPr>
          <w:rFonts w:asciiTheme="majorHAnsi" w:hAnsiTheme="majorHAnsi" w:cstheme="majorHAnsi"/>
          <w:color w:val="auto"/>
        </w:rPr>
        <w:t>v rámci stanovených podmínek pro využití vybraných ploch s rozdílným způsobem využití</w:t>
      </w:r>
      <w:r w:rsidRPr="006070EA">
        <w:rPr>
          <w:rFonts w:asciiTheme="majorHAnsi" w:hAnsiTheme="majorHAnsi" w:cstheme="majorHAnsi"/>
          <w:color w:val="auto"/>
        </w:rPr>
        <w:t>. Ve volné krajině jsou dále stanoveny obecné podmínky pro zajištění a</w:t>
      </w:r>
      <w:r w:rsidR="00492028" w:rsidRPr="006070EA">
        <w:rPr>
          <w:rFonts w:asciiTheme="majorHAnsi" w:hAnsiTheme="majorHAnsi" w:cstheme="majorHAnsi"/>
          <w:color w:val="auto"/>
        </w:rPr>
        <w:t> </w:t>
      </w:r>
      <w:r w:rsidRPr="006070EA">
        <w:rPr>
          <w:rFonts w:asciiTheme="majorHAnsi" w:hAnsiTheme="majorHAnsi" w:cstheme="majorHAnsi"/>
          <w:color w:val="auto"/>
        </w:rPr>
        <w:t xml:space="preserve">zvýšení retenční schopnosti krajiny, definovány jsou obecné zásady protipovodňové ochrany území zahrnující ochranu přirozených rozlivových území a podporu přírodě blízkých revitalizačních opatření na vodních tocích. V řešení ÚP jsou stabilizovány plochy krajinné zeleně v režimu ploch zeleně </w:t>
      </w:r>
      <w:r w:rsidR="00D32D19" w:rsidRPr="006070EA">
        <w:rPr>
          <w:rFonts w:asciiTheme="majorHAnsi" w:hAnsiTheme="majorHAnsi" w:cstheme="majorHAnsi"/>
          <w:color w:val="auto"/>
        </w:rPr>
        <w:t xml:space="preserve">krajinné </w:t>
      </w:r>
      <w:r w:rsidRPr="006070EA">
        <w:rPr>
          <w:rFonts w:asciiTheme="majorHAnsi" w:hAnsiTheme="majorHAnsi" w:cstheme="majorHAnsi"/>
          <w:color w:val="auto"/>
        </w:rPr>
        <w:t>(Z</w:t>
      </w:r>
      <w:r w:rsidR="00D32D19" w:rsidRPr="006070EA">
        <w:rPr>
          <w:rFonts w:asciiTheme="majorHAnsi" w:hAnsiTheme="majorHAnsi" w:cstheme="majorHAnsi"/>
          <w:color w:val="auto"/>
        </w:rPr>
        <w:t>K</w:t>
      </w:r>
      <w:r w:rsidRPr="006070EA">
        <w:rPr>
          <w:rFonts w:asciiTheme="majorHAnsi" w:hAnsiTheme="majorHAnsi" w:cstheme="majorHAnsi"/>
          <w:color w:val="auto"/>
        </w:rPr>
        <w:t xml:space="preserve">), vymezen je územní systém ekologické stability navazující na zachovalé přírodní prvky v území; vymezením zastavitelných ploch není zasahováno do údolních niv a přírodně cenných ploch. </w:t>
      </w:r>
    </w:p>
    <w:p w14:paraId="21D0B4BE" w14:textId="77777777" w:rsidR="0068493C" w:rsidRPr="006070EA" w:rsidRDefault="0068493C" w:rsidP="00404149">
      <w:pPr>
        <w:pStyle w:val="Anadpistun"/>
        <w:rPr>
          <w:rFonts w:asciiTheme="majorHAnsi" w:hAnsiTheme="majorHAnsi" w:cstheme="majorHAnsi"/>
        </w:rPr>
      </w:pPr>
      <w:r w:rsidRPr="006070EA">
        <w:rPr>
          <w:rFonts w:asciiTheme="majorHAnsi" w:hAnsiTheme="majorHAnsi" w:cstheme="majorHAnsi"/>
        </w:rPr>
        <w:t>Koridory a plochy dopravní infrastruktury</w:t>
      </w:r>
    </w:p>
    <w:p w14:paraId="5EB2A88D" w14:textId="77777777" w:rsidR="0068493C" w:rsidRPr="006070EA" w:rsidRDefault="0068493C" w:rsidP="00404149">
      <w:pPr>
        <w:keepNext/>
        <w:spacing w:before="120" w:after="120" w:line="240" w:lineRule="auto"/>
        <w:ind w:firstLine="284"/>
        <w:rPr>
          <w:rFonts w:asciiTheme="majorHAnsi" w:hAnsiTheme="majorHAnsi" w:cstheme="majorHAnsi"/>
          <w:sz w:val="18"/>
          <w:u w:val="single"/>
        </w:rPr>
      </w:pPr>
      <w:r w:rsidRPr="006070EA">
        <w:rPr>
          <w:rFonts w:asciiTheme="majorHAnsi" w:hAnsiTheme="majorHAnsi" w:cstheme="majorHAnsi"/>
          <w:sz w:val="18"/>
          <w:u w:val="single"/>
        </w:rPr>
        <w:t>Vodní doprava</w:t>
      </w:r>
    </w:p>
    <w:p w14:paraId="06F906A9" w14:textId="257FE77B" w:rsidR="0068493C" w:rsidRPr="006070EA" w:rsidRDefault="0068493C" w:rsidP="00404149">
      <w:pPr>
        <w:keepNext/>
        <w:spacing w:before="120" w:after="120" w:line="240" w:lineRule="auto"/>
        <w:rPr>
          <w:rFonts w:asciiTheme="majorHAnsi" w:hAnsiTheme="majorHAnsi" w:cstheme="majorHAnsi"/>
          <w:b/>
          <w:i/>
          <w:sz w:val="18"/>
        </w:rPr>
      </w:pPr>
      <w:r w:rsidRPr="006070EA">
        <w:rPr>
          <w:rFonts w:asciiTheme="majorHAnsi" w:hAnsiTheme="majorHAnsi" w:cstheme="majorHAnsi"/>
          <w:iCs/>
          <w:sz w:val="18"/>
        </w:rPr>
        <w:t>(123)</w:t>
      </w:r>
      <w:r w:rsidRPr="006070EA">
        <w:rPr>
          <w:rFonts w:asciiTheme="majorHAnsi" w:hAnsiTheme="majorHAnsi" w:cstheme="majorHAnsi"/>
          <w:b/>
          <w:i/>
          <w:sz w:val="18"/>
        </w:rPr>
        <w:tab/>
        <w:t>VD1</w:t>
      </w:r>
    </w:p>
    <w:p w14:paraId="1A814848" w14:textId="77777777" w:rsidR="0068493C" w:rsidRPr="006070EA" w:rsidRDefault="0068493C" w:rsidP="00404149">
      <w:pPr>
        <w:keepNext/>
        <w:spacing w:before="120" w:after="120" w:line="240" w:lineRule="auto"/>
        <w:ind w:left="708"/>
        <w:jc w:val="both"/>
        <w:rPr>
          <w:rFonts w:asciiTheme="majorHAnsi" w:hAnsiTheme="majorHAnsi" w:cstheme="majorHAnsi"/>
          <w:i/>
          <w:sz w:val="18"/>
        </w:rPr>
      </w:pPr>
      <w:r w:rsidRPr="006070EA">
        <w:rPr>
          <w:rFonts w:asciiTheme="majorHAnsi" w:hAnsiTheme="majorHAnsi" w:cstheme="majorHAnsi"/>
          <w:i/>
          <w:sz w:val="18"/>
          <w:u w:val="single"/>
        </w:rPr>
        <w:t>Vymezení</w:t>
      </w:r>
      <w:r w:rsidRPr="006070EA">
        <w:rPr>
          <w:rFonts w:asciiTheme="majorHAnsi" w:hAnsiTheme="majorHAnsi" w:cstheme="majorHAnsi"/>
          <w:i/>
          <w:sz w:val="18"/>
        </w:rPr>
        <w:t xml:space="preserve">: </w:t>
      </w:r>
      <w:r w:rsidRPr="006070EA">
        <w:rPr>
          <w:rFonts w:asciiTheme="majorHAnsi" w:hAnsiTheme="majorHAnsi" w:cstheme="majorHAnsi"/>
          <w:b/>
          <w:bCs/>
          <w:i/>
          <w:sz w:val="18"/>
          <w:szCs w:val="20"/>
        </w:rPr>
        <w:t>Labe: Pardubice – hranice ČR/Německo (-Dresden)</w:t>
      </w:r>
    </w:p>
    <w:p w14:paraId="6CBE9F30" w14:textId="77777777" w:rsidR="0068493C" w:rsidRPr="006070EA" w:rsidRDefault="0068493C" w:rsidP="00404149">
      <w:pPr>
        <w:keepNext/>
        <w:spacing w:before="120" w:after="120" w:line="240" w:lineRule="auto"/>
        <w:ind w:left="708"/>
        <w:jc w:val="both"/>
        <w:rPr>
          <w:rFonts w:asciiTheme="majorHAnsi" w:hAnsiTheme="majorHAnsi" w:cstheme="majorHAnsi"/>
          <w:i/>
          <w:sz w:val="18"/>
        </w:rPr>
      </w:pPr>
      <w:r w:rsidRPr="006070EA">
        <w:rPr>
          <w:rFonts w:asciiTheme="majorHAnsi" w:hAnsiTheme="majorHAnsi" w:cstheme="majorHAnsi"/>
          <w:i/>
          <w:sz w:val="18"/>
          <w:u w:val="single"/>
        </w:rPr>
        <w:t>Důvody vymezení</w:t>
      </w:r>
      <w:r w:rsidRPr="006070EA">
        <w:rPr>
          <w:rFonts w:asciiTheme="majorHAnsi" w:hAnsiTheme="majorHAnsi" w:cstheme="majorHAnsi"/>
          <w:i/>
          <w:sz w:val="18"/>
        </w:rPr>
        <w:t>: Vytvoření územních podmínek pro zabezpečení splavnosti Labe jako vodní cesty mezinárodního významu. Součást TEN-T.</w:t>
      </w:r>
    </w:p>
    <w:p w14:paraId="67EDD4A5" w14:textId="77777777" w:rsidR="0068493C" w:rsidRPr="006070EA" w:rsidRDefault="0068493C" w:rsidP="00404149">
      <w:pPr>
        <w:keepNext/>
        <w:spacing w:before="120" w:after="120" w:line="240" w:lineRule="auto"/>
        <w:ind w:left="708"/>
        <w:jc w:val="both"/>
        <w:rPr>
          <w:rFonts w:asciiTheme="majorHAnsi" w:hAnsiTheme="majorHAnsi" w:cstheme="majorHAnsi"/>
          <w:i/>
          <w:sz w:val="18"/>
          <w:szCs w:val="20"/>
        </w:rPr>
      </w:pPr>
      <w:r w:rsidRPr="006070EA">
        <w:rPr>
          <w:rFonts w:asciiTheme="majorHAnsi" w:hAnsiTheme="majorHAnsi" w:cstheme="majorHAnsi"/>
          <w:i/>
          <w:sz w:val="18"/>
          <w:u w:val="single"/>
        </w:rPr>
        <w:t>Úkoly pro územní plánování</w:t>
      </w:r>
      <w:r w:rsidRPr="006070EA">
        <w:rPr>
          <w:rFonts w:asciiTheme="majorHAnsi" w:hAnsiTheme="majorHAnsi" w:cstheme="majorHAnsi"/>
          <w:i/>
          <w:sz w:val="18"/>
        </w:rPr>
        <w:t xml:space="preserve">: </w:t>
      </w:r>
      <w:r w:rsidRPr="006070EA">
        <w:rPr>
          <w:rFonts w:asciiTheme="majorHAnsi" w:hAnsiTheme="majorHAnsi" w:cstheme="majorHAnsi"/>
          <w:i/>
          <w:sz w:val="18"/>
          <w:szCs w:val="20"/>
        </w:rPr>
        <w:t>Zohlednit závěry vyplývající ze splněného úkolu pro ministerstva a jiné ústřední správní úřady.</w:t>
      </w:r>
    </w:p>
    <w:p w14:paraId="2A03A079" w14:textId="6CFCB8DF" w:rsidR="0068493C" w:rsidRPr="006070EA" w:rsidRDefault="0068493C" w:rsidP="0068493C">
      <w:pPr>
        <w:pStyle w:val="Mra2-reakceern"/>
        <w:rPr>
          <w:rFonts w:asciiTheme="majorHAnsi" w:hAnsiTheme="majorHAnsi" w:cstheme="majorHAnsi"/>
          <w:color w:val="auto"/>
        </w:rPr>
      </w:pPr>
      <w:r w:rsidRPr="009402D8">
        <w:rPr>
          <w:rFonts w:asciiTheme="majorHAnsi" w:hAnsiTheme="majorHAnsi" w:cstheme="majorHAnsi"/>
          <w:color w:val="auto"/>
        </w:rPr>
        <w:t xml:space="preserve">Územní plán Kostomlaty nad Labem vymezil koridor vodní dopravy </w:t>
      </w:r>
      <w:r w:rsidR="00D32D19" w:rsidRPr="009402D8">
        <w:rPr>
          <w:rFonts w:asciiTheme="majorHAnsi" w:hAnsiTheme="majorHAnsi" w:cstheme="majorHAnsi"/>
          <w:color w:val="auto"/>
        </w:rPr>
        <w:t>CN</w:t>
      </w:r>
      <w:r w:rsidR="00FF6BA8" w:rsidRPr="009402D8">
        <w:rPr>
          <w:rFonts w:asciiTheme="majorHAnsi" w:hAnsiTheme="majorHAnsi" w:cstheme="majorHAnsi"/>
          <w:color w:val="auto"/>
        </w:rPr>
        <w:t>Z</w:t>
      </w:r>
      <w:r w:rsidR="00D32D19" w:rsidRPr="009402D8">
        <w:rPr>
          <w:rFonts w:asciiTheme="majorHAnsi" w:hAnsiTheme="majorHAnsi" w:cstheme="majorHAnsi"/>
          <w:color w:val="auto"/>
        </w:rPr>
        <w:t>.</w:t>
      </w:r>
      <w:r w:rsidR="008F08A8" w:rsidRPr="009402D8">
        <w:rPr>
          <w:rFonts w:asciiTheme="majorHAnsi" w:hAnsiTheme="majorHAnsi" w:cstheme="majorHAnsi"/>
          <w:color w:val="auto"/>
        </w:rPr>
        <w:t>VD1</w:t>
      </w:r>
      <w:r w:rsidRPr="009402D8">
        <w:rPr>
          <w:rFonts w:asciiTheme="majorHAnsi" w:hAnsiTheme="majorHAnsi" w:cstheme="majorHAnsi"/>
          <w:color w:val="auto"/>
        </w:rPr>
        <w:t xml:space="preserve"> pro umožnění realizace uvažovaného záměru v souladu s požadavky PÚR ČR</w:t>
      </w:r>
      <w:r w:rsidR="00492028" w:rsidRPr="009402D8">
        <w:rPr>
          <w:rFonts w:asciiTheme="majorHAnsi" w:hAnsiTheme="majorHAnsi" w:cstheme="majorHAnsi"/>
          <w:color w:val="auto"/>
        </w:rPr>
        <w:t xml:space="preserve"> (VD1)</w:t>
      </w:r>
      <w:r w:rsidR="008F08A8" w:rsidRPr="009402D8">
        <w:rPr>
          <w:rFonts w:asciiTheme="majorHAnsi" w:hAnsiTheme="majorHAnsi" w:cstheme="majorHAnsi"/>
          <w:color w:val="auto"/>
        </w:rPr>
        <w:t>, ZÚR SK</w:t>
      </w:r>
      <w:r w:rsidR="00492028" w:rsidRPr="009402D8">
        <w:rPr>
          <w:rFonts w:asciiTheme="majorHAnsi" w:hAnsiTheme="majorHAnsi" w:cstheme="majorHAnsi"/>
          <w:color w:val="auto"/>
        </w:rPr>
        <w:t xml:space="preserve"> a v koordinaci s ÚPD sousední obce Kostomlátky</w:t>
      </w:r>
      <w:r w:rsidRPr="006070EA">
        <w:rPr>
          <w:rFonts w:asciiTheme="majorHAnsi" w:hAnsiTheme="majorHAnsi" w:cstheme="majorHAnsi"/>
          <w:color w:val="auto"/>
        </w:rPr>
        <w:t>.</w:t>
      </w:r>
    </w:p>
    <w:p w14:paraId="68301653" w14:textId="77777777" w:rsidR="0068493C" w:rsidRPr="006070EA" w:rsidRDefault="0068493C" w:rsidP="008F08A8">
      <w:pPr>
        <w:pStyle w:val="Odstavecseseznamem"/>
        <w:keepNext/>
        <w:pageBreakBefore/>
        <w:numPr>
          <w:ilvl w:val="1"/>
          <w:numId w:val="20"/>
        </w:numPr>
        <w:spacing w:before="160" w:after="120" w:line="240" w:lineRule="auto"/>
        <w:ind w:left="709" w:hanging="709"/>
        <w:contextualSpacing w:val="0"/>
        <w:jc w:val="both"/>
        <w:outlineLvl w:val="1"/>
        <w:rPr>
          <w:rFonts w:asciiTheme="majorHAnsi" w:hAnsiTheme="majorHAnsi" w:cstheme="majorHAnsi"/>
          <w:b/>
          <w:sz w:val="24"/>
          <w:szCs w:val="20"/>
        </w:rPr>
      </w:pPr>
      <w:bookmarkStart w:id="67" w:name="_Toc204678169"/>
      <w:r w:rsidRPr="006070EA">
        <w:rPr>
          <w:rFonts w:asciiTheme="majorHAnsi" w:hAnsiTheme="majorHAnsi" w:cstheme="majorHAnsi"/>
          <w:b/>
          <w:sz w:val="24"/>
          <w:szCs w:val="20"/>
        </w:rPr>
        <w:lastRenderedPageBreak/>
        <w:t>Vyhodnocení souladu územního plánu s územně plánovací dokumentací vydanou krajem</w:t>
      </w:r>
      <w:bookmarkEnd w:id="67"/>
    </w:p>
    <w:p w14:paraId="626EAC7C" w14:textId="6B4AED5D" w:rsidR="008F08A8" w:rsidRDefault="008F08A8" w:rsidP="00257A6D">
      <w:pPr>
        <w:spacing w:after="120" w:line="240" w:lineRule="auto"/>
        <w:ind w:firstLine="709"/>
        <w:jc w:val="both"/>
        <w:rPr>
          <w:rFonts w:asciiTheme="majorHAnsi" w:hAnsiTheme="majorHAnsi" w:cstheme="majorHAnsi"/>
          <w:sz w:val="18"/>
          <w:szCs w:val="18"/>
        </w:rPr>
      </w:pPr>
      <w:r w:rsidRPr="009402D8">
        <w:rPr>
          <w:rFonts w:asciiTheme="majorHAnsi" w:hAnsiTheme="majorHAnsi" w:cstheme="majorHAnsi"/>
          <w:sz w:val="18"/>
          <w:szCs w:val="18"/>
        </w:rPr>
        <w:t xml:space="preserve">Řešené území je zahrnuto v Zásadách územního rozvoje Středočeského kraje, ve znění Aktualizací č. 1, 2, 3, 6, 7, 8, </w:t>
      </w:r>
      <w:r w:rsidR="00EF7150">
        <w:rPr>
          <w:rFonts w:asciiTheme="majorHAnsi" w:hAnsiTheme="majorHAnsi" w:cstheme="majorHAnsi"/>
          <w:sz w:val="18"/>
          <w:szCs w:val="18"/>
        </w:rPr>
        <w:t xml:space="preserve">9, </w:t>
      </w:r>
      <w:r w:rsidRPr="009402D8">
        <w:rPr>
          <w:rFonts w:asciiTheme="majorHAnsi" w:hAnsiTheme="majorHAnsi" w:cstheme="majorHAnsi"/>
          <w:sz w:val="18"/>
          <w:szCs w:val="18"/>
        </w:rPr>
        <w:t xml:space="preserve">10 a 11 (dále též jen „ZÚR SK“). Poslední Aktualizace č. </w:t>
      </w:r>
      <w:r w:rsidR="00EF7150">
        <w:rPr>
          <w:rFonts w:asciiTheme="majorHAnsi" w:hAnsiTheme="majorHAnsi" w:cstheme="majorHAnsi"/>
          <w:sz w:val="18"/>
          <w:szCs w:val="18"/>
        </w:rPr>
        <w:t>9</w:t>
      </w:r>
      <w:r w:rsidRPr="009402D8">
        <w:rPr>
          <w:rFonts w:asciiTheme="majorHAnsi" w:hAnsiTheme="majorHAnsi" w:cstheme="majorHAnsi"/>
          <w:sz w:val="18"/>
          <w:szCs w:val="18"/>
        </w:rPr>
        <w:t xml:space="preserve"> ZÚR SK byla vydána dne </w:t>
      </w:r>
      <w:r w:rsidR="00EF7150">
        <w:rPr>
          <w:rFonts w:asciiTheme="majorHAnsi" w:hAnsiTheme="majorHAnsi" w:cstheme="majorHAnsi"/>
          <w:sz w:val="18"/>
          <w:szCs w:val="18"/>
        </w:rPr>
        <w:t>9</w:t>
      </w:r>
      <w:r w:rsidRPr="009402D8">
        <w:rPr>
          <w:rFonts w:asciiTheme="majorHAnsi" w:hAnsiTheme="majorHAnsi" w:cstheme="majorHAnsi"/>
          <w:sz w:val="18"/>
          <w:szCs w:val="18"/>
        </w:rPr>
        <w:t>.</w:t>
      </w:r>
      <w:r w:rsidR="00EF7150">
        <w:rPr>
          <w:rFonts w:asciiTheme="majorHAnsi" w:hAnsiTheme="majorHAnsi" w:cstheme="majorHAnsi"/>
          <w:sz w:val="18"/>
          <w:szCs w:val="18"/>
        </w:rPr>
        <w:t>9</w:t>
      </w:r>
      <w:r w:rsidRPr="009402D8">
        <w:rPr>
          <w:rFonts w:asciiTheme="majorHAnsi" w:hAnsiTheme="majorHAnsi" w:cstheme="majorHAnsi"/>
          <w:sz w:val="18"/>
          <w:szCs w:val="18"/>
        </w:rPr>
        <w:t>.2024.</w:t>
      </w:r>
    </w:p>
    <w:p w14:paraId="064B7495" w14:textId="70EDD401" w:rsidR="008F08A8" w:rsidRDefault="008F08A8" w:rsidP="00257A6D">
      <w:pPr>
        <w:spacing w:after="120" w:line="240" w:lineRule="auto"/>
        <w:ind w:firstLine="709"/>
        <w:jc w:val="both"/>
        <w:rPr>
          <w:rFonts w:asciiTheme="majorHAnsi" w:hAnsiTheme="majorHAnsi" w:cstheme="majorHAnsi"/>
          <w:sz w:val="18"/>
          <w:szCs w:val="18"/>
        </w:rPr>
      </w:pPr>
      <w:r w:rsidRPr="008F08A8">
        <w:rPr>
          <w:rFonts w:asciiTheme="majorHAnsi" w:hAnsiTheme="majorHAnsi" w:cstheme="majorHAnsi"/>
          <w:sz w:val="18"/>
          <w:szCs w:val="18"/>
        </w:rPr>
        <w:t>Zásady územního rozvoje stanovují zejména základní požadavky na účelné a hospodárné uspořádání území kraje, vymezují plochy nebo koridory nadmístního významu a stanovují požadavky na jejich využití, zejména plochy nebo koridory pro veřejně prospěšné stavby, veřejně prospěšná opatření, stanovují kritéria pro rozhodování o možných variantách nebo alternativách změn v jejich využití.</w:t>
      </w:r>
    </w:p>
    <w:p w14:paraId="4A0F4D30" w14:textId="535FB962" w:rsidR="008F08A8" w:rsidRDefault="008F08A8" w:rsidP="00257A6D">
      <w:pPr>
        <w:spacing w:before="120" w:after="120" w:line="240" w:lineRule="auto"/>
        <w:ind w:firstLine="709"/>
        <w:jc w:val="both"/>
        <w:rPr>
          <w:rFonts w:asciiTheme="majorHAnsi" w:hAnsiTheme="majorHAnsi" w:cstheme="majorHAnsi"/>
          <w:sz w:val="18"/>
          <w:szCs w:val="18"/>
        </w:rPr>
      </w:pPr>
      <w:r w:rsidRPr="008F08A8">
        <w:rPr>
          <w:rFonts w:asciiTheme="majorHAnsi" w:hAnsiTheme="majorHAnsi" w:cstheme="majorHAnsi"/>
          <w:sz w:val="18"/>
          <w:szCs w:val="18"/>
        </w:rPr>
        <w:t xml:space="preserve">Vyhodnocení souladu ÚP </w:t>
      </w:r>
      <w:r>
        <w:rPr>
          <w:rFonts w:asciiTheme="majorHAnsi" w:hAnsiTheme="majorHAnsi" w:cstheme="majorHAnsi"/>
          <w:sz w:val="18"/>
          <w:szCs w:val="18"/>
        </w:rPr>
        <w:t>Kostomlaty nad Labem</w:t>
      </w:r>
      <w:r w:rsidRPr="008F08A8">
        <w:rPr>
          <w:rFonts w:asciiTheme="majorHAnsi" w:hAnsiTheme="majorHAnsi" w:cstheme="majorHAnsi"/>
          <w:sz w:val="18"/>
          <w:szCs w:val="18"/>
        </w:rPr>
        <w:t xml:space="preserve"> se ZÚR SK bylo provedeno nad dokumentací Úplného znění Zásad územního rozvoje Středočeského kraje po vydání aktualizace č. </w:t>
      </w:r>
      <w:r w:rsidR="00EF7150">
        <w:rPr>
          <w:rFonts w:asciiTheme="majorHAnsi" w:hAnsiTheme="majorHAnsi" w:cstheme="majorHAnsi"/>
          <w:sz w:val="18"/>
          <w:szCs w:val="18"/>
        </w:rPr>
        <w:t>9</w:t>
      </w:r>
      <w:r w:rsidRPr="008F08A8">
        <w:rPr>
          <w:rFonts w:asciiTheme="majorHAnsi" w:hAnsiTheme="majorHAnsi" w:cstheme="majorHAnsi"/>
          <w:sz w:val="18"/>
          <w:szCs w:val="18"/>
        </w:rPr>
        <w:t xml:space="preserve">. </w:t>
      </w:r>
    </w:p>
    <w:p w14:paraId="6F3FCA06" w14:textId="323BDCE6" w:rsidR="0068493C" w:rsidRPr="006070EA" w:rsidRDefault="0068493C" w:rsidP="00257A6D">
      <w:pPr>
        <w:spacing w:before="120" w:after="120" w:line="240" w:lineRule="auto"/>
        <w:ind w:firstLine="709"/>
        <w:jc w:val="both"/>
        <w:rPr>
          <w:rFonts w:asciiTheme="majorHAnsi" w:hAnsiTheme="majorHAnsi" w:cstheme="majorHAnsi"/>
          <w:sz w:val="18"/>
          <w:szCs w:val="18"/>
        </w:rPr>
      </w:pPr>
      <w:r w:rsidRPr="006070EA">
        <w:rPr>
          <w:rFonts w:asciiTheme="majorHAnsi" w:hAnsiTheme="majorHAnsi" w:cstheme="majorHAnsi"/>
          <w:sz w:val="18"/>
          <w:szCs w:val="18"/>
        </w:rPr>
        <w:t>Řešené území je v ZÚR SK řešeno v</w:t>
      </w:r>
      <w:r w:rsidR="00C544B6" w:rsidRPr="006070EA">
        <w:rPr>
          <w:rFonts w:asciiTheme="majorHAnsi" w:hAnsiTheme="majorHAnsi" w:cstheme="majorHAnsi"/>
          <w:sz w:val="18"/>
          <w:szCs w:val="18"/>
        </w:rPr>
        <w:t> </w:t>
      </w:r>
      <w:r w:rsidRPr="006070EA">
        <w:rPr>
          <w:rFonts w:asciiTheme="majorHAnsi" w:hAnsiTheme="majorHAnsi" w:cstheme="majorHAnsi"/>
          <w:sz w:val="18"/>
          <w:szCs w:val="18"/>
        </w:rPr>
        <w:t>následujících souvislostech (citace ze ZÚR SK je označena kurzívou a je redukována na části týkající se řešeného území):</w:t>
      </w:r>
    </w:p>
    <w:p w14:paraId="7D3647C7" w14:textId="6E290497" w:rsidR="0068493C" w:rsidRPr="001C4556" w:rsidRDefault="0068493C" w:rsidP="001C4556">
      <w:pPr>
        <w:pStyle w:val="Odstavecseseznamem"/>
        <w:numPr>
          <w:ilvl w:val="0"/>
          <w:numId w:val="45"/>
        </w:numPr>
        <w:pBdr>
          <w:bottom w:val="single" w:sz="4" w:space="1" w:color="auto"/>
        </w:pBdr>
        <w:spacing w:before="120" w:after="0" w:line="240" w:lineRule="auto"/>
        <w:ind w:left="284" w:hanging="284"/>
        <w:jc w:val="both"/>
        <w:rPr>
          <w:rFonts w:asciiTheme="majorHAnsi" w:hAnsiTheme="majorHAnsi" w:cstheme="majorHAnsi"/>
          <w:b/>
          <w:sz w:val="18"/>
          <w:szCs w:val="18"/>
        </w:rPr>
      </w:pPr>
      <w:r w:rsidRPr="001C4556">
        <w:rPr>
          <w:rFonts w:asciiTheme="majorHAnsi" w:hAnsiTheme="majorHAnsi" w:cstheme="majorHAnsi"/>
          <w:b/>
          <w:sz w:val="18"/>
          <w:szCs w:val="18"/>
        </w:rPr>
        <w:t>STANOVENÍ PRIORIT ÚZEMNÍHO PLÁNOVÁNÍ KRAJE PRO ZAJIŠTĚNÍ UDRŽITELNÉHO ROZVOJE ÚZEMÍ</w:t>
      </w:r>
    </w:p>
    <w:p w14:paraId="266CAA63" w14:textId="77777777" w:rsidR="0068493C" w:rsidRPr="006070EA" w:rsidRDefault="0068493C" w:rsidP="0068493C">
      <w:pPr>
        <w:spacing w:before="120" w:after="60" w:line="240" w:lineRule="auto"/>
        <w:jc w:val="both"/>
        <w:rPr>
          <w:rFonts w:asciiTheme="majorHAnsi" w:hAnsiTheme="majorHAnsi" w:cstheme="majorHAnsi"/>
          <w:sz w:val="18"/>
          <w:szCs w:val="18"/>
        </w:rPr>
      </w:pPr>
      <w:r w:rsidRPr="006070EA">
        <w:rPr>
          <w:rFonts w:asciiTheme="majorHAnsi" w:hAnsiTheme="majorHAnsi" w:cstheme="majorHAnsi"/>
          <w:sz w:val="18"/>
          <w:szCs w:val="18"/>
        </w:rPr>
        <w:t>Priority územního plánování kraje jsou určeny ke konkretizaci cílů a úkolů územního plánování a požadavků na udržitelný rozvoj území v územně plánovací činnosti měst a obcí, kterými jsou stanovovány podmínky pro změny v konkrétních plochách. Řešeného území se týkají zejména následující priority:</w:t>
      </w:r>
    </w:p>
    <w:p w14:paraId="31D14CA4" w14:textId="77777777" w:rsidR="0068493C" w:rsidRPr="006070EA" w:rsidRDefault="0068493C" w:rsidP="00C544B6">
      <w:pPr>
        <w:keepLines/>
        <w:spacing w:before="120" w:after="120"/>
        <w:ind w:left="709" w:hanging="709"/>
        <w:jc w:val="both"/>
        <w:rPr>
          <w:rFonts w:asciiTheme="majorHAnsi" w:hAnsiTheme="majorHAnsi" w:cstheme="majorHAnsi"/>
          <w:bCs/>
          <w:i/>
          <w:sz w:val="18"/>
          <w:szCs w:val="18"/>
        </w:rPr>
      </w:pPr>
      <w:r w:rsidRPr="006070EA">
        <w:rPr>
          <w:rFonts w:asciiTheme="majorHAnsi" w:hAnsiTheme="majorHAnsi" w:cstheme="majorHAnsi"/>
          <w:bCs/>
          <w:sz w:val="18"/>
          <w:szCs w:val="18"/>
        </w:rPr>
        <w:t>(01)</w:t>
      </w:r>
      <w:r w:rsidRPr="006070EA">
        <w:rPr>
          <w:rFonts w:asciiTheme="majorHAnsi" w:hAnsiTheme="majorHAnsi" w:cstheme="majorHAnsi"/>
          <w:bCs/>
          <w:i/>
          <w:sz w:val="18"/>
          <w:szCs w:val="18"/>
        </w:rPr>
        <w:tab/>
        <w:t>Pomocí nástrojů územního plánování vytvářet podmínky pro vyvážený rozvoj Středočeského kraje, založený na zajištění příznivého životního prostředí, stabilním hospodářském rozvoji a udržení sociální soudržnosti obyvatel kraje. Vyváženost a udržitelnost rozvoje území kraje sledovat jako základní požadavek při zpracování územních studií, územních plánů, regulačních plánů a při rozhodování o změnách ve využití území.</w:t>
      </w:r>
    </w:p>
    <w:p w14:paraId="4575FDA7" w14:textId="5A3A3F5E" w:rsidR="0068493C" w:rsidRPr="006070EA" w:rsidRDefault="0068493C" w:rsidP="0068493C">
      <w:pPr>
        <w:pStyle w:val="Mra2-reakceern"/>
        <w:rPr>
          <w:rFonts w:asciiTheme="majorHAnsi" w:hAnsiTheme="majorHAnsi" w:cstheme="majorHAnsi"/>
          <w:color w:val="auto"/>
        </w:rPr>
      </w:pPr>
      <w:r w:rsidRPr="006070EA">
        <w:rPr>
          <w:rFonts w:asciiTheme="majorHAnsi" w:hAnsiTheme="majorHAnsi" w:cstheme="majorHAnsi"/>
          <w:color w:val="auto"/>
        </w:rPr>
        <w:t xml:space="preserve">ÚP Kostomlaty nad Labem vytváří podmínky pro podporu ekonomických aktivit a hospodářský rozvoj v obci vymezením stabilizovaných a rozvojových ploch </w:t>
      </w:r>
      <w:r w:rsidR="00B51545" w:rsidRPr="006070EA">
        <w:rPr>
          <w:rFonts w:asciiTheme="majorHAnsi" w:hAnsiTheme="majorHAnsi" w:cstheme="majorHAnsi"/>
          <w:color w:val="auto"/>
        </w:rPr>
        <w:t>výroby</w:t>
      </w:r>
      <w:r w:rsidRPr="006070EA">
        <w:rPr>
          <w:rFonts w:asciiTheme="majorHAnsi" w:hAnsiTheme="majorHAnsi" w:cstheme="majorHAnsi"/>
          <w:color w:val="auto"/>
        </w:rPr>
        <w:t xml:space="preserve"> (VL, VZ), a to s ohledem na charakter obce, která leží v zemědělsky využívané oblasti. Rozvoj ekonomických aktivit je umožněn i v plochách bydlení (BH, BI) či smíšených obytných (SM a SV).</w:t>
      </w:r>
    </w:p>
    <w:p w14:paraId="5A90D3D9" w14:textId="77777777" w:rsidR="0068493C" w:rsidRPr="006070EA" w:rsidRDefault="0068493C" w:rsidP="0068493C">
      <w:pPr>
        <w:pStyle w:val="Mra2-reakceern"/>
        <w:rPr>
          <w:rFonts w:asciiTheme="majorHAnsi" w:hAnsiTheme="majorHAnsi" w:cstheme="majorHAnsi"/>
          <w:color w:val="auto"/>
        </w:rPr>
      </w:pPr>
      <w:r w:rsidRPr="006070EA">
        <w:rPr>
          <w:rFonts w:asciiTheme="majorHAnsi" w:hAnsiTheme="majorHAnsi" w:cstheme="majorHAnsi"/>
          <w:color w:val="auto"/>
        </w:rPr>
        <w:tab/>
        <w:t xml:space="preserve">V souladu s principy udržitelného rozvoje je Územním plánem Kostomlaty nad Labem navržen rozvoj, zajišťující efektivní využití stávající veřejné infrastruktury a podporující rozvoj bydlení v území. Ochrana přírodních a krajinných hodnot je zajištěna jejich respektováním jakožto limitů využití území a vymezením ÚSES. Stanovením podmínek využití ploch v nezastavěném území jsou vytvořeny podmínky pro posilování environmentálního pilíře. </w:t>
      </w:r>
    </w:p>
    <w:p w14:paraId="011C000E" w14:textId="77777777" w:rsidR="0068493C" w:rsidRPr="006070EA" w:rsidRDefault="0068493C" w:rsidP="0068493C">
      <w:pPr>
        <w:pStyle w:val="Mra2-reakceern"/>
        <w:rPr>
          <w:rFonts w:asciiTheme="majorHAnsi" w:hAnsiTheme="majorHAnsi" w:cstheme="majorHAnsi"/>
          <w:color w:val="auto"/>
        </w:rPr>
      </w:pPr>
      <w:r w:rsidRPr="006070EA">
        <w:rPr>
          <w:rFonts w:asciiTheme="majorHAnsi" w:hAnsiTheme="majorHAnsi" w:cstheme="majorHAnsi"/>
          <w:color w:val="auto"/>
        </w:rPr>
        <w:tab/>
        <w:t xml:space="preserve">Pro zajištění koordinovaného vývoje je využití plošně rozsáhlejších a komplikovanějších rozvojových území podmíněno vydáním regulačního plánu nebo zpracováním územní studie. </w:t>
      </w:r>
    </w:p>
    <w:p w14:paraId="2A3AD2DB" w14:textId="1549295F" w:rsidR="0068493C" w:rsidRPr="006070EA" w:rsidRDefault="0068493C" w:rsidP="0068493C">
      <w:pPr>
        <w:spacing w:before="120" w:after="120"/>
        <w:ind w:left="709" w:hanging="709"/>
        <w:jc w:val="both"/>
        <w:rPr>
          <w:rFonts w:asciiTheme="majorHAnsi" w:hAnsiTheme="majorHAnsi" w:cstheme="majorHAnsi"/>
          <w:bCs/>
          <w:sz w:val="18"/>
          <w:szCs w:val="18"/>
        </w:rPr>
      </w:pPr>
      <w:r w:rsidRPr="006070EA">
        <w:rPr>
          <w:rFonts w:asciiTheme="majorHAnsi" w:hAnsiTheme="majorHAnsi" w:cstheme="majorHAnsi"/>
          <w:bCs/>
          <w:sz w:val="18"/>
          <w:szCs w:val="18"/>
        </w:rPr>
        <w:t xml:space="preserve">(02) </w:t>
      </w:r>
      <w:r w:rsidRPr="006070EA">
        <w:rPr>
          <w:rFonts w:asciiTheme="majorHAnsi" w:hAnsiTheme="majorHAnsi" w:cstheme="majorHAnsi"/>
          <w:bCs/>
          <w:sz w:val="18"/>
          <w:szCs w:val="18"/>
        </w:rPr>
        <w:tab/>
      </w:r>
      <w:r w:rsidR="008F08A8" w:rsidRPr="008F08A8">
        <w:rPr>
          <w:rFonts w:asciiTheme="majorHAnsi" w:hAnsiTheme="majorHAnsi" w:cstheme="majorHAnsi"/>
          <w:bCs/>
          <w:i/>
          <w:iCs/>
          <w:sz w:val="18"/>
          <w:szCs w:val="18"/>
        </w:rPr>
        <w:t>Vytvářet územní podmínky pro změny v území související s umísťováním aktivit mezinárodního a republikového významu dle platné Politiky územního rozvoje a významných záměrů nadmístního významu k naplnění cílů a opatření strategických rozvojových dokumentů na úrovni Středočeského kraje</w:t>
      </w:r>
      <w:r w:rsidRPr="006070EA">
        <w:rPr>
          <w:rFonts w:asciiTheme="majorHAnsi" w:hAnsiTheme="majorHAnsi" w:cstheme="majorHAnsi"/>
          <w:bCs/>
          <w:i/>
          <w:iCs/>
          <w:sz w:val="18"/>
          <w:szCs w:val="18"/>
        </w:rPr>
        <w:t>.</w:t>
      </w:r>
    </w:p>
    <w:p w14:paraId="2DB7F720" w14:textId="22BA4D6D" w:rsidR="0068493C" w:rsidRPr="006070EA" w:rsidRDefault="0068493C" w:rsidP="0068493C">
      <w:pPr>
        <w:pStyle w:val="Mra2-reakceern"/>
        <w:rPr>
          <w:rFonts w:asciiTheme="majorHAnsi" w:hAnsiTheme="majorHAnsi" w:cstheme="majorHAnsi"/>
          <w:color w:val="auto"/>
        </w:rPr>
      </w:pPr>
      <w:r w:rsidRPr="006070EA">
        <w:rPr>
          <w:rFonts w:asciiTheme="majorHAnsi" w:hAnsiTheme="majorHAnsi" w:cstheme="majorHAnsi"/>
          <w:color w:val="auto"/>
        </w:rPr>
        <w:t xml:space="preserve">Územní plán respektuje požadavky PÚR ČR v aktuálním znění na územně plánovací činnost v řešeném území. Správní území města Kostomlaty nad Labem není zařazeno do rozvojové oblasti či osy republikového významu. Řešené území je dotčeno záměrem dopravní infrastruktury nadregionálního významu, konkrétně rozvojem Labské vodní cesty (koridor VD1 v PÚR ČR), pro který je v ÚP vymezen koridor </w:t>
      </w:r>
      <w:r w:rsidR="00B51545" w:rsidRPr="006070EA">
        <w:rPr>
          <w:rFonts w:asciiTheme="majorHAnsi" w:hAnsiTheme="majorHAnsi" w:cstheme="majorHAnsi"/>
          <w:color w:val="auto"/>
        </w:rPr>
        <w:t>CNZ.</w:t>
      </w:r>
      <w:r w:rsidR="0097451F">
        <w:rPr>
          <w:rFonts w:asciiTheme="majorHAnsi" w:hAnsiTheme="majorHAnsi" w:cstheme="majorHAnsi"/>
          <w:color w:val="auto"/>
        </w:rPr>
        <w:t>VD</w:t>
      </w:r>
      <w:r w:rsidRPr="006070EA">
        <w:rPr>
          <w:rFonts w:asciiTheme="majorHAnsi" w:hAnsiTheme="majorHAnsi" w:cstheme="majorHAnsi"/>
          <w:color w:val="auto"/>
        </w:rPr>
        <w:t xml:space="preserve">1. </w:t>
      </w:r>
    </w:p>
    <w:p w14:paraId="05904442" w14:textId="4E4081A9" w:rsidR="0068493C" w:rsidRPr="006070EA" w:rsidRDefault="0068493C" w:rsidP="00EF7B4B">
      <w:pPr>
        <w:keepNext/>
        <w:keepLines/>
        <w:spacing w:before="120" w:after="60"/>
        <w:ind w:left="709" w:hanging="709"/>
        <w:jc w:val="both"/>
        <w:rPr>
          <w:rFonts w:asciiTheme="majorHAnsi" w:hAnsiTheme="majorHAnsi" w:cstheme="majorHAnsi"/>
          <w:bCs/>
          <w:i/>
          <w:iCs/>
          <w:sz w:val="18"/>
          <w:szCs w:val="18"/>
        </w:rPr>
      </w:pPr>
      <w:r w:rsidRPr="006070EA">
        <w:rPr>
          <w:rFonts w:asciiTheme="majorHAnsi" w:eastAsia="Calibri" w:hAnsiTheme="majorHAnsi" w:cstheme="majorHAnsi"/>
          <w:iCs/>
          <w:sz w:val="18"/>
          <w:szCs w:val="18"/>
        </w:rPr>
        <w:t>(05)</w:t>
      </w:r>
      <w:r w:rsidRPr="006070EA">
        <w:rPr>
          <w:rFonts w:asciiTheme="majorHAnsi" w:eastAsia="Calibri" w:hAnsiTheme="majorHAnsi" w:cstheme="majorHAnsi"/>
          <w:i/>
          <w:sz w:val="18"/>
          <w:szCs w:val="18"/>
        </w:rPr>
        <w:tab/>
      </w:r>
      <w:r w:rsidRPr="006070EA">
        <w:rPr>
          <w:rFonts w:asciiTheme="majorHAnsi" w:hAnsiTheme="majorHAnsi" w:cstheme="majorHAnsi"/>
          <w:bCs/>
          <w:i/>
          <w:iCs/>
          <w:sz w:val="18"/>
          <w:szCs w:val="18"/>
        </w:rPr>
        <w:t>Vytvářet podmínky pro umístění a realizaci potřebných staveb a opatření pro zlepšení dopravní dostupnosti a</w:t>
      </w:r>
      <w:r w:rsidR="00C544B6" w:rsidRPr="006070EA">
        <w:rPr>
          <w:rFonts w:asciiTheme="majorHAnsi" w:hAnsiTheme="majorHAnsi" w:cstheme="majorHAnsi"/>
          <w:bCs/>
          <w:i/>
          <w:iCs/>
          <w:sz w:val="18"/>
          <w:szCs w:val="18"/>
        </w:rPr>
        <w:t> </w:t>
      </w:r>
      <w:r w:rsidRPr="006070EA">
        <w:rPr>
          <w:rFonts w:asciiTheme="majorHAnsi" w:hAnsiTheme="majorHAnsi" w:cstheme="majorHAnsi"/>
          <w:bCs/>
          <w:i/>
          <w:iCs/>
          <w:sz w:val="18"/>
          <w:szCs w:val="18"/>
        </w:rPr>
        <w:t>dopravní obslužnosti kraje, zejména zlepšit dopravní vazby:</w:t>
      </w:r>
    </w:p>
    <w:p w14:paraId="0A974799" w14:textId="77777777" w:rsidR="0068493C" w:rsidRPr="006070EA" w:rsidRDefault="0068493C" w:rsidP="0068493C">
      <w:pPr>
        <w:spacing w:after="120"/>
        <w:ind w:left="709"/>
        <w:jc w:val="both"/>
        <w:rPr>
          <w:rFonts w:asciiTheme="majorHAnsi" w:hAnsiTheme="majorHAnsi" w:cstheme="majorHAnsi"/>
          <w:bCs/>
          <w:i/>
          <w:iCs/>
          <w:sz w:val="18"/>
          <w:szCs w:val="18"/>
        </w:rPr>
      </w:pPr>
      <w:r w:rsidRPr="006070EA">
        <w:rPr>
          <w:rFonts w:asciiTheme="majorHAnsi" w:hAnsiTheme="majorHAnsi" w:cstheme="majorHAnsi"/>
          <w:bCs/>
          <w:i/>
          <w:iCs/>
          <w:sz w:val="18"/>
          <w:szCs w:val="18"/>
        </w:rPr>
        <w:t>q) zlepšení spojení nižších center k vyšším a středním centrům a k trasám nadřazené silniční sítě.</w:t>
      </w:r>
    </w:p>
    <w:p w14:paraId="68A26978" w14:textId="551E6D8F" w:rsidR="0068493C" w:rsidRPr="006070EA" w:rsidRDefault="0068493C" w:rsidP="0068493C">
      <w:pPr>
        <w:pStyle w:val="Mra2-reakceern"/>
        <w:rPr>
          <w:rFonts w:asciiTheme="majorHAnsi" w:hAnsiTheme="majorHAnsi" w:cstheme="majorHAnsi"/>
          <w:bCs w:val="0"/>
        </w:rPr>
      </w:pPr>
      <w:r w:rsidRPr="006070EA">
        <w:rPr>
          <w:rFonts w:asciiTheme="majorHAnsi" w:hAnsiTheme="majorHAnsi" w:cstheme="majorHAnsi"/>
          <w:color w:val="auto"/>
        </w:rPr>
        <w:t xml:space="preserve">Územním plánem jsou podporovány dopravní vazby na vyšší centra </w:t>
      </w:r>
      <w:r w:rsidR="000C479F" w:rsidRPr="006070EA">
        <w:rPr>
          <w:rFonts w:asciiTheme="majorHAnsi" w:hAnsiTheme="majorHAnsi" w:cstheme="majorHAnsi"/>
          <w:color w:val="auto"/>
        </w:rPr>
        <w:t xml:space="preserve">především </w:t>
      </w:r>
      <w:r w:rsidRPr="006070EA">
        <w:rPr>
          <w:rFonts w:asciiTheme="majorHAnsi" w:hAnsiTheme="majorHAnsi" w:cstheme="majorHAnsi"/>
          <w:color w:val="auto"/>
        </w:rPr>
        <w:t xml:space="preserve">vymezením koridoru </w:t>
      </w:r>
      <w:r w:rsidR="008F08A8">
        <w:rPr>
          <w:rFonts w:asciiTheme="majorHAnsi" w:hAnsiTheme="majorHAnsi" w:cstheme="majorHAnsi"/>
          <w:color w:val="auto"/>
        </w:rPr>
        <w:t>CNU.D322</w:t>
      </w:r>
      <w:r w:rsidRPr="006070EA">
        <w:rPr>
          <w:rFonts w:asciiTheme="majorHAnsi" w:hAnsiTheme="majorHAnsi" w:cstheme="majorHAnsi"/>
          <w:color w:val="auto"/>
        </w:rPr>
        <w:t xml:space="preserve"> železniční dopravy pro zkvalitnění veřejné dopravy na trati č. 231 v úseku Lysá nad Labem – Nymburk a rovněž zkvalitnění cyklistického a pěšího propojení vymezením koridoru </w:t>
      </w:r>
      <w:r w:rsidR="00487707" w:rsidRPr="006070EA">
        <w:rPr>
          <w:rFonts w:asciiTheme="majorHAnsi" w:hAnsiTheme="majorHAnsi" w:cstheme="majorHAnsi"/>
          <w:color w:val="auto"/>
        </w:rPr>
        <w:t>CNU.</w:t>
      </w:r>
      <w:r w:rsidRPr="006070EA">
        <w:rPr>
          <w:rFonts w:asciiTheme="majorHAnsi" w:hAnsiTheme="majorHAnsi" w:cstheme="majorHAnsi"/>
          <w:color w:val="auto"/>
        </w:rPr>
        <w:t>KDN1 bezmotorové dopravy – přemostění řeky Labe u</w:t>
      </w:r>
      <w:r w:rsidR="00C544B6" w:rsidRPr="006070EA">
        <w:rPr>
          <w:rFonts w:asciiTheme="majorHAnsi" w:hAnsiTheme="majorHAnsi" w:cstheme="majorHAnsi"/>
          <w:color w:val="auto"/>
        </w:rPr>
        <w:t> </w:t>
      </w:r>
      <w:r w:rsidRPr="006070EA">
        <w:rPr>
          <w:rFonts w:asciiTheme="majorHAnsi" w:hAnsiTheme="majorHAnsi" w:cstheme="majorHAnsi"/>
          <w:color w:val="auto"/>
        </w:rPr>
        <w:t>Hradištka a na něj navazující propojení cyklistické dopravy po obou březích Labe.</w:t>
      </w:r>
    </w:p>
    <w:p w14:paraId="74D63262" w14:textId="77777777" w:rsidR="0068493C" w:rsidRPr="006070EA" w:rsidRDefault="0068493C" w:rsidP="00C544B6">
      <w:pPr>
        <w:spacing w:before="120" w:after="120"/>
        <w:ind w:left="703" w:hanging="703"/>
        <w:jc w:val="both"/>
        <w:rPr>
          <w:rFonts w:asciiTheme="majorHAnsi" w:hAnsiTheme="majorHAnsi" w:cstheme="majorHAnsi"/>
          <w:bCs/>
          <w:i/>
          <w:iCs/>
          <w:sz w:val="18"/>
          <w:szCs w:val="18"/>
        </w:rPr>
      </w:pPr>
      <w:r w:rsidRPr="006070EA">
        <w:rPr>
          <w:rFonts w:asciiTheme="majorHAnsi" w:eastAsia="Calibri" w:hAnsiTheme="majorHAnsi" w:cstheme="majorHAnsi"/>
          <w:iCs/>
          <w:sz w:val="18"/>
          <w:szCs w:val="18"/>
        </w:rPr>
        <w:t>(06)</w:t>
      </w:r>
      <w:r w:rsidRPr="006070EA">
        <w:rPr>
          <w:rFonts w:asciiTheme="majorHAnsi" w:eastAsia="Calibri" w:hAnsiTheme="majorHAnsi" w:cstheme="majorHAnsi"/>
          <w:i/>
          <w:sz w:val="18"/>
          <w:szCs w:val="18"/>
        </w:rPr>
        <w:tab/>
      </w:r>
      <w:r w:rsidRPr="006070EA">
        <w:rPr>
          <w:rFonts w:asciiTheme="majorHAnsi" w:hAnsiTheme="majorHAnsi" w:cstheme="majorHAnsi"/>
          <w:bCs/>
          <w:i/>
          <w:iCs/>
          <w:sz w:val="18"/>
          <w:szCs w:val="18"/>
        </w:rPr>
        <w:t>Vytvářet podmínky pro péči o přírodní, kulturní a civilizační hodnoty na území kraje, které vytvářejí image kraje a posilují vztah obyvatelstva kraje ke svému území. Přitom se soustředit zejména na:</w:t>
      </w:r>
    </w:p>
    <w:p w14:paraId="5857D0F6" w14:textId="77777777" w:rsidR="0068493C" w:rsidRPr="006070EA" w:rsidRDefault="0068493C" w:rsidP="00C544B6">
      <w:pPr>
        <w:spacing w:after="60"/>
        <w:ind w:left="709"/>
        <w:jc w:val="both"/>
        <w:rPr>
          <w:rFonts w:asciiTheme="majorHAnsi" w:hAnsiTheme="majorHAnsi" w:cstheme="majorHAnsi"/>
          <w:bCs/>
          <w:i/>
          <w:iCs/>
          <w:sz w:val="18"/>
          <w:szCs w:val="18"/>
        </w:rPr>
      </w:pPr>
      <w:r w:rsidRPr="006070EA">
        <w:rPr>
          <w:rFonts w:asciiTheme="majorHAnsi" w:hAnsiTheme="majorHAnsi" w:cstheme="majorHAnsi"/>
          <w:bCs/>
          <w:i/>
          <w:iCs/>
          <w:sz w:val="18"/>
          <w:szCs w:val="18"/>
        </w:rPr>
        <w:t>a) zachování a obnovu rozmanitosti kulturní krajiny a posílení její stability;</w:t>
      </w:r>
    </w:p>
    <w:p w14:paraId="3BF854D8" w14:textId="77777777" w:rsidR="0068493C" w:rsidRPr="006070EA" w:rsidRDefault="0068493C" w:rsidP="00C544B6">
      <w:pPr>
        <w:spacing w:after="60"/>
        <w:ind w:left="709"/>
        <w:jc w:val="both"/>
        <w:rPr>
          <w:rFonts w:asciiTheme="majorHAnsi" w:hAnsiTheme="majorHAnsi" w:cstheme="majorHAnsi"/>
          <w:bCs/>
          <w:i/>
          <w:iCs/>
          <w:sz w:val="18"/>
          <w:szCs w:val="18"/>
        </w:rPr>
      </w:pPr>
      <w:r w:rsidRPr="006070EA">
        <w:rPr>
          <w:rFonts w:asciiTheme="majorHAnsi" w:hAnsiTheme="majorHAnsi" w:cstheme="majorHAnsi"/>
          <w:bCs/>
          <w:i/>
          <w:iCs/>
          <w:sz w:val="18"/>
          <w:szCs w:val="18"/>
        </w:rPr>
        <w:t>b) ochranu pozitivních znaků krajinného rázu;</w:t>
      </w:r>
    </w:p>
    <w:p w14:paraId="40DBB664" w14:textId="77777777" w:rsidR="0068493C" w:rsidRPr="006070EA" w:rsidRDefault="0068493C" w:rsidP="00C544B6">
      <w:pPr>
        <w:spacing w:after="60"/>
        <w:ind w:left="709"/>
        <w:jc w:val="both"/>
        <w:rPr>
          <w:rFonts w:asciiTheme="majorHAnsi" w:hAnsiTheme="majorHAnsi" w:cstheme="majorHAnsi"/>
          <w:bCs/>
          <w:i/>
          <w:iCs/>
          <w:sz w:val="18"/>
          <w:szCs w:val="18"/>
        </w:rPr>
      </w:pPr>
      <w:r w:rsidRPr="006070EA">
        <w:rPr>
          <w:rFonts w:asciiTheme="majorHAnsi" w:hAnsiTheme="majorHAnsi" w:cstheme="majorHAnsi"/>
          <w:bCs/>
          <w:i/>
          <w:iCs/>
          <w:sz w:val="18"/>
          <w:szCs w:val="18"/>
        </w:rPr>
        <w:t>c) zachování a citlivé doplnění výrazu sídel, s cílem nenarušovat cenné městské i venkovské urbanistické struktury a architektonické i přírodní dominanty nevhodnou zástavbou a omezit fragmentaci krajiny a srůstání sídel;</w:t>
      </w:r>
    </w:p>
    <w:p w14:paraId="47F0DE96" w14:textId="77777777" w:rsidR="0068493C" w:rsidRPr="006070EA" w:rsidRDefault="0068493C" w:rsidP="00C544B6">
      <w:pPr>
        <w:spacing w:after="60"/>
        <w:ind w:left="709"/>
        <w:jc w:val="both"/>
        <w:rPr>
          <w:rFonts w:asciiTheme="majorHAnsi" w:hAnsiTheme="majorHAnsi" w:cstheme="majorHAnsi"/>
          <w:bCs/>
          <w:i/>
          <w:iCs/>
          <w:sz w:val="18"/>
          <w:szCs w:val="18"/>
        </w:rPr>
      </w:pPr>
      <w:r w:rsidRPr="006070EA">
        <w:rPr>
          <w:rFonts w:asciiTheme="majorHAnsi" w:hAnsiTheme="majorHAnsi" w:cstheme="majorHAnsi"/>
          <w:bCs/>
          <w:i/>
          <w:iCs/>
          <w:sz w:val="18"/>
          <w:szCs w:val="18"/>
        </w:rPr>
        <w:t>d) upřesnit a zapracovat do ÚPD obcí cílové charakteristiky krajiny;</w:t>
      </w:r>
    </w:p>
    <w:p w14:paraId="7E980C89" w14:textId="77777777" w:rsidR="0068493C" w:rsidRPr="006070EA" w:rsidRDefault="0068493C" w:rsidP="00C544B6">
      <w:pPr>
        <w:spacing w:after="60"/>
        <w:ind w:left="709"/>
        <w:jc w:val="both"/>
        <w:rPr>
          <w:rFonts w:asciiTheme="majorHAnsi" w:hAnsiTheme="majorHAnsi" w:cstheme="majorHAnsi"/>
          <w:bCs/>
          <w:i/>
          <w:iCs/>
          <w:sz w:val="18"/>
          <w:szCs w:val="18"/>
        </w:rPr>
      </w:pPr>
      <w:r w:rsidRPr="006070EA">
        <w:rPr>
          <w:rFonts w:asciiTheme="majorHAnsi" w:hAnsiTheme="majorHAnsi" w:cstheme="majorHAnsi"/>
          <w:bCs/>
          <w:i/>
          <w:iCs/>
          <w:sz w:val="18"/>
          <w:szCs w:val="18"/>
        </w:rPr>
        <w:t>e) vytváření podmínek pro šetrné využívání přírodních zdrojů.</w:t>
      </w:r>
    </w:p>
    <w:p w14:paraId="2A25E120" w14:textId="77777777" w:rsidR="0068493C" w:rsidRPr="006070EA" w:rsidRDefault="0068493C" w:rsidP="0068493C">
      <w:pPr>
        <w:pStyle w:val="Mra2-reakceern"/>
        <w:rPr>
          <w:rFonts w:asciiTheme="majorHAnsi" w:hAnsiTheme="majorHAnsi" w:cstheme="majorHAnsi"/>
          <w:color w:val="auto"/>
        </w:rPr>
      </w:pPr>
      <w:r w:rsidRPr="006070EA">
        <w:rPr>
          <w:rFonts w:asciiTheme="majorHAnsi" w:hAnsiTheme="majorHAnsi" w:cstheme="majorHAnsi"/>
          <w:color w:val="auto"/>
        </w:rPr>
        <w:lastRenderedPageBreak/>
        <w:t xml:space="preserve">Přírodní, kulturní a civilizační hodnoty území jsou územním plánem definovány a respektovány v rámci základní koncepce rozvoje území včetně ochrany jeho hodnot. Ochrana místně specifického krajinného rázu je zakomponována již v samotném stanovení podmínek využití ploch s rozdílným způsobem využití, včetně základních podmínek pro ochranu krajinného rázu, na něž je řešené území v návrhu ÚP bezvýhradně členěno. Současně nejsou územním plánem navrhovány nové záměry, výrazně ovlivňující krajinný ráz. Návrhem rozvojových ploch nejsou narušeny stávající urbanistické struktury jednotlivých sídel v území, naopak je podpořena celistvost a kompaktnost zastavěného území a vytvořeny podmínky pro zachování historicky založeného rázu sídel. Cílové charakteristiky krajiny jsou v územním plánu zohledněny. </w:t>
      </w:r>
    </w:p>
    <w:p w14:paraId="0A3A5E1F" w14:textId="77777777" w:rsidR="0068493C" w:rsidRPr="006070EA" w:rsidRDefault="0068493C" w:rsidP="0068493C">
      <w:pPr>
        <w:spacing w:before="120" w:after="60"/>
        <w:ind w:left="709" w:hanging="709"/>
        <w:jc w:val="both"/>
        <w:rPr>
          <w:rFonts w:asciiTheme="majorHAnsi" w:hAnsiTheme="majorHAnsi" w:cstheme="majorHAnsi"/>
          <w:bCs/>
          <w:i/>
          <w:iCs/>
          <w:sz w:val="18"/>
          <w:szCs w:val="18"/>
        </w:rPr>
      </w:pPr>
      <w:r w:rsidRPr="006070EA">
        <w:rPr>
          <w:rFonts w:asciiTheme="majorHAnsi" w:eastAsia="Calibri" w:hAnsiTheme="majorHAnsi" w:cstheme="majorHAnsi"/>
          <w:iCs/>
          <w:sz w:val="18"/>
          <w:szCs w:val="18"/>
        </w:rPr>
        <w:t>(07)</w:t>
      </w:r>
      <w:r w:rsidRPr="006070EA">
        <w:rPr>
          <w:rFonts w:asciiTheme="majorHAnsi" w:eastAsia="Calibri" w:hAnsiTheme="majorHAnsi" w:cstheme="majorHAnsi"/>
          <w:i/>
          <w:sz w:val="18"/>
          <w:szCs w:val="18"/>
        </w:rPr>
        <w:t xml:space="preserve"> </w:t>
      </w:r>
      <w:r w:rsidRPr="006070EA">
        <w:rPr>
          <w:rFonts w:asciiTheme="majorHAnsi" w:eastAsia="Calibri" w:hAnsiTheme="majorHAnsi" w:cstheme="majorHAnsi"/>
          <w:i/>
          <w:sz w:val="18"/>
          <w:szCs w:val="18"/>
        </w:rPr>
        <w:tab/>
      </w:r>
      <w:r w:rsidRPr="006070EA">
        <w:rPr>
          <w:rFonts w:asciiTheme="majorHAnsi" w:hAnsiTheme="majorHAnsi" w:cstheme="majorHAnsi"/>
          <w:bCs/>
          <w:i/>
          <w:iCs/>
          <w:sz w:val="18"/>
          <w:szCs w:val="18"/>
        </w:rPr>
        <w:t>Vytvářet podmínky pro stabilizaci a vyvážený rozvoj hospodářských činností na území kraje zvláště ve vymezených rozvojových oblastech a vymezených rozvojových osách. Přitom se soustředit zejména na:</w:t>
      </w:r>
    </w:p>
    <w:p w14:paraId="7C398866" w14:textId="77777777" w:rsidR="0068493C" w:rsidRPr="006070EA" w:rsidRDefault="0068493C" w:rsidP="00C544B6">
      <w:pPr>
        <w:spacing w:after="60"/>
        <w:ind w:left="709"/>
        <w:jc w:val="both"/>
        <w:rPr>
          <w:rFonts w:asciiTheme="majorHAnsi" w:hAnsiTheme="majorHAnsi" w:cstheme="majorHAnsi"/>
          <w:bCs/>
          <w:i/>
          <w:iCs/>
          <w:sz w:val="18"/>
          <w:szCs w:val="18"/>
        </w:rPr>
      </w:pPr>
      <w:r w:rsidRPr="006070EA">
        <w:rPr>
          <w:rFonts w:asciiTheme="majorHAnsi" w:hAnsiTheme="majorHAnsi" w:cstheme="majorHAnsi"/>
          <w:bCs/>
          <w:i/>
          <w:iCs/>
          <w:sz w:val="18"/>
          <w:szCs w:val="18"/>
        </w:rPr>
        <w:t>a) posílení kvality života obyvatel a obytného prostředí, tedy navrhovat přiměřený rozvoj sídel, příznivá urbanistická a architektonická řešení sídel, dostatečné zastoupení a vysoce kvalitní řešení veřejných prostranství a velkých ploch veřejné zeleně vč. zelených prstenců kolem obytných souborů, vybavení sídel potřebnou veřejnou infrastrukturou a zabezpečení dostatečné prostupnosti krajiny;</w:t>
      </w:r>
    </w:p>
    <w:p w14:paraId="4632B9A6" w14:textId="77777777" w:rsidR="0068493C" w:rsidRPr="006070EA" w:rsidRDefault="0068493C" w:rsidP="00C544B6">
      <w:pPr>
        <w:spacing w:after="60"/>
        <w:ind w:left="709"/>
        <w:jc w:val="both"/>
        <w:rPr>
          <w:rFonts w:asciiTheme="majorHAnsi" w:hAnsiTheme="majorHAnsi" w:cstheme="majorHAnsi"/>
          <w:bCs/>
          <w:i/>
          <w:iCs/>
          <w:sz w:val="18"/>
          <w:szCs w:val="18"/>
        </w:rPr>
      </w:pPr>
      <w:r w:rsidRPr="006070EA">
        <w:rPr>
          <w:rFonts w:asciiTheme="majorHAnsi" w:hAnsiTheme="majorHAnsi" w:cstheme="majorHAnsi"/>
          <w:bCs/>
          <w:i/>
          <w:iCs/>
          <w:sz w:val="18"/>
          <w:szCs w:val="18"/>
        </w:rPr>
        <w:t>b) vyvážené a efektivní využívání zastavěného území a zachování funkční a urbanistické celistvosti sídel, tedy zajišťovat plnohodnotné využití ploch a objektů v zastavěném území a preferovat rekonstrukce a přestavby nevyužívaných objektů a areálů v sídlech před výstavbou ve volné krajině, vyšší procento volné zeleně v zastavěném území;</w:t>
      </w:r>
    </w:p>
    <w:p w14:paraId="2308F43E" w14:textId="5D5F17DB" w:rsidR="0068493C" w:rsidRPr="006070EA" w:rsidRDefault="0068493C" w:rsidP="00C544B6">
      <w:pPr>
        <w:spacing w:after="60"/>
        <w:ind w:left="709"/>
        <w:jc w:val="both"/>
        <w:rPr>
          <w:rFonts w:asciiTheme="majorHAnsi" w:hAnsiTheme="majorHAnsi" w:cstheme="majorHAnsi"/>
          <w:bCs/>
          <w:i/>
          <w:iCs/>
          <w:sz w:val="18"/>
          <w:szCs w:val="18"/>
        </w:rPr>
      </w:pPr>
      <w:r w:rsidRPr="006070EA">
        <w:rPr>
          <w:rFonts w:asciiTheme="majorHAnsi" w:hAnsiTheme="majorHAnsi" w:cstheme="majorHAnsi"/>
          <w:bCs/>
          <w:i/>
          <w:iCs/>
          <w:sz w:val="18"/>
          <w:szCs w:val="18"/>
        </w:rPr>
        <w:t xml:space="preserve">c) intenzivnější rozvoj aktivit cestovního ruchu, turistiky a rekreace </w:t>
      </w:r>
      <w:r w:rsidR="00487707" w:rsidRPr="006070EA">
        <w:rPr>
          <w:rFonts w:asciiTheme="majorHAnsi" w:hAnsiTheme="majorHAnsi" w:cstheme="majorHAnsi"/>
          <w:bCs/>
          <w:i/>
          <w:iCs/>
          <w:sz w:val="18"/>
          <w:szCs w:val="18"/>
        </w:rPr>
        <w:t>–</w:t>
      </w:r>
      <w:r w:rsidRPr="006070EA">
        <w:rPr>
          <w:rFonts w:asciiTheme="majorHAnsi" w:hAnsiTheme="majorHAnsi" w:cstheme="majorHAnsi"/>
          <w:bCs/>
          <w:i/>
          <w:iCs/>
          <w:sz w:val="18"/>
          <w:szCs w:val="18"/>
        </w:rPr>
        <w:t xml:space="preserve"> vytvářet podmínky k vyššímu využívání existujícího potenciálu, zejména v oblastech:</w:t>
      </w:r>
    </w:p>
    <w:p w14:paraId="298EA752" w14:textId="77777777" w:rsidR="0068493C" w:rsidRPr="006070EA" w:rsidRDefault="0068493C" w:rsidP="00C544B6">
      <w:pPr>
        <w:spacing w:after="0"/>
        <w:ind w:left="993"/>
        <w:jc w:val="both"/>
        <w:rPr>
          <w:rFonts w:asciiTheme="majorHAnsi" w:hAnsiTheme="majorHAnsi" w:cstheme="majorHAnsi"/>
          <w:bCs/>
          <w:i/>
          <w:iCs/>
          <w:sz w:val="18"/>
          <w:szCs w:val="18"/>
        </w:rPr>
      </w:pPr>
      <w:r w:rsidRPr="006070EA">
        <w:rPr>
          <w:rFonts w:asciiTheme="majorHAnsi" w:hAnsiTheme="majorHAnsi" w:cstheme="majorHAnsi"/>
          <w:bCs/>
          <w:i/>
          <w:iCs/>
          <w:sz w:val="18"/>
          <w:szCs w:val="18"/>
        </w:rPr>
        <w:t>- poznávací a kongresové turistiky,</w:t>
      </w:r>
    </w:p>
    <w:p w14:paraId="60B5C27D" w14:textId="77777777" w:rsidR="0068493C" w:rsidRPr="006070EA" w:rsidRDefault="0068493C" w:rsidP="00C544B6">
      <w:pPr>
        <w:spacing w:after="0"/>
        <w:ind w:left="993"/>
        <w:jc w:val="both"/>
        <w:rPr>
          <w:rFonts w:asciiTheme="majorHAnsi" w:hAnsiTheme="majorHAnsi" w:cstheme="majorHAnsi"/>
          <w:bCs/>
          <w:i/>
          <w:iCs/>
          <w:sz w:val="18"/>
          <w:szCs w:val="18"/>
        </w:rPr>
      </w:pPr>
      <w:r w:rsidRPr="006070EA">
        <w:rPr>
          <w:rFonts w:asciiTheme="majorHAnsi" w:hAnsiTheme="majorHAnsi" w:cstheme="majorHAnsi"/>
          <w:bCs/>
          <w:i/>
          <w:iCs/>
          <w:sz w:val="18"/>
          <w:szCs w:val="18"/>
        </w:rPr>
        <w:t>- cykloturistiky rozvojem dálkových cyklostezek a cyklostezek v příměstském území hl. m. Prahy a dalších rozvojových oblastech,</w:t>
      </w:r>
    </w:p>
    <w:p w14:paraId="37F31D1D" w14:textId="77777777" w:rsidR="0068493C" w:rsidRPr="006070EA" w:rsidRDefault="0068493C" w:rsidP="00C544B6">
      <w:pPr>
        <w:spacing w:after="0"/>
        <w:ind w:left="993"/>
        <w:jc w:val="both"/>
        <w:rPr>
          <w:rFonts w:asciiTheme="majorHAnsi" w:hAnsiTheme="majorHAnsi" w:cstheme="majorHAnsi"/>
          <w:bCs/>
          <w:i/>
          <w:iCs/>
          <w:sz w:val="18"/>
          <w:szCs w:val="18"/>
        </w:rPr>
      </w:pPr>
      <w:r w:rsidRPr="006070EA">
        <w:rPr>
          <w:rFonts w:asciiTheme="majorHAnsi" w:hAnsiTheme="majorHAnsi" w:cstheme="majorHAnsi"/>
          <w:bCs/>
          <w:i/>
          <w:iCs/>
          <w:sz w:val="18"/>
          <w:szCs w:val="18"/>
        </w:rPr>
        <w:t>- vodní turistiky, zejména na řekách Sázavě a Berounce,</w:t>
      </w:r>
    </w:p>
    <w:p w14:paraId="04B0A400" w14:textId="77777777" w:rsidR="0068493C" w:rsidRPr="006070EA" w:rsidRDefault="0068493C" w:rsidP="00C544B6">
      <w:pPr>
        <w:spacing w:after="0"/>
        <w:ind w:left="993"/>
        <w:jc w:val="both"/>
        <w:rPr>
          <w:rFonts w:asciiTheme="majorHAnsi" w:hAnsiTheme="majorHAnsi" w:cstheme="majorHAnsi"/>
          <w:bCs/>
          <w:i/>
          <w:iCs/>
          <w:sz w:val="18"/>
          <w:szCs w:val="18"/>
        </w:rPr>
      </w:pPr>
      <w:r w:rsidRPr="006070EA">
        <w:rPr>
          <w:rFonts w:asciiTheme="majorHAnsi" w:hAnsiTheme="majorHAnsi" w:cstheme="majorHAnsi"/>
          <w:bCs/>
          <w:i/>
          <w:iCs/>
          <w:sz w:val="18"/>
          <w:szCs w:val="18"/>
        </w:rPr>
        <w:t>- rekreace ve vazbě na vodní plochy, zejména na vodních nádržích ve středním Povltaví,</w:t>
      </w:r>
    </w:p>
    <w:p w14:paraId="07904BE6" w14:textId="77777777" w:rsidR="0068493C" w:rsidRPr="006070EA" w:rsidRDefault="0068493C" w:rsidP="00C544B6">
      <w:pPr>
        <w:spacing w:after="0"/>
        <w:ind w:left="993"/>
        <w:jc w:val="both"/>
        <w:rPr>
          <w:rFonts w:asciiTheme="majorHAnsi" w:hAnsiTheme="majorHAnsi" w:cstheme="majorHAnsi"/>
          <w:bCs/>
          <w:i/>
          <w:iCs/>
          <w:sz w:val="18"/>
          <w:szCs w:val="18"/>
        </w:rPr>
      </w:pPr>
      <w:r w:rsidRPr="006070EA">
        <w:rPr>
          <w:rFonts w:asciiTheme="majorHAnsi" w:hAnsiTheme="majorHAnsi" w:cstheme="majorHAnsi"/>
          <w:bCs/>
          <w:i/>
          <w:iCs/>
          <w:sz w:val="18"/>
          <w:szCs w:val="18"/>
        </w:rPr>
        <w:t>- krátkodobé rekreace především nekomerčních forem, zejména v rozvojové oblasti Praha.</w:t>
      </w:r>
    </w:p>
    <w:p w14:paraId="45BC7D5D" w14:textId="77777777" w:rsidR="0068493C" w:rsidRPr="006070EA" w:rsidRDefault="0068493C" w:rsidP="00C544B6">
      <w:pPr>
        <w:spacing w:before="60" w:after="60"/>
        <w:ind w:left="709"/>
        <w:jc w:val="both"/>
        <w:rPr>
          <w:rFonts w:asciiTheme="majorHAnsi" w:hAnsiTheme="majorHAnsi" w:cstheme="majorHAnsi"/>
          <w:bCs/>
          <w:i/>
          <w:iCs/>
          <w:sz w:val="18"/>
          <w:szCs w:val="18"/>
        </w:rPr>
      </w:pPr>
      <w:r w:rsidRPr="006070EA">
        <w:rPr>
          <w:rFonts w:asciiTheme="majorHAnsi" w:hAnsiTheme="majorHAnsi" w:cstheme="majorHAnsi"/>
          <w:bCs/>
          <w:i/>
          <w:iCs/>
          <w:sz w:val="18"/>
          <w:szCs w:val="18"/>
        </w:rPr>
        <w:t>d) rozvoj ekonomických odvětví s vyšší přidanou hodnotou, zejména aplikovaného výzkumu, strategických služeb (znalostní ekonomika);</w:t>
      </w:r>
    </w:p>
    <w:p w14:paraId="6B222536" w14:textId="1DBFB09A" w:rsidR="0068493C" w:rsidRPr="006070EA" w:rsidRDefault="0068493C" w:rsidP="00C544B6">
      <w:pPr>
        <w:spacing w:before="60" w:after="60"/>
        <w:ind w:left="709"/>
        <w:jc w:val="both"/>
        <w:rPr>
          <w:rFonts w:asciiTheme="majorHAnsi" w:hAnsiTheme="majorHAnsi" w:cstheme="majorHAnsi"/>
          <w:bCs/>
          <w:i/>
          <w:iCs/>
          <w:sz w:val="18"/>
          <w:szCs w:val="18"/>
        </w:rPr>
      </w:pPr>
      <w:r w:rsidRPr="006070EA">
        <w:rPr>
          <w:rFonts w:asciiTheme="majorHAnsi" w:hAnsiTheme="majorHAnsi" w:cstheme="majorHAnsi"/>
          <w:bCs/>
          <w:i/>
          <w:iCs/>
          <w:sz w:val="18"/>
          <w:szCs w:val="18"/>
        </w:rPr>
        <w:t>e) na uplatnění mimoprodukční funkce zemědělství v krajině, zajistit účelné členění pozemkové držby prostřednictvím pozemkových úprav a doplnění krajinných prvků zvyšujících ekologickou stabilitu krajiny a</w:t>
      </w:r>
      <w:r w:rsidR="00C544B6" w:rsidRPr="006070EA">
        <w:rPr>
          <w:rFonts w:asciiTheme="majorHAnsi" w:hAnsiTheme="majorHAnsi" w:cstheme="majorHAnsi"/>
          <w:bCs/>
          <w:i/>
          <w:iCs/>
          <w:sz w:val="18"/>
          <w:szCs w:val="18"/>
        </w:rPr>
        <w:t> </w:t>
      </w:r>
      <w:r w:rsidRPr="006070EA">
        <w:rPr>
          <w:rFonts w:asciiTheme="majorHAnsi" w:hAnsiTheme="majorHAnsi" w:cstheme="majorHAnsi"/>
          <w:bCs/>
          <w:i/>
          <w:iCs/>
          <w:sz w:val="18"/>
          <w:szCs w:val="18"/>
        </w:rPr>
        <w:t>eliminujících erozní poškození;</w:t>
      </w:r>
    </w:p>
    <w:p w14:paraId="17FA6CF3" w14:textId="77777777" w:rsidR="0068493C" w:rsidRPr="006070EA" w:rsidRDefault="0068493C" w:rsidP="00C544B6">
      <w:pPr>
        <w:spacing w:before="60" w:after="60"/>
        <w:ind w:left="709"/>
        <w:jc w:val="both"/>
        <w:rPr>
          <w:rFonts w:asciiTheme="majorHAnsi" w:hAnsiTheme="majorHAnsi" w:cstheme="majorHAnsi"/>
          <w:bCs/>
          <w:i/>
          <w:iCs/>
          <w:sz w:val="18"/>
          <w:szCs w:val="18"/>
        </w:rPr>
      </w:pPr>
      <w:r w:rsidRPr="006070EA">
        <w:rPr>
          <w:rFonts w:asciiTheme="majorHAnsi" w:hAnsiTheme="majorHAnsi" w:cstheme="majorHAnsi"/>
          <w:bCs/>
          <w:i/>
          <w:iCs/>
          <w:sz w:val="18"/>
          <w:szCs w:val="18"/>
        </w:rPr>
        <w:t>f) na uplatnění mimoprodukční funkce lesů zejména v rekreačně atraktivních oblastech, s cílem umožnit intenzivnější rekreační a turistické využívání území;</w:t>
      </w:r>
    </w:p>
    <w:p w14:paraId="7D326224" w14:textId="77777777" w:rsidR="0068493C" w:rsidRPr="006070EA" w:rsidRDefault="0068493C" w:rsidP="00C544B6">
      <w:pPr>
        <w:spacing w:before="60" w:after="60"/>
        <w:ind w:left="709"/>
        <w:jc w:val="both"/>
        <w:rPr>
          <w:rFonts w:asciiTheme="majorHAnsi" w:hAnsiTheme="majorHAnsi" w:cstheme="majorHAnsi"/>
          <w:bCs/>
          <w:i/>
          <w:iCs/>
          <w:sz w:val="18"/>
          <w:szCs w:val="18"/>
        </w:rPr>
      </w:pPr>
      <w:r w:rsidRPr="006070EA">
        <w:rPr>
          <w:rFonts w:asciiTheme="majorHAnsi" w:hAnsiTheme="majorHAnsi" w:cstheme="majorHAnsi"/>
          <w:bCs/>
          <w:i/>
          <w:iCs/>
          <w:sz w:val="18"/>
          <w:szCs w:val="18"/>
        </w:rPr>
        <w:t>g) rozvíjení systémů dopravní obsluhy a technické vybavenosti, soustav zásobování energiemi a vodou a na využití surovinových zdrojů pro výstavbu, s cílem zabezpečit podmínky pro hospodářský rozvoj vybraných území kraje a pro stabilizaci hospodářských činností v ostatním území kraje.</w:t>
      </w:r>
    </w:p>
    <w:p w14:paraId="10EC044E" w14:textId="71628A13" w:rsidR="0068493C" w:rsidRPr="006070EA" w:rsidRDefault="0068493C" w:rsidP="0068493C">
      <w:pPr>
        <w:pStyle w:val="Mra2-reakceern"/>
        <w:rPr>
          <w:rFonts w:asciiTheme="majorHAnsi" w:hAnsiTheme="majorHAnsi" w:cstheme="majorHAnsi"/>
          <w:color w:val="auto"/>
        </w:rPr>
      </w:pPr>
      <w:r w:rsidRPr="006070EA">
        <w:rPr>
          <w:rFonts w:asciiTheme="majorHAnsi" w:hAnsiTheme="majorHAnsi" w:cstheme="majorHAnsi"/>
          <w:color w:val="auto"/>
        </w:rPr>
        <w:t>Územní plán zohledňuje pozici řešeného území mimo rozvojové oblasti či osy republikového významu. Posílení kvality života obyvatel a obytného prostředí je zajištěno stanovenými podmínkami využití jednotlivých ploch s rozdílným způsobem využití, a zvláště pak definováním podmínek pro využití rozvojových ploch, zejména stanovením ploch, ve kterých je rozhodování o změnách podmíněno zpracováním územní studie. Tímto řešením je deklarována snaha o</w:t>
      </w:r>
      <w:r w:rsidR="00487707" w:rsidRPr="006070EA">
        <w:rPr>
          <w:rFonts w:asciiTheme="majorHAnsi" w:hAnsiTheme="majorHAnsi" w:cstheme="majorHAnsi"/>
          <w:color w:val="auto"/>
        </w:rPr>
        <w:t> </w:t>
      </w:r>
      <w:r w:rsidRPr="006070EA">
        <w:rPr>
          <w:rFonts w:asciiTheme="majorHAnsi" w:hAnsiTheme="majorHAnsi" w:cstheme="majorHAnsi"/>
          <w:color w:val="auto"/>
        </w:rPr>
        <w:t xml:space="preserve">zajištění koordinovaného rozvoje a co nejlepšího urbanistického řešení zástavby v rozsáhlých rozvojových plochách, včetně vymezení ploch veřejných prostranství a veřejně přístupné zeleně.  </w:t>
      </w:r>
    </w:p>
    <w:p w14:paraId="496DD650" w14:textId="77777777" w:rsidR="0068493C" w:rsidRPr="006070EA" w:rsidRDefault="0068493C" w:rsidP="0068493C">
      <w:pPr>
        <w:pStyle w:val="Mra2-reakceern"/>
        <w:ind w:firstLine="709"/>
        <w:rPr>
          <w:rFonts w:asciiTheme="majorHAnsi" w:hAnsiTheme="majorHAnsi" w:cstheme="majorHAnsi"/>
          <w:color w:val="auto"/>
        </w:rPr>
      </w:pPr>
      <w:r w:rsidRPr="006070EA">
        <w:rPr>
          <w:rFonts w:asciiTheme="majorHAnsi" w:hAnsiTheme="majorHAnsi" w:cstheme="majorHAnsi"/>
          <w:color w:val="auto"/>
        </w:rPr>
        <w:t xml:space="preserve">Zastavěné území je hospodárně využito, nejsou identifikovány plochy brownfieldů či nedostatečně využitých objektů a lokalit, proto územním plánem nejsou vymezovány plochy přestaveb. Veškeré nové zastavitelné plochy jsou navíc vymezeny v přímé vazbě na zastavěné území, ve vazbě na stávající zástavbu a nenarušují významné krajinné hodnoty. Zastavitelné plochy jsou vymezeny způsobem, zajišťujícím funkční a urbanistickou celistvost města a jednotlivých venkovských sídel. </w:t>
      </w:r>
    </w:p>
    <w:p w14:paraId="15C39AD3" w14:textId="2D0B6DEA" w:rsidR="0068493C" w:rsidRPr="006070EA" w:rsidRDefault="0068493C" w:rsidP="0068493C">
      <w:pPr>
        <w:pStyle w:val="Mra2-reakceern"/>
        <w:ind w:firstLine="709"/>
        <w:rPr>
          <w:rFonts w:asciiTheme="majorHAnsi" w:hAnsiTheme="majorHAnsi" w:cstheme="majorHAnsi"/>
          <w:color w:val="auto"/>
        </w:rPr>
      </w:pPr>
      <w:r w:rsidRPr="006070EA">
        <w:rPr>
          <w:rFonts w:asciiTheme="majorHAnsi" w:hAnsiTheme="majorHAnsi" w:cstheme="majorHAnsi"/>
          <w:color w:val="auto"/>
        </w:rPr>
        <w:t xml:space="preserve">Rozvoj aktivit cestovního ruchu je zajištěn především stanovením koncepce rekreace a cestovního ruchu, ve které je zohledněna rekreační atraktivita území vázaná zejména na tok řeky Labe. Rozvoj pěších a cyklistických tras, zvyšující turistický potenciál, je zajištěn umožněním jejich realizace v rámci podmínek jednotlivých ploch s rozdílným způsobem využitím, a dále vymezením směrů pro vhodnou realizaci nových cyklotras a cyklostezek. </w:t>
      </w:r>
    </w:p>
    <w:p w14:paraId="0C174960" w14:textId="0F38F47C" w:rsidR="0068493C" w:rsidRPr="006070EA" w:rsidRDefault="0068493C" w:rsidP="0068493C">
      <w:pPr>
        <w:pStyle w:val="Mra2-reakceern"/>
        <w:ind w:firstLine="709"/>
        <w:rPr>
          <w:rFonts w:asciiTheme="majorHAnsi" w:hAnsiTheme="majorHAnsi" w:cstheme="majorHAnsi"/>
          <w:color w:val="auto"/>
        </w:rPr>
      </w:pPr>
      <w:r w:rsidRPr="006070EA">
        <w:rPr>
          <w:rFonts w:asciiTheme="majorHAnsi" w:hAnsiTheme="majorHAnsi" w:cstheme="majorHAnsi"/>
          <w:color w:val="auto"/>
        </w:rPr>
        <w:t xml:space="preserve">Ochrana a doplnění krajinných prvků zvyšujících ekologickou stabilitu krajiny je zajištěna v rámci koncepce uspořádání krajiny, například stanovenou ochranou stávajících výsadeb v území s lineárním charakterem, které jsou vymezeny v rámci souvislých ploch s rozdílným způsobem využitím, a dále samotnými podmínkami využití ploch s rozdílným způsobem využití v nezastavěném území. </w:t>
      </w:r>
    </w:p>
    <w:p w14:paraId="7466AE9B" w14:textId="77777777" w:rsidR="0068493C" w:rsidRPr="006070EA" w:rsidRDefault="0068493C" w:rsidP="008F08A8">
      <w:pPr>
        <w:keepNext/>
        <w:keepLines/>
        <w:spacing w:before="120" w:after="120"/>
        <w:ind w:left="709" w:hanging="709"/>
        <w:jc w:val="both"/>
        <w:rPr>
          <w:rFonts w:asciiTheme="majorHAnsi" w:eastAsia="Calibri" w:hAnsiTheme="majorHAnsi" w:cstheme="majorHAnsi"/>
          <w:i/>
          <w:sz w:val="18"/>
          <w:szCs w:val="18"/>
        </w:rPr>
      </w:pPr>
      <w:r w:rsidRPr="006070EA">
        <w:rPr>
          <w:rFonts w:asciiTheme="majorHAnsi" w:eastAsia="Calibri" w:hAnsiTheme="majorHAnsi" w:cstheme="majorHAnsi"/>
          <w:iCs/>
          <w:sz w:val="18"/>
          <w:szCs w:val="18"/>
        </w:rPr>
        <w:lastRenderedPageBreak/>
        <w:t>(09)</w:t>
      </w:r>
      <w:r w:rsidRPr="006070EA">
        <w:rPr>
          <w:rFonts w:asciiTheme="majorHAnsi" w:eastAsia="Calibri" w:hAnsiTheme="majorHAnsi" w:cstheme="majorHAnsi"/>
          <w:i/>
          <w:sz w:val="18"/>
          <w:szCs w:val="18"/>
        </w:rPr>
        <w:tab/>
      </w:r>
      <w:r w:rsidRPr="006070EA">
        <w:rPr>
          <w:rFonts w:asciiTheme="majorHAnsi" w:hAnsiTheme="majorHAnsi" w:cstheme="majorHAnsi"/>
          <w:bCs/>
          <w:i/>
          <w:iCs/>
          <w:sz w:val="18"/>
          <w:szCs w:val="18"/>
        </w:rPr>
        <w:t>Podporovat zlepšení vazeb částí území kraje s územím sousedních krajů Královéhradeckého, Pardubického, Plzeňského a Jihočeského, Kraje Vysočina a hl. m. Prahy s cílem optimalizovat dostupnost obslužných funkcí i přes hranice kraje.</w:t>
      </w:r>
    </w:p>
    <w:p w14:paraId="22455C22" w14:textId="701086E2" w:rsidR="0068493C" w:rsidRPr="006070EA" w:rsidRDefault="0068493C" w:rsidP="0068493C">
      <w:pPr>
        <w:pStyle w:val="Mra2-reakceern"/>
        <w:rPr>
          <w:rFonts w:asciiTheme="majorHAnsi" w:hAnsiTheme="majorHAnsi" w:cstheme="majorHAnsi"/>
          <w:color w:val="auto"/>
        </w:rPr>
      </w:pPr>
      <w:r w:rsidRPr="006070EA">
        <w:rPr>
          <w:rFonts w:asciiTheme="majorHAnsi" w:hAnsiTheme="majorHAnsi" w:cstheme="majorHAnsi"/>
          <w:color w:val="auto"/>
        </w:rPr>
        <w:t>Vazby dotčené části území Středočeského kraje s kraj</w:t>
      </w:r>
      <w:r w:rsidR="00487707" w:rsidRPr="006070EA">
        <w:rPr>
          <w:rFonts w:asciiTheme="majorHAnsi" w:hAnsiTheme="majorHAnsi" w:cstheme="majorHAnsi"/>
          <w:color w:val="auto"/>
        </w:rPr>
        <w:t>em</w:t>
      </w:r>
      <w:r w:rsidRPr="006070EA">
        <w:rPr>
          <w:rFonts w:asciiTheme="majorHAnsi" w:hAnsiTheme="majorHAnsi" w:cstheme="majorHAnsi"/>
          <w:color w:val="auto"/>
        </w:rPr>
        <w:t xml:space="preserve"> sousedním (Královéhradeckým) jsou podpořeny zejména vymezením koridoru pro modernizaci železniční trati č. 231 v úseku Lysá nad Labem – Nymburk (koridor dopravní infrastruktury </w:t>
      </w:r>
      <w:r w:rsidR="00487707" w:rsidRPr="006070EA">
        <w:rPr>
          <w:rFonts w:asciiTheme="majorHAnsi" w:hAnsiTheme="majorHAnsi" w:cstheme="majorHAnsi"/>
          <w:color w:val="auto"/>
        </w:rPr>
        <w:t>CN</w:t>
      </w:r>
      <w:r w:rsidR="001C4556">
        <w:rPr>
          <w:rFonts w:asciiTheme="majorHAnsi" w:hAnsiTheme="majorHAnsi" w:cstheme="majorHAnsi"/>
          <w:color w:val="auto"/>
        </w:rPr>
        <w:t>Z</w:t>
      </w:r>
      <w:r w:rsidR="00487707" w:rsidRPr="006070EA">
        <w:rPr>
          <w:rFonts w:asciiTheme="majorHAnsi" w:hAnsiTheme="majorHAnsi" w:cstheme="majorHAnsi"/>
          <w:color w:val="auto"/>
        </w:rPr>
        <w:t>.</w:t>
      </w:r>
      <w:r w:rsidR="001C4556">
        <w:rPr>
          <w:rFonts w:asciiTheme="majorHAnsi" w:hAnsiTheme="majorHAnsi" w:cstheme="majorHAnsi"/>
          <w:color w:val="auto"/>
        </w:rPr>
        <w:t>D322</w:t>
      </w:r>
      <w:r w:rsidRPr="006070EA">
        <w:rPr>
          <w:rFonts w:asciiTheme="majorHAnsi" w:hAnsiTheme="majorHAnsi" w:cstheme="majorHAnsi"/>
          <w:color w:val="auto"/>
        </w:rPr>
        <w:t>)</w:t>
      </w:r>
      <w:r w:rsidR="001C4556">
        <w:rPr>
          <w:rFonts w:asciiTheme="majorHAnsi" w:hAnsiTheme="majorHAnsi" w:cstheme="majorHAnsi"/>
          <w:color w:val="auto"/>
        </w:rPr>
        <w:t xml:space="preserve"> v souladu se ZÚR SK</w:t>
      </w:r>
      <w:r w:rsidRPr="006070EA">
        <w:rPr>
          <w:rFonts w:asciiTheme="majorHAnsi" w:hAnsiTheme="majorHAnsi" w:cstheme="majorHAnsi"/>
          <w:color w:val="auto"/>
        </w:rPr>
        <w:t>.</w:t>
      </w:r>
    </w:p>
    <w:p w14:paraId="59EC4683" w14:textId="77777777" w:rsidR="0068493C" w:rsidRPr="001C4556" w:rsidRDefault="0068493C" w:rsidP="001C4556">
      <w:pPr>
        <w:pStyle w:val="Odstavecseseznamem"/>
        <w:numPr>
          <w:ilvl w:val="0"/>
          <w:numId w:val="45"/>
        </w:numPr>
        <w:pBdr>
          <w:bottom w:val="single" w:sz="4" w:space="1" w:color="auto"/>
        </w:pBdr>
        <w:spacing w:before="120" w:after="0" w:line="240" w:lineRule="auto"/>
        <w:ind w:left="284" w:hanging="284"/>
        <w:jc w:val="both"/>
        <w:rPr>
          <w:rFonts w:asciiTheme="majorHAnsi" w:hAnsiTheme="majorHAnsi" w:cstheme="majorHAnsi"/>
          <w:b/>
          <w:sz w:val="18"/>
          <w:szCs w:val="18"/>
        </w:rPr>
      </w:pPr>
      <w:r w:rsidRPr="001C4556">
        <w:rPr>
          <w:rFonts w:asciiTheme="majorHAnsi" w:hAnsiTheme="majorHAnsi" w:cstheme="majorHAnsi"/>
          <w:b/>
          <w:sz w:val="18"/>
          <w:szCs w:val="18"/>
        </w:rPr>
        <w:t xml:space="preserve">ZPŘESNĚNÍ VYMEZENÍ ROZVOJOVÝCH OBLASTÍ A ROZVOJOVÝCH OS, VYMEZENÝCH V PÚR 2008 A VYMEZENÍ ROZVOJOVÝCH OBLASTÍ, ROZVOJOVÝCH OS A ROZVOJOVÝCH CENTER KRAJSKÉHO VÝZNAMU </w:t>
      </w:r>
    </w:p>
    <w:p w14:paraId="5859F857" w14:textId="77777777" w:rsidR="0068493C" w:rsidRPr="006070EA" w:rsidRDefault="0068493C" w:rsidP="00C544B6">
      <w:pPr>
        <w:pStyle w:val="vrok"/>
        <w:numPr>
          <w:ilvl w:val="0"/>
          <w:numId w:val="0"/>
        </w:numPr>
        <w:ind w:firstLine="709"/>
        <w:rPr>
          <w:rFonts w:asciiTheme="majorHAnsi" w:hAnsiTheme="majorHAnsi" w:cstheme="majorHAnsi"/>
        </w:rPr>
      </w:pPr>
      <w:r w:rsidRPr="006070EA">
        <w:rPr>
          <w:rFonts w:asciiTheme="majorHAnsi" w:hAnsiTheme="majorHAnsi" w:cstheme="majorHAnsi"/>
          <w:szCs w:val="18"/>
        </w:rPr>
        <w:t>Území řešené územním plánem Kostomlaty nad Labem se nenachází v rozvojové oblasti ani rozvojové ose republikového či krajského významu. V rámci řešeného území se nenachází rozvojové centrum krajského významu definované v ZÚR SK. Pro řešené území z tohoto pohledu nevyplývají ze ZÚR SK žádné zvýšené požadavky na změny.</w:t>
      </w:r>
    </w:p>
    <w:p w14:paraId="0E98F8E6" w14:textId="77777777" w:rsidR="0068493C" w:rsidRPr="001C4556" w:rsidRDefault="0068493C" w:rsidP="001C4556">
      <w:pPr>
        <w:pStyle w:val="Odstavecseseznamem"/>
        <w:numPr>
          <w:ilvl w:val="0"/>
          <w:numId w:val="45"/>
        </w:numPr>
        <w:pBdr>
          <w:bottom w:val="single" w:sz="4" w:space="1" w:color="auto"/>
        </w:pBdr>
        <w:spacing w:before="120" w:after="0" w:line="240" w:lineRule="auto"/>
        <w:ind w:left="284" w:hanging="284"/>
        <w:jc w:val="both"/>
        <w:rPr>
          <w:rFonts w:asciiTheme="majorHAnsi" w:hAnsiTheme="majorHAnsi" w:cstheme="majorHAnsi"/>
          <w:b/>
          <w:sz w:val="18"/>
          <w:szCs w:val="18"/>
        </w:rPr>
      </w:pPr>
      <w:r w:rsidRPr="001C4556">
        <w:rPr>
          <w:rFonts w:asciiTheme="majorHAnsi" w:hAnsiTheme="majorHAnsi" w:cstheme="majorHAnsi"/>
          <w:b/>
          <w:sz w:val="18"/>
          <w:szCs w:val="18"/>
        </w:rPr>
        <w:t>ZPŘESNĚNÍ SPECIFICKÉ OBLASTI, VYMEZENÝCH V PÚR A VYMEZENÍ SPECIFICKÉ OBLASTI KRAJSKÉHO VÝZNAMU</w:t>
      </w:r>
    </w:p>
    <w:p w14:paraId="1D915A7C" w14:textId="51B50BAD" w:rsidR="0068493C" w:rsidRDefault="0068493C" w:rsidP="00C544B6">
      <w:pPr>
        <w:pStyle w:val="vrok"/>
        <w:numPr>
          <w:ilvl w:val="0"/>
          <w:numId w:val="0"/>
        </w:numPr>
        <w:ind w:firstLine="567"/>
        <w:rPr>
          <w:rFonts w:asciiTheme="majorHAnsi" w:hAnsiTheme="majorHAnsi" w:cstheme="majorHAnsi"/>
          <w:szCs w:val="18"/>
        </w:rPr>
      </w:pPr>
      <w:r w:rsidRPr="006070EA">
        <w:rPr>
          <w:rFonts w:asciiTheme="majorHAnsi" w:hAnsiTheme="majorHAnsi" w:cstheme="majorHAnsi"/>
          <w:szCs w:val="18"/>
        </w:rPr>
        <w:t xml:space="preserve">Území obce Kostomlaty nad Labem je součástí Specifické oblasti, ve které se projevuje aktuální problém ohrožení území suchem – SOB9 vymezené PÚR ČR. ZÚR SK </w:t>
      </w:r>
      <w:r w:rsidR="001C4556">
        <w:rPr>
          <w:rFonts w:asciiTheme="majorHAnsi" w:hAnsiTheme="majorHAnsi" w:cstheme="majorHAnsi"/>
          <w:szCs w:val="18"/>
        </w:rPr>
        <w:t>tuto oblast přebírá</w:t>
      </w:r>
      <w:r w:rsidRPr="006070EA">
        <w:rPr>
          <w:rFonts w:asciiTheme="majorHAnsi" w:hAnsiTheme="majorHAnsi" w:cstheme="majorHAnsi"/>
          <w:szCs w:val="18"/>
        </w:rPr>
        <w:t xml:space="preserve">. </w:t>
      </w:r>
    </w:p>
    <w:p w14:paraId="19C398F7" w14:textId="5889345E" w:rsidR="001C4556" w:rsidRPr="001C4556" w:rsidRDefault="001C4556" w:rsidP="001C4556">
      <w:pPr>
        <w:suppressAutoHyphens/>
        <w:spacing w:before="120" w:after="120" w:line="240" w:lineRule="auto"/>
        <w:ind w:left="426" w:hanging="426"/>
        <w:jc w:val="both"/>
        <w:rPr>
          <w:rFonts w:ascii="Calibri" w:eastAsia="Times New Roman" w:hAnsi="Calibri" w:cs="Times New Roman"/>
          <w:b/>
          <w:iCs/>
          <w:sz w:val="18"/>
          <w:szCs w:val="20"/>
          <w:lang w:eastAsia="ar-SA"/>
        </w:rPr>
      </w:pPr>
      <w:r w:rsidRPr="001C4556">
        <w:rPr>
          <w:rFonts w:ascii="Calibri" w:eastAsia="Times New Roman" w:hAnsi="Calibri" w:cs="Times New Roman"/>
          <w:b/>
          <w:iCs/>
          <w:sz w:val="18"/>
          <w:szCs w:val="20"/>
          <w:lang w:eastAsia="ar-SA"/>
        </w:rPr>
        <w:t>C.1.</w:t>
      </w:r>
      <w:r w:rsidRPr="001C4556">
        <w:rPr>
          <w:rFonts w:ascii="Calibri" w:eastAsia="Times New Roman" w:hAnsi="Calibri" w:cs="Times New Roman"/>
          <w:b/>
          <w:iCs/>
          <w:sz w:val="18"/>
          <w:szCs w:val="20"/>
          <w:lang w:eastAsia="ar-SA"/>
        </w:rPr>
        <w:tab/>
        <w:t>Specifické oblasti dle PÚR ČR</w:t>
      </w:r>
    </w:p>
    <w:p w14:paraId="7FCFFC51" w14:textId="77777777" w:rsidR="001C4556" w:rsidRPr="001C4556" w:rsidRDefault="001C4556" w:rsidP="001C4556">
      <w:pPr>
        <w:spacing w:before="120" w:after="120" w:line="256" w:lineRule="auto"/>
        <w:ind w:left="709" w:hanging="709"/>
        <w:jc w:val="both"/>
        <w:rPr>
          <w:rFonts w:asciiTheme="majorHAnsi" w:eastAsia="Calibri" w:hAnsiTheme="majorHAnsi" w:cstheme="majorHAnsi"/>
          <w:i/>
          <w:sz w:val="18"/>
          <w:szCs w:val="18"/>
        </w:rPr>
      </w:pPr>
      <w:r w:rsidRPr="001C4556">
        <w:rPr>
          <w:rFonts w:asciiTheme="majorHAnsi" w:eastAsia="Calibri" w:hAnsiTheme="majorHAnsi" w:cstheme="majorHAnsi"/>
          <w:iCs/>
          <w:sz w:val="18"/>
          <w:szCs w:val="18"/>
        </w:rPr>
        <w:t>(85)</w:t>
      </w:r>
      <w:r w:rsidRPr="001C4556">
        <w:rPr>
          <w:rFonts w:asciiTheme="majorHAnsi" w:eastAsia="Calibri" w:hAnsiTheme="majorHAnsi" w:cstheme="majorHAnsi"/>
          <w:i/>
          <w:sz w:val="18"/>
          <w:szCs w:val="18"/>
        </w:rPr>
        <w:t xml:space="preserve"> </w:t>
      </w:r>
      <w:r w:rsidRPr="001C4556">
        <w:rPr>
          <w:rFonts w:asciiTheme="majorHAnsi" w:eastAsia="Calibri" w:hAnsiTheme="majorHAnsi" w:cstheme="majorHAnsi"/>
          <w:i/>
          <w:sz w:val="18"/>
          <w:szCs w:val="18"/>
        </w:rPr>
        <w:tab/>
        <w:t xml:space="preserve">ZÚR vymezuje v souladu s Politikou územního rozvoje ČR specifickou oblast SOB9 v rozsahu celého Středočeského kraje, ve které se projevuje aktuální problém ohrožení území suchem. </w:t>
      </w:r>
    </w:p>
    <w:p w14:paraId="690F9F4B" w14:textId="77777777" w:rsidR="001C4556" w:rsidRPr="001C4556" w:rsidRDefault="001C4556" w:rsidP="001C4556">
      <w:pPr>
        <w:pStyle w:val="Mra2-reakceern"/>
        <w:rPr>
          <w:rFonts w:asciiTheme="majorHAnsi" w:hAnsiTheme="majorHAnsi" w:cstheme="majorHAnsi"/>
          <w:color w:val="auto"/>
        </w:rPr>
      </w:pPr>
      <w:r w:rsidRPr="001C4556">
        <w:rPr>
          <w:rFonts w:asciiTheme="majorHAnsi" w:hAnsiTheme="majorHAnsi" w:cstheme="majorHAnsi"/>
          <w:color w:val="auto"/>
        </w:rPr>
        <w:t>Viz vyhodnocení v kapitole 3.1.</w:t>
      </w:r>
    </w:p>
    <w:p w14:paraId="6C491319" w14:textId="77777777" w:rsidR="0068493C" w:rsidRPr="001C4556" w:rsidRDefault="0068493C" w:rsidP="001C4556">
      <w:pPr>
        <w:pStyle w:val="Odstavecseseznamem"/>
        <w:numPr>
          <w:ilvl w:val="0"/>
          <w:numId w:val="45"/>
        </w:numPr>
        <w:pBdr>
          <w:bottom w:val="single" w:sz="4" w:space="1" w:color="auto"/>
        </w:pBdr>
        <w:spacing w:before="120" w:after="0" w:line="240" w:lineRule="auto"/>
        <w:ind w:left="284" w:hanging="284"/>
        <w:jc w:val="both"/>
        <w:rPr>
          <w:rFonts w:asciiTheme="majorHAnsi" w:hAnsiTheme="majorHAnsi" w:cstheme="majorHAnsi"/>
          <w:b/>
          <w:sz w:val="18"/>
          <w:szCs w:val="18"/>
        </w:rPr>
      </w:pPr>
      <w:r w:rsidRPr="001C4556">
        <w:rPr>
          <w:rFonts w:asciiTheme="majorHAnsi" w:hAnsiTheme="majorHAnsi" w:cstheme="majorHAnsi"/>
          <w:b/>
          <w:sz w:val="18"/>
          <w:szCs w:val="18"/>
        </w:rPr>
        <w:t>ZPŘESNĚNÍ PLOCH A KORIDORŮ VYMEZENÝCH V PÚR A VYMEZENÍ PLOCH A KORIDORŮ KRAJSKÉHO VÝZNAMU</w:t>
      </w:r>
    </w:p>
    <w:p w14:paraId="4A6E8DEF" w14:textId="5A515CE3" w:rsidR="0068493C" w:rsidRPr="006070EA" w:rsidRDefault="0068493C" w:rsidP="0068493C">
      <w:pPr>
        <w:pStyle w:val="vrok"/>
        <w:numPr>
          <w:ilvl w:val="0"/>
          <w:numId w:val="0"/>
        </w:numPr>
        <w:rPr>
          <w:rFonts w:asciiTheme="majorHAnsi" w:hAnsiTheme="majorHAnsi" w:cstheme="majorHAnsi"/>
          <w:szCs w:val="18"/>
        </w:rPr>
      </w:pPr>
      <w:r w:rsidRPr="006070EA">
        <w:rPr>
          <w:rFonts w:asciiTheme="majorHAnsi" w:hAnsiTheme="majorHAnsi" w:cstheme="majorHAnsi"/>
          <w:szCs w:val="18"/>
        </w:rPr>
        <w:t xml:space="preserve">Území obce Kostomlaty nad Labem je dotčeno koridorem vodní dopravy VD1 (Labe: Pardubice – hranice ČR/Německo (-Dresden) vymezeným v PÚR ČR. </w:t>
      </w:r>
    </w:p>
    <w:p w14:paraId="522CF8B7" w14:textId="12221B3A" w:rsidR="00E6279E" w:rsidRPr="006070EA" w:rsidRDefault="001C4556" w:rsidP="00E6279E">
      <w:pPr>
        <w:autoSpaceDE w:val="0"/>
        <w:autoSpaceDN w:val="0"/>
        <w:adjustRightInd w:val="0"/>
        <w:spacing w:before="120" w:after="120" w:line="240" w:lineRule="auto"/>
        <w:ind w:left="567" w:hanging="567"/>
        <w:jc w:val="both"/>
        <w:rPr>
          <w:rFonts w:asciiTheme="majorHAnsi" w:hAnsiTheme="majorHAnsi" w:cstheme="majorHAnsi"/>
          <w:b/>
          <w:bCs/>
          <w:iCs/>
          <w:sz w:val="18"/>
          <w:szCs w:val="18"/>
        </w:rPr>
      </w:pPr>
      <w:r>
        <w:rPr>
          <w:rFonts w:asciiTheme="majorHAnsi" w:hAnsiTheme="majorHAnsi" w:cstheme="majorHAnsi"/>
          <w:b/>
          <w:bCs/>
          <w:iCs/>
          <w:sz w:val="18"/>
          <w:szCs w:val="18"/>
        </w:rPr>
        <w:t>D</w:t>
      </w:r>
      <w:r w:rsidR="00E6279E" w:rsidRPr="006070EA">
        <w:rPr>
          <w:rFonts w:asciiTheme="majorHAnsi" w:hAnsiTheme="majorHAnsi" w:cstheme="majorHAnsi"/>
          <w:b/>
          <w:bCs/>
          <w:iCs/>
          <w:sz w:val="18"/>
          <w:szCs w:val="18"/>
        </w:rPr>
        <w:t>.1</w:t>
      </w:r>
      <w:r w:rsidR="00E6279E" w:rsidRPr="006070EA">
        <w:rPr>
          <w:rFonts w:asciiTheme="majorHAnsi" w:hAnsiTheme="majorHAnsi" w:cstheme="majorHAnsi"/>
          <w:b/>
          <w:bCs/>
          <w:iCs/>
          <w:sz w:val="18"/>
          <w:szCs w:val="18"/>
        </w:rPr>
        <w:tab/>
        <w:t>Plochy a koridory dopravy</w:t>
      </w:r>
    </w:p>
    <w:p w14:paraId="415B2ED6" w14:textId="309A5AD5" w:rsidR="00E6279E" w:rsidRPr="006070EA" w:rsidRDefault="001C4556" w:rsidP="00E6279E">
      <w:pPr>
        <w:autoSpaceDE w:val="0"/>
        <w:autoSpaceDN w:val="0"/>
        <w:adjustRightInd w:val="0"/>
        <w:spacing w:before="120" w:after="120" w:line="240" w:lineRule="auto"/>
        <w:ind w:left="567" w:hanging="567"/>
        <w:jc w:val="both"/>
        <w:rPr>
          <w:rFonts w:asciiTheme="majorHAnsi" w:hAnsiTheme="majorHAnsi" w:cstheme="majorHAnsi"/>
          <w:b/>
          <w:bCs/>
          <w:i/>
          <w:sz w:val="18"/>
          <w:szCs w:val="18"/>
        </w:rPr>
      </w:pPr>
      <w:r>
        <w:rPr>
          <w:rFonts w:asciiTheme="majorHAnsi" w:hAnsiTheme="majorHAnsi" w:cstheme="majorHAnsi"/>
          <w:b/>
          <w:bCs/>
          <w:i/>
          <w:sz w:val="18"/>
          <w:szCs w:val="18"/>
        </w:rPr>
        <w:t>D</w:t>
      </w:r>
      <w:r w:rsidR="00E6279E" w:rsidRPr="006070EA">
        <w:rPr>
          <w:rFonts w:asciiTheme="majorHAnsi" w:hAnsiTheme="majorHAnsi" w:cstheme="majorHAnsi"/>
          <w:b/>
          <w:bCs/>
          <w:i/>
          <w:sz w:val="18"/>
          <w:szCs w:val="18"/>
        </w:rPr>
        <w:t xml:space="preserve">.1.1. </w:t>
      </w:r>
      <w:r w:rsidR="00E6279E" w:rsidRPr="006070EA">
        <w:rPr>
          <w:rFonts w:asciiTheme="majorHAnsi" w:hAnsiTheme="majorHAnsi" w:cstheme="majorHAnsi"/>
          <w:b/>
          <w:bCs/>
          <w:i/>
          <w:sz w:val="18"/>
          <w:szCs w:val="18"/>
        </w:rPr>
        <w:tab/>
        <w:t>Plochy a koridory dopravy mezinárodního a republikového významu</w:t>
      </w:r>
    </w:p>
    <w:p w14:paraId="0B462CC0" w14:textId="3AF30314" w:rsidR="001C4556" w:rsidRPr="006070EA" w:rsidRDefault="001C4556" w:rsidP="001C4556">
      <w:pPr>
        <w:autoSpaceDE w:val="0"/>
        <w:autoSpaceDN w:val="0"/>
        <w:adjustRightInd w:val="0"/>
        <w:spacing w:before="120" w:after="120" w:line="240" w:lineRule="auto"/>
        <w:ind w:left="567" w:hanging="567"/>
        <w:jc w:val="both"/>
        <w:rPr>
          <w:rFonts w:asciiTheme="majorHAnsi" w:hAnsiTheme="majorHAnsi" w:cstheme="majorHAnsi"/>
          <w:i/>
          <w:sz w:val="18"/>
          <w:szCs w:val="18"/>
        </w:rPr>
      </w:pPr>
      <w:r>
        <w:rPr>
          <w:rFonts w:asciiTheme="majorHAnsi" w:hAnsiTheme="majorHAnsi" w:cstheme="majorHAnsi"/>
          <w:i/>
          <w:sz w:val="18"/>
          <w:szCs w:val="18"/>
        </w:rPr>
        <w:t>D</w:t>
      </w:r>
      <w:r w:rsidRPr="006070EA">
        <w:rPr>
          <w:rFonts w:asciiTheme="majorHAnsi" w:hAnsiTheme="majorHAnsi" w:cstheme="majorHAnsi"/>
          <w:i/>
          <w:sz w:val="18"/>
          <w:szCs w:val="18"/>
        </w:rPr>
        <w:t>.1.1.</w:t>
      </w:r>
      <w:r>
        <w:rPr>
          <w:rFonts w:asciiTheme="majorHAnsi" w:hAnsiTheme="majorHAnsi" w:cstheme="majorHAnsi"/>
          <w:i/>
          <w:sz w:val="18"/>
          <w:szCs w:val="18"/>
        </w:rPr>
        <w:t>2</w:t>
      </w:r>
      <w:r w:rsidRPr="006070EA">
        <w:rPr>
          <w:rFonts w:asciiTheme="majorHAnsi" w:hAnsiTheme="majorHAnsi" w:cstheme="majorHAnsi"/>
          <w:i/>
          <w:sz w:val="18"/>
          <w:szCs w:val="18"/>
        </w:rPr>
        <w:t>.</w:t>
      </w:r>
      <w:r w:rsidRPr="006070EA">
        <w:rPr>
          <w:rFonts w:asciiTheme="majorHAnsi" w:hAnsiTheme="majorHAnsi" w:cstheme="majorHAnsi"/>
          <w:i/>
          <w:sz w:val="18"/>
          <w:szCs w:val="18"/>
        </w:rPr>
        <w:tab/>
      </w:r>
      <w:r>
        <w:rPr>
          <w:rFonts w:asciiTheme="majorHAnsi" w:hAnsiTheme="majorHAnsi" w:cstheme="majorHAnsi"/>
          <w:i/>
          <w:sz w:val="18"/>
          <w:szCs w:val="18"/>
        </w:rPr>
        <w:t xml:space="preserve">Železniční </w:t>
      </w:r>
      <w:r w:rsidRPr="006070EA">
        <w:rPr>
          <w:rFonts w:asciiTheme="majorHAnsi" w:hAnsiTheme="majorHAnsi" w:cstheme="majorHAnsi"/>
          <w:i/>
          <w:sz w:val="18"/>
          <w:szCs w:val="18"/>
        </w:rPr>
        <w:t>doprava</w:t>
      </w:r>
      <w:r w:rsidRPr="006070EA">
        <w:rPr>
          <w:rFonts w:asciiTheme="majorHAnsi" w:hAnsiTheme="majorHAnsi" w:cstheme="majorHAnsi"/>
          <w:i/>
          <w:sz w:val="18"/>
          <w:szCs w:val="18"/>
        </w:rPr>
        <w:tab/>
      </w:r>
    </w:p>
    <w:p w14:paraId="1E2F7F1E" w14:textId="2E11A6FE" w:rsidR="001C4556" w:rsidRPr="006070EA" w:rsidRDefault="001C4556" w:rsidP="001C4556">
      <w:pPr>
        <w:autoSpaceDE w:val="0"/>
        <w:autoSpaceDN w:val="0"/>
        <w:adjustRightInd w:val="0"/>
        <w:spacing w:after="0" w:line="240" w:lineRule="auto"/>
        <w:ind w:left="705" w:hanging="705"/>
        <w:jc w:val="both"/>
        <w:rPr>
          <w:rFonts w:asciiTheme="majorHAnsi" w:hAnsiTheme="majorHAnsi" w:cstheme="majorHAnsi"/>
          <w:bCs/>
          <w:i/>
          <w:iCs/>
          <w:sz w:val="18"/>
          <w:szCs w:val="18"/>
        </w:rPr>
      </w:pPr>
      <w:r w:rsidRPr="006070EA">
        <w:rPr>
          <w:rFonts w:asciiTheme="majorHAnsi" w:eastAsia="Calibri" w:hAnsiTheme="majorHAnsi" w:cstheme="majorHAnsi"/>
          <w:iCs/>
          <w:sz w:val="18"/>
          <w:szCs w:val="18"/>
        </w:rPr>
        <w:t>(1</w:t>
      </w:r>
      <w:r>
        <w:rPr>
          <w:rFonts w:asciiTheme="majorHAnsi" w:eastAsia="Calibri" w:hAnsiTheme="majorHAnsi" w:cstheme="majorHAnsi"/>
          <w:iCs/>
          <w:sz w:val="18"/>
          <w:szCs w:val="18"/>
        </w:rPr>
        <w:t>23</w:t>
      </w:r>
      <w:r w:rsidRPr="006070EA">
        <w:rPr>
          <w:rFonts w:asciiTheme="majorHAnsi" w:eastAsia="Calibri" w:hAnsiTheme="majorHAnsi" w:cstheme="majorHAnsi"/>
          <w:iCs/>
          <w:sz w:val="18"/>
          <w:szCs w:val="18"/>
        </w:rPr>
        <w:t>)</w:t>
      </w:r>
      <w:r w:rsidRPr="006070EA">
        <w:rPr>
          <w:rFonts w:asciiTheme="majorHAnsi" w:eastAsia="Calibri" w:hAnsiTheme="majorHAnsi" w:cstheme="majorHAnsi"/>
          <w:iCs/>
          <w:sz w:val="18"/>
          <w:szCs w:val="18"/>
        </w:rPr>
        <w:tab/>
      </w:r>
      <w:r w:rsidRPr="006070EA">
        <w:rPr>
          <w:rFonts w:asciiTheme="majorHAnsi" w:hAnsiTheme="majorHAnsi" w:cstheme="majorHAnsi"/>
          <w:bCs/>
          <w:i/>
          <w:iCs/>
          <w:sz w:val="18"/>
          <w:szCs w:val="18"/>
        </w:rPr>
        <w:t xml:space="preserve">ZÚR </w:t>
      </w:r>
      <w:r>
        <w:rPr>
          <w:rFonts w:asciiTheme="majorHAnsi" w:hAnsiTheme="majorHAnsi" w:cstheme="majorHAnsi"/>
          <w:bCs/>
          <w:i/>
          <w:iCs/>
          <w:sz w:val="18"/>
          <w:szCs w:val="18"/>
        </w:rPr>
        <w:t>zpřesňují koridory konvenční železniční dopravy pro modernizaci tratí Ústí nad Labem-Střekov – Lysá nad Labem – Kolín, včetně Libické spojky (vymezené v PÚR jako součást koridorů ŽD12 a ŽD22)</w:t>
      </w:r>
      <w:r w:rsidRPr="006070EA">
        <w:rPr>
          <w:rFonts w:asciiTheme="majorHAnsi" w:hAnsiTheme="majorHAnsi" w:cstheme="majorHAnsi"/>
          <w:bCs/>
          <w:i/>
          <w:iCs/>
          <w:sz w:val="18"/>
          <w:szCs w:val="18"/>
        </w:rPr>
        <w:t>:</w:t>
      </w:r>
    </w:p>
    <w:p w14:paraId="1F2C72AC" w14:textId="0C2FDA26" w:rsidR="001C4556" w:rsidRDefault="001C4556" w:rsidP="001C4556">
      <w:pPr>
        <w:autoSpaceDE w:val="0"/>
        <w:autoSpaceDN w:val="0"/>
        <w:adjustRightInd w:val="0"/>
        <w:spacing w:before="60" w:after="60" w:line="240" w:lineRule="auto"/>
        <w:ind w:left="705" w:firstLine="4"/>
        <w:jc w:val="both"/>
        <w:rPr>
          <w:rFonts w:asciiTheme="majorHAnsi" w:hAnsiTheme="majorHAnsi" w:cstheme="majorHAnsi"/>
          <w:bCs/>
          <w:i/>
          <w:iCs/>
          <w:sz w:val="18"/>
          <w:szCs w:val="18"/>
        </w:rPr>
      </w:pPr>
      <w:r>
        <w:rPr>
          <w:rFonts w:asciiTheme="majorHAnsi" w:hAnsiTheme="majorHAnsi" w:cstheme="majorHAnsi"/>
          <w:bCs/>
          <w:i/>
          <w:iCs/>
          <w:sz w:val="18"/>
          <w:szCs w:val="18"/>
        </w:rPr>
        <w:t>b</w:t>
      </w:r>
      <w:r w:rsidRPr="006070EA">
        <w:rPr>
          <w:rFonts w:asciiTheme="majorHAnsi" w:hAnsiTheme="majorHAnsi" w:cstheme="majorHAnsi"/>
          <w:bCs/>
          <w:i/>
          <w:iCs/>
          <w:sz w:val="18"/>
          <w:szCs w:val="18"/>
        </w:rPr>
        <w:t xml:space="preserve">) </w:t>
      </w:r>
      <w:r>
        <w:rPr>
          <w:rFonts w:asciiTheme="majorHAnsi" w:hAnsiTheme="majorHAnsi" w:cstheme="majorHAnsi"/>
          <w:bCs/>
          <w:i/>
          <w:iCs/>
          <w:sz w:val="18"/>
          <w:szCs w:val="18"/>
        </w:rPr>
        <w:t>koridor D322 – pro železniční tratě č. 231 a č. 072 Kolín – Lysá nad Labem – Liběchov (hranice kraje), včetně Libické spojky (trať č. 020), modernizace.</w:t>
      </w:r>
    </w:p>
    <w:p w14:paraId="14F5B5C8" w14:textId="1EFD17AB" w:rsidR="001C4556" w:rsidRPr="006070EA" w:rsidRDefault="001C4556" w:rsidP="001C4556">
      <w:pPr>
        <w:autoSpaceDE w:val="0"/>
        <w:autoSpaceDN w:val="0"/>
        <w:adjustRightInd w:val="0"/>
        <w:spacing w:after="0" w:line="240" w:lineRule="auto"/>
        <w:ind w:left="705" w:hanging="705"/>
        <w:jc w:val="both"/>
        <w:rPr>
          <w:rFonts w:asciiTheme="majorHAnsi" w:hAnsiTheme="majorHAnsi" w:cstheme="majorHAnsi"/>
          <w:bCs/>
          <w:i/>
          <w:iCs/>
          <w:sz w:val="18"/>
          <w:szCs w:val="18"/>
        </w:rPr>
      </w:pPr>
      <w:r w:rsidRPr="006070EA">
        <w:rPr>
          <w:rFonts w:asciiTheme="majorHAnsi" w:eastAsia="Calibri" w:hAnsiTheme="majorHAnsi" w:cstheme="majorHAnsi"/>
          <w:iCs/>
          <w:sz w:val="18"/>
          <w:szCs w:val="18"/>
        </w:rPr>
        <w:t>(1</w:t>
      </w:r>
      <w:r>
        <w:rPr>
          <w:rFonts w:asciiTheme="majorHAnsi" w:eastAsia="Calibri" w:hAnsiTheme="majorHAnsi" w:cstheme="majorHAnsi"/>
          <w:iCs/>
          <w:sz w:val="18"/>
          <w:szCs w:val="18"/>
        </w:rPr>
        <w:t>29</w:t>
      </w:r>
      <w:r w:rsidRPr="006070EA">
        <w:rPr>
          <w:rFonts w:asciiTheme="majorHAnsi" w:eastAsia="Calibri" w:hAnsiTheme="majorHAnsi" w:cstheme="majorHAnsi"/>
          <w:iCs/>
          <w:sz w:val="18"/>
          <w:szCs w:val="18"/>
        </w:rPr>
        <w:t>)</w:t>
      </w:r>
      <w:r w:rsidRPr="006070EA">
        <w:rPr>
          <w:rFonts w:asciiTheme="majorHAnsi" w:eastAsia="Calibri" w:hAnsiTheme="majorHAnsi" w:cstheme="majorHAnsi"/>
          <w:iCs/>
          <w:sz w:val="18"/>
          <w:szCs w:val="18"/>
        </w:rPr>
        <w:tab/>
      </w:r>
      <w:r w:rsidRPr="006070EA">
        <w:rPr>
          <w:rFonts w:asciiTheme="majorHAnsi" w:hAnsiTheme="majorHAnsi" w:cstheme="majorHAnsi"/>
          <w:bCs/>
          <w:i/>
          <w:iCs/>
          <w:sz w:val="18"/>
          <w:szCs w:val="18"/>
        </w:rPr>
        <w:t xml:space="preserve">ZÚR </w:t>
      </w:r>
      <w:r>
        <w:rPr>
          <w:rFonts w:asciiTheme="majorHAnsi" w:hAnsiTheme="majorHAnsi" w:cstheme="majorHAnsi"/>
          <w:bCs/>
          <w:i/>
          <w:iCs/>
          <w:sz w:val="18"/>
          <w:szCs w:val="18"/>
        </w:rPr>
        <w:t>stanovují pro vybrané koridory železniční infrastruktury republikového významu specifické požadavky na využití území, kritéria a podmínky pro rozhodování o možných variantách změn v území a úkoly pro územní plánování takto:</w:t>
      </w:r>
    </w:p>
    <w:p w14:paraId="09D73732" w14:textId="05E7030B" w:rsidR="00203AD4" w:rsidRDefault="00203AD4" w:rsidP="00203AD4">
      <w:pPr>
        <w:autoSpaceDE w:val="0"/>
        <w:autoSpaceDN w:val="0"/>
        <w:adjustRightInd w:val="0"/>
        <w:spacing w:before="60" w:after="60" w:line="240" w:lineRule="auto"/>
        <w:ind w:left="705" w:firstLine="4"/>
        <w:jc w:val="both"/>
        <w:rPr>
          <w:rFonts w:asciiTheme="majorHAnsi" w:hAnsiTheme="majorHAnsi" w:cstheme="majorHAnsi"/>
          <w:bCs/>
          <w:i/>
          <w:iCs/>
          <w:sz w:val="18"/>
          <w:szCs w:val="18"/>
        </w:rPr>
      </w:pPr>
      <w:r>
        <w:rPr>
          <w:rFonts w:asciiTheme="majorHAnsi" w:hAnsiTheme="majorHAnsi" w:cstheme="majorHAnsi"/>
          <w:bCs/>
          <w:i/>
          <w:iCs/>
          <w:sz w:val="18"/>
          <w:szCs w:val="18"/>
        </w:rPr>
        <w:t>e</w:t>
      </w:r>
      <w:r w:rsidRPr="006070EA">
        <w:rPr>
          <w:rFonts w:asciiTheme="majorHAnsi" w:hAnsiTheme="majorHAnsi" w:cstheme="majorHAnsi"/>
          <w:bCs/>
          <w:i/>
          <w:iCs/>
          <w:sz w:val="18"/>
          <w:szCs w:val="18"/>
        </w:rPr>
        <w:t xml:space="preserve">) </w:t>
      </w:r>
      <w:r>
        <w:rPr>
          <w:rFonts w:asciiTheme="majorHAnsi" w:hAnsiTheme="majorHAnsi" w:cstheme="majorHAnsi"/>
          <w:bCs/>
          <w:i/>
          <w:iCs/>
          <w:sz w:val="18"/>
          <w:szCs w:val="18"/>
        </w:rPr>
        <w:t>koridor D322 – železniční tratě č. 231, 072 Kolín – Liběchov včetně Libické spojky:</w:t>
      </w:r>
    </w:p>
    <w:p w14:paraId="7C2F4E9E" w14:textId="777DB4D5" w:rsidR="00203AD4" w:rsidRDefault="00203AD4" w:rsidP="00225BD6">
      <w:pPr>
        <w:pStyle w:val="Odstavecseseznamem"/>
        <w:numPr>
          <w:ilvl w:val="0"/>
          <w:numId w:val="46"/>
        </w:numPr>
        <w:autoSpaceDE w:val="0"/>
        <w:autoSpaceDN w:val="0"/>
        <w:adjustRightInd w:val="0"/>
        <w:spacing w:before="60" w:after="60" w:line="240" w:lineRule="auto"/>
        <w:jc w:val="both"/>
        <w:rPr>
          <w:rFonts w:asciiTheme="majorHAnsi" w:hAnsiTheme="majorHAnsi" w:cstheme="majorHAnsi"/>
          <w:bCs/>
          <w:i/>
          <w:iCs/>
          <w:sz w:val="18"/>
          <w:szCs w:val="18"/>
        </w:rPr>
      </w:pPr>
      <w:r>
        <w:rPr>
          <w:rFonts w:asciiTheme="majorHAnsi" w:hAnsiTheme="majorHAnsi" w:cstheme="majorHAnsi"/>
          <w:bCs/>
          <w:i/>
          <w:iCs/>
          <w:sz w:val="18"/>
          <w:szCs w:val="18"/>
        </w:rPr>
        <w:t>minimalizovat vlivy:</w:t>
      </w:r>
    </w:p>
    <w:p w14:paraId="476D7AEB" w14:textId="26C86464" w:rsidR="00203AD4" w:rsidRDefault="00203AD4" w:rsidP="00225BD6">
      <w:pPr>
        <w:pStyle w:val="Odstavecseseznamem"/>
        <w:numPr>
          <w:ilvl w:val="1"/>
          <w:numId w:val="46"/>
        </w:numPr>
        <w:autoSpaceDE w:val="0"/>
        <w:autoSpaceDN w:val="0"/>
        <w:adjustRightInd w:val="0"/>
        <w:spacing w:before="60" w:after="60" w:line="240" w:lineRule="auto"/>
        <w:jc w:val="both"/>
        <w:rPr>
          <w:rFonts w:asciiTheme="majorHAnsi" w:hAnsiTheme="majorHAnsi" w:cstheme="majorHAnsi"/>
          <w:bCs/>
          <w:i/>
          <w:iCs/>
          <w:sz w:val="18"/>
          <w:szCs w:val="18"/>
        </w:rPr>
      </w:pPr>
      <w:r w:rsidRPr="00203AD4">
        <w:rPr>
          <w:rFonts w:asciiTheme="majorHAnsi" w:hAnsiTheme="majorHAnsi" w:cstheme="majorHAnsi"/>
          <w:bCs/>
          <w:i/>
          <w:iCs/>
          <w:sz w:val="18"/>
          <w:szCs w:val="18"/>
        </w:rPr>
        <w:t>na obytnou funkci a kvalitu obytného prostředí přilehlé zástavby Kolína, Liběchova, Libice nad Cidlinou, Lysém nad Labem, Velkého Oseka, Poděbrad, Nymburka a Mělníka</w:t>
      </w:r>
    </w:p>
    <w:p w14:paraId="073802FC" w14:textId="58A9BF97" w:rsidR="001C4556" w:rsidRPr="006070EA" w:rsidRDefault="001C4556" w:rsidP="001C4556">
      <w:pPr>
        <w:pStyle w:val="Mra2-reakceern"/>
        <w:rPr>
          <w:rFonts w:asciiTheme="majorHAnsi" w:hAnsiTheme="majorHAnsi" w:cstheme="majorHAnsi"/>
          <w:color w:val="auto"/>
        </w:rPr>
      </w:pPr>
      <w:r w:rsidRPr="006070EA">
        <w:rPr>
          <w:rFonts w:asciiTheme="majorHAnsi" w:hAnsiTheme="majorHAnsi" w:cstheme="majorHAnsi"/>
          <w:color w:val="auto"/>
        </w:rPr>
        <w:t xml:space="preserve">Územní plán </w:t>
      </w:r>
      <w:r w:rsidR="00203AD4">
        <w:rPr>
          <w:rFonts w:asciiTheme="majorHAnsi" w:hAnsiTheme="majorHAnsi" w:cstheme="majorHAnsi"/>
          <w:color w:val="auto"/>
        </w:rPr>
        <w:t>vymezuje v souladu se ZÚR SK koridor CNZ.D322 pro modernizaci železniční trati č. 231 v řešeném území a zařazuje jej mezi VPS dopravní infrastruktury pod ozn. VD.3</w:t>
      </w:r>
      <w:r w:rsidRPr="006070EA">
        <w:rPr>
          <w:rFonts w:asciiTheme="majorHAnsi" w:hAnsiTheme="majorHAnsi" w:cstheme="majorHAnsi"/>
          <w:color w:val="auto"/>
        </w:rPr>
        <w:t>.</w:t>
      </w:r>
      <w:r w:rsidR="00203AD4">
        <w:rPr>
          <w:rFonts w:asciiTheme="majorHAnsi" w:hAnsiTheme="majorHAnsi" w:cstheme="majorHAnsi"/>
          <w:color w:val="auto"/>
        </w:rPr>
        <w:t xml:space="preserve"> Pro využití koridoru byla stanovena podmínka, která souvisí s úkoly pro územní plánování, stanovenými v ZÚR SK, a to minimalizace vlivů na obytnou funkci a kvalitu obytného prostředí přilehlé zástavby (tak, jak stanovuje ZÚR SK pro zástavbu dalších měst na železniční trati), neboť trať v řešeném území prochází zastavěným územím v sousedství rezidenčních lokalit.</w:t>
      </w:r>
    </w:p>
    <w:p w14:paraId="0F7F1EDA" w14:textId="602E7410" w:rsidR="00E6279E" w:rsidRPr="006070EA" w:rsidRDefault="001C4556" w:rsidP="00E6279E">
      <w:pPr>
        <w:autoSpaceDE w:val="0"/>
        <w:autoSpaceDN w:val="0"/>
        <w:adjustRightInd w:val="0"/>
        <w:spacing w:before="120" w:after="120" w:line="240" w:lineRule="auto"/>
        <w:ind w:left="567" w:hanging="567"/>
        <w:jc w:val="both"/>
        <w:rPr>
          <w:rFonts w:asciiTheme="majorHAnsi" w:hAnsiTheme="majorHAnsi" w:cstheme="majorHAnsi"/>
          <w:i/>
          <w:sz w:val="18"/>
          <w:szCs w:val="18"/>
        </w:rPr>
      </w:pPr>
      <w:r>
        <w:rPr>
          <w:rFonts w:asciiTheme="majorHAnsi" w:hAnsiTheme="majorHAnsi" w:cstheme="majorHAnsi"/>
          <w:i/>
          <w:sz w:val="18"/>
          <w:szCs w:val="18"/>
        </w:rPr>
        <w:t>D</w:t>
      </w:r>
      <w:r w:rsidR="00E6279E" w:rsidRPr="006070EA">
        <w:rPr>
          <w:rFonts w:asciiTheme="majorHAnsi" w:hAnsiTheme="majorHAnsi" w:cstheme="majorHAnsi"/>
          <w:i/>
          <w:sz w:val="18"/>
          <w:szCs w:val="18"/>
        </w:rPr>
        <w:t>.1.1.3.</w:t>
      </w:r>
      <w:r w:rsidR="00E6279E" w:rsidRPr="006070EA">
        <w:rPr>
          <w:rFonts w:asciiTheme="majorHAnsi" w:hAnsiTheme="majorHAnsi" w:cstheme="majorHAnsi"/>
          <w:i/>
          <w:sz w:val="18"/>
          <w:szCs w:val="18"/>
        </w:rPr>
        <w:tab/>
        <w:t>Vodní doprava</w:t>
      </w:r>
      <w:r w:rsidR="00E6279E" w:rsidRPr="006070EA">
        <w:rPr>
          <w:rFonts w:asciiTheme="majorHAnsi" w:hAnsiTheme="majorHAnsi" w:cstheme="majorHAnsi"/>
          <w:i/>
          <w:sz w:val="18"/>
          <w:szCs w:val="18"/>
        </w:rPr>
        <w:tab/>
      </w:r>
    </w:p>
    <w:p w14:paraId="0E47DA60" w14:textId="3347D754" w:rsidR="0068493C" w:rsidRPr="006070EA" w:rsidRDefault="0068493C" w:rsidP="0068493C">
      <w:pPr>
        <w:autoSpaceDE w:val="0"/>
        <w:autoSpaceDN w:val="0"/>
        <w:adjustRightInd w:val="0"/>
        <w:spacing w:after="0" w:line="240" w:lineRule="auto"/>
        <w:jc w:val="both"/>
        <w:rPr>
          <w:rFonts w:asciiTheme="majorHAnsi" w:hAnsiTheme="majorHAnsi" w:cstheme="majorHAnsi"/>
          <w:bCs/>
          <w:i/>
          <w:iCs/>
          <w:sz w:val="18"/>
          <w:szCs w:val="18"/>
        </w:rPr>
      </w:pPr>
      <w:r w:rsidRPr="006070EA">
        <w:rPr>
          <w:rFonts w:asciiTheme="majorHAnsi" w:eastAsia="Calibri" w:hAnsiTheme="majorHAnsi" w:cstheme="majorHAnsi"/>
          <w:iCs/>
          <w:sz w:val="18"/>
          <w:szCs w:val="18"/>
        </w:rPr>
        <w:t>(130)</w:t>
      </w:r>
      <w:r w:rsidRPr="006070EA">
        <w:rPr>
          <w:rFonts w:asciiTheme="majorHAnsi" w:eastAsia="Calibri" w:hAnsiTheme="majorHAnsi" w:cstheme="majorHAnsi"/>
          <w:iCs/>
          <w:sz w:val="18"/>
          <w:szCs w:val="18"/>
        </w:rPr>
        <w:tab/>
      </w:r>
      <w:r w:rsidRPr="006070EA">
        <w:rPr>
          <w:rFonts w:asciiTheme="majorHAnsi" w:hAnsiTheme="majorHAnsi" w:cstheme="majorHAnsi"/>
          <w:bCs/>
          <w:i/>
          <w:iCs/>
          <w:sz w:val="18"/>
          <w:szCs w:val="18"/>
        </w:rPr>
        <w:t xml:space="preserve">ZÚR </w:t>
      </w:r>
      <w:r w:rsidR="00203AD4">
        <w:rPr>
          <w:rFonts w:asciiTheme="majorHAnsi" w:hAnsiTheme="majorHAnsi" w:cstheme="majorHAnsi"/>
          <w:bCs/>
          <w:i/>
          <w:iCs/>
          <w:sz w:val="18"/>
          <w:szCs w:val="18"/>
        </w:rPr>
        <w:t>zpřesňují vymezení koridorů vodní dopravy vymezené v PÚR pod ozn. VD1 a VD2 takto</w:t>
      </w:r>
      <w:r w:rsidRPr="006070EA">
        <w:rPr>
          <w:rFonts w:asciiTheme="majorHAnsi" w:hAnsiTheme="majorHAnsi" w:cstheme="majorHAnsi"/>
          <w:bCs/>
          <w:i/>
          <w:iCs/>
          <w:sz w:val="18"/>
          <w:szCs w:val="18"/>
        </w:rPr>
        <w:t>:</w:t>
      </w:r>
    </w:p>
    <w:p w14:paraId="4B98A4DA" w14:textId="14F0F7C3" w:rsidR="0068493C" w:rsidRDefault="0068493C" w:rsidP="00203AD4">
      <w:pPr>
        <w:autoSpaceDE w:val="0"/>
        <w:autoSpaceDN w:val="0"/>
        <w:adjustRightInd w:val="0"/>
        <w:spacing w:before="60" w:after="60" w:line="240" w:lineRule="auto"/>
        <w:ind w:left="709"/>
        <w:jc w:val="both"/>
        <w:rPr>
          <w:rFonts w:asciiTheme="majorHAnsi" w:hAnsiTheme="majorHAnsi" w:cstheme="majorHAnsi"/>
          <w:bCs/>
          <w:i/>
          <w:iCs/>
          <w:sz w:val="18"/>
          <w:szCs w:val="18"/>
        </w:rPr>
      </w:pPr>
      <w:r w:rsidRPr="006070EA">
        <w:rPr>
          <w:rFonts w:asciiTheme="majorHAnsi" w:hAnsiTheme="majorHAnsi" w:cstheme="majorHAnsi"/>
          <w:bCs/>
          <w:i/>
          <w:iCs/>
          <w:sz w:val="18"/>
          <w:szCs w:val="18"/>
        </w:rPr>
        <w:t xml:space="preserve">a) </w:t>
      </w:r>
      <w:r w:rsidR="00203AD4">
        <w:rPr>
          <w:rFonts w:asciiTheme="majorHAnsi" w:hAnsiTheme="majorHAnsi" w:cstheme="majorHAnsi"/>
          <w:bCs/>
          <w:i/>
          <w:iCs/>
          <w:sz w:val="18"/>
          <w:szCs w:val="18"/>
        </w:rPr>
        <w:t>VD1 – koridor stávající vodní cesty na Labi, úseku na území Středočeského kraje (Horní Počaply – Týnec nad Labem), včetně staveb souvisejících</w:t>
      </w:r>
    </w:p>
    <w:p w14:paraId="525326D2" w14:textId="2DCA8E06" w:rsidR="00203AD4" w:rsidRDefault="00203AD4" w:rsidP="00203AD4">
      <w:pPr>
        <w:autoSpaceDE w:val="0"/>
        <w:autoSpaceDN w:val="0"/>
        <w:adjustRightInd w:val="0"/>
        <w:spacing w:before="60" w:after="60" w:line="240" w:lineRule="auto"/>
        <w:jc w:val="both"/>
        <w:rPr>
          <w:rFonts w:asciiTheme="majorHAnsi" w:hAnsiTheme="majorHAnsi" w:cstheme="majorHAnsi"/>
          <w:bCs/>
          <w:sz w:val="18"/>
          <w:szCs w:val="18"/>
        </w:rPr>
      </w:pPr>
      <w:r>
        <w:rPr>
          <w:rFonts w:asciiTheme="majorHAnsi" w:hAnsiTheme="majorHAnsi" w:cstheme="majorHAnsi"/>
          <w:bCs/>
          <w:sz w:val="18"/>
          <w:szCs w:val="18"/>
        </w:rPr>
        <w:t>(131a)</w:t>
      </w:r>
      <w:r>
        <w:rPr>
          <w:rFonts w:asciiTheme="majorHAnsi" w:hAnsiTheme="majorHAnsi" w:cstheme="majorHAnsi"/>
          <w:bCs/>
          <w:sz w:val="18"/>
          <w:szCs w:val="18"/>
        </w:rPr>
        <w:tab/>
      </w:r>
      <w:r w:rsidRPr="00225BD6">
        <w:rPr>
          <w:rFonts w:asciiTheme="majorHAnsi" w:hAnsiTheme="majorHAnsi" w:cstheme="majorHAnsi"/>
          <w:bCs/>
          <w:i/>
          <w:iCs/>
          <w:sz w:val="18"/>
          <w:szCs w:val="18"/>
        </w:rPr>
        <w:t>Koridory vodní dopravy VD1, VD2 a VD3 se vymezují korytem vodního toku.</w:t>
      </w:r>
    </w:p>
    <w:p w14:paraId="65A066B5" w14:textId="0D88D4B0" w:rsidR="00203AD4" w:rsidRPr="00225BD6" w:rsidRDefault="00203AD4" w:rsidP="00203AD4">
      <w:pPr>
        <w:autoSpaceDE w:val="0"/>
        <w:autoSpaceDN w:val="0"/>
        <w:adjustRightInd w:val="0"/>
        <w:spacing w:before="60" w:after="60" w:line="240" w:lineRule="auto"/>
        <w:ind w:left="705" w:hanging="705"/>
        <w:jc w:val="both"/>
        <w:rPr>
          <w:rFonts w:asciiTheme="majorHAnsi" w:hAnsiTheme="majorHAnsi" w:cstheme="majorHAnsi"/>
          <w:bCs/>
          <w:i/>
          <w:iCs/>
          <w:sz w:val="18"/>
          <w:szCs w:val="18"/>
        </w:rPr>
      </w:pPr>
      <w:r>
        <w:rPr>
          <w:rFonts w:asciiTheme="majorHAnsi" w:hAnsiTheme="majorHAnsi" w:cstheme="majorHAnsi"/>
          <w:bCs/>
          <w:sz w:val="18"/>
          <w:szCs w:val="18"/>
        </w:rPr>
        <w:t>(131b)</w:t>
      </w:r>
      <w:r>
        <w:rPr>
          <w:rFonts w:asciiTheme="majorHAnsi" w:hAnsiTheme="majorHAnsi" w:cstheme="majorHAnsi"/>
          <w:bCs/>
          <w:sz w:val="18"/>
          <w:szCs w:val="18"/>
        </w:rPr>
        <w:tab/>
      </w:r>
      <w:r w:rsidRPr="00225BD6">
        <w:rPr>
          <w:rFonts w:asciiTheme="majorHAnsi" w:hAnsiTheme="majorHAnsi" w:cstheme="majorHAnsi"/>
          <w:bCs/>
          <w:i/>
          <w:iCs/>
          <w:sz w:val="18"/>
          <w:szCs w:val="18"/>
        </w:rPr>
        <w:t>ZÚR stanovují pro vymezené koridory vodní dopravy VD1, VD2, VD3 tyto specifické požadavky na využití území, kritéria a podmínky pro rozhodování o možných variantách změn v území a úkoly pro územní plánování takto:</w:t>
      </w:r>
    </w:p>
    <w:p w14:paraId="38E41140" w14:textId="5DCE95F6" w:rsidR="00225BD6" w:rsidRDefault="00225BD6" w:rsidP="00225BD6">
      <w:pPr>
        <w:autoSpaceDE w:val="0"/>
        <w:autoSpaceDN w:val="0"/>
        <w:adjustRightInd w:val="0"/>
        <w:spacing w:before="60" w:after="60" w:line="240" w:lineRule="auto"/>
        <w:ind w:left="709"/>
        <w:jc w:val="both"/>
        <w:rPr>
          <w:rFonts w:asciiTheme="majorHAnsi" w:hAnsiTheme="majorHAnsi" w:cstheme="majorHAnsi"/>
          <w:bCs/>
          <w:i/>
          <w:iCs/>
          <w:sz w:val="18"/>
          <w:szCs w:val="18"/>
        </w:rPr>
      </w:pPr>
      <w:r w:rsidRPr="006070EA">
        <w:rPr>
          <w:rFonts w:asciiTheme="majorHAnsi" w:hAnsiTheme="majorHAnsi" w:cstheme="majorHAnsi"/>
          <w:bCs/>
          <w:i/>
          <w:iCs/>
          <w:sz w:val="18"/>
          <w:szCs w:val="18"/>
        </w:rPr>
        <w:t xml:space="preserve">a) </w:t>
      </w:r>
      <w:r>
        <w:rPr>
          <w:rFonts w:asciiTheme="majorHAnsi" w:hAnsiTheme="majorHAnsi" w:cstheme="majorHAnsi"/>
          <w:bCs/>
          <w:i/>
          <w:iCs/>
          <w:sz w:val="18"/>
          <w:szCs w:val="18"/>
        </w:rPr>
        <w:t>Koridor VD1 Horní Počaply – Týnec nad Labem:</w:t>
      </w:r>
    </w:p>
    <w:p w14:paraId="33263F11" w14:textId="604DFD18" w:rsidR="00225BD6" w:rsidRDefault="00225BD6" w:rsidP="00225BD6">
      <w:pPr>
        <w:autoSpaceDE w:val="0"/>
        <w:autoSpaceDN w:val="0"/>
        <w:adjustRightInd w:val="0"/>
        <w:spacing w:before="60" w:after="60" w:line="240" w:lineRule="auto"/>
        <w:ind w:left="709"/>
        <w:jc w:val="both"/>
        <w:rPr>
          <w:rFonts w:asciiTheme="majorHAnsi" w:hAnsiTheme="majorHAnsi" w:cstheme="majorHAnsi"/>
          <w:bCs/>
          <w:i/>
          <w:iCs/>
          <w:sz w:val="18"/>
          <w:szCs w:val="18"/>
        </w:rPr>
      </w:pPr>
      <w:r>
        <w:rPr>
          <w:rFonts w:asciiTheme="majorHAnsi" w:hAnsiTheme="majorHAnsi" w:cstheme="majorHAnsi"/>
          <w:bCs/>
          <w:i/>
          <w:iCs/>
          <w:sz w:val="18"/>
          <w:szCs w:val="18"/>
        </w:rPr>
        <w:t>Požadavky na využití území</w:t>
      </w:r>
    </w:p>
    <w:p w14:paraId="588A4666" w14:textId="5237C532" w:rsidR="00225BD6" w:rsidRDefault="00225BD6" w:rsidP="00225BD6">
      <w:pPr>
        <w:pStyle w:val="Odstavecseseznamem"/>
        <w:numPr>
          <w:ilvl w:val="0"/>
          <w:numId w:val="46"/>
        </w:numPr>
        <w:autoSpaceDE w:val="0"/>
        <w:autoSpaceDN w:val="0"/>
        <w:adjustRightInd w:val="0"/>
        <w:spacing w:before="60" w:after="60" w:line="240" w:lineRule="auto"/>
        <w:jc w:val="both"/>
        <w:rPr>
          <w:rFonts w:asciiTheme="majorHAnsi" w:hAnsiTheme="majorHAnsi" w:cstheme="majorHAnsi"/>
          <w:bCs/>
          <w:i/>
          <w:iCs/>
          <w:sz w:val="18"/>
          <w:szCs w:val="18"/>
        </w:rPr>
      </w:pPr>
      <w:r>
        <w:rPr>
          <w:rFonts w:asciiTheme="majorHAnsi" w:hAnsiTheme="majorHAnsi" w:cstheme="majorHAnsi"/>
          <w:bCs/>
          <w:i/>
          <w:iCs/>
          <w:sz w:val="18"/>
          <w:szCs w:val="18"/>
        </w:rPr>
        <w:t>Vytvoření územních podmínek pro zabezpečení splavnosti Labe jako vodní cesty mezinárodního významu TEN-T.</w:t>
      </w:r>
    </w:p>
    <w:p w14:paraId="2C81F41D" w14:textId="63C83CC3" w:rsidR="00225BD6" w:rsidRDefault="00225BD6" w:rsidP="00225BD6">
      <w:pPr>
        <w:autoSpaceDE w:val="0"/>
        <w:autoSpaceDN w:val="0"/>
        <w:adjustRightInd w:val="0"/>
        <w:spacing w:before="60" w:after="60" w:line="240" w:lineRule="auto"/>
        <w:ind w:firstLine="709"/>
        <w:jc w:val="both"/>
        <w:rPr>
          <w:rFonts w:asciiTheme="majorHAnsi" w:hAnsiTheme="majorHAnsi" w:cstheme="majorHAnsi"/>
          <w:bCs/>
          <w:i/>
          <w:iCs/>
          <w:sz w:val="18"/>
          <w:szCs w:val="18"/>
        </w:rPr>
      </w:pPr>
      <w:r>
        <w:rPr>
          <w:rFonts w:asciiTheme="majorHAnsi" w:hAnsiTheme="majorHAnsi" w:cstheme="majorHAnsi"/>
          <w:bCs/>
          <w:i/>
          <w:iCs/>
          <w:sz w:val="18"/>
          <w:szCs w:val="18"/>
        </w:rPr>
        <w:t>Kritéria a podmínky pro rozhodování o změnách v území</w:t>
      </w:r>
    </w:p>
    <w:p w14:paraId="75C540E8" w14:textId="0D210DE4" w:rsidR="00225BD6" w:rsidRDefault="00225BD6" w:rsidP="00225BD6">
      <w:pPr>
        <w:pStyle w:val="Odstavecseseznamem"/>
        <w:numPr>
          <w:ilvl w:val="0"/>
          <w:numId w:val="46"/>
        </w:numPr>
        <w:autoSpaceDE w:val="0"/>
        <w:autoSpaceDN w:val="0"/>
        <w:adjustRightInd w:val="0"/>
        <w:spacing w:before="60" w:after="60" w:line="240" w:lineRule="auto"/>
        <w:jc w:val="both"/>
        <w:rPr>
          <w:rFonts w:asciiTheme="majorHAnsi" w:hAnsiTheme="majorHAnsi" w:cstheme="majorHAnsi"/>
          <w:bCs/>
          <w:i/>
          <w:iCs/>
          <w:sz w:val="18"/>
          <w:szCs w:val="18"/>
        </w:rPr>
      </w:pPr>
      <w:r>
        <w:rPr>
          <w:rFonts w:asciiTheme="majorHAnsi" w:hAnsiTheme="majorHAnsi" w:cstheme="majorHAnsi"/>
          <w:bCs/>
          <w:i/>
          <w:iCs/>
          <w:sz w:val="18"/>
          <w:szCs w:val="18"/>
        </w:rPr>
        <w:t>Minimalizace vlivů:</w:t>
      </w:r>
    </w:p>
    <w:p w14:paraId="48F22923" w14:textId="5E094ABC" w:rsidR="00225BD6" w:rsidRDefault="00225BD6" w:rsidP="00225BD6">
      <w:pPr>
        <w:pStyle w:val="Odstavecseseznamem"/>
        <w:numPr>
          <w:ilvl w:val="1"/>
          <w:numId w:val="46"/>
        </w:numPr>
        <w:autoSpaceDE w:val="0"/>
        <w:autoSpaceDN w:val="0"/>
        <w:adjustRightInd w:val="0"/>
        <w:spacing w:before="60" w:after="60" w:line="240" w:lineRule="auto"/>
        <w:jc w:val="both"/>
        <w:rPr>
          <w:rFonts w:asciiTheme="majorHAnsi" w:hAnsiTheme="majorHAnsi" w:cstheme="majorHAnsi"/>
          <w:bCs/>
          <w:i/>
          <w:iCs/>
          <w:sz w:val="18"/>
          <w:szCs w:val="18"/>
        </w:rPr>
      </w:pPr>
      <w:r>
        <w:rPr>
          <w:rFonts w:asciiTheme="majorHAnsi" w:hAnsiTheme="majorHAnsi" w:cstheme="majorHAnsi"/>
          <w:bCs/>
          <w:i/>
          <w:iCs/>
          <w:sz w:val="18"/>
          <w:szCs w:val="18"/>
        </w:rPr>
        <w:lastRenderedPageBreak/>
        <w:t xml:space="preserve">na předměty ochrany a územní celistvost přírodních rezervací </w:t>
      </w:r>
      <w:r w:rsidRPr="00225BD6">
        <w:rPr>
          <w:rFonts w:asciiTheme="majorHAnsi" w:hAnsiTheme="majorHAnsi" w:cstheme="majorHAnsi"/>
          <w:bCs/>
          <w:i/>
          <w:iCs/>
          <w:sz w:val="18"/>
          <w:szCs w:val="18"/>
        </w:rPr>
        <w:t>Káraný-Hrbáčkovy tůně, Mydlovarský luh, Na hornické, Týnecké mokřiny, Veltrubský luh a Vrťí</w:t>
      </w:r>
    </w:p>
    <w:p w14:paraId="78C4419F" w14:textId="48BBE753" w:rsidR="00225BD6" w:rsidRPr="00225BD6" w:rsidRDefault="00225BD6" w:rsidP="00225BD6">
      <w:pPr>
        <w:pStyle w:val="Odstavecseseznamem"/>
        <w:numPr>
          <w:ilvl w:val="1"/>
          <w:numId w:val="46"/>
        </w:numPr>
        <w:autoSpaceDE w:val="0"/>
        <w:autoSpaceDN w:val="0"/>
        <w:adjustRightInd w:val="0"/>
        <w:spacing w:before="60" w:after="60" w:line="240" w:lineRule="auto"/>
        <w:jc w:val="both"/>
        <w:rPr>
          <w:rFonts w:asciiTheme="majorHAnsi" w:hAnsiTheme="majorHAnsi" w:cstheme="majorHAnsi"/>
          <w:bCs/>
          <w:i/>
          <w:iCs/>
          <w:sz w:val="18"/>
          <w:szCs w:val="18"/>
        </w:rPr>
      </w:pPr>
      <w:r w:rsidRPr="00225BD6">
        <w:rPr>
          <w:rFonts w:asciiTheme="majorHAnsi" w:hAnsiTheme="majorHAnsi" w:cstheme="majorHAnsi"/>
          <w:bCs/>
          <w:i/>
          <w:iCs/>
          <w:sz w:val="18"/>
          <w:szCs w:val="18"/>
        </w:rPr>
        <w:t>na funkčnost dotčených segmentů ÚSES (zejména NC7 Polabský luh, NK10 Stříbrný roh – Polabský luh, NK72 Polabský luh – Bohdaneč</w:t>
      </w:r>
      <w:r>
        <w:rPr>
          <w:rFonts w:asciiTheme="majorHAnsi" w:hAnsiTheme="majorHAnsi" w:cstheme="majorHAnsi"/>
          <w:bCs/>
          <w:i/>
          <w:iCs/>
          <w:sz w:val="18"/>
          <w:szCs w:val="18"/>
        </w:rPr>
        <w:t>)</w:t>
      </w:r>
    </w:p>
    <w:p w14:paraId="39F9209A" w14:textId="6C4CED69" w:rsidR="0068493C" w:rsidRPr="006070EA" w:rsidRDefault="0068493C" w:rsidP="0068493C">
      <w:pPr>
        <w:pStyle w:val="Mra2-reakceern"/>
        <w:rPr>
          <w:rFonts w:asciiTheme="majorHAnsi" w:hAnsiTheme="majorHAnsi" w:cstheme="majorHAnsi"/>
          <w:color w:val="auto"/>
        </w:rPr>
      </w:pPr>
      <w:r w:rsidRPr="006070EA">
        <w:rPr>
          <w:rFonts w:asciiTheme="majorHAnsi" w:hAnsiTheme="majorHAnsi" w:cstheme="majorHAnsi"/>
          <w:color w:val="auto"/>
        </w:rPr>
        <w:t xml:space="preserve">Územní plán </w:t>
      </w:r>
      <w:r w:rsidR="00225BD6">
        <w:rPr>
          <w:rFonts w:asciiTheme="majorHAnsi" w:hAnsiTheme="majorHAnsi" w:cstheme="majorHAnsi"/>
          <w:color w:val="auto"/>
        </w:rPr>
        <w:t xml:space="preserve">vymezuje v souladu se ZÚR SK </w:t>
      </w:r>
      <w:r w:rsidRPr="006070EA">
        <w:rPr>
          <w:rFonts w:asciiTheme="majorHAnsi" w:hAnsiTheme="majorHAnsi" w:cstheme="majorHAnsi"/>
          <w:color w:val="auto"/>
        </w:rPr>
        <w:t xml:space="preserve">koridor </w:t>
      </w:r>
      <w:r w:rsidR="00E6279E" w:rsidRPr="006070EA">
        <w:rPr>
          <w:rFonts w:asciiTheme="majorHAnsi" w:hAnsiTheme="majorHAnsi" w:cstheme="majorHAnsi"/>
          <w:color w:val="auto"/>
        </w:rPr>
        <w:t>dopravy</w:t>
      </w:r>
      <w:r w:rsidRPr="006070EA">
        <w:rPr>
          <w:rFonts w:asciiTheme="majorHAnsi" w:hAnsiTheme="majorHAnsi" w:cstheme="majorHAnsi"/>
          <w:color w:val="auto"/>
        </w:rPr>
        <w:t xml:space="preserve"> vodní (</w:t>
      </w:r>
      <w:r w:rsidR="00E6279E" w:rsidRPr="006070EA">
        <w:rPr>
          <w:rFonts w:asciiTheme="majorHAnsi" w:hAnsiTheme="majorHAnsi" w:cstheme="majorHAnsi"/>
          <w:color w:val="auto"/>
        </w:rPr>
        <w:t>CN</w:t>
      </w:r>
      <w:r w:rsidR="00433C39" w:rsidRPr="006070EA">
        <w:rPr>
          <w:rFonts w:asciiTheme="majorHAnsi" w:hAnsiTheme="majorHAnsi" w:cstheme="majorHAnsi"/>
          <w:color w:val="auto"/>
        </w:rPr>
        <w:t>Z</w:t>
      </w:r>
      <w:r w:rsidR="00E6279E" w:rsidRPr="006070EA">
        <w:rPr>
          <w:rFonts w:asciiTheme="majorHAnsi" w:hAnsiTheme="majorHAnsi" w:cstheme="majorHAnsi"/>
          <w:color w:val="auto"/>
        </w:rPr>
        <w:t>.</w:t>
      </w:r>
      <w:r w:rsidR="00225BD6">
        <w:rPr>
          <w:rFonts w:asciiTheme="majorHAnsi" w:hAnsiTheme="majorHAnsi" w:cstheme="majorHAnsi"/>
          <w:color w:val="auto"/>
        </w:rPr>
        <w:t>VD1</w:t>
      </w:r>
      <w:r w:rsidRPr="006070EA">
        <w:rPr>
          <w:rFonts w:asciiTheme="majorHAnsi" w:hAnsiTheme="majorHAnsi" w:cstheme="majorHAnsi"/>
          <w:color w:val="auto"/>
        </w:rPr>
        <w:t>) na základě projektové dokumentace Ředitelství vodních cest ČR</w:t>
      </w:r>
      <w:r w:rsidR="00E6279E" w:rsidRPr="006070EA">
        <w:rPr>
          <w:rFonts w:asciiTheme="majorHAnsi" w:hAnsiTheme="majorHAnsi" w:cstheme="majorHAnsi"/>
          <w:color w:val="auto"/>
        </w:rPr>
        <w:t xml:space="preserve"> a v koordinaci s ÚPD sousední obce Kostomlátky</w:t>
      </w:r>
      <w:r w:rsidR="00225BD6">
        <w:rPr>
          <w:rFonts w:asciiTheme="majorHAnsi" w:hAnsiTheme="majorHAnsi" w:cstheme="majorHAnsi"/>
          <w:color w:val="auto"/>
        </w:rPr>
        <w:t xml:space="preserve"> a jeho upřesnění v souladu s požadavky ZÚR SK (vymezení korytem vodního toku, viz výše)</w:t>
      </w:r>
      <w:r w:rsidRPr="006070EA">
        <w:rPr>
          <w:rFonts w:asciiTheme="majorHAnsi" w:hAnsiTheme="majorHAnsi" w:cstheme="majorHAnsi"/>
          <w:color w:val="auto"/>
        </w:rPr>
        <w:t>.</w:t>
      </w:r>
      <w:r w:rsidR="00225BD6">
        <w:rPr>
          <w:rFonts w:asciiTheme="majorHAnsi" w:hAnsiTheme="majorHAnsi" w:cstheme="majorHAnsi"/>
          <w:color w:val="auto"/>
        </w:rPr>
        <w:t xml:space="preserve"> Stanovené požadavky na využití území a kritéria a podmínky pro rozhodování o změnách v území byly zapracovány do podmínek pro rozhodování v koridoru CNZ.VD1, stanovující mj. respektovat skladebné části ÚSES a zajistit jejich funkčnost, vytvořit podmínky pro zabezpečení splavnosti Labe, minimalizovat vlivy na předmět ochrany a územní celistvost přírodní rezervace Mydlovarský luh.</w:t>
      </w:r>
    </w:p>
    <w:p w14:paraId="7EC847B7" w14:textId="5A0AE493" w:rsidR="00AD073E" w:rsidRPr="00AD073E" w:rsidRDefault="00AD073E" w:rsidP="00AD073E">
      <w:pPr>
        <w:autoSpaceDE w:val="0"/>
        <w:autoSpaceDN w:val="0"/>
        <w:adjustRightInd w:val="0"/>
        <w:spacing w:before="120" w:after="120" w:line="240" w:lineRule="auto"/>
        <w:ind w:left="567" w:hanging="567"/>
        <w:jc w:val="both"/>
        <w:rPr>
          <w:rFonts w:asciiTheme="majorHAnsi" w:hAnsiTheme="majorHAnsi" w:cstheme="majorHAnsi"/>
          <w:b/>
          <w:bCs/>
          <w:iCs/>
          <w:sz w:val="18"/>
          <w:szCs w:val="18"/>
        </w:rPr>
      </w:pPr>
      <w:r w:rsidRPr="00AD073E">
        <w:rPr>
          <w:rFonts w:asciiTheme="majorHAnsi" w:hAnsiTheme="majorHAnsi" w:cstheme="majorHAnsi"/>
          <w:b/>
          <w:bCs/>
          <w:iCs/>
          <w:sz w:val="18"/>
          <w:szCs w:val="18"/>
        </w:rPr>
        <w:t>D.4</w:t>
      </w:r>
      <w:r w:rsidRPr="00AD073E">
        <w:rPr>
          <w:rFonts w:asciiTheme="majorHAnsi" w:hAnsiTheme="majorHAnsi" w:cstheme="majorHAnsi"/>
          <w:b/>
          <w:bCs/>
          <w:iCs/>
          <w:sz w:val="18"/>
          <w:szCs w:val="18"/>
        </w:rPr>
        <w:tab/>
      </w:r>
      <w:r>
        <w:rPr>
          <w:rFonts w:asciiTheme="majorHAnsi" w:hAnsiTheme="majorHAnsi" w:cstheme="majorHAnsi"/>
          <w:b/>
          <w:bCs/>
          <w:iCs/>
          <w:sz w:val="18"/>
          <w:szCs w:val="18"/>
        </w:rPr>
        <w:t>P</w:t>
      </w:r>
      <w:r w:rsidRPr="00AD073E">
        <w:rPr>
          <w:rFonts w:asciiTheme="majorHAnsi" w:hAnsiTheme="majorHAnsi" w:cstheme="majorHAnsi"/>
          <w:b/>
          <w:bCs/>
          <w:iCs/>
          <w:sz w:val="18"/>
          <w:szCs w:val="18"/>
        </w:rPr>
        <w:t>lochy a koridory ÚSES</w:t>
      </w:r>
    </w:p>
    <w:p w14:paraId="6474349C" w14:textId="77777777" w:rsidR="00AD073E" w:rsidRPr="00AD073E" w:rsidRDefault="00AD073E" w:rsidP="00AD073E">
      <w:pPr>
        <w:spacing w:before="120" w:after="60"/>
        <w:ind w:left="709" w:hanging="709"/>
        <w:jc w:val="both"/>
        <w:rPr>
          <w:rFonts w:asciiTheme="majorHAnsi" w:eastAsia="Calibri" w:hAnsiTheme="majorHAnsi" w:cstheme="majorHAnsi"/>
          <w:i/>
          <w:sz w:val="18"/>
          <w:szCs w:val="18"/>
        </w:rPr>
      </w:pPr>
      <w:r w:rsidRPr="00AD073E">
        <w:rPr>
          <w:rFonts w:asciiTheme="majorHAnsi" w:eastAsia="Calibri" w:hAnsiTheme="majorHAnsi" w:cstheme="majorHAnsi"/>
          <w:iCs/>
          <w:sz w:val="18"/>
          <w:szCs w:val="18"/>
        </w:rPr>
        <w:t>(192)</w:t>
      </w:r>
      <w:r w:rsidRPr="00AD073E">
        <w:rPr>
          <w:rFonts w:asciiTheme="majorHAnsi" w:eastAsia="Calibri" w:hAnsiTheme="majorHAnsi" w:cstheme="majorHAnsi"/>
          <w:i/>
          <w:sz w:val="18"/>
          <w:szCs w:val="18"/>
        </w:rPr>
        <w:tab/>
        <w:t xml:space="preserve">ZÚR vymezují na NADREGIONÁLNÍ úrovni: </w:t>
      </w:r>
    </w:p>
    <w:p w14:paraId="59132BB2" w14:textId="77777777" w:rsidR="00AD073E" w:rsidRPr="00AD073E" w:rsidRDefault="00AD073E" w:rsidP="00AD073E">
      <w:pPr>
        <w:spacing w:before="60" w:after="60"/>
        <w:ind w:left="851"/>
        <w:jc w:val="both"/>
        <w:rPr>
          <w:rFonts w:asciiTheme="majorHAnsi" w:hAnsiTheme="majorHAnsi" w:cstheme="majorHAnsi"/>
          <w:i/>
          <w:iCs/>
          <w:sz w:val="18"/>
          <w:szCs w:val="18"/>
          <w:lang w:eastAsia="cs-CZ"/>
        </w:rPr>
      </w:pPr>
      <w:r w:rsidRPr="00AD073E">
        <w:rPr>
          <w:rFonts w:asciiTheme="majorHAnsi" w:hAnsiTheme="majorHAnsi" w:cstheme="majorHAnsi"/>
          <w:i/>
          <w:iCs/>
          <w:sz w:val="18"/>
          <w:szCs w:val="18"/>
          <w:lang w:eastAsia="cs-CZ"/>
        </w:rPr>
        <w:t>a) biocentra</w:t>
      </w:r>
    </w:p>
    <w:tbl>
      <w:tblPr>
        <w:tblStyle w:val="Mkatabulky"/>
        <w:tblW w:w="0" w:type="auto"/>
        <w:jc w:val="center"/>
        <w:tblLayout w:type="fixed"/>
        <w:tblLook w:val="04A0" w:firstRow="1" w:lastRow="0" w:firstColumn="1" w:lastColumn="0" w:noHBand="0" w:noVBand="1"/>
      </w:tblPr>
      <w:tblGrid>
        <w:gridCol w:w="2835"/>
        <w:gridCol w:w="3756"/>
      </w:tblGrid>
      <w:tr w:rsidR="00AD073E" w:rsidRPr="00AD073E" w14:paraId="11D34FD9" w14:textId="77777777" w:rsidTr="006C3A75">
        <w:trPr>
          <w:trHeight w:val="227"/>
          <w:jc w:val="center"/>
        </w:trPr>
        <w:tc>
          <w:tcPr>
            <w:tcW w:w="2835" w:type="dxa"/>
            <w:vAlign w:val="center"/>
          </w:tcPr>
          <w:p w14:paraId="4F804280" w14:textId="77777777" w:rsidR="00AD073E" w:rsidRPr="00AD073E" w:rsidRDefault="00AD073E" w:rsidP="000F4A1C">
            <w:pPr>
              <w:autoSpaceDE w:val="0"/>
              <w:autoSpaceDN w:val="0"/>
              <w:adjustRightInd w:val="0"/>
              <w:jc w:val="center"/>
              <w:rPr>
                <w:rFonts w:asciiTheme="majorHAnsi" w:hAnsiTheme="majorHAnsi" w:cstheme="majorHAnsi"/>
                <w:i/>
                <w:iCs/>
                <w:sz w:val="18"/>
                <w:szCs w:val="18"/>
              </w:rPr>
            </w:pPr>
            <w:r w:rsidRPr="00AD073E">
              <w:rPr>
                <w:rFonts w:asciiTheme="majorHAnsi" w:hAnsiTheme="majorHAnsi" w:cstheme="majorHAnsi"/>
                <w:i/>
                <w:iCs/>
                <w:sz w:val="18"/>
                <w:szCs w:val="18"/>
              </w:rPr>
              <w:t>NKOD</w:t>
            </w:r>
          </w:p>
        </w:tc>
        <w:tc>
          <w:tcPr>
            <w:tcW w:w="3756" w:type="dxa"/>
            <w:vAlign w:val="center"/>
          </w:tcPr>
          <w:p w14:paraId="0684057D" w14:textId="77777777" w:rsidR="00AD073E" w:rsidRPr="00AD073E" w:rsidRDefault="00AD073E" w:rsidP="000F4A1C">
            <w:pPr>
              <w:autoSpaceDE w:val="0"/>
              <w:autoSpaceDN w:val="0"/>
              <w:adjustRightInd w:val="0"/>
              <w:jc w:val="center"/>
              <w:rPr>
                <w:rFonts w:asciiTheme="majorHAnsi" w:hAnsiTheme="majorHAnsi" w:cstheme="majorHAnsi"/>
                <w:i/>
                <w:iCs/>
                <w:sz w:val="18"/>
                <w:szCs w:val="18"/>
              </w:rPr>
            </w:pPr>
            <w:r w:rsidRPr="00AD073E">
              <w:rPr>
                <w:rFonts w:asciiTheme="majorHAnsi" w:hAnsiTheme="majorHAnsi" w:cstheme="majorHAnsi"/>
                <w:i/>
                <w:iCs/>
                <w:sz w:val="18"/>
                <w:szCs w:val="18"/>
              </w:rPr>
              <w:t>Název</w:t>
            </w:r>
          </w:p>
        </w:tc>
      </w:tr>
      <w:tr w:rsidR="00AD073E" w:rsidRPr="00AD073E" w14:paraId="43CE8E5F" w14:textId="77777777" w:rsidTr="006C3A75">
        <w:trPr>
          <w:trHeight w:val="227"/>
          <w:jc w:val="center"/>
        </w:trPr>
        <w:tc>
          <w:tcPr>
            <w:tcW w:w="2835" w:type="dxa"/>
            <w:vAlign w:val="center"/>
          </w:tcPr>
          <w:p w14:paraId="72AAFD96" w14:textId="5246D754" w:rsidR="00AD073E" w:rsidRPr="00AD073E" w:rsidRDefault="00AD073E" w:rsidP="000F4A1C">
            <w:pPr>
              <w:autoSpaceDE w:val="0"/>
              <w:autoSpaceDN w:val="0"/>
              <w:adjustRightInd w:val="0"/>
              <w:jc w:val="center"/>
              <w:rPr>
                <w:rFonts w:asciiTheme="majorHAnsi" w:hAnsiTheme="majorHAnsi" w:cstheme="majorHAnsi"/>
                <w:i/>
                <w:iCs/>
                <w:sz w:val="18"/>
                <w:szCs w:val="18"/>
              </w:rPr>
            </w:pPr>
            <w:r>
              <w:rPr>
                <w:rFonts w:asciiTheme="majorHAnsi" w:hAnsiTheme="majorHAnsi" w:cstheme="majorHAnsi"/>
                <w:i/>
                <w:iCs/>
                <w:sz w:val="18"/>
                <w:szCs w:val="18"/>
              </w:rPr>
              <w:t>10</w:t>
            </w:r>
          </w:p>
        </w:tc>
        <w:tc>
          <w:tcPr>
            <w:tcW w:w="3756" w:type="dxa"/>
            <w:vAlign w:val="center"/>
          </w:tcPr>
          <w:p w14:paraId="24CF67D1" w14:textId="1A0A818B" w:rsidR="00AD073E" w:rsidRPr="00AD073E" w:rsidRDefault="006C3A75" w:rsidP="000F4A1C">
            <w:pPr>
              <w:autoSpaceDE w:val="0"/>
              <w:autoSpaceDN w:val="0"/>
              <w:adjustRightInd w:val="0"/>
              <w:jc w:val="center"/>
              <w:rPr>
                <w:rFonts w:asciiTheme="majorHAnsi" w:hAnsiTheme="majorHAnsi" w:cstheme="majorHAnsi"/>
                <w:i/>
                <w:iCs/>
                <w:sz w:val="18"/>
                <w:szCs w:val="18"/>
              </w:rPr>
            </w:pPr>
            <w:r>
              <w:rPr>
                <w:rFonts w:asciiTheme="majorHAnsi" w:hAnsiTheme="majorHAnsi" w:cstheme="majorHAnsi"/>
                <w:i/>
                <w:iCs/>
                <w:sz w:val="18"/>
                <w:szCs w:val="18"/>
              </w:rPr>
              <w:t>Stříbrný roh – Polabský luh (vodní, nivní, borový)</w:t>
            </w:r>
          </w:p>
        </w:tc>
      </w:tr>
    </w:tbl>
    <w:p w14:paraId="630B4706" w14:textId="5C7F136D" w:rsidR="00AD073E" w:rsidRPr="00AD073E" w:rsidRDefault="00AD073E" w:rsidP="00AD073E">
      <w:pPr>
        <w:pStyle w:val="Mra2-reakceern"/>
        <w:spacing w:before="40" w:after="40"/>
        <w:ind w:left="142"/>
        <w:rPr>
          <w:rFonts w:asciiTheme="majorHAnsi" w:hAnsiTheme="majorHAnsi" w:cstheme="majorHAnsi"/>
          <w:color w:val="auto"/>
        </w:rPr>
      </w:pPr>
      <w:bookmarkStart w:id="68" w:name="_Hlk71566479"/>
      <w:r w:rsidRPr="00AD073E">
        <w:rPr>
          <w:rFonts w:asciiTheme="majorHAnsi" w:hAnsiTheme="majorHAnsi" w:cstheme="majorHAnsi"/>
          <w:color w:val="auto"/>
        </w:rPr>
        <w:t xml:space="preserve">Územní plán v řešeném území vymezuje a územně zpřesňuje nadregionální </w:t>
      </w:r>
      <w:r w:rsidR="00F432B3">
        <w:rPr>
          <w:rFonts w:asciiTheme="majorHAnsi" w:hAnsiTheme="majorHAnsi" w:cstheme="majorHAnsi"/>
          <w:color w:val="auto"/>
        </w:rPr>
        <w:t>biokoridor</w:t>
      </w:r>
      <w:r w:rsidRPr="00AD073E">
        <w:rPr>
          <w:rFonts w:asciiTheme="majorHAnsi" w:hAnsiTheme="majorHAnsi" w:cstheme="majorHAnsi"/>
          <w:color w:val="auto"/>
        </w:rPr>
        <w:t xml:space="preserve"> </w:t>
      </w:r>
      <w:r w:rsidR="00F432B3">
        <w:rPr>
          <w:rFonts w:asciiTheme="majorHAnsi" w:hAnsiTheme="majorHAnsi" w:cstheme="majorHAnsi"/>
          <w:color w:val="auto"/>
        </w:rPr>
        <w:t>NRBK.10 Stříbrný roh – Polabský Luh</w:t>
      </w:r>
      <w:r w:rsidRPr="00AD073E">
        <w:rPr>
          <w:rFonts w:asciiTheme="majorHAnsi" w:hAnsiTheme="majorHAnsi" w:cstheme="majorHAnsi"/>
          <w:color w:val="auto"/>
        </w:rPr>
        <w:t>. Je</w:t>
      </w:r>
      <w:r w:rsidR="00F432B3">
        <w:rPr>
          <w:rFonts w:asciiTheme="majorHAnsi" w:hAnsiTheme="majorHAnsi" w:cstheme="majorHAnsi"/>
          <w:color w:val="auto"/>
        </w:rPr>
        <w:t>ho</w:t>
      </w:r>
      <w:r w:rsidRPr="00AD073E">
        <w:rPr>
          <w:rFonts w:asciiTheme="majorHAnsi" w:hAnsiTheme="majorHAnsi" w:cstheme="majorHAnsi"/>
          <w:color w:val="auto"/>
        </w:rPr>
        <w:t xml:space="preserve"> vymezení je současně koordinováno s platnou ÚPD sousedních dotčených obcí. </w:t>
      </w:r>
      <w:r w:rsidR="00F432B3">
        <w:rPr>
          <w:rFonts w:asciiTheme="majorHAnsi" w:hAnsiTheme="majorHAnsi" w:cstheme="majorHAnsi"/>
          <w:color w:val="auto"/>
        </w:rPr>
        <w:t>Biokoridor je vymezen na plochách ekologicky stabilních bez nutnosti vymezení ploch změn a VPO pro zajištění funkčnosti skladebné části ÚSES</w:t>
      </w:r>
      <w:r w:rsidRPr="00AD073E">
        <w:rPr>
          <w:rFonts w:asciiTheme="majorHAnsi" w:hAnsiTheme="majorHAnsi" w:cstheme="majorHAnsi"/>
          <w:color w:val="auto"/>
        </w:rPr>
        <w:t>.</w:t>
      </w:r>
      <w:bookmarkEnd w:id="68"/>
    </w:p>
    <w:p w14:paraId="42B08CBE" w14:textId="77777777" w:rsidR="00AD073E" w:rsidRPr="00AD073E" w:rsidRDefault="00AD073E" w:rsidP="00AD073E">
      <w:pPr>
        <w:spacing w:before="120" w:after="60"/>
        <w:ind w:left="709" w:hanging="709"/>
        <w:jc w:val="both"/>
        <w:rPr>
          <w:rFonts w:asciiTheme="majorHAnsi" w:eastAsia="Calibri" w:hAnsiTheme="majorHAnsi" w:cstheme="majorHAnsi"/>
          <w:i/>
          <w:sz w:val="18"/>
          <w:szCs w:val="18"/>
        </w:rPr>
      </w:pPr>
      <w:r w:rsidRPr="00F432B3">
        <w:rPr>
          <w:rFonts w:asciiTheme="majorHAnsi" w:eastAsia="Calibri" w:hAnsiTheme="majorHAnsi" w:cstheme="majorHAnsi"/>
          <w:iCs/>
          <w:sz w:val="18"/>
          <w:szCs w:val="18"/>
        </w:rPr>
        <w:t>(193)</w:t>
      </w:r>
      <w:r w:rsidRPr="00AD073E">
        <w:rPr>
          <w:rFonts w:asciiTheme="majorHAnsi" w:eastAsia="Calibri" w:hAnsiTheme="majorHAnsi" w:cstheme="majorHAnsi"/>
          <w:i/>
          <w:sz w:val="18"/>
          <w:szCs w:val="18"/>
        </w:rPr>
        <w:tab/>
        <w:t xml:space="preserve">ZÚR vymezují na REGIONÁLNÍ úrovni: </w:t>
      </w:r>
    </w:p>
    <w:p w14:paraId="0A142D84" w14:textId="77777777" w:rsidR="00AD073E" w:rsidRPr="00AD073E" w:rsidRDefault="00AD073E" w:rsidP="00AD073E">
      <w:pPr>
        <w:spacing w:before="60" w:after="60"/>
        <w:ind w:left="851"/>
        <w:jc w:val="both"/>
        <w:rPr>
          <w:rFonts w:asciiTheme="majorHAnsi" w:hAnsiTheme="majorHAnsi" w:cstheme="majorHAnsi"/>
          <w:i/>
          <w:iCs/>
          <w:sz w:val="18"/>
          <w:szCs w:val="18"/>
          <w:lang w:eastAsia="cs-CZ"/>
        </w:rPr>
      </w:pPr>
      <w:r w:rsidRPr="00AD073E">
        <w:rPr>
          <w:rFonts w:asciiTheme="majorHAnsi" w:hAnsiTheme="majorHAnsi" w:cstheme="majorHAnsi"/>
          <w:i/>
          <w:iCs/>
          <w:sz w:val="18"/>
          <w:szCs w:val="18"/>
          <w:lang w:eastAsia="cs-CZ"/>
        </w:rPr>
        <w:t>a) biocentra</w:t>
      </w:r>
    </w:p>
    <w:tbl>
      <w:tblPr>
        <w:tblStyle w:val="Mkatabulky"/>
        <w:tblW w:w="0" w:type="auto"/>
        <w:jc w:val="center"/>
        <w:tblLayout w:type="fixed"/>
        <w:tblLook w:val="04A0" w:firstRow="1" w:lastRow="0" w:firstColumn="1" w:lastColumn="0" w:noHBand="0" w:noVBand="1"/>
      </w:tblPr>
      <w:tblGrid>
        <w:gridCol w:w="2835"/>
        <w:gridCol w:w="2835"/>
      </w:tblGrid>
      <w:tr w:rsidR="00AD073E" w:rsidRPr="00AD073E" w14:paraId="0DF82A45" w14:textId="77777777" w:rsidTr="000F4A1C">
        <w:trPr>
          <w:trHeight w:val="227"/>
          <w:jc w:val="center"/>
        </w:trPr>
        <w:tc>
          <w:tcPr>
            <w:tcW w:w="2835" w:type="dxa"/>
            <w:vAlign w:val="center"/>
          </w:tcPr>
          <w:p w14:paraId="4322E849" w14:textId="77777777" w:rsidR="00AD073E" w:rsidRPr="00AD073E" w:rsidRDefault="00AD073E" w:rsidP="000F4A1C">
            <w:pPr>
              <w:autoSpaceDE w:val="0"/>
              <w:autoSpaceDN w:val="0"/>
              <w:adjustRightInd w:val="0"/>
              <w:jc w:val="center"/>
              <w:rPr>
                <w:rFonts w:asciiTheme="majorHAnsi" w:hAnsiTheme="majorHAnsi" w:cstheme="majorHAnsi"/>
                <w:i/>
                <w:iCs/>
                <w:sz w:val="18"/>
                <w:szCs w:val="18"/>
              </w:rPr>
            </w:pPr>
            <w:r w:rsidRPr="00AD073E">
              <w:rPr>
                <w:rFonts w:asciiTheme="majorHAnsi" w:hAnsiTheme="majorHAnsi" w:cstheme="majorHAnsi"/>
                <w:i/>
                <w:iCs/>
                <w:sz w:val="18"/>
                <w:szCs w:val="18"/>
              </w:rPr>
              <w:t>NKOD</w:t>
            </w:r>
          </w:p>
        </w:tc>
        <w:tc>
          <w:tcPr>
            <w:tcW w:w="2835" w:type="dxa"/>
            <w:vAlign w:val="center"/>
          </w:tcPr>
          <w:p w14:paraId="2D360F5D" w14:textId="77777777" w:rsidR="00AD073E" w:rsidRPr="00AD073E" w:rsidRDefault="00AD073E" w:rsidP="000F4A1C">
            <w:pPr>
              <w:autoSpaceDE w:val="0"/>
              <w:autoSpaceDN w:val="0"/>
              <w:adjustRightInd w:val="0"/>
              <w:jc w:val="center"/>
              <w:rPr>
                <w:rFonts w:asciiTheme="majorHAnsi" w:hAnsiTheme="majorHAnsi" w:cstheme="majorHAnsi"/>
                <w:i/>
                <w:iCs/>
                <w:sz w:val="18"/>
                <w:szCs w:val="18"/>
              </w:rPr>
            </w:pPr>
            <w:r w:rsidRPr="00AD073E">
              <w:rPr>
                <w:rFonts w:asciiTheme="majorHAnsi" w:hAnsiTheme="majorHAnsi" w:cstheme="majorHAnsi"/>
                <w:i/>
                <w:iCs/>
                <w:sz w:val="18"/>
                <w:szCs w:val="18"/>
              </w:rPr>
              <w:t>Název</w:t>
            </w:r>
          </w:p>
        </w:tc>
      </w:tr>
      <w:tr w:rsidR="00AD073E" w:rsidRPr="00AD073E" w14:paraId="5B3AA90C" w14:textId="77777777" w:rsidTr="000F4A1C">
        <w:trPr>
          <w:trHeight w:val="227"/>
          <w:jc w:val="center"/>
        </w:trPr>
        <w:tc>
          <w:tcPr>
            <w:tcW w:w="2835" w:type="dxa"/>
            <w:vAlign w:val="center"/>
          </w:tcPr>
          <w:p w14:paraId="047A577C" w14:textId="4611BE45" w:rsidR="00AD073E" w:rsidRPr="00AD073E" w:rsidRDefault="006C3A75" w:rsidP="000F4A1C">
            <w:pPr>
              <w:autoSpaceDE w:val="0"/>
              <w:autoSpaceDN w:val="0"/>
              <w:adjustRightInd w:val="0"/>
              <w:jc w:val="center"/>
              <w:rPr>
                <w:rFonts w:asciiTheme="majorHAnsi" w:hAnsiTheme="majorHAnsi" w:cstheme="majorHAnsi"/>
                <w:i/>
                <w:iCs/>
                <w:sz w:val="18"/>
                <w:szCs w:val="18"/>
              </w:rPr>
            </w:pPr>
            <w:r>
              <w:rPr>
                <w:rFonts w:asciiTheme="majorHAnsi" w:hAnsiTheme="majorHAnsi" w:cstheme="majorHAnsi"/>
                <w:i/>
                <w:iCs/>
                <w:sz w:val="18"/>
                <w:szCs w:val="18"/>
              </w:rPr>
              <w:t>349</w:t>
            </w:r>
          </w:p>
        </w:tc>
        <w:tc>
          <w:tcPr>
            <w:tcW w:w="2835" w:type="dxa"/>
            <w:vAlign w:val="center"/>
          </w:tcPr>
          <w:p w14:paraId="647AEF49" w14:textId="3A35BB4D" w:rsidR="00AD073E" w:rsidRPr="00AD073E" w:rsidRDefault="00F432B3" w:rsidP="000F4A1C">
            <w:pPr>
              <w:autoSpaceDE w:val="0"/>
              <w:autoSpaceDN w:val="0"/>
              <w:adjustRightInd w:val="0"/>
              <w:jc w:val="center"/>
              <w:rPr>
                <w:rFonts w:asciiTheme="majorHAnsi" w:hAnsiTheme="majorHAnsi" w:cstheme="majorHAnsi"/>
                <w:i/>
                <w:iCs/>
                <w:sz w:val="18"/>
                <w:szCs w:val="18"/>
              </w:rPr>
            </w:pPr>
            <w:r>
              <w:rPr>
                <w:rFonts w:asciiTheme="majorHAnsi" w:hAnsiTheme="majorHAnsi" w:cstheme="majorHAnsi"/>
                <w:i/>
                <w:iCs/>
                <w:sz w:val="18"/>
                <w:szCs w:val="18"/>
              </w:rPr>
              <w:t>Niva Labe u Lysé nad Labem</w:t>
            </w:r>
          </w:p>
        </w:tc>
      </w:tr>
    </w:tbl>
    <w:p w14:paraId="202518F1" w14:textId="6C763263" w:rsidR="00AD073E" w:rsidRPr="00AD073E" w:rsidRDefault="00AD073E" w:rsidP="00AD073E">
      <w:pPr>
        <w:pStyle w:val="Mra2-reakceern"/>
        <w:spacing w:before="40" w:after="40"/>
        <w:ind w:left="142"/>
        <w:rPr>
          <w:rFonts w:asciiTheme="majorHAnsi" w:hAnsiTheme="majorHAnsi" w:cstheme="majorHAnsi"/>
          <w:color w:val="auto"/>
        </w:rPr>
      </w:pPr>
      <w:bookmarkStart w:id="69" w:name="_Hlk71567182"/>
      <w:r w:rsidRPr="00AD073E">
        <w:rPr>
          <w:rFonts w:asciiTheme="majorHAnsi" w:hAnsiTheme="majorHAnsi" w:cstheme="majorHAnsi"/>
          <w:color w:val="auto"/>
        </w:rPr>
        <w:t xml:space="preserve">Územní plán v řešeném území vymezuje a územně zpřesňuje </w:t>
      </w:r>
      <w:r w:rsidR="00F432B3">
        <w:rPr>
          <w:rFonts w:asciiTheme="majorHAnsi" w:hAnsiTheme="majorHAnsi" w:cstheme="majorHAnsi"/>
          <w:color w:val="auto"/>
        </w:rPr>
        <w:t xml:space="preserve">část </w:t>
      </w:r>
      <w:r w:rsidRPr="00AD073E">
        <w:rPr>
          <w:rFonts w:asciiTheme="majorHAnsi" w:hAnsiTheme="majorHAnsi" w:cstheme="majorHAnsi"/>
          <w:color w:val="auto"/>
        </w:rPr>
        <w:t>regionální</w:t>
      </w:r>
      <w:r w:rsidR="00F432B3">
        <w:rPr>
          <w:rFonts w:asciiTheme="majorHAnsi" w:hAnsiTheme="majorHAnsi" w:cstheme="majorHAnsi"/>
          <w:color w:val="auto"/>
        </w:rPr>
        <w:t>ho</w:t>
      </w:r>
      <w:r w:rsidRPr="00AD073E">
        <w:rPr>
          <w:rFonts w:asciiTheme="majorHAnsi" w:hAnsiTheme="majorHAnsi" w:cstheme="majorHAnsi"/>
          <w:color w:val="auto"/>
        </w:rPr>
        <w:t xml:space="preserve"> biocentr</w:t>
      </w:r>
      <w:r w:rsidR="00F432B3">
        <w:rPr>
          <w:rFonts w:asciiTheme="majorHAnsi" w:hAnsiTheme="majorHAnsi" w:cstheme="majorHAnsi"/>
          <w:color w:val="auto"/>
        </w:rPr>
        <w:t>a</w:t>
      </w:r>
      <w:r w:rsidRPr="00AD073E">
        <w:rPr>
          <w:rFonts w:asciiTheme="majorHAnsi" w:hAnsiTheme="majorHAnsi" w:cstheme="majorHAnsi"/>
          <w:color w:val="auto"/>
        </w:rPr>
        <w:t xml:space="preserve"> RC </w:t>
      </w:r>
      <w:r w:rsidR="00F432B3">
        <w:rPr>
          <w:rFonts w:asciiTheme="majorHAnsi" w:hAnsiTheme="majorHAnsi" w:cstheme="majorHAnsi"/>
          <w:color w:val="auto"/>
        </w:rPr>
        <w:t>349 Niva Labe u Lysé nad Labem</w:t>
      </w:r>
      <w:r w:rsidRPr="00AD073E">
        <w:rPr>
          <w:rFonts w:asciiTheme="majorHAnsi" w:hAnsiTheme="majorHAnsi" w:cstheme="majorHAnsi"/>
          <w:color w:val="auto"/>
        </w:rPr>
        <w:t xml:space="preserve">. </w:t>
      </w:r>
      <w:r w:rsidR="00F432B3" w:rsidRPr="00AD073E">
        <w:rPr>
          <w:rFonts w:asciiTheme="majorHAnsi" w:hAnsiTheme="majorHAnsi" w:cstheme="majorHAnsi"/>
          <w:color w:val="auto"/>
        </w:rPr>
        <w:t>Je</w:t>
      </w:r>
      <w:r w:rsidR="00F432B3">
        <w:rPr>
          <w:rFonts w:asciiTheme="majorHAnsi" w:hAnsiTheme="majorHAnsi" w:cstheme="majorHAnsi"/>
          <w:color w:val="auto"/>
        </w:rPr>
        <w:t>ho</w:t>
      </w:r>
      <w:r w:rsidR="00F432B3" w:rsidRPr="00AD073E">
        <w:rPr>
          <w:rFonts w:asciiTheme="majorHAnsi" w:hAnsiTheme="majorHAnsi" w:cstheme="majorHAnsi"/>
          <w:color w:val="auto"/>
        </w:rPr>
        <w:t xml:space="preserve"> vymezení je současně koordinováno s platnou ÚPD sousedních dotčených obcí. </w:t>
      </w:r>
      <w:r w:rsidR="00F432B3">
        <w:rPr>
          <w:rFonts w:asciiTheme="majorHAnsi" w:hAnsiTheme="majorHAnsi" w:cstheme="majorHAnsi"/>
          <w:color w:val="auto"/>
        </w:rPr>
        <w:t>Biocentrum je vymezen na plochách ekologicky stabilních bez nutnosti vymezení ploch změn a VPO pro zajištění funkčnosti skladebné části ÚSES</w:t>
      </w:r>
      <w:r w:rsidRPr="00AD073E">
        <w:rPr>
          <w:rFonts w:asciiTheme="majorHAnsi" w:hAnsiTheme="majorHAnsi" w:cstheme="majorHAnsi"/>
          <w:color w:val="auto"/>
        </w:rPr>
        <w:t xml:space="preserve">. </w:t>
      </w:r>
      <w:bookmarkEnd w:id="69"/>
    </w:p>
    <w:p w14:paraId="4A3A9A2F" w14:textId="77777777" w:rsidR="00AD073E" w:rsidRPr="00AD073E" w:rsidRDefault="00AD073E" w:rsidP="00AD073E">
      <w:pPr>
        <w:keepNext/>
        <w:spacing w:before="120" w:after="60"/>
        <w:ind w:left="709" w:hanging="709"/>
        <w:jc w:val="both"/>
        <w:rPr>
          <w:rFonts w:asciiTheme="majorHAnsi" w:eastAsia="Calibri" w:hAnsiTheme="majorHAnsi" w:cstheme="majorHAnsi"/>
          <w:i/>
          <w:sz w:val="18"/>
          <w:szCs w:val="18"/>
        </w:rPr>
      </w:pPr>
      <w:r w:rsidRPr="00F432B3">
        <w:rPr>
          <w:rFonts w:asciiTheme="majorHAnsi" w:eastAsia="Calibri" w:hAnsiTheme="majorHAnsi" w:cstheme="majorHAnsi"/>
          <w:iCs/>
          <w:sz w:val="18"/>
          <w:szCs w:val="18"/>
        </w:rPr>
        <w:t>(194)</w:t>
      </w:r>
      <w:r w:rsidRPr="00AD073E">
        <w:rPr>
          <w:rFonts w:asciiTheme="majorHAnsi" w:eastAsia="Calibri" w:hAnsiTheme="majorHAnsi" w:cstheme="majorHAnsi"/>
          <w:i/>
          <w:sz w:val="18"/>
          <w:szCs w:val="18"/>
        </w:rPr>
        <w:tab/>
        <w:t xml:space="preserve">ZÚR stanovují tyto zásady pro usměrňování územního rozvoje a rozhodování o změnách v území: </w:t>
      </w:r>
    </w:p>
    <w:p w14:paraId="4539E599" w14:textId="77777777" w:rsidR="00AD073E" w:rsidRPr="00AD073E" w:rsidRDefault="00AD073E" w:rsidP="004C536A">
      <w:pPr>
        <w:spacing w:after="60"/>
        <w:ind w:left="709"/>
        <w:jc w:val="both"/>
        <w:rPr>
          <w:rFonts w:asciiTheme="majorHAnsi" w:hAnsiTheme="majorHAnsi" w:cstheme="majorHAnsi"/>
          <w:i/>
          <w:iCs/>
          <w:sz w:val="18"/>
          <w:szCs w:val="18"/>
          <w:lang w:eastAsia="cs-CZ"/>
        </w:rPr>
      </w:pPr>
      <w:r w:rsidRPr="00AD073E">
        <w:rPr>
          <w:rFonts w:asciiTheme="majorHAnsi" w:hAnsiTheme="majorHAnsi" w:cstheme="majorHAnsi"/>
          <w:i/>
          <w:iCs/>
          <w:sz w:val="18"/>
          <w:szCs w:val="18"/>
          <w:lang w:eastAsia="cs-CZ"/>
        </w:rPr>
        <w:t>a) chránit vymezené plochy a koridory pro ÚSES před změnami ve využití území, jejichž důsledkem je:</w:t>
      </w:r>
    </w:p>
    <w:p w14:paraId="592A0755" w14:textId="77777777" w:rsidR="00AD073E" w:rsidRPr="00AD073E" w:rsidRDefault="00AD073E" w:rsidP="00AD073E">
      <w:pPr>
        <w:pStyle w:val="Odstavecseseznamem"/>
        <w:numPr>
          <w:ilvl w:val="0"/>
          <w:numId w:val="47"/>
        </w:numPr>
        <w:jc w:val="both"/>
        <w:rPr>
          <w:rFonts w:asciiTheme="majorHAnsi" w:hAnsiTheme="majorHAnsi" w:cstheme="majorHAnsi"/>
          <w:i/>
          <w:iCs/>
          <w:sz w:val="18"/>
          <w:szCs w:val="18"/>
          <w:lang w:eastAsia="cs-CZ"/>
        </w:rPr>
      </w:pPr>
      <w:r w:rsidRPr="00AD073E">
        <w:rPr>
          <w:rFonts w:asciiTheme="majorHAnsi" w:hAnsiTheme="majorHAnsi" w:cstheme="majorHAnsi"/>
          <w:i/>
          <w:iCs/>
          <w:sz w:val="18"/>
          <w:szCs w:val="18"/>
          <w:lang w:eastAsia="cs-CZ"/>
        </w:rPr>
        <w:t>snížení stupně ekologické stability těchto ploch;</w:t>
      </w:r>
    </w:p>
    <w:p w14:paraId="3C681F2C" w14:textId="77777777" w:rsidR="00AD073E" w:rsidRPr="00AD073E" w:rsidRDefault="00AD073E" w:rsidP="00AD073E">
      <w:pPr>
        <w:pStyle w:val="Odstavecseseznamem"/>
        <w:numPr>
          <w:ilvl w:val="0"/>
          <w:numId w:val="47"/>
        </w:numPr>
        <w:jc w:val="both"/>
        <w:rPr>
          <w:rFonts w:asciiTheme="majorHAnsi" w:hAnsiTheme="majorHAnsi" w:cstheme="majorHAnsi"/>
          <w:i/>
          <w:iCs/>
          <w:sz w:val="18"/>
          <w:szCs w:val="18"/>
          <w:lang w:eastAsia="cs-CZ"/>
        </w:rPr>
      </w:pPr>
      <w:r w:rsidRPr="00AD073E">
        <w:rPr>
          <w:rFonts w:asciiTheme="majorHAnsi" w:hAnsiTheme="majorHAnsi" w:cstheme="majorHAnsi"/>
          <w:i/>
          <w:iCs/>
          <w:sz w:val="18"/>
          <w:szCs w:val="18"/>
          <w:lang w:eastAsia="cs-CZ"/>
        </w:rPr>
        <w:t>znemožnění budoucího založení vymezené skladebné části ÚSES nebo narušení kontinuity ÚSES v požadovaných prostorových parametrech;</w:t>
      </w:r>
    </w:p>
    <w:p w14:paraId="0180A5EB" w14:textId="77777777" w:rsidR="00AD073E" w:rsidRPr="00AD073E" w:rsidRDefault="00AD073E" w:rsidP="00AD073E">
      <w:pPr>
        <w:pStyle w:val="Odstavecseseznamem"/>
        <w:numPr>
          <w:ilvl w:val="0"/>
          <w:numId w:val="47"/>
        </w:numPr>
        <w:jc w:val="both"/>
        <w:rPr>
          <w:rFonts w:asciiTheme="majorHAnsi" w:hAnsiTheme="majorHAnsi" w:cstheme="majorHAnsi"/>
          <w:i/>
          <w:iCs/>
          <w:sz w:val="18"/>
          <w:szCs w:val="18"/>
          <w:lang w:eastAsia="cs-CZ"/>
        </w:rPr>
      </w:pPr>
      <w:r w:rsidRPr="00AD073E">
        <w:rPr>
          <w:rFonts w:asciiTheme="majorHAnsi" w:hAnsiTheme="majorHAnsi" w:cstheme="majorHAnsi"/>
          <w:i/>
          <w:iCs/>
          <w:sz w:val="18"/>
          <w:szCs w:val="18"/>
          <w:lang w:eastAsia="cs-CZ"/>
        </w:rPr>
        <w:t>zánik skladebné části ÚSES.</w:t>
      </w:r>
    </w:p>
    <w:p w14:paraId="3F69CE0F" w14:textId="77777777" w:rsidR="00AD073E" w:rsidRPr="00AD073E" w:rsidRDefault="00AD073E" w:rsidP="004C536A">
      <w:pPr>
        <w:spacing w:after="60"/>
        <w:ind w:left="709"/>
        <w:jc w:val="both"/>
        <w:rPr>
          <w:rFonts w:asciiTheme="majorHAnsi" w:hAnsiTheme="majorHAnsi" w:cstheme="majorHAnsi"/>
          <w:i/>
          <w:iCs/>
          <w:sz w:val="18"/>
          <w:szCs w:val="18"/>
          <w:lang w:eastAsia="cs-CZ"/>
        </w:rPr>
      </w:pPr>
      <w:r w:rsidRPr="00AD073E">
        <w:rPr>
          <w:rFonts w:asciiTheme="majorHAnsi" w:hAnsiTheme="majorHAnsi" w:cstheme="majorHAnsi"/>
          <w:i/>
          <w:iCs/>
          <w:sz w:val="18"/>
          <w:szCs w:val="18"/>
          <w:lang w:eastAsia="cs-CZ"/>
        </w:rPr>
        <w:t>b) při řešení střetů skladebných částí ÚSES s ochranou a využíváním ložisek nerostných surovin uplatňovat tyto zásady:</w:t>
      </w:r>
    </w:p>
    <w:p w14:paraId="5912FD4D" w14:textId="77777777" w:rsidR="00AD073E" w:rsidRPr="00AD073E" w:rsidRDefault="00AD073E" w:rsidP="00AD073E">
      <w:pPr>
        <w:pStyle w:val="Odstavecseseznamem"/>
        <w:numPr>
          <w:ilvl w:val="0"/>
          <w:numId w:val="47"/>
        </w:numPr>
        <w:jc w:val="both"/>
        <w:rPr>
          <w:rFonts w:asciiTheme="majorHAnsi" w:hAnsiTheme="majorHAnsi" w:cstheme="majorHAnsi"/>
          <w:i/>
          <w:iCs/>
          <w:sz w:val="18"/>
          <w:szCs w:val="18"/>
          <w:lang w:eastAsia="cs-CZ"/>
        </w:rPr>
      </w:pPr>
      <w:r w:rsidRPr="00AD073E">
        <w:rPr>
          <w:rFonts w:asciiTheme="majorHAnsi" w:hAnsiTheme="majorHAnsi" w:cstheme="majorHAnsi"/>
          <w:i/>
          <w:iCs/>
          <w:sz w:val="18"/>
          <w:szCs w:val="18"/>
          <w:lang w:eastAsia="cs-CZ"/>
        </w:rPr>
        <w:t>skladebné části ÚSES přednostně upřesňovat mimo plochy zjištěných a předpokládaných ložisek nerostů,</w:t>
      </w:r>
    </w:p>
    <w:p w14:paraId="488C4ED6" w14:textId="77777777" w:rsidR="00AD073E" w:rsidRPr="00AD073E" w:rsidRDefault="00AD073E" w:rsidP="00AD073E">
      <w:pPr>
        <w:pStyle w:val="Odstavecseseznamem"/>
        <w:numPr>
          <w:ilvl w:val="0"/>
          <w:numId w:val="47"/>
        </w:numPr>
        <w:jc w:val="both"/>
        <w:rPr>
          <w:rFonts w:asciiTheme="majorHAnsi" w:hAnsiTheme="majorHAnsi" w:cstheme="majorHAnsi"/>
          <w:i/>
          <w:iCs/>
          <w:sz w:val="18"/>
          <w:szCs w:val="18"/>
          <w:lang w:eastAsia="cs-CZ"/>
        </w:rPr>
      </w:pPr>
      <w:r w:rsidRPr="00AD073E">
        <w:rPr>
          <w:rFonts w:asciiTheme="majorHAnsi" w:hAnsiTheme="majorHAnsi" w:cstheme="majorHAnsi"/>
          <w:i/>
          <w:iCs/>
          <w:sz w:val="18"/>
          <w:szCs w:val="18"/>
          <w:lang w:eastAsia="cs-CZ"/>
        </w:rPr>
        <w:t>případné upřesnění biocentra nebo biokoridoru v ploše ložiska nerostné suroviny není překážkou využití ložiska za podmínky současného zajištění funkčnosti skladebných částí ÚSES během těžební činnosti nebo obnovení jejich funkčnosti v rámci rekultivace těžbou dotčených ploch;</w:t>
      </w:r>
    </w:p>
    <w:p w14:paraId="49B935BE" w14:textId="77777777" w:rsidR="00AD073E" w:rsidRPr="00AD073E" w:rsidRDefault="00AD073E" w:rsidP="00AD073E">
      <w:pPr>
        <w:keepNext/>
        <w:spacing w:before="120" w:after="60"/>
        <w:ind w:left="709" w:hanging="709"/>
        <w:jc w:val="both"/>
        <w:rPr>
          <w:rFonts w:asciiTheme="majorHAnsi" w:eastAsia="Calibri" w:hAnsiTheme="majorHAnsi" w:cstheme="majorHAnsi"/>
          <w:i/>
          <w:sz w:val="18"/>
          <w:szCs w:val="18"/>
        </w:rPr>
      </w:pPr>
      <w:r w:rsidRPr="00AD073E">
        <w:rPr>
          <w:rFonts w:asciiTheme="majorHAnsi" w:eastAsia="Calibri" w:hAnsiTheme="majorHAnsi" w:cstheme="majorHAnsi"/>
          <w:i/>
          <w:sz w:val="18"/>
          <w:szCs w:val="18"/>
        </w:rPr>
        <w:t xml:space="preserve">(195) </w:t>
      </w:r>
      <w:r w:rsidRPr="00AD073E">
        <w:rPr>
          <w:rFonts w:asciiTheme="majorHAnsi" w:eastAsia="Calibri" w:hAnsiTheme="majorHAnsi" w:cstheme="majorHAnsi"/>
          <w:i/>
          <w:sz w:val="18"/>
          <w:szCs w:val="18"/>
        </w:rPr>
        <w:tab/>
        <w:t>ZÚR stanovují tyto úkoly pro územní plánování:</w:t>
      </w:r>
    </w:p>
    <w:p w14:paraId="614F973C" w14:textId="77777777" w:rsidR="00AD073E" w:rsidRPr="00AD073E" w:rsidRDefault="00AD073E" w:rsidP="004C536A">
      <w:pPr>
        <w:spacing w:after="60"/>
        <w:ind w:left="709"/>
        <w:jc w:val="both"/>
        <w:rPr>
          <w:rFonts w:asciiTheme="majorHAnsi" w:hAnsiTheme="majorHAnsi" w:cstheme="majorHAnsi"/>
          <w:i/>
          <w:iCs/>
          <w:sz w:val="18"/>
          <w:szCs w:val="18"/>
          <w:lang w:eastAsia="cs-CZ"/>
        </w:rPr>
      </w:pPr>
      <w:r w:rsidRPr="00AD073E">
        <w:rPr>
          <w:rFonts w:asciiTheme="majorHAnsi" w:hAnsiTheme="majorHAnsi" w:cstheme="majorHAnsi"/>
          <w:i/>
          <w:iCs/>
          <w:sz w:val="18"/>
          <w:szCs w:val="18"/>
          <w:lang w:eastAsia="cs-CZ"/>
        </w:rPr>
        <w:t>a) v plochách a koridorech ÚSES vymezovat konkrétní biocentra, včetně vložených lokálních biocenter, a biokoridory; při upřesňování vymezení biocenter a biokoridorů ÚSES v rámci ÚP dotčených obcí zajistit prostorové parametry biocenter a biokoridorů tak, aby byla zachována funkčnost systému;</w:t>
      </w:r>
    </w:p>
    <w:p w14:paraId="4569B123" w14:textId="4FAF02A9" w:rsidR="00AD073E" w:rsidRPr="00AD073E" w:rsidRDefault="00AD073E" w:rsidP="004C536A">
      <w:pPr>
        <w:spacing w:after="60"/>
        <w:ind w:left="709"/>
        <w:jc w:val="both"/>
        <w:rPr>
          <w:rFonts w:asciiTheme="majorHAnsi" w:hAnsiTheme="majorHAnsi" w:cstheme="majorHAnsi"/>
          <w:i/>
          <w:iCs/>
          <w:sz w:val="18"/>
          <w:szCs w:val="18"/>
          <w:lang w:eastAsia="cs-CZ"/>
        </w:rPr>
      </w:pPr>
      <w:r w:rsidRPr="00AD073E">
        <w:rPr>
          <w:rFonts w:asciiTheme="majorHAnsi" w:hAnsiTheme="majorHAnsi" w:cstheme="majorHAnsi"/>
          <w:i/>
          <w:iCs/>
          <w:sz w:val="18"/>
          <w:szCs w:val="18"/>
          <w:lang w:eastAsia="cs-CZ"/>
        </w:rPr>
        <w:t>b) vymezení biocenter a biokoridorů ÚSES koordinovat s vymezením ÚSES na navazujícím území sousedních obcí i</w:t>
      </w:r>
      <w:r w:rsidR="004C536A">
        <w:rPr>
          <w:rFonts w:asciiTheme="majorHAnsi" w:hAnsiTheme="majorHAnsi" w:cstheme="majorHAnsi"/>
          <w:i/>
          <w:iCs/>
          <w:sz w:val="18"/>
          <w:szCs w:val="18"/>
          <w:lang w:eastAsia="cs-CZ"/>
        </w:rPr>
        <w:t> </w:t>
      </w:r>
      <w:r w:rsidRPr="00AD073E">
        <w:rPr>
          <w:rFonts w:asciiTheme="majorHAnsi" w:hAnsiTheme="majorHAnsi" w:cstheme="majorHAnsi"/>
          <w:i/>
          <w:iCs/>
          <w:sz w:val="18"/>
          <w:szCs w:val="18"/>
          <w:lang w:eastAsia="cs-CZ"/>
        </w:rPr>
        <w:t>krajů;</w:t>
      </w:r>
    </w:p>
    <w:p w14:paraId="02BD6B7A" w14:textId="77777777" w:rsidR="00AD073E" w:rsidRPr="00AD073E" w:rsidRDefault="00AD073E" w:rsidP="004C536A">
      <w:pPr>
        <w:spacing w:after="60"/>
        <w:ind w:left="709"/>
        <w:jc w:val="both"/>
        <w:rPr>
          <w:rFonts w:asciiTheme="majorHAnsi" w:hAnsiTheme="majorHAnsi" w:cstheme="majorHAnsi"/>
          <w:i/>
          <w:iCs/>
          <w:sz w:val="18"/>
          <w:szCs w:val="18"/>
          <w:lang w:eastAsia="cs-CZ"/>
        </w:rPr>
      </w:pPr>
      <w:r w:rsidRPr="00AD073E">
        <w:rPr>
          <w:rFonts w:asciiTheme="majorHAnsi" w:hAnsiTheme="majorHAnsi" w:cstheme="majorHAnsi"/>
          <w:i/>
          <w:iCs/>
          <w:sz w:val="18"/>
          <w:szCs w:val="18"/>
          <w:lang w:eastAsia="cs-CZ"/>
        </w:rPr>
        <w:t>c) zohledňovat reprezentativnost biocenter a biokoridorů ÚSES dle stanovených cílových ekosystémů;</w:t>
      </w:r>
    </w:p>
    <w:p w14:paraId="37D0E00B" w14:textId="77777777" w:rsidR="00AD073E" w:rsidRPr="00AD073E" w:rsidRDefault="00AD073E" w:rsidP="004C536A">
      <w:pPr>
        <w:spacing w:after="60"/>
        <w:ind w:left="709"/>
        <w:jc w:val="both"/>
        <w:rPr>
          <w:rFonts w:asciiTheme="majorHAnsi" w:hAnsiTheme="majorHAnsi" w:cstheme="majorHAnsi"/>
          <w:i/>
          <w:iCs/>
          <w:sz w:val="18"/>
          <w:szCs w:val="18"/>
          <w:lang w:eastAsia="cs-CZ"/>
        </w:rPr>
      </w:pPr>
      <w:r w:rsidRPr="00AD073E">
        <w:rPr>
          <w:rFonts w:asciiTheme="majorHAnsi" w:hAnsiTheme="majorHAnsi" w:cstheme="majorHAnsi"/>
          <w:i/>
          <w:iCs/>
          <w:sz w:val="18"/>
          <w:szCs w:val="18"/>
          <w:lang w:eastAsia="cs-CZ"/>
        </w:rPr>
        <w:t>d) biocentra a biokoridory ÚSES přednostně vymezovat mimo zastavěná a zastavitelná území sídel je-li to vzhledem k charakteru příslušné skladebné části a jejímu cílovému ekosystému možné;</w:t>
      </w:r>
    </w:p>
    <w:p w14:paraId="632FCCBB" w14:textId="77777777" w:rsidR="00AD073E" w:rsidRPr="00AD073E" w:rsidRDefault="00AD073E" w:rsidP="004C536A">
      <w:pPr>
        <w:spacing w:after="60"/>
        <w:ind w:left="709"/>
        <w:jc w:val="both"/>
        <w:rPr>
          <w:rFonts w:asciiTheme="majorHAnsi" w:hAnsiTheme="majorHAnsi" w:cstheme="majorHAnsi"/>
          <w:i/>
          <w:iCs/>
          <w:sz w:val="18"/>
          <w:szCs w:val="18"/>
          <w:lang w:eastAsia="cs-CZ"/>
        </w:rPr>
      </w:pPr>
      <w:r w:rsidRPr="00AD073E">
        <w:rPr>
          <w:rFonts w:asciiTheme="majorHAnsi" w:hAnsiTheme="majorHAnsi" w:cstheme="majorHAnsi"/>
          <w:i/>
          <w:iCs/>
          <w:sz w:val="18"/>
          <w:szCs w:val="18"/>
          <w:lang w:eastAsia="cs-CZ"/>
        </w:rPr>
        <w:t>e) při upřesňování vymezení biocenter a biokoridorů preferovat řešení, která budou minimalizovat střety s liniovými stavbami dopravní a technické infrastruktury; provádět vzájemnou koordinaci ÚSES a ploch či koridorů liniové dopravní a technické infrastruktury;</w:t>
      </w:r>
    </w:p>
    <w:p w14:paraId="3BCDFE65" w14:textId="77777777" w:rsidR="00AD073E" w:rsidRPr="00AD073E" w:rsidRDefault="00AD073E" w:rsidP="004C536A">
      <w:pPr>
        <w:spacing w:after="60"/>
        <w:ind w:left="709"/>
        <w:jc w:val="both"/>
        <w:rPr>
          <w:rFonts w:asciiTheme="majorHAnsi" w:hAnsiTheme="majorHAnsi" w:cstheme="majorHAnsi"/>
          <w:i/>
          <w:iCs/>
          <w:sz w:val="18"/>
          <w:szCs w:val="18"/>
          <w:lang w:eastAsia="cs-CZ"/>
        </w:rPr>
      </w:pPr>
      <w:r w:rsidRPr="00AD073E">
        <w:rPr>
          <w:rFonts w:asciiTheme="majorHAnsi" w:hAnsiTheme="majorHAnsi" w:cstheme="majorHAnsi"/>
          <w:i/>
          <w:iCs/>
          <w:sz w:val="18"/>
          <w:szCs w:val="18"/>
          <w:lang w:eastAsia="cs-CZ"/>
        </w:rPr>
        <w:t>f) vymezování a stanovování podmínek pro využití ploch a koridorů v ÚP s překryvnou funkcí ÚSES koordinovat s podmínkami funkčnosti skladebných částí ÚSES; při vyloučení negativních vlivů na funkčnost biocenter a biokoridorů není využití území pro liniové stavby dopravní a technické infrastruktury důvodem pro nefunkčnost skladebné části ÚSES;</w:t>
      </w:r>
    </w:p>
    <w:p w14:paraId="68A54813" w14:textId="77777777" w:rsidR="00AD073E" w:rsidRPr="00AD073E" w:rsidRDefault="00AD073E" w:rsidP="004C536A">
      <w:pPr>
        <w:spacing w:after="60"/>
        <w:ind w:left="709"/>
        <w:jc w:val="both"/>
        <w:rPr>
          <w:rFonts w:asciiTheme="majorHAnsi" w:hAnsiTheme="majorHAnsi" w:cstheme="majorHAnsi"/>
          <w:i/>
          <w:iCs/>
          <w:sz w:val="18"/>
          <w:szCs w:val="18"/>
          <w:lang w:eastAsia="cs-CZ"/>
        </w:rPr>
      </w:pPr>
      <w:r w:rsidRPr="00AD073E">
        <w:rPr>
          <w:rFonts w:asciiTheme="majorHAnsi" w:hAnsiTheme="majorHAnsi" w:cstheme="majorHAnsi"/>
          <w:i/>
          <w:iCs/>
          <w:sz w:val="18"/>
          <w:szCs w:val="18"/>
          <w:lang w:eastAsia="cs-CZ"/>
        </w:rPr>
        <w:lastRenderedPageBreak/>
        <w:t>g) v zastavěných území pro biokoridory a biocentra vyhledat maximu vhodných ploch pro zařazení do ÚSES a zajistit tak jeho kontinuitu a dle možností i prostorové parametry; v zastavěných území lze využít ploch sídelní zeleně;</w:t>
      </w:r>
    </w:p>
    <w:p w14:paraId="27CAE383" w14:textId="77777777" w:rsidR="00AD073E" w:rsidRPr="00AD073E" w:rsidRDefault="00AD073E" w:rsidP="004C536A">
      <w:pPr>
        <w:spacing w:after="60"/>
        <w:ind w:left="709"/>
        <w:jc w:val="both"/>
        <w:rPr>
          <w:rFonts w:asciiTheme="majorHAnsi" w:hAnsiTheme="majorHAnsi" w:cstheme="majorHAnsi"/>
          <w:i/>
          <w:iCs/>
          <w:sz w:val="18"/>
          <w:szCs w:val="18"/>
          <w:lang w:eastAsia="cs-CZ"/>
        </w:rPr>
      </w:pPr>
      <w:r w:rsidRPr="00AD073E">
        <w:rPr>
          <w:rFonts w:asciiTheme="majorHAnsi" w:hAnsiTheme="majorHAnsi" w:cstheme="majorHAnsi"/>
          <w:i/>
          <w:iCs/>
          <w:sz w:val="18"/>
          <w:szCs w:val="18"/>
          <w:lang w:eastAsia="cs-CZ"/>
        </w:rPr>
        <w:t>h) při zpřesňování ÚSES v nezastavěném území zohledňovat přírodní i antropogenní hrany a linie v krajině.</w:t>
      </w:r>
    </w:p>
    <w:p w14:paraId="2D86CD91" w14:textId="0805F6D3" w:rsidR="00AD073E" w:rsidRPr="00AD073E" w:rsidRDefault="00AD073E" w:rsidP="00AD073E">
      <w:pPr>
        <w:pStyle w:val="Mra2-reakceern"/>
        <w:spacing w:before="40" w:after="40"/>
        <w:ind w:left="142"/>
        <w:rPr>
          <w:rFonts w:asciiTheme="majorHAnsi" w:hAnsiTheme="majorHAnsi" w:cstheme="majorHAnsi"/>
          <w:color w:val="auto"/>
        </w:rPr>
      </w:pPr>
      <w:r w:rsidRPr="00AD073E">
        <w:rPr>
          <w:rFonts w:asciiTheme="majorHAnsi" w:hAnsiTheme="majorHAnsi" w:cstheme="majorHAnsi"/>
          <w:color w:val="auto"/>
        </w:rPr>
        <w:t xml:space="preserve">Skladebné části ÚSES regionální a nadregionální úrovně jsou územním plánem v řešeném území stabilizovány a územně zpřesněny a respektovány jako nezastavitelné. V rámci koncepce uspořádání krajiny jsou pro plochy skladebných částí ÚSES stanoveny zásady zajišťující zvýšení biodiverzity a ekologické stability krajiny. Územní systém ekologické stability je v řešeném území vymezen v souladu s platnými metodickými pokyny a doporučeními ze souvisejících oborových podkladů. </w:t>
      </w:r>
    </w:p>
    <w:p w14:paraId="1E63A0E6" w14:textId="4AAC538C" w:rsidR="0068493C" w:rsidRPr="00225BD6" w:rsidRDefault="0068493C" w:rsidP="00225BD6">
      <w:pPr>
        <w:pStyle w:val="Odstavecseseznamem"/>
        <w:numPr>
          <w:ilvl w:val="0"/>
          <w:numId w:val="45"/>
        </w:numPr>
        <w:pBdr>
          <w:bottom w:val="single" w:sz="4" w:space="1" w:color="auto"/>
        </w:pBdr>
        <w:spacing w:before="120" w:after="0" w:line="240" w:lineRule="auto"/>
        <w:ind w:left="284" w:hanging="284"/>
        <w:jc w:val="both"/>
        <w:rPr>
          <w:rFonts w:asciiTheme="majorHAnsi" w:hAnsiTheme="majorHAnsi" w:cstheme="majorHAnsi"/>
          <w:b/>
          <w:sz w:val="18"/>
          <w:szCs w:val="18"/>
        </w:rPr>
      </w:pPr>
      <w:r w:rsidRPr="00225BD6">
        <w:rPr>
          <w:rFonts w:asciiTheme="majorHAnsi" w:hAnsiTheme="majorHAnsi" w:cstheme="majorHAnsi"/>
          <w:b/>
          <w:sz w:val="18"/>
          <w:szCs w:val="18"/>
        </w:rPr>
        <w:t>UPŘESNĚNÍ ÚZEMNÍCH PODMÍNEK KONCEPCE OCHRANY A ROZVOJE PŘÍRODNÍCH, KULTURNÍCH A CIVILIZAČNÍCH HODNOT ÚZEMÍ</w:t>
      </w:r>
    </w:p>
    <w:p w14:paraId="6F206541" w14:textId="77777777" w:rsidR="0068493C" w:rsidRPr="006070EA" w:rsidRDefault="0068493C" w:rsidP="0068493C">
      <w:pPr>
        <w:spacing w:before="120" w:after="120"/>
        <w:ind w:left="709" w:hanging="709"/>
        <w:jc w:val="both"/>
        <w:rPr>
          <w:rFonts w:asciiTheme="majorHAnsi" w:hAnsiTheme="majorHAnsi" w:cstheme="majorHAnsi"/>
          <w:bCs/>
          <w:i/>
          <w:iCs/>
          <w:sz w:val="18"/>
          <w:szCs w:val="18"/>
        </w:rPr>
      </w:pPr>
      <w:r w:rsidRPr="006070EA">
        <w:rPr>
          <w:rFonts w:asciiTheme="majorHAnsi" w:eastAsia="Calibri" w:hAnsiTheme="majorHAnsi" w:cstheme="majorHAnsi"/>
          <w:iCs/>
          <w:sz w:val="18"/>
          <w:szCs w:val="18"/>
        </w:rPr>
        <w:t>(196)</w:t>
      </w:r>
      <w:r w:rsidRPr="006070EA">
        <w:rPr>
          <w:rFonts w:asciiTheme="majorHAnsi" w:eastAsia="Calibri" w:hAnsiTheme="majorHAnsi" w:cstheme="majorHAnsi"/>
          <w:i/>
          <w:sz w:val="18"/>
          <w:szCs w:val="18"/>
        </w:rPr>
        <w:t xml:space="preserve"> </w:t>
      </w:r>
      <w:r w:rsidRPr="006070EA">
        <w:rPr>
          <w:rFonts w:asciiTheme="majorHAnsi" w:eastAsia="Calibri" w:hAnsiTheme="majorHAnsi" w:cstheme="majorHAnsi"/>
          <w:i/>
          <w:sz w:val="18"/>
          <w:szCs w:val="18"/>
        </w:rPr>
        <w:tab/>
        <w:t>ZÚR stanovují zásady pro zajištění ochrany a možný rozvoj v územích s přírodními, kulturními a civilizačními hodnotami, které svým rozsahem ovlivňují významné území kraje nebo mají národní či regionální význam.</w:t>
      </w:r>
    </w:p>
    <w:p w14:paraId="48D95650" w14:textId="405DF509" w:rsidR="0068493C" w:rsidRPr="006070EA" w:rsidRDefault="00225BD6" w:rsidP="0068493C">
      <w:pPr>
        <w:autoSpaceDE w:val="0"/>
        <w:autoSpaceDN w:val="0"/>
        <w:adjustRightInd w:val="0"/>
        <w:spacing w:before="120" w:after="120" w:line="240" w:lineRule="auto"/>
        <w:ind w:left="567" w:hanging="567"/>
        <w:jc w:val="both"/>
        <w:rPr>
          <w:rFonts w:asciiTheme="majorHAnsi" w:hAnsiTheme="majorHAnsi" w:cstheme="majorHAnsi"/>
          <w:b/>
          <w:bCs/>
          <w:iCs/>
          <w:sz w:val="18"/>
          <w:szCs w:val="18"/>
        </w:rPr>
      </w:pPr>
      <w:r>
        <w:rPr>
          <w:rFonts w:asciiTheme="majorHAnsi" w:hAnsiTheme="majorHAnsi" w:cstheme="majorHAnsi"/>
          <w:b/>
          <w:bCs/>
          <w:iCs/>
          <w:sz w:val="18"/>
          <w:szCs w:val="18"/>
        </w:rPr>
        <w:t>E</w:t>
      </w:r>
      <w:r w:rsidR="0068493C" w:rsidRPr="006070EA">
        <w:rPr>
          <w:rFonts w:asciiTheme="majorHAnsi" w:hAnsiTheme="majorHAnsi" w:cstheme="majorHAnsi"/>
          <w:b/>
          <w:bCs/>
          <w:iCs/>
          <w:sz w:val="18"/>
          <w:szCs w:val="18"/>
        </w:rPr>
        <w:t>.1.</w:t>
      </w:r>
      <w:r w:rsidR="0068493C" w:rsidRPr="006070EA">
        <w:rPr>
          <w:rFonts w:asciiTheme="majorHAnsi" w:hAnsiTheme="majorHAnsi" w:cstheme="majorHAnsi"/>
          <w:b/>
          <w:bCs/>
          <w:iCs/>
          <w:sz w:val="18"/>
          <w:szCs w:val="18"/>
        </w:rPr>
        <w:tab/>
        <w:t>Přírodní hodnoty kraje</w:t>
      </w:r>
    </w:p>
    <w:p w14:paraId="54D123E3" w14:textId="77777777" w:rsidR="0068493C" w:rsidRPr="006070EA" w:rsidRDefault="0068493C" w:rsidP="0068493C">
      <w:pPr>
        <w:autoSpaceDE w:val="0"/>
        <w:autoSpaceDN w:val="0"/>
        <w:adjustRightInd w:val="0"/>
        <w:spacing w:before="120" w:after="120" w:line="240" w:lineRule="auto"/>
        <w:jc w:val="both"/>
        <w:rPr>
          <w:rFonts w:asciiTheme="majorHAnsi" w:hAnsiTheme="majorHAnsi" w:cstheme="majorHAnsi"/>
          <w:bCs/>
          <w:iCs/>
          <w:sz w:val="18"/>
          <w:szCs w:val="18"/>
        </w:rPr>
      </w:pPr>
      <w:r w:rsidRPr="006070EA">
        <w:rPr>
          <w:rFonts w:asciiTheme="majorHAnsi" w:hAnsiTheme="majorHAnsi" w:cstheme="majorHAnsi"/>
          <w:bCs/>
          <w:iCs/>
          <w:sz w:val="18"/>
          <w:szCs w:val="18"/>
        </w:rPr>
        <w:t xml:space="preserve">V řešeném území se nacházejí přírodní hodnoty, pro které ze ZÚR SK vyplývají následující body koncepce. </w:t>
      </w:r>
    </w:p>
    <w:p w14:paraId="765A99B9" w14:textId="77777777" w:rsidR="0068493C" w:rsidRPr="006070EA" w:rsidRDefault="0068493C" w:rsidP="0068493C">
      <w:pPr>
        <w:keepNext/>
        <w:spacing w:before="120" w:after="60"/>
        <w:ind w:left="709" w:hanging="709"/>
        <w:jc w:val="both"/>
        <w:rPr>
          <w:rFonts w:asciiTheme="majorHAnsi" w:eastAsia="Calibri" w:hAnsiTheme="majorHAnsi" w:cstheme="majorHAnsi"/>
          <w:i/>
          <w:sz w:val="18"/>
          <w:szCs w:val="18"/>
        </w:rPr>
      </w:pPr>
      <w:r w:rsidRPr="006070EA">
        <w:rPr>
          <w:rFonts w:asciiTheme="majorHAnsi" w:eastAsia="Calibri" w:hAnsiTheme="majorHAnsi" w:cstheme="majorHAnsi"/>
          <w:iCs/>
          <w:sz w:val="18"/>
          <w:szCs w:val="18"/>
        </w:rPr>
        <w:t>(197)</w:t>
      </w:r>
      <w:r w:rsidRPr="006070EA">
        <w:rPr>
          <w:rFonts w:asciiTheme="majorHAnsi" w:eastAsia="Calibri" w:hAnsiTheme="majorHAnsi" w:cstheme="majorHAnsi"/>
          <w:i/>
          <w:sz w:val="18"/>
          <w:szCs w:val="18"/>
        </w:rPr>
        <w:t xml:space="preserve"> </w:t>
      </w:r>
      <w:r w:rsidRPr="006070EA">
        <w:rPr>
          <w:rFonts w:asciiTheme="majorHAnsi" w:eastAsia="Calibri" w:hAnsiTheme="majorHAnsi" w:cstheme="majorHAnsi"/>
          <w:i/>
          <w:sz w:val="18"/>
          <w:szCs w:val="18"/>
        </w:rPr>
        <w:tab/>
        <w:t>Přírodními hodnotami území kraje se rozumí:</w:t>
      </w:r>
    </w:p>
    <w:p w14:paraId="0CC83B62" w14:textId="77777777" w:rsidR="0068493C" w:rsidRPr="006070EA" w:rsidRDefault="0068493C" w:rsidP="00040B6A">
      <w:pPr>
        <w:spacing w:before="60" w:after="60"/>
        <w:ind w:left="709"/>
        <w:jc w:val="both"/>
        <w:rPr>
          <w:rFonts w:asciiTheme="majorHAnsi" w:hAnsiTheme="majorHAnsi" w:cstheme="majorHAnsi"/>
          <w:i/>
          <w:iCs/>
          <w:sz w:val="18"/>
          <w:szCs w:val="18"/>
          <w:lang w:eastAsia="cs-CZ"/>
        </w:rPr>
      </w:pPr>
      <w:r w:rsidRPr="006070EA">
        <w:rPr>
          <w:rFonts w:asciiTheme="majorHAnsi" w:hAnsiTheme="majorHAnsi" w:cstheme="majorHAnsi"/>
          <w:i/>
          <w:iCs/>
          <w:sz w:val="18"/>
          <w:szCs w:val="18"/>
          <w:lang w:eastAsia="cs-CZ"/>
        </w:rPr>
        <w:t>a) zvláště chráněná území ochrany přírody a krajiny:</w:t>
      </w:r>
    </w:p>
    <w:p w14:paraId="789AC4BD" w14:textId="77777777" w:rsidR="0068493C" w:rsidRPr="006070EA" w:rsidRDefault="0068493C" w:rsidP="00040B6A">
      <w:pPr>
        <w:spacing w:before="60" w:after="60"/>
        <w:ind w:left="851"/>
        <w:jc w:val="both"/>
        <w:rPr>
          <w:rFonts w:asciiTheme="majorHAnsi" w:hAnsiTheme="majorHAnsi" w:cstheme="majorHAnsi"/>
          <w:i/>
          <w:iCs/>
          <w:sz w:val="18"/>
          <w:szCs w:val="18"/>
          <w:lang w:eastAsia="cs-CZ"/>
        </w:rPr>
      </w:pPr>
      <w:r w:rsidRPr="006070EA">
        <w:rPr>
          <w:rFonts w:asciiTheme="majorHAnsi" w:hAnsiTheme="majorHAnsi" w:cstheme="majorHAnsi"/>
          <w:i/>
          <w:iCs/>
          <w:sz w:val="18"/>
          <w:szCs w:val="18"/>
          <w:lang w:eastAsia="cs-CZ"/>
        </w:rPr>
        <w:t>a.5) přírodní památky;</w:t>
      </w:r>
    </w:p>
    <w:p w14:paraId="647A71F5" w14:textId="77777777" w:rsidR="0068493C" w:rsidRPr="006070EA" w:rsidRDefault="0068493C" w:rsidP="00040B6A">
      <w:pPr>
        <w:spacing w:before="60" w:after="60"/>
        <w:ind w:left="709"/>
        <w:jc w:val="both"/>
        <w:rPr>
          <w:rFonts w:asciiTheme="majorHAnsi" w:hAnsiTheme="majorHAnsi" w:cstheme="majorHAnsi"/>
          <w:i/>
          <w:iCs/>
          <w:sz w:val="18"/>
          <w:szCs w:val="18"/>
          <w:lang w:eastAsia="cs-CZ"/>
        </w:rPr>
      </w:pPr>
      <w:r w:rsidRPr="006070EA">
        <w:rPr>
          <w:rFonts w:asciiTheme="majorHAnsi" w:hAnsiTheme="majorHAnsi" w:cstheme="majorHAnsi"/>
          <w:i/>
          <w:iCs/>
          <w:sz w:val="18"/>
          <w:szCs w:val="18"/>
          <w:lang w:eastAsia="cs-CZ"/>
        </w:rPr>
        <w:t>b) lokality soustavy NATURA 2000 – evropsky významné lokality (celkem 125 lokalit) a ptačí oblasti Českolipsko-Dokeské pískovce a mokřady, Křivoklátsko, Rožďalovické rybníky, Údolí Otavy a Vltavy, Žehuňský rybník – Obora Kněžičky;</w:t>
      </w:r>
    </w:p>
    <w:p w14:paraId="4872A20A" w14:textId="2F7AAC55" w:rsidR="0068493C" w:rsidRPr="006070EA" w:rsidRDefault="0068493C" w:rsidP="00040B6A">
      <w:pPr>
        <w:spacing w:before="60" w:after="60"/>
        <w:ind w:left="709"/>
        <w:jc w:val="both"/>
        <w:rPr>
          <w:rFonts w:asciiTheme="majorHAnsi" w:hAnsiTheme="majorHAnsi" w:cstheme="majorHAnsi"/>
          <w:i/>
          <w:iCs/>
          <w:sz w:val="18"/>
          <w:szCs w:val="18"/>
          <w:lang w:eastAsia="cs-CZ"/>
        </w:rPr>
      </w:pPr>
      <w:r w:rsidRPr="006070EA">
        <w:rPr>
          <w:rFonts w:asciiTheme="majorHAnsi" w:hAnsiTheme="majorHAnsi" w:cstheme="majorHAnsi"/>
          <w:i/>
          <w:iCs/>
          <w:sz w:val="18"/>
          <w:szCs w:val="18"/>
          <w:lang w:eastAsia="cs-CZ"/>
        </w:rPr>
        <w:t>d) plochy pro těžbu nerostných surovi</w:t>
      </w:r>
      <w:r w:rsidR="00225BD6">
        <w:rPr>
          <w:rFonts w:asciiTheme="majorHAnsi" w:hAnsiTheme="majorHAnsi" w:cstheme="majorHAnsi"/>
          <w:i/>
          <w:iCs/>
          <w:sz w:val="18"/>
          <w:szCs w:val="18"/>
          <w:lang w:eastAsia="cs-CZ"/>
        </w:rPr>
        <w:t>n</w:t>
      </w:r>
      <w:r w:rsidRPr="006070EA">
        <w:rPr>
          <w:rFonts w:asciiTheme="majorHAnsi" w:hAnsiTheme="majorHAnsi" w:cstheme="majorHAnsi"/>
          <w:i/>
          <w:iCs/>
          <w:sz w:val="18"/>
          <w:szCs w:val="18"/>
          <w:lang w:eastAsia="cs-CZ"/>
        </w:rPr>
        <w:t>, tedy:</w:t>
      </w:r>
    </w:p>
    <w:p w14:paraId="70BF31E5" w14:textId="77777777" w:rsidR="0068493C" w:rsidRPr="006070EA" w:rsidRDefault="0068493C" w:rsidP="00040B6A">
      <w:pPr>
        <w:spacing w:before="60" w:after="60"/>
        <w:ind w:left="851"/>
        <w:jc w:val="both"/>
        <w:rPr>
          <w:rFonts w:asciiTheme="majorHAnsi" w:hAnsiTheme="majorHAnsi" w:cstheme="majorHAnsi"/>
          <w:i/>
          <w:iCs/>
          <w:sz w:val="18"/>
          <w:szCs w:val="18"/>
          <w:lang w:eastAsia="cs-CZ"/>
        </w:rPr>
      </w:pPr>
      <w:r w:rsidRPr="006070EA">
        <w:rPr>
          <w:rFonts w:asciiTheme="majorHAnsi" w:hAnsiTheme="majorHAnsi" w:cstheme="majorHAnsi"/>
          <w:i/>
          <w:iCs/>
          <w:sz w:val="18"/>
          <w:szCs w:val="18"/>
          <w:lang w:eastAsia="cs-CZ"/>
        </w:rPr>
        <w:t>d.1) využívaná výhradní ložiska s dobývacími prostory;</w:t>
      </w:r>
    </w:p>
    <w:p w14:paraId="71EA1D58" w14:textId="77777777" w:rsidR="0068493C" w:rsidRPr="006070EA" w:rsidRDefault="0068493C" w:rsidP="00040B6A">
      <w:pPr>
        <w:spacing w:before="60" w:after="60"/>
        <w:ind w:left="851"/>
        <w:jc w:val="both"/>
        <w:rPr>
          <w:rFonts w:asciiTheme="majorHAnsi" w:hAnsiTheme="majorHAnsi" w:cstheme="majorHAnsi"/>
          <w:i/>
          <w:iCs/>
          <w:sz w:val="18"/>
          <w:szCs w:val="18"/>
          <w:lang w:eastAsia="cs-CZ"/>
        </w:rPr>
      </w:pPr>
      <w:r w:rsidRPr="006070EA">
        <w:rPr>
          <w:rFonts w:asciiTheme="majorHAnsi" w:hAnsiTheme="majorHAnsi" w:cstheme="majorHAnsi"/>
          <w:i/>
          <w:iCs/>
          <w:sz w:val="18"/>
          <w:szCs w:val="18"/>
          <w:lang w:eastAsia="cs-CZ"/>
        </w:rPr>
        <w:t>d. 2) nevyužívaná výhradní ložiska s dobývacími prostory, popř. dobýv. prostory s ukončenou těžbou;</w:t>
      </w:r>
    </w:p>
    <w:p w14:paraId="3D749C40" w14:textId="77777777" w:rsidR="0068493C" w:rsidRPr="006070EA" w:rsidRDefault="0068493C" w:rsidP="00040B6A">
      <w:pPr>
        <w:spacing w:before="60" w:after="60"/>
        <w:ind w:left="851"/>
        <w:jc w:val="both"/>
        <w:rPr>
          <w:rFonts w:asciiTheme="majorHAnsi" w:hAnsiTheme="majorHAnsi" w:cstheme="majorHAnsi"/>
          <w:i/>
          <w:iCs/>
          <w:sz w:val="18"/>
          <w:szCs w:val="18"/>
          <w:lang w:eastAsia="cs-CZ"/>
        </w:rPr>
      </w:pPr>
      <w:r w:rsidRPr="006070EA">
        <w:rPr>
          <w:rFonts w:asciiTheme="majorHAnsi" w:hAnsiTheme="majorHAnsi" w:cstheme="majorHAnsi"/>
          <w:i/>
          <w:iCs/>
          <w:sz w:val="18"/>
          <w:szCs w:val="18"/>
          <w:lang w:eastAsia="cs-CZ"/>
        </w:rPr>
        <w:t>d.3) nevyužívaná výhradní ložiska s chráněným ložiskovým územím;</w:t>
      </w:r>
    </w:p>
    <w:p w14:paraId="3D9B10A7" w14:textId="77777777" w:rsidR="0068493C" w:rsidRPr="006070EA" w:rsidRDefault="0068493C" w:rsidP="00040B6A">
      <w:pPr>
        <w:spacing w:before="60" w:after="60"/>
        <w:ind w:left="851"/>
        <w:jc w:val="both"/>
        <w:rPr>
          <w:rFonts w:asciiTheme="majorHAnsi" w:hAnsiTheme="majorHAnsi" w:cstheme="majorHAnsi"/>
          <w:i/>
          <w:iCs/>
          <w:sz w:val="18"/>
          <w:szCs w:val="18"/>
          <w:lang w:eastAsia="cs-CZ"/>
        </w:rPr>
      </w:pPr>
      <w:r w:rsidRPr="006070EA">
        <w:rPr>
          <w:rFonts w:asciiTheme="majorHAnsi" w:hAnsiTheme="majorHAnsi" w:cstheme="majorHAnsi"/>
          <w:i/>
          <w:iCs/>
          <w:sz w:val="18"/>
          <w:szCs w:val="18"/>
          <w:lang w:eastAsia="cs-CZ"/>
        </w:rPr>
        <w:t>d.4) nevyužívaná výhradní ložiska bez stanovené ochrany chráněného ložiskového území;</w:t>
      </w:r>
    </w:p>
    <w:p w14:paraId="00DAA280" w14:textId="77777777" w:rsidR="0068493C" w:rsidRPr="006070EA" w:rsidRDefault="0068493C" w:rsidP="00040B6A">
      <w:pPr>
        <w:spacing w:before="60" w:after="60"/>
        <w:ind w:left="851"/>
        <w:jc w:val="both"/>
        <w:rPr>
          <w:rFonts w:asciiTheme="majorHAnsi" w:hAnsiTheme="majorHAnsi" w:cstheme="majorHAnsi"/>
          <w:i/>
          <w:iCs/>
          <w:sz w:val="18"/>
          <w:szCs w:val="18"/>
          <w:lang w:eastAsia="cs-CZ"/>
        </w:rPr>
      </w:pPr>
      <w:r w:rsidRPr="006070EA">
        <w:rPr>
          <w:rFonts w:asciiTheme="majorHAnsi" w:hAnsiTheme="majorHAnsi" w:cstheme="majorHAnsi"/>
          <w:i/>
          <w:iCs/>
          <w:sz w:val="18"/>
          <w:szCs w:val="18"/>
          <w:lang w:eastAsia="cs-CZ"/>
        </w:rPr>
        <w:t>d.5) využívaná ložiska nevyhrazených nerostů, která jsou součástí pozemku, a u kterých byla povolena těžba na základě územ. rozhodnutí a příslušného obvodního báňského úřadu;</w:t>
      </w:r>
    </w:p>
    <w:p w14:paraId="5E98B515" w14:textId="77777777" w:rsidR="0068493C" w:rsidRPr="006070EA" w:rsidRDefault="0068493C" w:rsidP="00040B6A">
      <w:pPr>
        <w:spacing w:before="60" w:after="60"/>
        <w:ind w:left="851"/>
        <w:jc w:val="both"/>
        <w:rPr>
          <w:rFonts w:asciiTheme="majorHAnsi" w:hAnsiTheme="majorHAnsi" w:cstheme="majorHAnsi"/>
          <w:i/>
          <w:iCs/>
          <w:sz w:val="18"/>
          <w:szCs w:val="18"/>
          <w:lang w:eastAsia="cs-CZ"/>
        </w:rPr>
      </w:pPr>
      <w:r w:rsidRPr="006070EA">
        <w:rPr>
          <w:rFonts w:asciiTheme="majorHAnsi" w:hAnsiTheme="majorHAnsi" w:cstheme="majorHAnsi"/>
          <w:i/>
          <w:iCs/>
          <w:sz w:val="18"/>
          <w:szCs w:val="18"/>
          <w:lang w:eastAsia="cs-CZ"/>
        </w:rPr>
        <w:t>d.6) nevyužívaná ložiska nevyhrazených nerostů, která jsou součástí pozemku;</w:t>
      </w:r>
    </w:p>
    <w:p w14:paraId="2367C365" w14:textId="77777777" w:rsidR="0068493C" w:rsidRPr="006070EA" w:rsidRDefault="0068493C" w:rsidP="00040B6A">
      <w:pPr>
        <w:spacing w:before="60" w:after="60"/>
        <w:ind w:left="851"/>
        <w:jc w:val="both"/>
        <w:rPr>
          <w:rFonts w:asciiTheme="majorHAnsi" w:hAnsiTheme="majorHAnsi" w:cstheme="majorHAnsi"/>
          <w:i/>
          <w:iCs/>
          <w:sz w:val="18"/>
          <w:szCs w:val="18"/>
          <w:lang w:eastAsia="cs-CZ"/>
        </w:rPr>
      </w:pPr>
      <w:r w:rsidRPr="006070EA">
        <w:rPr>
          <w:rFonts w:asciiTheme="majorHAnsi" w:hAnsiTheme="majorHAnsi" w:cstheme="majorHAnsi"/>
          <w:i/>
          <w:iCs/>
          <w:sz w:val="18"/>
          <w:szCs w:val="18"/>
          <w:lang w:eastAsia="cs-CZ"/>
        </w:rPr>
        <w:t>d.7) registrované a evidované prognózní zdroje vyhrazených a nevyhrazených nerostů.</w:t>
      </w:r>
    </w:p>
    <w:p w14:paraId="5EBFB3AF" w14:textId="77777777" w:rsidR="0068493C" w:rsidRPr="006070EA" w:rsidRDefault="0068493C" w:rsidP="00040B6A">
      <w:pPr>
        <w:spacing w:before="60" w:after="60"/>
        <w:ind w:left="709"/>
        <w:jc w:val="both"/>
        <w:rPr>
          <w:rFonts w:asciiTheme="majorHAnsi" w:hAnsiTheme="majorHAnsi" w:cstheme="majorHAnsi"/>
          <w:i/>
          <w:iCs/>
          <w:sz w:val="18"/>
          <w:szCs w:val="18"/>
          <w:lang w:eastAsia="cs-CZ"/>
        </w:rPr>
      </w:pPr>
      <w:r w:rsidRPr="006070EA">
        <w:rPr>
          <w:rFonts w:asciiTheme="majorHAnsi" w:hAnsiTheme="majorHAnsi" w:cstheme="majorHAnsi"/>
          <w:i/>
          <w:iCs/>
          <w:sz w:val="18"/>
          <w:szCs w:val="18"/>
          <w:lang w:eastAsia="cs-CZ"/>
        </w:rPr>
        <w:t>e) vodohospodářsky významná území s velkými podzemními i povrchovými zdroji pitné vody;</w:t>
      </w:r>
    </w:p>
    <w:p w14:paraId="7B5D310A" w14:textId="77777777" w:rsidR="0068493C" w:rsidRPr="006070EA" w:rsidRDefault="0068493C" w:rsidP="00040B6A">
      <w:pPr>
        <w:spacing w:before="60" w:after="60"/>
        <w:ind w:left="709"/>
        <w:jc w:val="both"/>
        <w:rPr>
          <w:rFonts w:asciiTheme="majorHAnsi" w:hAnsiTheme="majorHAnsi" w:cstheme="majorHAnsi"/>
          <w:i/>
          <w:iCs/>
          <w:sz w:val="18"/>
          <w:szCs w:val="18"/>
          <w:lang w:eastAsia="cs-CZ"/>
        </w:rPr>
      </w:pPr>
      <w:r w:rsidRPr="006070EA">
        <w:rPr>
          <w:rFonts w:asciiTheme="majorHAnsi" w:hAnsiTheme="majorHAnsi" w:cstheme="majorHAnsi"/>
          <w:i/>
          <w:iCs/>
          <w:sz w:val="18"/>
          <w:szCs w:val="18"/>
          <w:lang w:eastAsia="cs-CZ"/>
        </w:rPr>
        <w:t>g) krajinářsky hodnotná území - krajinné památkové zóny Osovsko a Žehušicko; přírodní parky a území se zvýšenou hodnotou krajinného rázu;</w:t>
      </w:r>
    </w:p>
    <w:p w14:paraId="412F3F20" w14:textId="77777777" w:rsidR="0068493C" w:rsidRPr="006070EA" w:rsidRDefault="0068493C" w:rsidP="00040B6A">
      <w:pPr>
        <w:spacing w:before="60" w:after="60"/>
        <w:ind w:left="709"/>
        <w:jc w:val="both"/>
        <w:rPr>
          <w:rFonts w:asciiTheme="majorHAnsi" w:hAnsiTheme="majorHAnsi" w:cstheme="majorHAnsi"/>
          <w:i/>
          <w:iCs/>
          <w:sz w:val="18"/>
          <w:szCs w:val="18"/>
          <w:lang w:eastAsia="cs-CZ"/>
        </w:rPr>
      </w:pPr>
      <w:r w:rsidRPr="006070EA">
        <w:rPr>
          <w:rFonts w:asciiTheme="majorHAnsi" w:hAnsiTheme="majorHAnsi" w:cstheme="majorHAnsi"/>
          <w:i/>
          <w:iCs/>
          <w:sz w:val="18"/>
          <w:szCs w:val="18"/>
          <w:lang w:eastAsia="cs-CZ"/>
        </w:rPr>
        <w:t>h) významné krajinné prvky mimo území CHKO;</w:t>
      </w:r>
    </w:p>
    <w:p w14:paraId="4C957715" w14:textId="77777777" w:rsidR="0068493C" w:rsidRPr="006070EA" w:rsidRDefault="0068493C" w:rsidP="00040B6A">
      <w:pPr>
        <w:spacing w:before="60" w:after="60"/>
        <w:ind w:left="709"/>
        <w:jc w:val="both"/>
        <w:rPr>
          <w:rFonts w:asciiTheme="majorHAnsi" w:hAnsiTheme="majorHAnsi" w:cstheme="majorHAnsi"/>
          <w:i/>
          <w:iCs/>
          <w:sz w:val="18"/>
          <w:szCs w:val="18"/>
          <w:lang w:eastAsia="cs-CZ"/>
        </w:rPr>
      </w:pPr>
      <w:r w:rsidRPr="006070EA">
        <w:rPr>
          <w:rFonts w:asciiTheme="majorHAnsi" w:hAnsiTheme="majorHAnsi" w:cstheme="majorHAnsi"/>
          <w:i/>
          <w:iCs/>
          <w:sz w:val="18"/>
          <w:szCs w:val="18"/>
          <w:lang w:eastAsia="cs-CZ"/>
        </w:rPr>
        <w:t>i) skladebné části ÚSES.</w:t>
      </w:r>
    </w:p>
    <w:p w14:paraId="1D062CE9" w14:textId="77777777" w:rsidR="0068493C" w:rsidRPr="006070EA" w:rsidRDefault="0068493C" w:rsidP="00040B6A">
      <w:pPr>
        <w:keepNext/>
        <w:spacing w:before="60" w:after="60"/>
        <w:ind w:left="709" w:hanging="709"/>
        <w:jc w:val="both"/>
        <w:rPr>
          <w:rFonts w:asciiTheme="majorHAnsi" w:eastAsia="Calibri" w:hAnsiTheme="majorHAnsi" w:cstheme="majorHAnsi"/>
          <w:i/>
          <w:sz w:val="18"/>
          <w:szCs w:val="18"/>
        </w:rPr>
      </w:pPr>
      <w:r w:rsidRPr="006070EA">
        <w:rPr>
          <w:rFonts w:asciiTheme="majorHAnsi" w:eastAsia="Calibri" w:hAnsiTheme="majorHAnsi" w:cstheme="majorHAnsi"/>
          <w:iCs/>
          <w:sz w:val="18"/>
          <w:szCs w:val="18"/>
        </w:rPr>
        <w:t>(198)</w:t>
      </w:r>
      <w:r w:rsidRPr="006070EA">
        <w:rPr>
          <w:rFonts w:asciiTheme="majorHAnsi" w:eastAsia="Calibri" w:hAnsiTheme="majorHAnsi" w:cstheme="majorHAnsi"/>
          <w:i/>
          <w:sz w:val="18"/>
          <w:szCs w:val="18"/>
        </w:rPr>
        <w:t xml:space="preserve"> </w:t>
      </w:r>
      <w:r w:rsidRPr="006070EA">
        <w:rPr>
          <w:rFonts w:asciiTheme="majorHAnsi" w:eastAsia="Calibri" w:hAnsiTheme="majorHAnsi" w:cstheme="majorHAnsi"/>
          <w:i/>
          <w:sz w:val="18"/>
          <w:szCs w:val="18"/>
        </w:rPr>
        <w:tab/>
        <w:t>ZÚR stanovují tyto zásady pro zajištění ochrany území s přírodními hodnotami a možného rozvoje těchto území:</w:t>
      </w:r>
    </w:p>
    <w:p w14:paraId="10F596AD" w14:textId="77777777" w:rsidR="0068493C" w:rsidRPr="006070EA" w:rsidRDefault="0068493C" w:rsidP="00040B6A">
      <w:pPr>
        <w:spacing w:before="60" w:after="60"/>
        <w:ind w:left="709"/>
        <w:jc w:val="both"/>
        <w:rPr>
          <w:rFonts w:asciiTheme="majorHAnsi" w:hAnsiTheme="majorHAnsi" w:cstheme="majorHAnsi"/>
          <w:i/>
          <w:iCs/>
          <w:sz w:val="18"/>
          <w:szCs w:val="18"/>
          <w:lang w:eastAsia="cs-CZ"/>
        </w:rPr>
      </w:pPr>
      <w:r w:rsidRPr="006070EA">
        <w:rPr>
          <w:rFonts w:asciiTheme="majorHAnsi" w:hAnsiTheme="majorHAnsi" w:cstheme="majorHAnsi"/>
          <w:i/>
          <w:iCs/>
          <w:sz w:val="18"/>
          <w:szCs w:val="18"/>
          <w:lang w:eastAsia="cs-CZ"/>
        </w:rPr>
        <w:t>a) respektovat ochranu výše uvedených přírodních hodnot;</w:t>
      </w:r>
    </w:p>
    <w:p w14:paraId="38A22EE2" w14:textId="77777777" w:rsidR="0068493C" w:rsidRPr="006070EA" w:rsidRDefault="0068493C" w:rsidP="00040B6A">
      <w:pPr>
        <w:spacing w:before="60" w:after="60"/>
        <w:ind w:left="709"/>
        <w:jc w:val="both"/>
        <w:rPr>
          <w:rFonts w:asciiTheme="majorHAnsi" w:hAnsiTheme="majorHAnsi" w:cstheme="majorHAnsi"/>
          <w:i/>
          <w:iCs/>
          <w:sz w:val="18"/>
          <w:szCs w:val="18"/>
          <w:lang w:eastAsia="cs-CZ"/>
        </w:rPr>
      </w:pPr>
      <w:r w:rsidRPr="006070EA">
        <w:rPr>
          <w:rFonts w:asciiTheme="majorHAnsi" w:hAnsiTheme="majorHAnsi" w:cstheme="majorHAnsi"/>
          <w:i/>
          <w:iCs/>
          <w:sz w:val="18"/>
          <w:szCs w:val="18"/>
          <w:lang w:eastAsia="cs-CZ"/>
        </w:rPr>
        <w:t>b) chránit a podporovat plnění krajinných funkcí souvisejících s přírodními hodnotami (ochrana biodiverzity a pozitivních charakteristik krajinného rázu, ekostabilizační a retenční funkce, trvale udržitelné využívání vodních zdrojů, ochrana nerostného bohatství, apod.);</w:t>
      </w:r>
    </w:p>
    <w:p w14:paraId="40ED6B3E" w14:textId="3B4720CE" w:rsidR="0068493C" w:rsidRPr="006070EA" w:rsidRDefault="00225BD6" w:rsidP="00040B6A">
      <w:pPr>
        <w:spacing w:before="60" w:after="60"/>
        <w:ind w:left="709"/>
        <w:jc w:val="both"/>
        <w:rPr>
          <w:rFonts w:asciiTheme="majorHAnsi" w:hAnsiTheme="majorHAnsi" w:cstheme="majorHAnsi"/>
          <w:i/>
          <w:iCs/>
          <w:sz w:val="18"/>
          <w:szCs w:val="18"/>
          <w:lang w:eastAsia="cs-CZ"/>
        </w:rPr>
      </w:pPr>
      <w:r>
        <w:rPr>
          <w:rFonts w:asciiTheme="majorHAnsi" w:hAnsiTheme="majorHAnsi" w:cstheme="majorHAnsi"/>
          <w:i/>
          <w:iCs/>
          <w:sz w:val="18"/>
          <w:szCs w:val="18"/>
          <w:lang w:eastAsia="cs-CZ"/>
        </w:rPr>
        <w:t>c</w:t>
      </w:r>
      <w:r w:rsidR="0068493C" w:rsidRPr="006070EA">
        <w:rPr>
          <w:rFonts w:asciiTheme="majorHAnsi" w:hAnsiTheme="majorHAnsi" w:cstheme="majorHAnsi"/>
          <w:i/>
          <w:iCs/>
          <w:sz w:val="18"/>
          <w:szCs w:val="18"/>
          <w:lang w:eastAsia="cs-CZ"/>
        </w:rPr>
        <w:t>) při rozvoji sídel a návrhu nových dopravních staveb v krajinářsky hodnotných územích zabezpečit ochranu krajinného rázu;</w:t>
      </w:r>
    </w:p>
    <w:p w14:paraId="6F380CE0" w14:textId="633888E2" w:rsidR="0068493C" w:rsidRPr="006070EA" w:rsidRDefault="00225BD6" w:rsidP="00040B6A">
      <w:pPr>
        <w:spacing w:before="60" w:after="60"/>
        <w:ind w:left="709"/>
        <w:jc w:val="both"/>
        <w:rPr>
          <w:rFonts w:asciiTheme="majorHAnsi" w:hAnsiTheme="majorHAnsi" w:cstheme="majorHAnsi"/>
          <w:i/>
          <w:iCs/>
          <w:sz w:val="18"/>
          <w:szCs w:val="18"/>
          <w:lang w:eastAsia="cs-CZ"/>
        </w:rPr>
      </w:pPr>
      <w:r>
        <w:rPr>
          <w:rFonts w:asciiTheme="majorHAnsi" w:hAnsiTheme="majorHAnsi" w:cstheme="majorHAnsi"/>
          <w:i/>
          <w:iCs/>
          <w:sz w:val="18"/>
          <w:szCs w:val="18"/>
          <w:lang w:eastAsia="cs-CZ"/>
        </w:rPr>
        <w:t>d</w:t>
      </w:r>
      <w:r w:rsidR="0068493C" w:rsidRPr="006070EA">
        <w:rPr>
          <w:rFonts w:asciiTheme="majorHAnsi" w:hAnsiTheme="majorHAnsi" w:cstheme="majorHAnsi"/>
          <w:i/>
          <w:iCs/>
          <w:sz w:val="18"/>
          <w:szCs w:val="18"/>
          <w:lang w:eastAsia="cs-CZ"/>
        </w:rPr>
        <w:t>) výškové stavby (větrné elektrárny apod.) umisťovat v souladu s ochranou krajinného rázu. Při umisťování ostatních staveb a zařízení, které mohou díky svým plošným parametrům narušit pozitivní charakteristiky krajinného rázu5 tento vliv hodnotit studií krajinného rázu a negativní dopady eliminovat;</w:t>
      </w:r>
    </w:p>
    <w:p w14:paraId="5452E808" w14:textId="0782A231" w:rsidR="0068493C" w:rsidRPr="006070EA" w:rsidRDefault="00225BD6" w:rsidP="00040B6A">
      <w:pPr>
        <w:spacing w:before="60" w:after="60"/>
        <w:ind w:left="709"/>
        <w:jc w:val="both"/>
        <w:rPr>
          <w:rFonts w:asciiTheme="majorHAnsi" w:hAnsiTheme="majorHAnsi" w:cstheme="majorHAnsi"/>
          <w:i/>
          <w:iCs/>
          <w:sz w:val="18"/>
          <w:szCs w:val="18"/>
          <w:lang w:eastAsia="cs-CZ"/>
        </w:rPr>
      </w:pPr>
      <w:r>
        <w:rPr>
          <w:rFonts w:asciiTheme="majorHAnsi" w:hAnsiTheme="majorHAnsi" w:cstheme="majorHAnsi"/>
          <w:i/>
          <w:iCs/>
          <w:sz w:val="18"/>
          <w:szCs w:val="18"/>
          <w:lang w:eastAsia="cs-CZ"/>
        </w:rPr>
        <w:t>e</w:t>
      </w:r>
      <w:r w:rsidR="0068493C" w:rsidRPr="006070EA">
        <w:rPr>
          <w:rFonts w:asciiTheme="majorHAnsi" w:hAnsiTheme="majorHAnsi" w:cstheme="majorHAnsi"/>
          <w:i/>
          <w:iCs/>
          <w:sz w:val="18"/>
          <w:szCs w:val="18"/>
          <w:lang w:eastAsia="cs-CZ"/>
        </w:rPr>
        <w:t>) vedení nových dopravních staveb ve volné krajině navrhovat přednostně mimo zvláště chráněná území, lokality soustavy NATURA 2000, mokřadní ekosystémy a v případě střetu posoudit vliv navrhovaných staveb a přijmout náležitá kompenzační a eliminační opatření;</w:t>
      </w:r>
    </w:p>
    <w:p w14:paraId="096B9E0B" w14:textId="4DEDEDA4" w:rsidR="0068493C" w:rsidRPr="006070EA" w:rsidRDefault="00225BD6" w:rsidP="00040B6A">
      <w:pPr>
        <w:spacing w:before="60" w:after="60"/>
        <w:ind w:left="709"/>
        <w:jc w:val="both"/>
        <w:rPr>
          <w:rFonts w:asciiTheme="majorHAnsi" w:hAnsiTheme="majorHAnsi" w:cstheme="majorHAnsi"/>
          <w:i/>
          <w:iCs/>
          <w:sz w:val="18"/>
          <w:szCs w:val="18"/>
          <w:lang w:eastAsia="cs-CZ"/>
        </w:rPr>
      </w:pPr>
      <w:r>
        <w:rPr>
          <w:rFonts w:asciiTheme="majorHAnsi" w:hAnsiTheme="majorHAnsi" w:cstheme="majorHAnsi"/>
          <w:i/>
          <w:iCs/>
          <w:sz w:val="18"/>
          <w:szCs w:val="18"/>
          <w:lang w:eastAsia="cs-CZ"/>
        </w:rPr>
        <w:t>f</w:t>
      </w:r>
      <w:r w:rsidR="0068493C" w:rsidRPr="006070EA">
        <w:rPr>
          <w:rFonts w:asciiTheme="majorHAnsi" w:hAnsiTheme="majorHAnsi" w:cstheme="majorHAnsi"/>
          <w:i/>
          <w:iCs/>
          <w:sz w:val="18"/>
          <w:szCs w:val="18"/>
          <w:lang w:eastAsia="cs-CZ"/>
        </w:rPr>
        <w:t>) ve zvláště chráněných a krajinářsky hodnotných územích podporovat rozvoj šetrných forem turismu, zamezit plošné výstavbě rekreačních objektů mimo zastavěná území a navrhnout rekreační využití vesnických sídel. Podporovat ekologicky únosné využití vodních toků k rekreační a sportovní plavbě a zabezpečit související zázemí (veřejná tábořiště,</w:t>
      </w:r>
      <w:r>
        <w:rPr>
          <w:rFonts w:asciiTheme="majorHAnsi" w:hAnsiTheme="majorHAnsi" w:cstheme="majorHAnsi"/>
          <w:i/>
          <w:iCs/>
          <w:sz w:val="18"/>
          <w:szCs w:val="18"/>
          <w:lang w:eastAsia="cs-CZ"/>
        </w:rPr>
        <w:t xml:space="preserve"> </w:t>
      </w:r>
      <w:r w:rsidR="0068493C" w:rsidRPr="006070EA">
        <w:rPr>
          <w:rFonts w:asciiTheme="majorHAnsi" w:hAnsiTheme="majorHAnsi" w:cstheme="majorHAnsi"/>
          <w:i/>
          <w:iCs/>
          <w:sz w:val="18"/>
          <w:szCs w:val="18"/>
          <w:lang w:eastAsia="cs-CZ"/>
        </w:rPr>
        <w:t>parkoviště apod.) s ohledem na ochranu přírody, podporovat rozvoj eko- a agroturistiky;</w:t>
      </w:r>
    </w:p>
    <w:p w14:paraId="4AECDF6C" w14:textId="2FFF104E" w:rsidR="0068493C" w:rsidRPr="006070EA" w:rsidRDefault="00225BD6" w:rsidP="00040B6A">
      <w:pPr>
        <w:spacing w:before="60" w:after="60"/>
        <w:ind w:left="709"/>
        <w:jc w:val="both"/>
        <w:rPr>
          <w:rFonts w:asciiTheme="majorHAnsi" w:hAnsiTheme="majorHAnsi" w:cstheme="majorHAnsi"/>
          <w:i/>
          <w:iCs/>
          <w:sz w:val="18"/>
          <w:szCs w:val="18"/>
          <w:lang w:eastAsia="cs-CZ"/>
        </w:rPr>
      </w:pPr>
      <w:r>
        <w:rPr>
          <w:rFonts w:asciiTheme="majorHAnsi" w:hAnsiTheme="majorHAnsi" w:cstheme="majorHAnsi"/>
          <w:i/>
          <w:iCs/>
          <w:sz w:val="18"/>
          <w:szCs w:val="18"/>
          <w:lang w:eastAsia="cs-CZ"/>
        </w:rPr>
        <w:lastRenderedPageBreak/>
        <w:t>i</w:t>
      </w:r>
      <w:r w:rsidR="0068493C" w:rsidRPr="006070EA">
        <w:rPr>
          <w:rFonts w:asciiTheme="majorHAnsi" w:hAnsiTheme="majorHAnsi" w:cstheme="majorHAnsi"/>
          <w:i/>
          <w:iCs/>
          <w:sz w:val="18"/>
          <w:szCs w:val="18"/>
          <w:lang w:eastAsia="cs-CZ"/>
        </w:rPr>
        <w:t>) při vytváření lokální úrovně ÚSES respektovat ochranu a šetrné využití přírodních zdrojů;</w:t>
      </w:r>
    </w:p>
    <w:p w14:paraId="7C44174F" w14:textId="2B669EEA" w:rsidR="0068493C" w:rsidRPr="006070EA" w:rsidRDefault="00225BD6" w:rsidP="00040B6A">
      <w:pPr>
        <w:spacing w:before="60" w:after="60"/>
        <w:ind w:left="709"/>
        <w:jc w:val="both"/>
        <w:rPr>
          <w:rFonts w:asciiTheme="majorHAnsi" w:hAnsiTheme="majorHAnsi" w:cstheme="majorHAnsi"/>
          <w:i/>
          <w:iCs/>
          <w:sz w:val="18"/>
          <w:szCs w:val="18"/>
          <w:lang w:eastAsia="cs-CZ"/>
        </w:rPr>
      </w:pPr>
      <w:r>
        <w:rPr>
          <w:rFonts w:asciiTheme="majorHAnsi" w:hAnsiTheme="majorHAnsi" w:cstheme="majorHAnsi"/>
          <w:i/>
          <w:iCs/>
          <w:sz w:val="18"/>
          <w:szCs w:val="18"/>
          <w:lang w:eastAsia="cs-CZ"/>
        </w:rPr>
        <w:t>j</w:t>
      </w:r>
      <w:r w:rsidR="0068493C" w:rsidRPr="006070EA">
        <w:rPr>
          <w:rFonts w:asciiTheme="majorHAnsi" w:hAnsiTheme="majorHAnsi" w:cstheme="majorHAnsi"/>
          <w:i/>
          <w:iCs/>
          <w:sz w:val="18"/>
          <w:szCs w:val="18"/>
          <w:lang w:eastAsia="cs-CZ"/>
        </w:rPr>
        <w:t xml:space="preserve">) při řešení změn využití území a upřesňování tras liniových staveb minimalizovat vlivy na území přírodních hodnot. </w:t>
      </w:r>
    </w:p>
    <w:p w14:paraId="5B3F3EA3" w14:textId="4FC3266E" w:rsidR="0068493C" w:rsidRPr="006070EA" w:rsidRDefault="00225BD6" w:rsidP="00040B6A">
      <w:pPr>
        <w:spacing w:before="60" w:after="60"/>
        <w:ind w:left="709"/>
        <w:jc w:val="both"/>
        <w:rPr>
          <w:rFonts w:asciiTheme="majorHAnsi" w:hAnsiTheme="majorHAnsi" w:cstheme="majorHAnsi"/>
          <w:i/>
          <w:iCs/>
          <w:sz w:val="18"/>
          <w:szCs w:val="18"/>
          <w:lang w:eastAsia="cs-CZ"/>
        </w:rPr>
      </w:pPr>
      <w:r>
        <w:rPr>
          <w:rFonts w:asciiTheme="majorHAnsi" w:hAnsiTheme="majorHAnsi" w:cstheme="majorHAnsi"/>
          <w:i/>
          <w:iCs/>
          <w:sz w:val="18"/>
          <w:szCs w:val="18"/>
          <w:lang w:eastAsia="cs-CZ"/>
        </w:rPr>
        <w:t>k</w:t>
      </w:r>
      <w:r w:rsidR="0068493C" w:rsidRPr="006070EA">
        <w:rPr>
          <w:rFonts w:asciiTheme="majorHAnsi" w:hAnsiTheme="majorHAnsi" w:cstheme="majorHAnsi"/>
          <w:i/>
          <w:iCs/>
          <w:sz w:val="18"/>
          <w:szCs w:val="18"/>
          <w:lang w:eastAsia="cs-CZ"/>
        </w:rPr>
        <w:t>) řešit střety dopravní a technické infrastruktury s územním systémem ekologické stability;</w:t>
      </w:r>
    </w:p>
    <w:p w14:paraId="2452E6AE" w14:textId="5DA9B648" w:rsidR="0068493C" w:rsidRPr="006070EA" w:rsidRDefault="00225BD6" w:rsidP="00040B6A">
      <w:pPr>
        <w:spacing w:before="60" w:after="60"/>
        <w:ind w:left="709"/>
        <w:jc w:val="both"/>
        <w:rPr>
          <w:rFonts w:asciiTheme="majorHAnsi" w:hAnsiTheme="majorHAnsi" w:cstheme="majorHAnsi"/>
          <w:i/>
          <w:iCs/>
          <w:sz w:val="18"/>
          <w:szCs w:val="18"/>
          <w:lang w:eastAsia="cs-CZ"/>
        </w:rPr>
      </w:pPr>
      <w:r>
        <w:rPr>
          <w:rFonts w:asciiTheme="majorHAnsi" w:hAnsiTheme="majorHAnsi" w:cstheme="majorHAnsi"/>
          <w:i/>
          <w:iCs/>
          <w:sz w:val="18"/>
          <w:szCs w:val="18"/>
          <w:lang w:eastAsia="cs-CZ"/>
        </w:rPr>
        <w:t>l</w:t>
      </w:r>
      <w:r w:rsidR="0068493C" w:rsidRPr="006070EA">
        <w:rPr>
          <w:rFonts w:asciiTheme="majorHAnsi" w:hAnsiTheme="majorHAnsi" w:cstheme="majorHAnsi"/>
          <w:i/>
          <w:iCs/>
          <w:sz w:val="18"/>
          <w:szCs w:val="18"/>
          <w:lang w:eastAsia="cs-CZ"/>
        </w:rPr>
        <w:t>) chránit říční nivy; zabránit je třeba vodohospodářským úpravám regulujícím vodní toky, odvodňování a zastavování údolních niv a likvidaci přírodě blízkých společenstev (slepá ramena, mokřady, lužní lesy, břehové porosty, louky).</w:t>
      </w:r>
    </w:p>
    <w:p w14:paraId="1B687788" w14:textId="77777777" w:rsidR="0068493C" w:rsidRPr="006070EA" w:rsidRDefault="0068493C" w:rsidP="0068493C">
      <w:pPr>
        <w:pStyle w:val="Mra2-reakceern"/>
        <w:rPr>
          <w:rFonts w:asciiTheme="majorHAnsi" w:hAnsiTheme="majorHAnsi" w:cstheme="majorHAnsi"/>
          <w:color w:val="auto"/>
        </w:rPr>
      </w:pPr>
      <w:r w:rsidRPr="006070EA">
        <w:rPr>
          <w:rFonts w:asciiTheme="majorHAnsi" w:hAnsiTheme="majorHAnsi" w:cstheme="majorHAnsi"/>
          <w:color w:val="auto"/>
        </w:rPr>
        <w:t>Územní plán respektuje přírodní hodnoty území a v rámci koncepce rozvoje území včetně ochrany jeho hodnot stanovuje zásady pro jejich ochranu. V tomto smyslu je zvláštní důraz kladen na přírodní hodnoty evidované v území dle zvláštních právních předpisů (přírodní památka, EVL, VKP, památné stromy), volnou krajinu, ÚSES, krajinnou zeleň, vodní plochy a toky, PUPFL a ZPF. Při stanovování urbanistické koncepce, vymezování rozvojových ploch a koridorů byly zohledněny přírodní hodnoty v území ve snaze o vyloučení kolize a negativního ovlivnění těchto hodnot. Územní plán nevymezuje nové plochy pro těžbu nerostů, chrání krajinný ráz (například stanovením podmínek prostorového uspořádání včetně základních podmínek ochrany krajinného rázu) a zvláště chrání významné vodní osy v území, přičemž podél nich vymezuje území přednostně určené k ochraně vodních toků.</w:t>
      </w:r>
    </w:p>
    <w:p w14:paraId="11BE597A" w14:textId="146567A4" w:rsidR="0068493C" w:rsidRPr="006070EA" w:rsidRDefault="00225BD6" w:rsidP="0068493C">
      <w:pPr>
        <w:autoSpaceDE w:val="0"/>
        <w:autoSpaceDN w:val="0"/>
        <w:adjustRightInd w:val="0"/>
        <w:spacing w:before="120" w:after="120" w:line="240" w:lineRule="auto"/>
        <w:ind w:left="567" w:hanging="567"/>
        <w:jc w:val="both"/>
        <w:rPr>
          <w:rFonts w:asciiTheme="majorHAnsi" w:hAnsiTheme="majorHAnsi" w:cstheme="majorHAnsi"/>
          <w:b/>
          <w:bCs/>
          <w:iCs/>
          <w:sz w:val="18"/>
          <w:szCs w:val="18"/>
        </w:rPr>
      </w:pPr>
      <w:r>
        <w:rPr>
          <w:rFonts w:asciiTheme="majorHAnsi" w:hAnsiTheme="majorHAnsi" w:cstheme="majorHAnsi"/>
          <w:b/>
          <w:bCs/>
          <w:iCs/>
          <w:sz w:val="18"/>
          <w:szCs w:val="18"/>
        </w:rPr>
        <w:t>E</w:t>
      </w:r>
      <w:r w:rsidR="0068493C" w:rsidRPr="006070EA">
        <w:rPr>
          <w:rFonts w:asciiTheme="majorHAnsi" w:hAnsiTheme="majorHAnsi" w:cstheme="majorHAnsi"/>
          <w:b/>
          <w:bCs/>
          <w:iCs/>
          <w:sz w:val="18"/>
          <w:szCs w:val="18"/>
        </w:rPr>
        <w:t>.2.</w:t>
      </w:r>
      <w:r w:rsidR="0068493C" w:rsidRPr="006070EA">
        <w:rPr>
          <w:rFonts w:asciiTheme="majorHAnsi" w:hAnsiTheme="majorHAnsi" w:cstheme="majorHAnsi"/>
          <w:b/>
          <w:bCs/>
          <w:iCs/>
          <w:sz w:val="18"/>
          <w:szCs w:val="18"/>
        </w:rPr>
        <w:tab/>
        <w:t>Kulturní hodnoty území kraje</w:t>
      </w:r>
    </w:p>
    <w:p w14:paraId="4E7B5238" w14:textId="77777777" w:rsidR="0068493C" w:rsidRPr="006070EA" w:rsidRDefault="0068493C" w:rsidP="00040B6A">
      <w:pPr>
        <w:pStyle w:val="vrok"/>
        <w:numPr>
          <w:ilvl w:val="0"/>
          <w:numId w:val="0"/>
        </w:numPr>
        <w:ind w:firstLine="709"/>
        <w:rPr>
          <w:rFonts w:asciiTheme="majorHAnsi" w:hAnsiTheme="majorHAnsi" w:cstheme="majorHAnsi"/>
          <w:b/>
          <w:bCs/>
          <w:iCs/>
          <w:szCs w:val="18"/>
        </w:rPr>
      </w:pPr>
      <w:r w:rsidRPr="006070EA">
        <w:rPr>
          <w:rFonts w:asciiTheme="majorHAnsi" w:hAnsiTheme="majorHAnsi" w:cstheme="majorHAnsi"/>
          <w:szCs w:val="18"/>
        </w:rPr>
        <w:t>V řešeném území se nenacházejí kulturní hodnoty krajského významu definované v ZÚR SK. Z tohoto důvodu nevyplývají pro ÚP Kostomlaty nad Labem žádné požadavky definované v ZÚR SK.</w:t>
      </w:r>
    </w:p>
    <w:p w14:paraId="6C0E1152" w14:textId="395999EE" w:rsidR="0068493C" w:rsidRPr="006070EA" w:rsidRDefault="00225BD6" w:rsidP="00F90B15">
      <w:pPr>
        <w:keepNext/>
        <w:autoSpaceDE w:val="0"/>
        <w:autoSpaceDN w:val="0"/>
        <w:adjustRightInd w:val="0"/>
        <w:spacing w:before="120" w:after="120" w:line="240" w:lineRule="auto"/>
        <w:ind w:left="567" w:hanging="567"/>
        <w:jc w:val="both"/>
        <w:rPr>
          <w:rFonts w:asciiTheme="majorHAnsi" w:hAnsiTheme="majorHAnsi" w:cstheme="majorHAnsi"/>
          <w:b/>
          <w:bCs/>
          <w:iCs/>
          <w:sz w:val="18"/>
          <w:szCs w:val="18"/>
        </w:rPr>
      </w:pPr>
      <w:r>
        <w:rPr>
          <w:rFonts w:asciiTheme="majorHAnsi" w:hAnsiTheme="majorHAnsi" w:cstheme="majorHAnsi"/>
          <w:b/>
          <w:bCs/>
          <w:iCs/>
          <w:sz w:val="18"/>
          <w:szCs w:val="18"/>
        </w:rPr>
        <w:t>E</w:t>
      </w:r>
      <w:r w:rsidR="0068493C" w:rsidRPr="006070EA">
        <w:rPr>
          <w:rFonts w:asciiTheme="majorHAnsi" w:hAnsiTheme="majorHAnsi" w:cstheme="majorHAnsi"/>
          <w:b/>
          <w:bCs/>
          <w:iCs/>
          <w:sz w:val="18"/>
          <w:szCs w:val="18"/>
        </w:rPr>
        <w:t>.3.</w:t>
      </w:r>
      <w:r w:rsidR="0068493C" w:rsidRPr="006070EA">
        <w:rPr>
          <w:rFonts w:asciiTheme="majorHAnsi" w:hAnsiTheme="majorHAnsi" w:cstheme="majorHAnsi"/>
          <w:b/>
          <w:bCs/>
          <w:iCs/>
          <w:sz w:val="18"/>
          <w:szCs w:val="18"/>
        </w:rPr>
        <w:tab/>
        <w:t>Civilizační hodnoty území kraje</w:t>
      </w:r>
    </w:p>
    <w:p w14:paraId="72BB74F7" w14:textId="77777777" w:rsidR="0068493C" w:rsidRPr="006070EA" w:rsidRDefault="0068493C" w:rsidP="00040B6A">
      <w:pPr>
        <w:pStyle w:val="vrok"/>
        <w:numPr>
          <w:ilvl w:val="0"/>
          <w:numId w:val="0"/>
        </w:numPr>
        <w:ind w:firstLine="709"/>
        <w:rPr>
          <w:rFonts w:asciiTheme="majorHAnsi" w:hAnsiTheme="majorHAnsi" w:cstheme="majorHAnsi"/>
          <w:b/>
          <w:bCs/>
          <w:iCs/>
          <w:szCs w:val="18"/>
        </w:rPr>
      </w:pPr>
      <w:r w:rsidRPr="006070EA">
        <w:rPr>
          <w:rFonts w:asciiTheme="majorHAnsi" w:hAnsiTheme="majorHAnsi" w:cstheme="majorHAnsi"/>
          <w:szCs w:val="18"/>
        </w:rPr>
        <w:t>V řešeném území se nenacházejí kulturní hodnoty krajského významu definované v ZÚR SK. Z tohoto důvodu nevyplývají pro ÚP Kostomlaty nad Labem žádné požadavky definované v ZÚR SK.</w:t>
      </w:r>
    </w:p>
    <w:p w14:paraId="1C832371" w14:textId="77777777" w:rsidR="0068493C" w:rsidRPr="00225BD6" w:rsidRDefault="0068493C" w:rsidP="00225BD6">
      <w:pPr>
        <w:pStyle w:val="Odstavecseseznamem"/>
        <w:numPr>
          <w:ilvl w:val="0"/>
          <w:numId w:val="45"/>
        </w:numPr>
        <w:pBdr>
          <w:bottom w:val="single" w:sz="4" w:space="1" w:color="auto"/>
        </w:pBdr>
        <w:spacing w:before="120" w:after="0" w:line="240" w:lineRule="auto"/>
        <w:ind w:left="284" w:hanging="284"/>
        <w:jc w:val="both"/>
        <w:rPr>
          <w:rFonts w:asciiTheme="majorHAnsi" w:hAnsiTheme="majorHAnsi" w:cstheme="majorHAnsi"/>
          <w:b/>
          <w:sz w:val="18"/>
          <w:szCs w:val="18"/>
        </w:rPr>
      </w:pPr>
      <w:r w:rsidRPr="00225BD6">
        <w:rPr>
          <w:rFonts w:asciiTheme="majorHAnsi" w:hAnsiTheme="majorHAnsi" w:cstheme="majorHAnsi"/>
          <w:b/>
          <w:sz w:val="18"/>
          <w:szCs w:val="18"/>
        </w:rPr>
        <w:t>VYMEZENÍ CÍLOVÝCH CHARAKTERISTIK KRAJINY</w:t>
      </w:r>
    </w:p>
    <w:p w14:paraId="6DF35554" w14:textId="77777777" w:rsidR="0068493C" w:rsidRPr="006070EA" w:rsidRDefault="0068493C" w:rsidP="0068493C">
      <w:pPr>
        <w:pStyle w:val="vrok"/>
        <w:numPr>
          <w:ilvl w:val="0"/>
          <w:numId w:val="0"/>
        </w:numPr>
        <w:rPr>
          <w:rFonts w:asciiTheme="majorHAnsi" w:hAnsiTheme="majorHAnsi" w:cstheme="majorHAnsi"/>
          <w:bCs/>
          <w:iCs/>
          <w:szCs w:val="18"/>
        </w:rPr>
      </w:pPr>
      <w:r w:rsidRPr="006070EA">
        <w:rPr>
          <w:rFonts w:asciiTheme="majorHAnsi" w:hAnsiTheme="majorHAnsi" w:cstheme="majorHAnsi"/>
          <w:szCs w:val="18"/>
        </w:rPr>
        <w:t xml:space="preserve">Krajina řešeného území je dle ZÚR SK zařazena do krajinného typu </w:t>
      </w:r>
      <w:r w:rsidRPr="006070EA">
        <w:rPr>
          <w:rFonts w:asciiTheme="majorHAnsi" w:hAnsiTheme="majorHAnsi" w:cstheme="majorHAnsi"/>
          <w:b/>
          <w:bCs/>
          <w:szCs w:val="18"/>
        </w:rPr>
        <w:t>krajiny s komparativními předpoklady zemědělské produkce – krajina polní O04</w:t>
      </w:r>
      <w:r w:rsidRPr="006070EA">
        <w:rPr>
          <w:rFonts w:asciiTheme="majorHAnsi" w:hAnsiTheme="majorHAnsi" w:cstheme="majorHAnsi"/>
          <w:szCs w:val="18"/>
        </w:rPr>
        <w:t>.</w:t>
      </w:r>
    </w:p>
    <w:p w14:paraId="2B1D68F5" w14:textId="77777777" w:rsidR="0068493C" w:rsidRPr="006070EA" w:rsidRDefault="0068493C" w:rsidP="0068493C">
      <w:pPr>
        <w:autoSpaceDE w:val="0"/>
        <w:autoSpaceDN w:val="0"/>
        <w:adjustRightInd w:val="0"/>
        <w:spacing w:before="120" w:after="60" w:line="240" w:lineRule="auto"/>
        <w:ind w:left="567" w:hanging="567"/>
        <w:jc w:val="both"/>
        <w:rPr>
          <w:rFonts w:asciiTheme="majorHAnsi" w:hAnsiTheme="majorHAnsi" w:cstheme="majorHAnsi"/>
          <w:bCs/>
          <w:i/>
          <w:sz w:val="18"/>
          <w:szCs w:val="18"/>
        </w:rPr>
      </w:pPr>
      <w:r w:rsidRPr="006070EA">
        <w:rPr>
          <w:rFonts w:asciiTheme="majorHAnsi" w:hAnsiTheme="majorHAnsi" w:cstheme="majorHAnsi"/>
          <w:bCs/>
          <w:iCs/>
          <w:sz w:val="18"/>
          <w:szCs w:val="18"/>
        </w:rPr>
        <w:t xml:space="preserve">(215) </w:t>
      </w:r>
      <w:r w:rsidRPr="006070EA">
        <w:rPr>
          <w:rFonts w:asciiTheme="majorHAnsi" w:hAnsiTheme="majorHAnsi" w:cstheme="majorHAnsi"/>
          <w:bCs/>
          <w:iCs/>
          <w:sz w:val="18"/>
          <w:szCs w:val="18"/>
        </w:rPr>
        <w:tab/>
      </w:r>
      <w:r w:rsidRPr="006070EA">
        <w:rPr>
          <w:rFonts w:asciiTheme="majorHAnsi" w:hAnsiTheme="majorHAnsi" w:cstheme="majorHAnsi"/>
          <w:bCs/>
          <w:i/>
          <w:sz w:val="18"/>
          <w:szCs w:val="18"/>
        </w:rPr>
        <w:t>ZÚR stanovují tyto zásady pro činnost v území a rozhodování o změnách v území:</w:t>
      </w:r>
    </w:p>
    <w:p w14:paraId="22505925" w14:textId="5EF122D1" w:rsidR="0068493C" w:rsidRPr="006070EA" w:rsidRDefault="0068493C" w:rsidP="00040B6A">
      <w:pPr>
        <w:spacing w:before="60" w:after="60"/>
        <w:ind w:left="709"/>
        <w:jc w:val="both"/>
        <w:rPr>
          <w:rFonts w:asciiTheme="majorHAnsi" w:hAnsiTheme="majorHAnsi" w:cstheme="majorHAnsi"/>
          <w:i/>
          <w:iCs/>
          <w:sz w:val="18"/>
          <w:szCs w:val="18"/>
          <w:lang w:eastAsia="cs-CZ"/>
        </w:rPr>
      </w:pPr>
      <w:r w:rsidRPr="006070EA">
        <w:rPr>
          <w:rFonts w:asciiTheme="majorHAnsi" w:hAnsiTheme="majorHAnsi" w:cstheme="majorHAnsi"/>
          <w:i/>
          <w:iCs/>
          <w:sz w:val="18"/>
          <w:szCs w:val="18"/>
          <w:lang w:eastAsia="cs-CZ"/>
        </w:rPr>
        <w:t xml:space="preserve">a) </w:t>
      </w:r>
      <w:r w:rsidR="00544F30" w:rsidRPr="00544F30">
        <w:rPr>
          <w:rFonts w:asciiTheme="majorHAnsi" w:hAnsiTheme="majorHAnsi" w:cstheme="majorHAnsi"/>
          <w:i/>
          <w:iCs/>
          <w:sz w:val="18"/>
          <w:szCs w:val="18"/>
          <w:lang w:eastAsia="cs-CZ"/>
        </w:rPr>
        <w:t>zachování komparativních výhod pro zemědělské hospodaření, zejména preferencí ochrany zemědělského půdního fondu a vytvářením podmínek pro realizaci protierozních opatření</w:t>
      </w:r>
      <w:r w:rsidRPr="006070EA">
        <w:rPr>
          <w:rFonts w:asciiTheme="majorHAnsi" w:hAnsiTheme="majorHAnsi" w:cstheme="majorHAnsi"/>
          <w:i/>
          <w:iCs/>
          <w:sz w:val="18"/>
          <w:szCs w:val="18"/>
          <w:lang w:eastAsia="cs-CZ"/>
        </w:rPr>
        <w:t>;</w:t>
      </w:r>
    </w:p>
    <w:p w14:paraId="396C9CA8" w14:textId="77777777" w:rsidR="00544F30" w:rsidRDefault="0068493C" w:rsidP="00040B6A">
      <w:pPr>
        <w:spacing w:before="60" w:after="60"/>
        <w:ind w:left="709"/>
        <w:jc w:val="both"/>
        <w:rPr>
          <w:rFonts w:asciiTheme="majorHAnsi" w:hAnsiTheme="majorHAnsi" w:cstheme="majorHAnsi"/>
          <w:i/>
          <w:iCs/>
          <w:sz w:val="18"/>
          <w:szCs w:val="18"/>
          <w:lang w:eastAsia="cs-CZ"/>
        </w:rPr>
      </w:pPr>
      <w:r w:rsidRPr="006070EA">
        <w:rPr>
          <w:rFonts w:asciiTheme="majorHAnsi" w:hAnsiTheme="majorHAnsi" w:cstheme="majorHAnsi"/>
          <w:i/>
          <w:iCs/>
          <w:sz w:val="18"/>
          <w:szCs w:val="18"/>
          <w:lang w:eastAsia="cs-CZ"/>
        </w:rPr>
        <w:t xml:space="preserve">b) </w:t>
      </w:r>
      <w:r w:rsidR="00544F30" w:rsidRPr="00544F30">
        <w:rPr>
          <w:rFonts w:asciiTheme="majorHAnsi" w:hAnsiTheme="majorHAnsi" w:cstheme="majorHAnsi"/>
          <w:i/>
          <w:iCs/>
          <w:sz w:val="18"/>
          <w:szCs w:val="18"/>
          <w:lang w:eastAsia="cs-CZ"/>
        </w:rPr>
        <w:t>vytvářet podmínky pro specifické zemědělské funkce</w:t>
      </w:r>
      <w:r w:rsidR="00544F30">
        <w:rPr>
          <w:rFonts w:asciiTheme="majorHAnsi" w:hAnsiTheme="majorHAnsi" w:cstheme="majorHAnsi"/>
          <w:i/>
          <w:iCs/>
          <w:sz w:val="18"/>
          <w:szCs w:val="18"/>
          <w:lang w:eastAsia="cs-CZ"/>
        </w:rPr>
        <w:t>;</w:t>
      </w:r>
    </w:p>
    <w:p w14:paraId="7F78A79F" w14:textId="3F59DD40" w:rsidR="0068493C" w:rsidRDefault="00544F30" w:rsidP="00040B6A">
      <w:pPr>
        <w:spacing w:before="60" w:after="60"/>
        <w:ind w:left="709"/>
        <w:jc w:val="both"/>
        <w:rPr>
          <w:rFonts w:asciiTheme="majorHAnsi" w:hAnsiTheme="majorHAnsi" w:cstheme="majorHAnsi"/>
          <w:i/>
          <w:iCs/>
          <w:sz w:val="18"/>
          <w:szCs w:val="18"/>
          <w:lang w:eastAsia="cs-CZ"/>
        </w:rPr>
      </w:pPr>
      <w:r>
        <w:rPr>
          <w:rFonts w:asciiTheme="majorHAnsi" w:hAnsiTheme="majorHAnsi" w:cstheme="majorHAnsi"/>
          <w:i/>
          <w:iCs/>
          <w:sz w:val="18"/>
          <w:szCs w:val="18"/>
          <w:lang w:eastAsia="cs-CZ"/>
        </w:rPr>
        <w:t xml:space="preserve">c) </w:t>
      </w:r>
      <w:r w:rsidRPr="00544F30">
        <w:rPr>
          <w:rFonts w:asciiTheme="majorHAnsi" w:hAnsiTheme="majorHAnsi" w:cstheme="majorHAnsi"/>
          <w:i/>
          <w:iCs/>
          <w:sz w:val="18"/>
          <w:szCs w:val="18"/>
          <w:lang w:eastAsia="cs-CZ"/>
        </w:rPr>
        <w:t>obnovit a funkčně posílit prvky nelesní rozptýlené zeleně jako struktur prostorového členění krajiny zejména s funkcí skladebné části ÚSES a protierozní ochrany</w:t>
      </w:r>
      <w:r>
        <w:rPr>
          <w:rFonts w:asciiTheme="majorHAnsi" w:hAnsiTheme="majorHAnsi" w:cstheme="majorHAnsi"/>
          <w:i/>
          <w:iCs/>
          <w:sz w:val="18"/>
          <w:szCs w:val="18"/>
          <w:lang w:eastAsia="cs-CZ"/>
        </w:rPr>
        <w:t>;</w:t>
      </w:r>
    </w:p>
    <w:p w14:paraId="3FC61540" w14:textId="36E0D48B" w:rsidR="00544F30" w:rsidRDefault="00544F30" w:rsidP="00040B6A">
      <w:pPr>
        <w:spacing w:before="60" w:after="60"/>
        <w:ind w:left="709"/>
        <w:jc w:val="both"/>
        <w:rPr>
          <w:rFonts w:asciiTheme="majorHAnsi" w:hAnsiTheme="majorHAnsi" w:cstheme="majorHAnsi"/>
          <w:i/>
          <w:iCs/>
          <w:sz w:val="18"/>
          <w:szCs w:val="18"/>
          <w:lang w:eastAsia="cs-CZ"/>
        </w:rPr>
      </w:pPr>
      <w:r>
        <w:rPr>
          <w:rFonts w:asciiTheme="majorHAnsi" w:hAnsiTheme="majorHAnsi" w:cstheme="majorHAnsi"/>
          <w:i/>
          <w:iCs/>
          <w:sz w:val="18"/>
          <w:szCs w:val="18"/>
          <w:lang w:eastAsia="cs-CZ"/>
        </w:rPr>
        <w:t xml:space="preserve">d) </w:t>
      </w:r>
      <w:r w:rsidRPr="00544F30">
        <w:rPr>
          <w:rFonts w:asciiTheme="majorHAnsi" w:hAnsiTheme="majorHAnsi" w:cstheme="majorHAnsi"/>
          <w:i/>
          <w:iCs/>
          <w:sz w:val="18"/>
          <w:szCs w:val="18"/>
          <w:lang w:eastAsia="cs-CZ"/>
        </w:rPr>
        <w:t>posilovat vizuální a funkční význam vodních toků společně s ochranou nebo obnovou přirozených odtokových poměrů v údolních nivách</w:t>
      </w:r>
      <w:r>
        <w:rPr>
          <w:rFonts w:asciiTheme="majorHAnsi" w:hAnsiTheme="majorHAnsi" w:cstheme="majorHAnsi"/>
          <w:i/>
          <w:iCs/>
          <w:sz w:val="18"/>
          <w:szCs w:val="18"/>
          <w:lang w:eastAsia="cs-CZ"/>
        </w:rPr>
        <w:t>;</w:t>
      </w:r>
    </w:p>
    <w:p w14:paraId="34290AF1" w14:textId="6A7F92C4" w:rsidR="00544F30" w:rsidRDefault="00544F30" w:rsidP="00040B6A">
      <w:pPr>
        <w:spacing w:before="60" w:after="60"/>
        <w:ind w:left="709"/>
        <w:jc w:val="both"/>
        <w:rPr>
          <w:rFonts w:asciiTheme="majorHAnsi" w:hAnsiTheme="majorHAnsi" w:cstheme="majorHAnsi"/>
          <w:i/>
          <w:iCs/>
          <w:sz w:val="18"/>
          <w:szCs w:val="18"/>
          <w:lang w:eastAsia="cs-CZ"/>
        </w:rPr>
      </w:pPr>
      <w:r>
        <w:rPr>
          <w:rFonts w:asciiTheme="majorHAnsi" w:hAnsiTheme="majorHAnsi" w:cstheme="majorHAnsi"/>
          <w:i/>
          <w:iCs/>
          <w:sz w:val="18"/>
          <w:szCs w:val="18"/>
          <w:lang w:eastAsia="cs-CZ"/>
        </w:rPr>
        <w:t xml:space="preserve">g) </w:t>
      </w:r>
      <w:r w:rsidRPr="00544F30">
        <w:rPr>
          <w:rFonts w:asciiTheme="majorHAnsi" w:hAnsiTheme="majorHAnsi" w:cstheme="majorHAnsi"/>
          <w:i/>
          <w:iCs/>
          <w:sz w:val="18"/>
          <w:szCs w:val="18"/>
          <w:lang w:eastAsia="cs-CZ"/>
        </w:rPr>
        <w:t>vytvářet podmínky pro zvýšení prostupnosti území pro pěší a nemotorovou dopravu</w:t>
      </w:r>
      <w:r>
        <w:rPr>
          <w:rFonts w:asciiTheme="majorHAnsi" w:hAnsiTheme="majorHAnsi" w:cstheme="majorHAnsi"/>
          <w:i/>
          <w:iCs/>
          <w:sz w:val="18"/>
          <w:szCs w:val="18"/>
          <w:lang w:eastAsia="cs-CZ"/>
        </w:rPr>
        <w:t>;</w:t>
      </w:r>
    </w:p>
    <w:p w14:paraId="7DD3B4DB" w14:textId="4B96A799" w:rsidR="00544F30" w:rsidRPr="006070EA" w:rsidRDefault="00544F30" w:rsidP="00040B6A">
      <w:pPr>
        <w:spacing w:before="60" w:after="60"/>
        <w:ind w:left="709"/>
        <w:jc w:val="both"/>
        <w:rPr>
          <w:rFonts w:asciiTheme="majorHAnsi" w:hAnsiTheme="majorHAnsi" w:cstheme="majorHAnsi"/>
          <w:i/>
          <w:iCs/>
          <w:sz w:val="18"/>
          <w:szCs w:val="18"/>
          <w:lang w:eastAsia="cs-CZ"/>
        </w:rPr>
      </w:pPr>
      <w:r>
        <w:rPr>
          <w:rFonts w:asciiTheme="majorHAnsi" w:hAnsiTheme="majorHAnsi" w:cstheme="majorHAnsi"/>
          <w:i/>
          <w:iCs/>
          <w:sz w:val="18"/>
          <w:szCs w:val="18"/>
          <w:lang w:eastAsia="cs-CZ"/>
        </w:rPr>
        <w:t xml:space="preserve">h) </w:t>
      </w:r>
      <w:r w:rsidRPr="00544F30">
        <w:rPr>
          <w:rFonts w:asciiTheme="majorHAnsi" w:hAnsiTheme="majorHAnsi" w:cstheme="majorHAnsi"/>
          <w:i/>
          <w:iCs/>
          <w:sz w:val="18"/>
          <w:szCs w:val="18"/>
          <w:lang w:eastAsia="cs-CZ"/>
        </w:rPr>
        <w:t>vytvářet územní podmínky pro ochranu a pro prostorové a funkční posilování prvků lesní a nelesní krajinné zeleně</w:t>
      </w:r>
      <w:r>
        <w:rPr>
          <w:rFonts w:asciiTheme="majorHAnsi" w:hAnsiTheme="majorHAnsi" w:cstheme="majorHAnsi"/>
          <w:i/>
          <w:iCs/>
          <w:sz w:val="18"/>
          <w:szCs w:val="18"/>
          <w:lang w:eastAsia="cs-CZ"/>
        </w:rPr>
        <w:t>.</w:t>
      </w:r>
    </w:p>
    <w:p w14:paraId="52C36E08" w14:textId="77777777" w:rsidR="0068493C" w:rsidRPr="006070EA" w:rsidRDefault="0068493C" w:rsidP="0068493C">
      <w:pPr>
        <w:pStyle w:val="Mra2-reakceern"/>
        <w:rPr>
          <w:rFonts w:asciiTheme="majorHAnsi" w:hAnsiTheme="majorHAnsi" w:cstheme="majorHAnsi"/>
          <w:color w:val="auto"/>
        </w:rPr>
      </w:pPr>
      <w:bookmarkStart w:id="70" w:name="_Hlk71566678"/>
      <w:r w:rsidRPr="006070EA">
        <w:rPr>
          <w:rFonts w:asciiTheme="majorHAnsi" w:hAnsiTheme="majorHAnsi" w:cstheme="majorHAnsi"/>
          <w:color w:val="auto"/>
        </w:rPr>
        <w:t>Územní plán respektuje kategorizaci řešeného území dle cílových charakteristik krajiny. Zemědělská funkce území zůstává zachována, vzhledem k přirozeně vhodným podmínkám pro zemědělskou činnost. V rámci dílčích koncepcí jsou chráněny a dále rozvíjeny hodnotné charakteristické rysy krajinného rázu. V rámci stanovených podmínek využití jednotlivých ploch s rozdílným způsobem využití, na něž je řešené území územním plánem bezvýhradně členěno, jsou stanoveny podmínky prostorového uspořádání, obsahující současně základní podmínky ochrany krajinného rázu – výškovou regulaci zástavby (stanovení maximální výšky zástavby), charakter a strukturu zástavby, stanovení rozmezí výměry pro vymezování stavebních pozemků a intenzity jejich využití (stanovení koeficientu maximálního zastavění pozemku, stanovení koeficientu minimálního podílu zeleně na pozemku, stanovení velikosti maximální velikosti zastavěné plochy objektu).</w:t>
      </w:r>
    </w:p>
    <w:bookmarkEnd w:id="70"/>
    <w:p w14:paraId="2E60F8B5" w14:textId="0E93CDCE" w:rsidR="0068493C" w:rsidRDefault="0068493C" w:rsidP="0068493C">
      <w:pPr>
        <w:pStyle w:val="Mra2-reakceern"/>
        <w:ind w:firstLine="709"/>
        <w:rPr>
          <w:rFonts w:asciiTheme="majorHAnsi" w:hAnsiTheme="majorHAnsi" w:cstheme="majorHAnsi"/>
          <w:color w:val="auto"/>
        </w:rPr>
      </w:pPr>
      <w:r w:rsidRPr="006070EA">
        <w:rPr>
          <w:rFonts w:asciiTheme="majorHAnsi" w:hAnsiTheme="majorHAnsi" w:cstheme="majorHAnsi"/>
          <w:color w:val="auto"/>
        </w:rPr>
        <w:t>Územní plán stabilizuje zemědělskou výrobu v rámci ploch VZ jako nedílnou součást hospodaření v oblasti. Územním plánem jsou zachovány podmínky pro intenzivní zemědělskou činnost – zejména plochami zemědělskými (</w:t>
      </w:r>
      <w:r w:rsidR="00E6279E" w:rsidRPr="006070EA">
        <w:rPr>
          <w:rFonts w:asciiTheme="majorHAnsi" w:hAnsiTheme="majorHAnsi" w:cstheme="majorHAnsi"/>
          <w:color w:val="auto"/>
        </w:rPr>
        <w:t>AU</w:t>
      </w:r>
      <w:r w:rsidRPr="006070EA">
        <w:rPr>
          <w:rFonts w:asciiTheme="majorHAnsi" w:hAnsiTheme="majorHAnsi" w:cstheme="majorHAnsi"/>
          <w:color w:val="auto"/>
        </w:rPr>
        <w:t>), které představují dominantní krajinnou matrici území. Současně jsou územním plánem stanovena opatření pro zvýšení ekologické stability území</w:t>
      </w:r>
      <w:r w:rsidR="00040B6A" w:rsidRPr="006070EA">
        <w:rPr>
          <w:rFonts w:asciiTheme="majorHAnsi" w:hAnsiTheme="majorHAnsi" w:cstheme="majorHAnsi"/>
          <w:color w:val="auto"/>
        </w:rPr>
        <w:t>,</w:t>
      </w:r>
      <w:r w:rsidRPr="006070EA">
        <w:rPr>
          <w:rFonts w:asciiTheme="majorHAnsi" w:hAnsiTheme="majorHAnsi" w:cstheme="majorHAnsi"/>
          <w:color w:val="auto"/>
        </w:rPr>
        <w:t xml:space="preserve"> a tedy zachování výjimečných podmínek pro zemědělskou prvovýrobu.</w:t>
      </w:r>
    </w:p>
    <w:p w14:paraId="710C987C" w14:textId="224BBF83" w:rsidR="00544F30" w:rsidRDefault="00544F30" w:rsidP="0068493C">
      <w:pPr>
        <w:pStyle w:val="Mra2-reakceern"/>
        <w:ind w:firstLine="709"/>
        <w:rPr>
          <w:rFonts w:asciiTheme="majorHAnsi" w:hAnsiTheme="majorHAnsi" w:cstheme="majorHAnsi"/>
          <w:color w:val="auto"/>
        </w:rPr>
      </w:pPr>
      <w:r>
        <w:rPr>
          <w:rFonts w:asciiTheme="majorHAnsi" w:hAnsiTheme="majorHAnsi" w:cstheme="majorHAnsi"/>
          <w:color w:val="auto"/>
        </w:rPr>
        <w:t>Obnova a funkční posílení prvků nelesní rozptýlené zeleně je zajištěna mimo vymezení souvislého a provázaného územního systému ekologické stability také stabilizací ekologicky stabilnějších fragmentů krajiny v rámci specifických ploch s rozdílným způsobem využití, zajišťující jejich ochranu a doplnění. Tímto jsou současně vytvořeny podmínky pro posílení prvků lesní a nelesní krajinné zeleně.</w:t>
      </w:r>
    </w:p>
    <w:p w14:paraId="72A3A023" w14:textId="455094E2" w:rsidR="00544F30" w:rsidRDefault="00544F30" w:rsidP="0068493C">
      <w:pPr>
        <w:pStyle w:val="Mra2-reakceern"/>
        <w:ind w:firstLine="709"/>
        <w:rPr>
          <w:rFonts w:asciiTheme="majorHAnsi" w:hAnsiTheme="majorHAnsi" w:cstheme="majorHAnsi"/>
          <w:color w:val="auto"/>
        </w:rPr>
      </w:pPr>
      <w:r>
        <w:rPr>
          <w:rFonts w:asciiTheme="majorHAnsi" w:hAnsiTheme="majorHAnsi" w:cstheme="majorHAnsi"/>
          <w:color w:val="auto"/>
        </w:rPr>
        <w:t>Funkční a vizuální význam vodních toků a ochrana či obnova přirozených odtokových poměrů je zajištěna v obecné rovině koncepčními zásadami a konkrétním způsobem následně například vymezením veřejně prospěšného opatření VU.5 vytvářejícího podmínky pro revitalizaci a renaturaci Hronětického náhonu jakožto jednoho z významnějších vodních toků v území.</w:t>
      </w:r>
    </w:p>
    <w:p w14:paraId="417F4B57" w14:textId="09A48903" w:rsidR="00544F30" w:rsidRPr="006070EA" w:rsidRDefault="00544F30" w:rsidP="0068493C">
      <w:pPr>
        <w:pStyle w:val="Mra2-reakceern"/>
        <w:ind w:firstLine="709"/>
        <w:rPr>
          <w:rFonts w:asciiTheme="majorHAnsi" w:hAnsiTheme="majorHAnsi" w:cstheme="majorHAnsi"/>
          <w:color w:val="auto"/>
        </w:rPr>
      </w:pPr>
      <w:r>
        <w:rPr>
          <w:rFonts w:asciiTheme="majorHAnsi" w:hAnsiTheme="majorHAnsi" w:cstheme="majorHAnsi"/>
          <w:color w:val="auto"/>
        </w:rPr>
        <w:t xml:space="preserve">Podmínky pro zvýšení prostupnosti území pro pěší a nemotorovou dopravu jsou vytvořeny vyjma stabilizace významných komunikací v plochách PU dále také například vymezení koncepčních směrů prostupnosti. </w:t>
      </w:r>
    </w:p>
    <w:p w14:paraId="5931FC63" w14:textId="75CA0180" w:rsidR="0068493C" w:rsidRPr="00544F30" w:rsidRDefault="0068493C" w:rsidP="00544F30">
      <w:pPr>
        <w:pStyle w:val="Odstavecseseznamem"/>
        <w:numPr>
          <w:ilvl w:val="0"/>
          <w:numId w:val="45"/>
        </w:numPr>
        <w:pBdr>
          <w:bottom w:val="single" w:sz="4" w:space="1" w:color="auto"/>
        </w:pBdr>
        <w:spacing w:before="120" w:after="0" w:line="240" w:lineRule="auto"/>
        <w:ind w:left="284" w:hanging="284"/>
        <w:jc w:val="both"/>
        <w:rPr>
          <w:rFonts w:asciiTheme="majorHAnsi" w:hAnsiTheme="majorHAnsi" w:cstheme="majorHAnsi"/>
          <w:b/>
          <w:sz w:val="18"/>
          <w:szCs w:val="18"/>
        </w:rPr>
      </w:pPr>
      <w:r w:rsidRPr="00544F30">
        <w:rPr>
          <w:rFonts w:asciiTheme="majorHAnsi" w:hAnsiTheme="majorHAnsi" w:cstheme="majorHAnsi"/>
          <w:b/>
          <w:sz w:val="18"/>
          <w:szCs w:val="18"/>
        </w:rPr>
        <w:lastRenderedPageBreak/>
        <w:t>VYMEZENÍ VEŘEJNĚ PROSPĚŠNÝCH STAVEB A OPATŘENÍ, STAVEB A OPATŘENÍ K ZAJIŠŤOVÁNÍ OBRANY A</w:t>
      </w:r>
      <w:r w:rsidR="00040B6A" w:rsidRPr="00544F30">
        <w:rPr>
          <w:rFonts w:asciiTheme="majorHAnsi" w:hAnsiTheme="majorHAnsi" w:cstheme="majorHAnsi"/>
          <w:b/>
          <w:sz w:val="18"/>
          <w:szCs w:val="18"/>
        </w:rPr>
        <w:t> </w:t>
      </w:r>
      <w:r w:rsidRPr="00544F30">
        <w:rPr>
          <w:rFonts w:asciiTheme="majorHAnsi" w:hAnsiTheme="majorHAnsi" w:cstheme="majorHAnsi"/>
          <w:b/>
          <w:sz w:val="18"/>
          <w:szCs w:val="18"/>
        </w:rPr>
        <w:t>BEZPEČNOSTI STÁTU A ASANAČNÍCH ÚZEMÍ NADMÍSTNÍHO VÝZNAMU, PRO KTERÉ LZE PRÁVA K POZEMKŮM A</w:t>
      </w:r>
      <w:r w:rsidR="00040B6A" w:rsidRPr="00544F30">
        <w:rPr>
          <w:rFonts w:asciiTheme="majorHAnsi" w:hAnsiTheme="majorHAnsi" w:cstheme="majorHAnsi"/>
          <w:b/>
          <w:sz w:val="18"/>
          <w:szCs w:val="18"/>
        </w:rPr>
        <w:t> </w:t>
      </w:r>
      <w:r w:rsidRPr="00544F30">
        <w:rPr>
          <w:rFonts w:asciiTheme="majorHAnsi" w:hAnsiTheme="majorHAnsi" w:cstheme="majorHAnsi"/>
          <w:b/>
          <w:sz w:val="18"/>
          <w:szCs w:val="18"/>
        </w:rPr>
        <w:t>STAVBÁM VYVLASTNIT</w:t>
      </w:r>
    </w:p>
    <w:p w14:paraId="0D83E45B" w14:textId="5476E504" w:rsidR="00544F30" w:rsidRPr="009402D8" w:rsidRDefault="00544F30" w:rsidP="00544F30">
      <w:pPr>
        <w:autoSpaceDE w:val="0"/>
        <w:autoSpaceDN w:val="0"/>
        <w:adjustRightInd w:val="0"/>
        <w:spacing w:before="120" w:after="120" w:line="240" w:lineRule="auto"/>
        <w:ind w:left="567" w:hanging="567"/>
        <w:jc w:val="both"/>
        <w:rPr>
          <w:rFonts w:asciiTheme="majorHAnsi" w:hAnsiTheme="majorHAnsi" w:cstheme="majorHAnsi"/>
          <w:bCs/>
          <w:i/>
          <w:sz w:val="18"/>
          <w:szCs w:val="18"/>
        </w:rPr>
      </w:pPr>
      <w:r w:rsidRPr="009402D8">
        <w:rPr>
          <w:rFonts w:asciiTheme="majorHAnsi" w:hAnsiTheme="majorHAnsi" w:cstheme="majorHAnsi"/>
          <w:bCs/>
          <w:iCs/>
          <w:sz w:val="18"/>
          <w:szCs w:val="18"/>
        </w:rPr>
        <w:t xml:space="preserve">(230) </w:t>
      </w:r>
      <w:r w:rsidRPr="009402D8">
        <w:rPr>
          <w:rFonts w:asciiTheme="majorHAnsi" w:hAnsiTheme="majorHAnsi" w:cstheme="majorHAnsi"/>
          <w:bCs/>
          <w:iCs/>
          <w:sz w:val="18"/>
          <w:szCs w:val="18"/>
        </w:rPr>
        <w:tab/>
      </w:r>
      <w:r w:rsidRPr="009402D8">
        <w:rPr>
          <w:rFonts w:asciiTheme="majorHAnsi" w:hAnsiTheme="majorHAnsi" w:cstheme="majorHAnsi"/>
          <w:bCs/>
          <w:i/>
          <w:sz w:val="18"/>
          <w:szCs w:val="18"/>
        </w:rPr>
        <w:t>ZÚR vymezují tyto koridory pro umístění veřejně prospěšných staveb dopravní infrastruktury:</w:t>
      </w:r>
    </w:p>
    <w:tbl>
      <w:tblPr>
        <w:tblW w:w="5000" w:type="pct"/>
        <w:tblBorders>
          <w:insideH w:val="single" w:sz="6" w:space="0" w:color="000000"/>
          <w:insideV w:val="single" w:sz="6" w:space="0" w:color="000000"/>
        </w:tblBorders>
        <w:tblLook w:val="04A0" w:firstRow="1" w:lastRow="0" w:firstColumn="1" w:lastColumn="0" w:noHBand="0" w:noVBand="1"/>
      </w:tblPr>
      <w:tblGrid>
        <w:gridCol w:w="958"/>
        <w:gridCol w:w="2944"/>
        <w:gridCol w:w="934"/>
        <w:gridCol w:w="1979"/>
        <w:gridCol w:w="2255"/>
      </w:tblGrid>
      <w:tr w:rsidR="00544F30" w:rsidRPr="009402D8" w14:paraId="3D69DF91" w14:textId="77777777" w:rsidTr="00544F30">
        <w:tc>
          <w:tcPr>
            <w:tcW w:w="528" w:type="pct"/>
            <w:shd w:val="clear" w:color="auto" w:fill="auto"/>
            <w:vAlign w:val="center"/>
          </w:tcPr>
          <w:p w14:paraId="17DC2A50" w14:textId="601332F4" w:rsidR="00544F30" w:rsidRPr="009402D8" w:rsidRDefault="00544F30" w:rsidP="00B34F0B">
            <w:pPr>
              <w:spacing w:after="0"/>
              <w:jc w:val="center"/>
              <w:rPr>
                <w:rFonts w:asciiTheme="majorHAnsi" w:hAnsiTheme="majorHAnsi" w:cstheme="majorHAnsi"/>
                <w:b/>
                <w:bCs/>
                <w:color w:val="000000"/>
                <w:sz w:val="18"/>
                <w:szCs w:val="18"/>
              </w:rPr>
            </w:pPr>
            <w:r w:rsidRPr="009402D8">
              <w:rPr>
                <w:rFonts w:asciiTheme="majorHAnsi" w:hAnsiTheme="majorHAnsi" w:cstheme="majorHAnsi"/>
                <w:b/>
                <w:bCs/>
                <w:color w:val="000000"/>
                <w:sz w:val="18"/>
                <w:szCs w:val="18"/>
              </w:rPr>
              <w:t>číslo VPS</w:t>
            </w:r>
          </w:p>
        </w:tc>
        <w:tc>
          <w:tcPr>
            <w:tcW w:w="1623" w:type="pct"/>
            <w:shd w:val="clear" w:color="auto" w:fill="auto"/>
            <w:vAlign w:val="center"/>
          </w:tcPr>
          <w:p w14:paraId="3B7CD9C5" w14:textId="5C2CEFDC" w:rsidR="00544F30" w:rsidRPr="009402D8" w:rsidRDefault="00544F30" w:rsidP="00B34F0B">
            <w:pPr>
              <w:spacing w:after="0"/>
              <w:jc w:val="center"/>
              <w:rPr>
                <w:rFonts w:asciiTheme="majorHAnsi" w:hAnsiTheme="majorHAnsi" w:cstheme="majorHAnsi"/>
                <w:b/>
                <w:bCs/>
                <w:color w:val="000000"/>
                <w:sz w:val="18"/>
                <w:szCs w:val="18"/>
              </w:rPr>
            </w:pPr>
            <w:r w:rsidRPr="009402D8">
              <w:rPr>
                <w:rFonts w:asciiTheme="majorHAnsi" w:hAnsiTheme="majorHAnsi" w:cstheme="majorHAnsi"/>
                <w:b/>
                <w:bCs/>
                <w:color w:val="000000"/>
                <w:sz w:val="18"/>
                <w:szCs w:val="18"/>
              </w:rPr>
              <w:t>popis VPS</w:t>
            </w:r>
          </w:p>
        </w:tc>
        <w:tc>
          <w:tcPr>
            <w:tcW w:w="515" w:type="pct"/>
            <w:shd w:val="clear" w:color="auto" w:fill="auto"/>
            <w:vAlign w:val="center"/>
          </w:tcPr>
          <w:p w14:paraId="3FBB27D1" w14:textId="77777777" w:rsidR="00544F30" w:rsidRPr="009402D8" w:rsidRDefault="00544F30" w:rsidP="00B34F0B">
            <w:pPr>
              <w:spacing w:after="0"/>
              <w:jc w:val="center"/>
              <w:rPr>
                <w:rFonts w:asciiTheme="majorHAnsi" w:hAnsiTheme="majorHAnsi" w:cstheme="majorHAnsi"/>
                <w:b/>
                <w:bCs/>
                <w:color w:val="000000"/>
                <w:sz w:val="18"/>
                <w:szCs w:val="18"/>
              </w:rPr>
            </w:pPr>
            <w:r w:rsidRPr="009402D8">
              <w:rPr>
                <w:rFonts w:asciiTheme="majorHAnsi" w:hAnsiTheme="majorHAnsi" w:cstheme="majorHAnsi"/>
                <w:b/>
                <w:bCs/>
                <w:color w:val="000000"/>
                <w:sz w:val="18"/>
                <w:szCs w:val="18"/>
              </w:rPr>
              <w:t>ORP</w:t>
            </w:r>
          </w:p>
        </w:tc>
        <w:tc>
          <w:tcPr>
            <w:tcW w:w="1091" w:type="pct"/>
            <w:shd w:val="clear" w:color="auto" w:fill="auto"/>
            <w:vAlign w:val="center"/>
          </w:tcPr>
          <w:p w14:paraId="09F3612F" w14:textId="77777777" w:rsidR="00544F30" w:rsidRPr="009402D8" w:rsidRDefault="00544F30" w:rsidP="00B34F0B">
            <w:pPr>
              <w:spacing w:after="0"/>
              <w:jc w:val="center"/>
              <w:rPr>
                <w:rFonts w:asciiTheme="majorHAnsi" w:hAnsiTheme="majorHAnsi" w:cstheme="majorHAnsi"/>
                <w:b/>
                <w:bCs/>
                <w:color w:val="000000"/>
                <w:sz w:val="18"/>
                <w:szCs w:val="18"/>
              </w:rPr>
            </w:pPr>
            <w:r w:rsidRPr="009402D8">
              <w:rPr>
                <w:rFonts w:asciiTheme="majorHAnsi" w:hAnsiTheme="majorHAnsi" w:cstheme="majorHAnsi"/>
                <w:b/>
                <w:bCs/>
                <w:color w:val="000000"/>
                <w:sz w:val="18"/>
                <w:szCs w:val="18"/>
              </w:rPr>
              <w:t>dotčená obec</w:t>
            </w:r>
          </w:p>
        </w:tc>
        <w:tc>
          <w:tcPr>
            <w:tcW w:w="1243" w:type="pct"/>
            <w:shd w:val="clear" w:color="auto" w:fill="auto"/>
            <w:vAlign w:val="center"/>
          </w:tcPr>
          <w:p w14:paraId="58E3FCE6" w14:textId="77777777" w:rsidR="00544F30" w:rsidRPr="009402D8" w:rsidRDefault="00544F30" w:rsidP="00B34F0B">
            <w:pPr>
              <w:spacing w:after="0"/>
              <w:jc w:val="center"/>
              <w:rPr>
                <w:rFonts w:asciiTheme="majorHAnsi" w:hAnsiTheme="majorHAnsi" w:cstheme="majorHAnsi"/>
                <w:b/>
                <w:bCs/>
                <w:color w:val="000000"/>
                <w:sz w:val="18"/>
                <w:szCs w:val="18"/>
              </w:rPr>
            </w:pPr>
            <w:r w:rsidRPr="009402D8">
              <w:rPr>
                <w:rFonts w:asciiTheme="majorHAnsi" w:hAnsiTheme="majorHAnsi" w:cstheme="majorHAnsi"/>
                <w:b/>
                <w:bCs/>
                <w:color w:val="000000"/>
                <w:sz w:val="18"/>
                <w:szCs w:val="18"/>
              </w:rPr>
              <w:t>dotčené katastrální území</w:t>
            </w:r>
          </w:p>
        </w:tc>
      </w:tr>
      <w:tr w:rsidR="00544F30" w:rsidRPr="009402D8" w14:paraId="6F3AF854" w14:textId="77777777" w:rsidTr="00544F30">
        <w:tc>
          <w:tcPr>
            <w:tcW w:w="528" w:type="pct"/>
            <w:shd w:val="clear" w:color="auto" w:fill="auto"/>
            <w:vAlign w:val="center"/>
          </w:tcPr>
          <w:p w14:paraId="21B2999D" w14:textId="425FC682" w:rsidR="00544F30" w:rsidRPr="009402D8" w:rsidRDefault="00544F30" w:rsidP="00B34F0B">
            <w:pPr>
              <w:spacing w:after="0"/>
              <w:jc w:val="center"/>
              <w:rPr>
                <w:rFonts w:asciiTheme="majorHAnsi" w:hAnsiTheme="majorHAnsi" w:cstheme="majorHAnsi"/>
                <w:b/>
                <w:bCs/>
                <w:color w:val="000000"/>
                <w:sz w:val="18"/>
                <w:szCs w:val="18"/>
              </w:rPr>
            </w:pPr>
            <w:r w:rsidRPr="009402D8">
              <w:rPr>
                <w:rFonts w:asciiTheme="majorHAnsi" w:hAnsiTheme="majorHAnsi" w:cstheme="majorHAnsi"/>
                <w:b/>
                <w:bCs/>
                <w:color w:val="000000"/>
                <w:sz w:val="18"/>
                <w:szCs w:val="18"/>
              </w:rPr>
              <w:t>D322</w:t>
            </w:r>
          </w:p>
        </w:tc>
        <w:tc>
          <w:tcPr>
            <w:tcW w:w="1623" w:type="pct"/>
            <w:shd w:val="clear" w:color="auto" w:fill="auto"/>
            <w:vAlign w:val="center"/>
          </w:tcPr>
          <w:p w14:paraId="54198C74" w14:textId="4B5044E1" w:rsidR="00544F30" w:rsidRPr="009402D8" w:rsidRDefault="00544F30" w:rsidP="00B34F0B">
            <w:pPr>
              <w:spacing w:after="0"/>
              <w:jc w:val="center"/>
              <w:rPr>
                <w:rFonts w:asciiTheme="majorHAnsi" w:hAnsiTheme="majorHAnsi" w:cstheme="majorHAnsi"/>
                <w:color w:val="000000"/>
                <w:sz w:val="18"/>
                <w:szCs w:val="18"/>
              </w:rPr>
            </w:pPr>
            <w:r w:rsidRPr="009402D8">
              <w:rPr>
                <w:rFonts w:asciiTheme="majorHAnsi" w:hAnsiTheme="majorHAnsi" w:cstheme="majorHAnsi"/>
                <w:color w:val="000000"/>
                <w:sz w:val="18"/>
                <w:szCs w:val="18"/>
              </w:rPr>
              <w:t>Koridor železniční tratě č. 231, 082: Kolín – Liběchov (- Děčín), včetně Libické spojky, modernizace</w:t>
            </w:r>
          </w:p>
        </w:tc>
        <w:tc>
          <w:tcPr>
            <w:tcW w:w="515" w:type="pct"/>
            <w:shd w:val="clear" w:color="auto" w:fill="auto"/>
            <w:vAlign w:val="center"/>
          </w:tcPr>
          <w:p w14:paraId="732E16DA" w14:textId="77777777" w:rsidR="00544F30" w:rsidRPr="009402D8" w:rsidRDefault="00544F30" w:rsidP="00B34F0B">
            <w:pPr>
              <w:spacing w:after="0"/>
              <w:jc w:val="center"/>
              <w:rPr>
                <w:rFonts w:asciiTheme="majorHAnsi" w:hAnsiTheme="majorHAnsi" w:cstheme="majorHAnsi"/>
                <w:color w:val="000000"/>
                <w:sz w:val="18"/>
                <w:szCs w:val="18"/>
              </w:rPr>
            </w:pPr>
            <w:r w:rsidRPr="009402D8">
              <w:rPr>
                <w:rFonts w:asciiTheme="majorHAnsi" w:hAnsiTheme="majorHAnsi" w:cstheme="majorHAnsi"/>
                <w:color w:val="000000"/>
                <w:sz w:val="18"/>
                <w:szCs w:val="18"/>
              </w:rPr>
              <w:t>Nymburk</w:t>
            </w:r>
          </w:p>
        </w:tc>
        <w:tc>
          <w:tcPr>
            <w:tcW w:w="1091" w:type="pct"/>
            <w:shd w:val="clear" w:color="auto" w:fill="auto"/>
            <w:vAlign w:val="center"/>
          </w:tcPr>
          <w:p w14:paraId="4A2FABCC" w14:textId="77777777" w:rsidR="00544F30" w:rsidRPr="009402D8" w:rsidRDefault="00544F30" w:rsidP="00B34F0B">
            <w:pPr>
              <w:spacing w:after="0"/>
              <w:jc w:val="center"/>
              <w:rPr>
                <w:rFonts w:asciiTheme="majorHAnsi" w:hAnsiTheme="majorHAnsi" w:cstheme="majorHAnsi"/>
                <w:color w:val="000000"/>
                <w:sz w:val="18"/>
                <w:szCs w:val="18"/>
              </w:rPr>
            </w:pPr>
            <w:r w:rsidRPr="009402D8">
              <w:rPr>
                <w:rFonts w:asciiTheme="majorHAnsi" w:hAnsiTheme="majorHAnsi" w:cstheme="majorHAnsi"/>
                <w:color w:val="000000"/>
                <w:sz w:val="18"/>
                <w:szCs w:val="18"/>
              </w:rPr>
              <w:t>Kostomlaty nad Labem</w:t>
            </w:r>
          </w:p>
        </w:tc>
        <w:tc>
          <w:tcPr>
            <w:tcW w:w="1243" w:type="pct"/>
            <w:shd w:val="clear" w:color="auto" w:fill="auto"/>
            <w:vAlign w:val="center"/>
          </w:tcPr>
          <w:p w14:paraId="21DE7BAA" w14:textId="1B8FAED1" w:rsidR="00544F30" w:rsidRPr="009402D8" w:rsidRDefault="00544F30" w:rsidP="00B34F0B">
            <w:pPr>
              <w:spacing w:after="0"/>
              <w:jc w:val="center"/>
              <w:rPr>
                <w:rFonts w:asciiTheme="majorHAnsi" w:hAnsiTheme="majorHAnsi" w:cstheme="majorHAnsi"/>
                <w:color w:val="000000"/>
                <w:sz w:val="18"/>
                <w:szCs w:val="18"/>
              </w:rPr>
            </w:pPr>
            <w:r w:rsidRPr="009402D8">
              <w:rPr>
                <w:rFonts w:asciiTheme="majorHAnsi" w:hAnsiTheme="majorHAnsi" w:cstheme="majorHAnsi"/>
                <w:color w:val="000000"/>
                <w:sz w:val="18"/>
                <w:szCs w:val="18"/>
              </w:rPr>
              <w:t>Kostomlaty nad Labem, Lány u Kostomlat nad Labem</w:t>
            </w:r>
          </w:p>
        </w:tc>
      </w:tr>
      <w:tr w:rsidR="00544F30" w:rsidRPr="009402D8" w14:paraId="6F6BDEAF" w14:textId="77777777" w:rsidTr="00544F30">
        <w:tc>
          <w:tcPr>
            <w:tcW w:w="528" w:type="pct"/>
            <w:shd w:val="clear" w:color="auto" w:fill="auto"/>
            <w:vAlign w:val="center"/>
          </w:tcPr>
          <w:p w14:paraId="101F244F" w14:textId="1AA532A3" w:rsidR="00544F30" w:rsidRPr="009402D8" w:rsidRDefault="00544F30" w:rsidP="00544F30">
            <w:pPr>
              <w:spacing w:after="0"/>
              <w:jc w:val="center"/>
              <w:rPr>
                <w:rFonts w:asciiTheme="majorHAnsi" w:hAnsiTheme="majorHAnsi" w:cstheme="majorHAnsi"/>
                <w:b/>
                <w:bCs/>
                <w:color w:val="000000"/>
                <w:sz w:val="18"/>
                <w:szCs w:val="18"/>
              </w:rPr>
            </w:pPr>
            <w:r w:rsidRPr="009402D8">
              <w:rPr>
                <w:rFonts w:asciiTheme="majorHAnsi" w:hAnsiTheme="majorHAnsi" w:cstheme="majorHAnsi"/>
                <w:b/>
                <w:bCs/>
                <w:color w:val="000000"/>
                <w:sz w:val="18"/>
                <w:szCs w:val="18"/>
              </w:rPr>
              <w:t>VD1</w:t>
            </w:r>
          </w:p>
        </w:tc>
        <w:tc>
          <w:tcPr>
            <w:tcW w:w="1623" w:type="pct"/>
            <w:shd w:val="clear" w:color="auto" w:fill="auto"/>
            <w:vAlign w:val="center"/>
          </w:tcPr>
          <w:p w14:paraId="15C0B0E9" w14:textId="3DD06E1B" w:rsidR="00544F30" w:rsidRPr="009402D8" w:rsidRDefault="00544F30" w:rsidP="00544F30">
            <w:pPr>
              <w:spacing w:after="0"/>
              <w:jc w:val="center"/>
              <w:rPr>
                <w:rFonts w:asciiTheme="majorHAnsi" w:hAnsiTheme="majorHAnsi" w:cstheme="majorHAnsi"/>
                <w:color w:val="000000"/>
                <w:sz w:val="18"/>
                <w:szCs w:val="18"/>
              </w:rPr>
            </w:pPr>
            <w:r w:rsidRPr="009402D8">
              <w:rPr>
                <w:rFonts w:asciiTheme="majorHAnsi" w:hAnsiTheme="majorHAnsi" w:cstheme="majorHAnsi"/>
                <w:color w:val="000000"/>
                <w:sz w:val="18"/>
                <w:szCs w:val="18"/>
              </w:rPr>
              <w:t>Koridor vodní cesty Labe, Horní Počáply – Týnec nad Labem</w:t>
            </w:r>
          </w:p>
        </w:tc>
        <w:tc>
          <w:tcPr>
            <w:tcW w:w="515" w:type="pct"/>
            <w:shd w:val="clear" w:color="auto" w:fill="auto"/>
            <w:vAlign w:val="center"/>
          </w:tcPr>
          <w:p w14:paraId="1C4F95B1" w14:textId="03C02633" w:rsidR="00544F30" w:rsidRPr="009402D8" w:rsidRDefault="00544F30" w:rsidP="00544F30">
            <w:pPr>
              <w:spacing w:after="0"/>
              <w:jc w:val="center"/>
              <w:rPr>
                <w:rFonts w:asciiTheme="majorHAnsi" w:hAnsiTheme="majorHAnsi" w:cstheme="majorHAnsi"/>
                <w:color w:val="000000"/>
                <w:sz w:val="18"/>
                <w:szCs w:val="18"/>
              </w:rPr>
            </w:pPr>
            <w:r w:rsidRPr="009402D8">
              <w:rPr>
                <w:rFonts w:asciiTheme="majorHAnsi" w:hAnsiTheme="majorHAnsi" w:cstheme="majorHAnsi"/>
                <w:color w:val="000000"/>
                <w:sz w:val="18"/>
                <w:szCs w:val="18"/>
              </w:rPr>
              <w:t>Nymburk</w:t>
            </w:r>
          </w:p>
        </w:tc>
        <w:tc>
          <w:tcPr>
            <w:tcW w:w="1091" w:type="pct"/>
            <w:shd w:val="clear" w:color="auto" w:fill="auto"/>
            <w:vAlign w:val="center"/>
          </w:tcPr>
          <w:p w14:paraId="342E5FDF" w14:textId="5433B066" w:rsidR="00544F30" w:rsidRPr="009402D8" w:rsidRDefault="00544F30" w:rsidP="00544F30">
            <w:pPr>
              <w:spacing w:after="0"/>
              <w:jc w:val="center"/>
              <w:rPr>
                <w:rFonts w:asciiTheme="majorHAnsi" w:hAnsiTheme="majorHAnsi" w:cstheme="majorHAnsi"/>
                <w:color w:val="000000"/>
                <w:sz w:val="18"/>
                <w:szCs w:val="18"/>
              </w:rPr>
            </w:pPr>
            <w:r w:rsidRPr="009402D8">
              <w:rPr>
                <w:rFonts w:asciiTheme="majorHAnsi" w:hAnsiTheme="majorHAnsi" w:cstheme="majorHAnsi"/>
                <w:color w:val="000000"/>
                <w:sz w:val="18"/>
                <w:szCs w:val="18"/>
              </w:rPr>
              <w:t>Kostomlaty nad Labem</w:t>
            </w:r>
          </w:p>
        </w:tc>
        <w:tc>
          <w:tcPr>
            <w:tcW w:w="1243" w:type="pct"/>
            <w:shd w:val="clear" w:color="auto" w:fill="auto"/>
            <w:vAlign w:val="center"/>
          </w:tcPr>
          <w:p w14:paraId="7220CD2B" w14:textId="2A404E6E" w:rsidR="00544F30" w:rsidRPr="009402D8" w:rsidRDefault="00544F30" w:rsidP="00544F30">
            <w:pPr>
              <w:spacing w:after="0"/>
              <w:jc w:val="center"/>
              <w:rPr>
                <w:rFonts w:asciiTheme="majorHAnsi" w:hAnsiTheme="majorHAnsi" w:cstheme="majorHAnsi"/>
                <w:color w:val="000000"/>
                <w:sz w:val="18"/>
                <w:szCs w:val="18"/>
              </w:rPr>
            </w:pPr>
            <w:r w:rsidRPr="009402D8">
              <w:rPr>
                <w:rFonts w:asciiTheme="majorHAnsi" w:hAnsiTheme="majorHAnsi" w:cstheme="majorHAnsi"/>
                <w:color w:val="000000"/>
                <w:sz w:val="18"/>
                <w:szCs w:val="18"/>
              </w:rPr>
              <w:t>Kostomlaty nad Labem</w:t>
            </w:r>
          </w:p>
        </w:tc>
      </w:tr>
    </w:tbl>
    <w:p w14:paraId="1580E953" w14:textId="0FD8B248" w:rsidR="00544F30" w:rsidRPr="009402D8" w:rsidRDefault="00544F30" w:rsidP="000172E3">
      <w:pPr>
        <w:pStyle w:val="Mra2-reakceern"/>
        <w:spacing w:before="120"/>
        <w:rPr>
          <w:rFonts w:asciiTheme="majorHAnsi" w:hAnsiTheme="majorHAnsi" w:cstheme="majorHAnsi"/>
          <w:bCs w:val="0"/>
          <w:iCs w:val="0"/>
        </w:rPr>
      </w:pPr>
      <w:r w:rsidRPr="009402D8">
        <w:rPr>
          <w:rFonts w:asciiTheme="majorHAnsi" w:hAnsiTheme="majorHAnsi" w:cstheme="majorHAnsi"/>
          <w:color w:val="auto"/>
        </w:rPr>
        <w:t xml:space="preserve">Územní plán vymezuje veřejně prospěšné </w:t>
      </w:r>
      <w:r w:rsidR="000172E3" w:rsidRPr="009402D8">
        <w:rPr>
          <w:rFonts w:asciiTheme="majorHAnsi" w:hAnsiTheme="majorHAnsi" w:cstheme="majorHAnsi"/>
          <w:color w:val="auto"/>
        </w:rPr>
        <w:t>stavby</w:t>
      </w:r>
      <w:r w:rsidRPr="009402D8">
        <w:rPr>
          <w:rFonts w:asciiTheme="majorHAnsi" w:hAnsiTheme="majorHAnsi" w:cstheme="majorHAnsi"/>
          <w:color w:val="auto"/>
        </w:rPr>
        <w:t xml:space="preserve"> s možností vyvlastnění pro </w:t>
      </w:r>
      <w:r w:rsidR="000172E3" w:rsidRPr="009402D8">
        <w:rPr>
          <w:rFonts w:asciiTheme="majorHAnsi" w:hAnsiTheme="majorHAnsi" w:cstheme="majorHAnsi"/>
          <w:color w:val="auto"/>
        </w:rPr>
        <w:t>záměry dopravní infrastruktury ze ZÚR SK</w:t>
      </w:r>
      <w:r w:rsidRPr="009402D8">
        <w:rPr>
          <w:rFonts w:asciiTheme="majorHAnsi" w:hAnsiTheme="majorHAnsi" w:cstheme="majorHAnsi"/>
          <w:color w:val="auto"/>
        </w:rPr>
        <w:t xml:space="preserve"> v</w:t>
      </w:r>
      <w:r w:rsidR="000172E3" w:rsidRPr="009402D8">
        <w:rPr>
          <w:rFonts w:asciiTheme="majorHAnsi" w:hAnsiTheme="majorHAnsi" w:cstheme="majorHAnsi"/>
          <w:color w:val="auto"/>
        </w:rPr>
        <w:t> </w:t>
      </w:r>
      <w:r w:rsidRPr="009402D8">
        <w:rPr>
          <w:rFonts w:asciiTheme="majorHAnsi" w:hAnsiTheme="majorHAnsi" w:cstheme="majorHAnsi"/>
          <w:color w:val="auto"/>
        </w:rPr>
        <w:t>rozsahu</w:t>
      </w:r>
      <w:r w:rsidR="000172E3" w:rsidRPr="009402D8">
        <w:rPr>
          <w:rFonts w:asciiTheme="majorHAnsi" w:hAnsiTheme="majorHAnsi" w:cstheme="majorHAnsi"/>
          <w:color w:val="auto"/>
        </w:rPr>
        <w:t xml:space="preserve"> koridorů pro výše uvedené záměry: VPS D322 je vymezena jako VPS VD.3; VPS VD1 je vymezena jako VD.8</w:t>
      </w:r>
      <w:r w:rsidRPr="009402D8">
        <w:rPr>
          <w:rFonts w:asciiTheme="majorHAnsi" w:hAnsiTheme="majorHAnsi" w:cstheme="majorHAnsi"/>
          <w:color w:val="auto"/>
        </w:rPr>
        <w:t xml:space="preserve">. </w:t>
      </w:r>
    </w:p>
    <w:p w14:paraId="6DAC4A7D" w14:textId="2A04CEDE" w:rsidR="0068493C" w:rsidRPr="009402D8" w:rsidRDefault="0068493C" w:rsidP="00040B6A">
      <w:pPr>
        <w:autoSpaceDE w:val="0"/>
        <w:autoSpaceDN w:val="0"/>
        <w:adjustRightInd w:val="0"/>
        <w:spacing w:before="120" w:after="120" w:line="240" w:lineRule="auto"/>
        <w:ind w:left="567" w:hanging="567"/>
        <w:jc w:val="both"/>
        <w:rPr>
          <w:rFonts w:asciiTheme="majorHAnsi" w:hAnsiTheme="majorHAnsi" w:cstheme="majorHAnsi"/>
          <w:bCs/>
          <w:i/>
          <w:sz w:val="18"/>
          <w:szCs w:val="18"/>
        </w:rPr>
      </w:pPr>
      <w:r w:rsidRPr="009402D8">
        <w:rPr>
          <w:rFonts w:asciiTheme="majorHAnsi" w:hAnsiTheme="majorHAnsi" w:cstheme="majorHAnsi"/>
          <w:bCs/>
          <w:iCs/>
          <w:sz w:val="18"/>
          <w:szCs w:val="18"/>
        </w:rPr>
        <w:t xml:space="preserve">(237) </w:t>
      </w:r>
      <w:r w:rsidRPr="009402D8">
        <w:rPr>
          <w:rFonts w:asciiTheme="majorHAnsi" w:hAnsiTheme="majorHAnsi" w:cstheme="majorHAnsi"/>
          <w:bCs/>
          <w:iCs/>
          <w:sz w:val="18"/>
          <w:szCs w:val="18"/>
        </w:rPr>
        <w:tab/>
      </w:r>
      <w:r w:rsidRPr="009402D8">
        <w:rPr>
          <w:rFonts w:asciiTheme="majorHAnsi" w:hAnsiTheme="majorHAnsi" w:cstheme="majorHAnsi"/>
          <w:bCs/>
          <w:i/>
          <w:sz w:val="18"/>
          <w:szCs w:val="18"/>
        </w:rPr>
        <w:t>ZÚR vymezují jako veřejně prospěšná opatření tyto plochy a koridory biocenter a biokoridorů</w:t>
      </w:r>
    </w:p>
    <w:tbl>
      <w:tblPr>
        <w:tblW w:w="5000" w:type="pct"/>
        <w:tblBorders>
          <w:insideH w:val="single" w:sz="6" w:space="0" w:color="000000"/>
          <w:insideV w:val="single" w:sz="6" w:space="0" w:color="000000"/>
        </w:tblBorders>
        <w:tblLook w:val="04A0" w:firstRow="1" w:lastRow="0" w:firstColumn="1" w:lastColumn="0" w:noHBand="0" w:noVBand="1"/>
      </w:tblPr>
      <w:tblGrid>
        <w:gridCol w:w="958"/>
        <w:gridCol w:w="702"/>
        <w:gridCol w:w="2242"/>
        <w:gridCol w:w="934"/>
        <w:gridCol w:w="1979"/>
        <w:gridCol w:w="2255"/>
      </w:tblGrid>
      <w:tr w:rsidR="0068493C" w:rsidRPr="009402D8" w14:paraId="522A9E18" w14:textId="77777777" w:rsidTr="00040B6A">
        <w:tc>
          <w:tcPr>
            <w:tcW w:w="528" w:type="pct"/>
            <w:shd w:val="clear" w:color="auto" w:fill="auto"/>
            <w:vAlign w:val="center"/>
          </w:tcPr>
          <w:p w14:paraId="2CD1AA56" w14:textId="77777777" w:rsidR="0068493C" w:rsidRPr="009402D8" w:rsidRDefault="0068493C" w:rsidP="00040B6A">
            <w:pPr>
              <w:spacing w:after="0"/>
              <w:jc w:val="center"/>
              <w:rPr>
                <w:rFonts w:asciiTheme="majorHAnsi" w:hAnsiTheme="majorHAnsi" w:cstheme="majorHAnsi"/>
                <w:b/>
                <w:bCs/>
                <w:color w:val="000000"/>
                <w:sz w:val="18"/>
                <w:szCs w:val="18"/>
              </w:rPr>
            </w:pPr>
            <w:r w:rsidRPr="009402D8">
              <w:rPr>
                <w:rFonts w:asciiTheme="majorHAnsi" w:hAnsiTheme="majorHAnsi" w:cstheme="majorHAnsi"/>
                <w:b/>
                <w:bCs/>
                <w:color w:val="000000"/>
                <w:sz w:val="18"/>
                <w:szCs w:val="18"/>
              </w:rPr>
              <w:t>číslo VPO</w:t>
            </w:r>
          </w:p>
        </w:tc>
        <w:tc>
          <w:tcPr>
            <w:tcW w:w="387" w:type="pct"/>
            <w:shd w:val="clear" w:color="auto" w:fill="auto"/>
            <w:vAlign w:val="center"/>
          </w:tcPr>
          <w:p w14:paraId="02807E1C" w14:textId="77777777" w:rsidR="0068493C" w:rsidRPr="009402D8" w:rsidRDefault="0068493C" w:rsidP="00040B6A">
            <w:pPr>
              <w:spacing w:after="0"/>
              <w:jc w:val="center"/>
              <w:rPr>
                <w:rFonts w:asciiTheme="majorHAnsi" w:hAnsiTheme="majorHAnsi" w:cstheme="majorHAnsi"/>
                <w:b/>
                <w:bCs/>
                <w:color w:val="000000"/>
                <w:sz w:val="18"/>
                <w:szCs w:val="18"/>
              </w:rPr>
            </w:pPr>
            <w:r w:rsidRPr="009402D8">
              <w:rPr>
                <w:rFonts w:asciiTheme="majorHAnsi" w:hAnsiTheme="majorHAnsi" w:cstheme="majorHAnsi"/>
                <w:b/>
                <w:bCs/>
                <w:color w:val="000000"/>
                <w:sz w:val="18"/>
                <w:szCs w:val="18"/>
              </w:rPr>
              <w:t>NKOD</w:t>
            </w:r>
          </w:p>
        </w:tc>
        <w:tc>
          <w:tcPr>
            <w:tcW w:w="1236" w:type="pct"/>
            <w:shd w:val="clear" w:color="auto" w:fill="auto"/>
            <w:vAlign w:val="center"/>
          </w:tcPr>
          <w:p w14:paraId="1672BBFC" w14:textId="77777777" w:rsidR="0068493C" w:rsidRPr="009402D8" w:rsidRDefault="0068493C" w:rsidP="00040B6A">
            <w:pPr>
              <w:spacing w:after="0"/>
              <w:jc w:val="center"/>
              <w:rPr>
                <w:rFonts w:asciiTheme="majorHAnsi" w:hAnsiTheme="majorHAnsi" w:cstheme="majorHAnsi"/>
                <w:b/>
                <w:bCs/>
                <w:color w:val="000000"/>
                <w:sz w:val="18"/>
                <w:szCs w:val="18"/>
              </w:rPr>
            </w:pPr>
            <w:r w:rsidRPr="009402D8">
              <w:rPr>
                <w:rFonts w:asciiTheme="majorHAnsi" w:hAnsiTheme="majorHAnsi" w:cstheme="majorHAnsi"/>
                <w:b/>
                <w:bCs/>
                <w:color w:val="000000"/>
                <w:sz w:val="18"/>
                <w:szCs w:val="18"/>
              </w:rPr>
              <w:t>VPO</w:t>
            </w:r>
          </w:p>
        </w:tc>
        <w:tc>
          <w:tcPr>
            <w:tcW w:w="515" w:type="pct"/>
            <w:shd w:val="clear" w:color="auto" w:fill="auto"/>
            <w:vAlign w:val="center"/>
          </w:tcPr>
          <w:p w14:paraId="4AA274C9" w14:textId="77777777" w:rsidR="0068493C" w:rsidRPr="009402D8" w:rsidRDefault="0068493C" w:rsidP="00040B6A">
            <w:pPr>
              <w:spacing w:after="0"/>
              <w:jc w:val="center"/>
              <w:rPr>
                <w:rFonts w:asciiTheme="majorHAnsi" w:hAnsiTheme="majorHAnsi" w:cstheme="majorHAnsi"/>
                <w:b/>
                <w:bCs/>
                <w:color w:val="000000"/>
                <w:sz w:val="18"/>
                <w:szCs w:val="18"/>
              </w:rPr>
            </w:pPr>
            <w:r w:rsidRPr="009402D8">
              <w:rPr>
                <w:rFonts w:asciiTheme="majorHAnsi" w:hAnsiTheme="majorHAnsi" w:cstheme="majorHAnsi"/>
                <w:b/>
                <w:bCs/>
                <w:color w:val="000000"/>
                <w:sz w:val="18"/>
                <w:szCs w:val="18"/>
              </w:rPr>
              <w:t>ORP</w:t>
            </w:r>
          </w:p>
        </w:tc>
        <w:tc>
          <w:tcPr>
            <w:tcW w:w="1091" w:type="pct"/>
            <w:shd w:val="clear" w:color="auto" w:fill="auto"/>
            <w:vAlign w:val="center"/>
          </w:tcPr>
          <w:p w14:paraId="55672360" w14:textId="77777777" w:rsidR="0068493C" w:rsidRPr="009402D8" w:rsidRDefault="0068493C" w:rsidP="00040B6A">
            <w:pPr>
              <w:spacing w:after="0"/>
              <w:jc w:val="center"/>
              <w:rPr>
                <w:rFonts w:asciiTheme="majorHAnsi" w:hAnsiTheme="majorHAnsi" w:cstheme="majorHAnsi"/>
                <w:b/>
                <w:bCs/>
                <w:color w:val="000000"/>
                <w:sz w:val="18"/>
                <w:szCs w:val="18"/>
              </w:rPr>
            </w:pPr>
            <w:r w:rsidRPr="009402D8">
              <w:rPr>
                <w:rFonts w:asciiTheme="majorHAnsi" w:hAnsiTheme="majorHAnsi" w:cstheme="majorHAnsi"/>
                <w:b/>
                <w:bCs/>
                <w:color w:val="000000"/>
                <w:sz w:val="18"/>
                <w:szCs w:val="18"/>
              </w:rPr>
              <w:t>dotčená obec</w:t>
            </w:r>
          </w:p>
        </w:tc>
        <w:tc>
          <w:tcPr>
            <w:tcW w:w="1244" w:type="pct"/>
            <w:shd w:val="clear" w:color="auto" w:fill="auto"/>
            <w:vAlign w:val="center"/>
          </w:tcPr>
          <w:p w14:paraId="70C50A57" w14:textId="77777777" w:rsidR="0068493C" w:rsidRPr="009402D8" w:rsidRDefault="0068493C" w:rsidP="00040B6A">
            <w:pPr>
              <w:spacing w:after="0"/>
              <w:jc w:val="center"/>
              <w:rPr>
                <w:rFonts w:asciiTheme="majorHAnsi" w:hAnsiTheme="majorHAnsi" w:cstheme="majorHAnsi"/>
                <w:b/>
                <w:bCs/>
                <w:color w:val="000000"/>
                <w:sz w:val="18"/>
                <w:szCs w:val="18"/>
              </w:rPr>
            </w:pPr>
            <w:r w:rsidRPr="009402D8">
              <w:rPr>
                <w:rFonts w:asciiTheme="majorHAnsi" w:hAnsiTheme="majorHAnsi" w:cstheme="majorHAnsi"/>
                <w:b/>
                <w:bCs/>
                <w:color w:val="000000"/>
                <w:sz w:val="18"/>
                <w:szCs w:val="18"/>
              </w:rPr>
              <w:t>dotčené katastrální území</w:t>
            </w:r>
          </w:p>
        </w:tc>
      </w:tr>
      <w:tr w:rsidR="0068493C" w:rsidRPr="009402D8" w14:paraId="28C36955" w14:textId="77777777" w:rsidTr="00040B6A">
        <w:tc>
          <w:tcPr>
            <w:tcW w:w="528" w:type="pct"/>
            <w:shd w:val="clear" w:color="auto" w:fill="auto"/>
            <w:vAlign w:val="center"/>
          </w:tcPr>
          <w:p w14:paraId="47FFED8A" w14:textId="77777777" w:rsidR="0068493C" w:rsidRPr="009402D8" w:rsidRDefault="0068493C" w:rsidP="00040B6A">
            <w:pPr>
              <w:spacing w:after="0"/>
              <w:jc w:val="center"/>
              <w:rPr>
                <w:rFonts w:asciiTheme="majorHAnsi" w:hAnsiTheme="majorHAnsi" w:cstheme="majorHAnsi"/>
                <w:b/>
                <w:bCs/>
                <w:color w:val="000000"/>
                <w:sz w:val="18"/>
                <w:szCs w:val="18"/>
              </w:rPr>
            </w:pPr>
            <w:r w:rsidRPr="009402D8">
              <w:rPr>
                <w:rFonts w:asciiTheme="majorHAnsi" w:hAnsiTheme="majorHAnsi" w:cstheme="majorHAnsi"/>
                <w:b/>
                <w:bCs/>
                <w:color w:val="000000"/>
                <w:sz w:val="18"/>
                <w:szCs w:val="18"/>
              </w:rPr>
              <w:t>NK 10</w:t>
            </w:r>
          </w:p>
        </w:tc>
        <w:tc>
          <w:tcPr>
            <w:tcW w:w="387" w:type="pct"/>
            <w:shd w:val="clear" w:color="auto" w:fill="auto"/>
            <w:vAlign w:val="center"/>
          </w:tcPr>
          <w:p w14:paraId="40489369" w14:textId="77777777" w:rsidR="0068493C" w:rsidRPr="009402D8" w:rsidRDefault="0068493C" w:rsidP="00040B6A">
            <w:pPr>
              <w:spacing w:after="0"/>
              <w:jc w:val="center"/>
              <w:rPr>
                <w:rFonts w:asciiTheme="majorHAnsi" w:hAnsiTheme="majorHAnsi" w:cstheme="majorHAnsi"/>
                <w:color w:val="000000"/>
                <w:sz w:val="18"/>
                <w:szCs w:val="18"/>
              </w:rPr>
            </w:pPr>
            <w:r w:rsidRPr="009402D8">
              <w:rPr>
                <w:rFonts w:asciiTheme="majorHAnsi" w:hAnsiTheme="majorHAnsi" w:cstheme="majorHAnsi"/>
                <w:color w:val="000000"/>
                <w:sz w:val="18"/>
                <w:szCs w:val="18"/>
              </w:rPr>
              <w:t>10</w:t>
            </w:r>
          </w:p>
        </w:tc>
        <w:tc>
          <w:tcPr>
            <w:tcW w:w="1236" w:type="pct"/>
            <w:shd w:val="clear" w:color="auto" w:fill="auto"/>
            <w:vAlign w:val="center"/>
          </w:tcPr>
          <w:p w14:paraId="3B4BF98A" w14:textId="083F0949" w:rsidR="0068493C" w:rsidRPr="009402D8" w:rsidRDefault="0068493C" w:rsidP="00040B6A">
            <w:pPr>
              <w:spacing w:after="0"/>
              <w:jc w:val="center"/>
              <w:rPr>
                <w:rFonts w:asciiTheme="majorHAnsi" w:hAnsiTheme="majorHAnsi" w:cstheme="majorHAnsi"/>
                <w:color w:val="000000"/>
                <w:sz w:val="18"/>
                <w:szCs w:val="18"/>
              </w:rPr>
            </w:pPr>
            <w:r w:rsidRPr="009402D8">
              <w:rPr>
                <w:rFonts w:asciiTheme="majorHAnsi" w:hAnsiTheme="majorHAnsi" w:cstheme="majorHAnsi"/>
                <w:color w:val="000000"/>
                <w:sz w:val="18"/>
                <w:szCs w:val="18"/>
              </w:rPr>
              <w:t xml:space="preserve">Stříbrný roh </w:t>
            </w:r>
            <w:r w:rsidR="00040B6A" w:rsidRPr="009402D8">
              <w:rPr>
                <w:rFonts w:asciiTheme="majorHAnsi" w:hAnsiTheme="majorHAnsi" w:cstheme="majorHAnsi"/>
                <w:color w:val="000000"/>
                <w:sz w:val="18"/>
                <w:szCs w:val="18"/>
              </w:rPr>
              <w:t>–</w:t>
            </w:r>
            <w:r w:rsidRPr="009402D8">
              <w:rPr>
                <w:rFonts w:asciiTheme="majorHAnsi" w:hAnsiTheme="majorHAnsi" w:cstheme="majorHAnsi"/>
                <w:color w:val="000000"/>
                <w:sz w:val="18"/>
                <w:szCs w:val="18"/>
              </w:rPr>
              <w:t xml:space="preserve"> Polabský luh</w:t>
            </w:r>
          </w:p>
        </w:tc>
        <w:tc>
          <w:tcPr>
            <w:tcW w:w="515" w:type="pct"/>
            <w:shd w:val="clear" w:color="auto" w:fill="auto"/>
            <w:vAlign w:val="center"/>
          </w:tcPr>
          <w:p w14:paraId="6CB0E72A" w14:textId="77777777" w:rsidR="0068493C" w:rsidRPr="009402D8" w:rsidRDefault="0068493C" w:rsidP="00040B6A">
            <w:pPr>
              <w:spacing w:after="0"/>
              <w:jc w:val="center"/>
              <w:rPr>
                <w:rFonts w:asciiTheme="majorHAnsi" w:hAnsiTheme="majorHAnsi" w:cstheme="majorHAnsi"/>
                <w:color w:val="000000"/>
                <w:sz w:val="18"/>
                <w:szCs w:val="18"/>
              </w:rPr>
            </w:pPr>
            <w:r w:rsidRPr="009402D8">
              <w:rPr>
                <w:rFonts w:asciiTheme="majorHAnsi" w:hAnsiTheme="majorHAnsi" w:cstheme="majorHAnsi"/>
                <w:color w:val="000000"/>
                <w:sz w:val="18"/>
                <w:szCs w:val="18"/>
              </w:rPr>
              <w:t>Nymburk</w:t>
            </w:r>
          </w:p>
        </w:tc>
        <w:tc>
          <w:tcPr>
            <w:tcW w:w="1091" w:type="pct"/>
            <w:shd w:val="clear" w:color="auto" w:fill="auto"/>
            <w:vAlign w:val="center"/>
          </w:tcPr>
          <w:p w14:paraId="59A133C3" w14:textId="77777777" w:rsidR="0068493C" w:rsidRPr="009402D8" w:rsidRDefault="0068493C" w:rsidP="00040B6A">
            <w:pPr>
              <w:spacing w:after="0"/>
              <w:jc w:val="center"/>
              <w:rPr>
                <w:rFonts w:asciiTheme="majorHAnsi" w:hAnsiTheme="majorHAnsi" w:cstheme="majorHAnsi"/>
                <w:color w:val="000000"/>
                <w:sz w:val="18"/>
                <w:szCs w:val="18"/>
              </w:rPr>
            </w:pPr>
            <w:r w:rsidRPr="009402D8">
              <w:rPr>
                <w:rFonts w:asciiTheme="majorHAnsi" w:hAnsiTheme="majorHAnsi" w:cstheme="majorHAnsi"/>
                <w:color w:val="000000"/>
                <w:sz w:val="18"/>
                <w:szCs w:val="18"/>
              </w:rPr>
              <w:t>Kostomlaty nad Labem</w:t>
            </w:r>
          </w:p>
        </w:tc>
        <w:tc>
          <w:tcPr>
            <w:tcW w:w="1244" w:type="pct"/>
            <w:shd w:val="clear" w:color="auto" w:fill="auto"/>
            <w:vAlign w:val="center"/>
          </w:tcPr>
          <w:p w14:paraId="184BA346" w14:textId="77777777" w:rsidR="0068493C" w:rsidRPr="009402D8" w:rsidRDefault="0068493C" w:rsidP="00040B6A">
            <w:pPr>
              <w:spacing w:after="0"/>
              <w:jc w:val="center"/>
              <w:rPr>
                <w:rFonts w:asciiTheme="majorHAnsi" w:hAnsiTheme="majorHAnsi" w:cstheme="majorHAnsi"/>
                <w:color w:val="000000"/>
                <w:sz w:val="18"/>
                <w:szCs w:val="18"/>
              </w:rPr>
            </w:pPr>
            <w:r w:rsidRPr="009402D8">
              <w:rPr>
                <w:rFonts w:asciiTheme="majorHAnsi" w:hAnsiTheme="majorHAnsi" w:cstheme="majorHAnsi"/>
                <w:color w:val="000000"/>
                <w:sz w:val="18"/>
                <w:szCs w:val="18"/>
              </w:rPr>
              <w:t>Kostomlaty nad Labem</w:t>
            </w:r>
          </w:p>
        </w:tc>
      </w:tr>
      <w:tr w:rsidR="0068493C" w:rsidRPr="009402D8" w14:paraId="2D3220FB" w14:textId="77777777" w:rsidTr="00040B6A">
        <w:tc>
          <w:tcPr>
            <w:tcW w:w="528" w:type="pct"/>
            <w:shd w:val="clear" w:color="auto" w:fill="auto"/>
            <w:vAlign w:val="center"/>
          </w:tcPr>
          <w:p w14:paraId="6BAC9E7E" w14:textId="77777777" w:rsidR="0068493C" w:rsidRPr="009402D8" w:rsidRDefault="0068493C" w:rsidP="00040B6A">
            <w:pPr>
              <w:spacing w:after="0"/>
              <w:jc w:val="center"/>
              <w:rPr>
                <w:rFonts w:asciiTheme="majorHAnsi" w:hAnsiTheme="majorHAnsi" w:cstheme="majorHAnsi"/>
                <w:b/>
                <w:bCs/>
                <w:color w:val="000000"/>
                <w:sz w:val="18"/>
                <w:szCs w:val="18"/>
              </w:rPr>
            </w:pPr>
            <w:r w:rsidRPr="009402D8">
              <w:rPr>
                <w:rFonts w:asciiTheme="majorHAnsi" w:hAnsiTheme="majorHAnsi" w:cstheme="majorHAnsi"/>
                <w:b/>
                <w:bCs/>
                <w:color w:val="000000"/>
                <w:sz w:val="18"/>
                <w:szCs w:val="18"/>
              </w:rPr>
              <w:t>RC 349</w:t>
            </w:r>
          </w:p>
        </w:tc>
        <w:tc>
          <w:tcPr>
            <w:tcW w:w="387" w:type="pct"/>
            <w:shd w:val="clear" w:color="auto" w:fill="auto"/>
            <w:vAlign w:val="center"/>
          </w:tcPr>
          <w:p w14:paraId="584945F4" w14:textId="77777777" w:rsidR="0068493C" w:rsidRPr="009402D8" w:rsidRDefault="0068493C" w:rsidP="00040B6A">
            <w:pPr>
              <w:spacing w:after="0"/>
              <w:jc w:val="center"/>
              <w:rPr>
                <w:rFonts w:asciiTheme="majorHAnsi" w:hAnsiTheme="majorHAnsi" w:cstheme="majorHAnsi"/>
                <w:color w:val="000000"/>
                <w:sz w:val="18"/>
                <w:szCs w:val="18"/>
              </w:rPr>
            </w:pPr>
            <w:r w:rsidRPr="009402D8">
              <w:rPr>
                <w:rFonts w:asciiTheme="majorHAnsi" w:hAnsiTheme="majorHAnsi" w:cstheme="majorHAnsi"/>
                <w:color w:val="000000"/>
                <w:sz w:val="18"/>
                <w:szCs w:val="18"/>
              </w:rPr>
              <w:t>349</w:t>
            </w:r>
          </w:p>
        </w:tc>
        <w:tc>
          <w:tcPr>
            <w:tcW w:w="1236" w:type="pct"/>
            <w:shd w:val="clear" w:color="auto" w:fill="auto"/>
            <w:vAlign w:val="center"/>
          </w:tcPr>
          <w:p w14:paraId="0E0D76FD" w14:textId="66319F2E" w:rsidR="0068493C" w:rsidRPr="009402D8" w:rsidRDefault="0068493C" w:rsidP="00040B6A">
            <w:pPr>
              <w:spacing w:after="0"/>
              <w:jc w:val="center"/>
              <w:rPr>
                <w:rFonts w:asciiTheme="majorHAnsi" w:hAnsiTheme="majorHAnsi" w:cstheme="majorHAnsi"/>
                <w:color w:val="000000"/>
                <w:sz w:val="18"/>
                <w:szCs w:val="18"/>
              </w:rPr>
            </w:pPr>
            <w:r w:rsidRPr="009402D8">
              <w:rPr>
                <w:rFonts w:asciiTheme="majorHAnsi" w:hAnsiTheme="majorHAnsi" w:cstheme="majorHAnsi"/>
                <w:color w:val="000000"/>
                <w:sz w:val="18"/>
                <w:szCs w:val="18"/>
              </w:rPr>
              <w:t xml:space="preserve">Niva Labe u </w:t>
            </w:r>
            <w:r w:rsidR="004C536A" w:rsidRPr="009402D8">
              <w:rPr>
                <w:rFonts w:asciiTheme="majorHAnsi" w:hAnsiTheme="majorHAnsi" w:cstheme="majorHAnsi"/>
                <w:color w:val="000000"/>
                <w:sz w:val="18"/>
                <w:szCs w:val="18"/>
              </w:rPr>
              <w:t>Lysé nad Labem</w:t>
            </w:r>
          </w:p>
        </w:tc>
        <w:tc>
          <w:tcPr>
            <w:tcW w:w="515" w:type="pct"/>
            <w:shd w:val="clear" w:color="auto" w:fill="auto"/>
            <w:vAlign w:val="center"/>
          </w:tcPr>
          <w:p w14:paraId="359A771E" w14:textId="77777777" w:rsidR="0068493C" w:rsidRPr="009402D8" w:rsidRDefault="0068493C" w:rsidP="00040B6A">
            <w:pPr>
              <w:spacing w:after="0"/>
              <w:jc w:val="center"/>
              <w:rPr>
                <w:rFonts w:asciiTheme="majorHAnsi" w:hAnsiTheme="majorHAnsi" w:cstheme="majorHAnsi"/>
                <w:color w:val="000000"/>
                <w:sz w:val="18"/>
                <w:szCs w:val="18"/>
              </w:rPr>
            </w:pPr>
            <w:r w:rsidRPr="009402D8">
              <w:rPr>
                <w:rFonts w:asciiTheme="majorHAnsi" w:hAnsiTheme="majorHAnsi" w:cstheme="majorHAnsi"/>
                <w:color w:val="000000"/>
                <w:sz w:val="18"/>
                <w:szCs w:val="18"/>
              </w:rPr>
              <w:t>Nymburk</w:t>
            </w:r>
          </w:p>
        </w:tc>
        <w:tc>
          <w:tcPr>
            <w:tcW w:w="1091" w:type="pct"/>
            <w:shd w:val="clear" w:color="auto" w:fill="auto"/>
            <w:vAlign w:val="center"/>
          </w:tcPr>
          <w:p w14:paraId="01D87E03" w14:textId="77777777" w:rsidR="0068493C" w:rsidRPr="009402D8" w:rsidRDefault="0068493C" w:rsidP="00040B6A">
            <w:pPr>
              <w:spacing w:after="0"/>
              <w:jc w:val="center"/>
              <w:rPr>
                <w:rFonts w:asciiTheme="majorHAnsi" w:hAnsiTheme="majorHAnsi" w:cstheme="majorHAnsi"/>
                <w:color w:val="000000"/>
                <w:sz w:val="18"/>
                <w:szCs w:val="18"/>
              </w:rPr>
            </w:pPr>
            <w:r w:rsidRPr="009402D8">
              <w:rPr>
                <w:rFonts w:asciiTheme="majorHAnsi" w:hAnsiTheme="majorHAnsi" w:cstheme="majorHAnsi"/>
                <w:color w:val="000000"/>
                <w:sz w:val="18"/>
                <w:szCs w:val="18"/>
              </w:rPr>
              <w:t>Kostomlaty nad Labem</w:t>
            </w:r>
          </w:p>
        </w:tc>
        <w:tc>
          <w:tcPr>
            <w:tcW w:w="1244" w:type="pct"/>
            <w:shd w:val="clear" w:color="auto" w:fill="auto"/>
            <w:vAlign w:val="center"/>
          </w:tcPr>
          <w:p w14:paraId="6966F0D6" w14:textId="77777777" w:rsidR="0068493C" w:rsidRPr="009402D8" w:rsidRDefault="0068493C" w:rsidP="00040B6A">
            <w:pPr>
              <w:spacing w:after="0"/>
              <w:jc w:val="center"/>
              <w:rPr>
                <w:rFonts w:asciiTheme="majorHAnsi" w:hAnsiTheme="majorHAnsi" w:cstheme="majorHAnsi"/>
                <w:color w:val="000000"/>
                <w:sz w:val="18"/>
                <w:szCs w:val="18"/>
              </w:rPr>
            </w:pPr>
            <w:r w:rsidRPr="009402D8">
              <w:rPr>
                <w:rFonts w:asciiTheme="majorHAnsi" w:hAnsiTheme="majorHAnsi" w:cstheme="majorHAnsi"/>
                <w:color w:val="000000"/>
                <w:sz w:val="18"/>
                <w:szCs w:val="18"/>
              </w:rPr>
              <w:t>Kostomlaty nad Labem</w:t>
            </w:r>
          </w:p>
        </w:tc>
      </w:tr>
    </w:tbl>
    <w:p w14:paraId="7728027D" w14:textId="07177F44" w:rsidR="0068493C" w:rsidRPr="009402D8" w:rsidRDefault="0068493C" w:rsidP="00040B6A">
      <w:pPr>
        <w:pStyle w:val="Mra2-reakceern"/>
        <w:spacing w:before="120"/>
        <w:rPr>
          <w:rFonts w:asciiTheme="majorHAnsi" w:hAnsiTheme="majorHAnsi" w:cstheme="majorHAnsi"/>
          <w:color w:val="auto"/>
        </w:rPr>
      </w:pPr>
      <w:r w:rsidRPr="009402D8">
        <w:rPr>
          <w:rFonts w:asciiTheme="majorHAnsi" w:hAnsiTheme="majorHAnsi" w:cstheme="majorHAnsi"/>
          <w:color w:val="auto"/>
        </w:rPr>
        <w:t xml:space="preserve">Územní plán vymezuje veřejně prospěšné prospěšná opatření s možností vyvlastnění pro zajištění funkčnosti ÚSES v rozsahu ekologicky méně stabilních částí jednotlivých skladebných částí ÚSES. V této souvislosti jsou části nadregionálního biocentra RC 349 i nadregionálního biokoridoru NK10 v rámci řešeného území vyhodnoceny jako ekologicky stabilní, a tedy bez potřeby vymezení VPO pro zajištění jejich funkčnosti. Části těchto skladebných částí jsou vedeny částečně po lesních pozemcích a vodních tocích, případně po dalších ekologicky stabilnějších lokalitách, vymezených v rámci ploch s rozdílným způsobem využití, které reflektují ekologickou funkci těchto ploch. </w:t>
      </w:r>
      <w:r w:rsidR="004C536A" w:rsidRPr="009402D8">
        <w:rPr>
          <w:rFonts w:asciiTheme="majorHAnsi" w:hAnsiTheme="majorHAnsi" w:cstheme="majorHAnsi"/>
          <w:color w:val="auto"/>
        </w:rPr>
        <w:t>Jako VPO pro zajištění funkčnosti ÚSES je vymezen také lokální biokoridor LBK.2 na Hronětickém potoce, mj. za účelem vytvoření podmínek pro revitalizaci a renaturalizaci tohoto vodního toku.</w:t>
      </w:r>
    </w:p>
    <w:p w14:paraId="416AB88B" w14:textId="77777777" w:rsidR="0068493C" w:rsidRPr="009402D8" w:rsidRDefault="0068493C" w:rsidP="000172E3">
      <w:pPr>
        <w:pStyle w:val="Odstavecseseznamem"/>
        <w:numPr>
          <w:ilvl w:val="0"/>
          <w:numId w:val="45"/>
        </w:numPr>
        <w:pBdr>
          <w:bottom w:val="single" w:sz="4" w:space="1" w:color="auto"/>
        </w:pBdr>
        <w:spacing w:before="120" w:after="0" w:line="240" w:lineRule="auto"/>
        <w:ind w:left="284" w:hanging="284"/>
        <w:jc w:val="both"/>
        <w:rPr>
          <w:rFonts w:asciiTheme="majorHAnsi" w:hAnsiTheme="majorHAnsi" w:cstheme="majorHAnsi"/>
          <w:b/>
          <w:sz w:val="18"/>
          <w:szCs w:val="18"/>
        </w:rPr>
      </w:pPr>
      <w:r w:rsidRPr="009402D8">
        <w:rPr>
          <w:rFonts w:asciiTheme="majorHAnsi" w:hAnsiTheme="majorHAnsi" w:cstheme="majorHAnsi"/>
          <w:b/>
          <w:sz w:val="18"/>
          <w:szCs w:val="18"/>
        </w:rPr>
        <w:t>STANOVENÍ POŽADAVKŮ NADMÍSTNÍHO VÝZNAMU NA KOORDINACI ÚZEMNĚ PLÁNOVACÍ ČINNOSTI OBCÍ</w:t>
      </w:r>
    </w:p>
    <w:p w14:paraId="3E8D07B6" w14:textId="62E2D5E4" w:rsidR="004C536A" w:rsidRPr="009402D8" w:rsidRDefault="004C536A" w:rsidP="004C536A">
      <w:pPr>
        <w:keepNext/>
        <w:autoSpaceDE w:val="0"/>
        <w:autoSpaceDN w:val="0"/>
        <w:adjustRightInd w:val="0"/>
        <w:spacing w:before="120" w:after="120" w:line="240" w:lineRule="auto"/>
        <w:ind w:left="567" w:hanging="567"/>
        <w:jc w:val="both"/>
        <w:rPr>
          <w:rFonts w:asciiTheme="majorHAnsi" w:hAnsiTheme="majorHAnsi" w:cstheme="majorHAnsi"/>
          <w:b/>
          <w:bCs/>
          <w:iCs/>
          <w:sz w:val="18"/>
          <w:szCs w:val="18"/>
        </w:rPr>
      </w:pPr>
      <w:r w:rsidRPr="009402D8">
        <w:rPr>
          <w:rFonts w:asciiTheme="majorHAnsi" w:hAnsiTheme="majorHAnsi" w:cstheme="majorHAnsi"/>
          <w:b/>
          <w:bCs/>
          <w:iCs/>
          <w:sz w:val="18"/>
          <w:szCs w:val="18"/>
        </w:rPr>
        <w:t>H.1.</w:t>
      </w:r>
      <w:r w:rsidRPr="009402D8">
        <w:rPr>
          <w:rFonts w:asciiTheme="majorHAnsi" w:hAnsiTheme="majorHAnsi" w:cstheme="majorHAnsi"/>
          <w:b/>
          <w:bCs/>
          <w:iCs/>
          <w:sz w:val="18"/>
          <w:szCs w:val="18"/>
        </w:rPr>
        <w:tab/>
        <w:t>Upřesnění vymezení ploch a koridorů nadmístního významu</w:t>
      </w:r>
    </w:p>
    <w:p w14:paraId="36368729" w14:textId="6C65EF8F" w:rsidR="0068493C" w:rsidRPr="009402D8" w:rsidRDefault="0068493C" w:rsidP="00040B6A">
      <w:pPr>
        <w:autoSpaceDE w:val="0"/>
        <w:autoSpaceDN w:val="0"/>
        <w:adjustRightInd w:val="0"/>
        <w:spacing w:before="120" w:after="120" w:line="240" w:lineRule="auto"/>
        <w:ind w:left="567" w:hanging="567"/>
        <w:jc w:val="both"/>
        <w:rPr>
          <w:rFonts w:asciiTheme="majorHAnsi" w:hAnsiTheme="majorHAnsi" w:cstheme="majorHAnsi"/>
          <w:bCs/>
          <w:i/>
          <w:sz w:val="18"/>
          <w:szCs w:val="18"/>
        </w:rPr>
      </w:pPr>
      <w:r w:rsidRPr="009402D8">
        <w:rPr>
          <w:rFonts w:asciiTheme="majorHAnsi" w:hAnsiTheme="majorHAnsi" w:cstheme="majorHAnsi"/>
          <w:bCs/>
          <w:iCs/>
          <w:sz w:val="18"/>
          <w:szCs w:val="18"/>
        </w:rPr>
        <w:t>(238)</w:t>
      </w:r>
      <w:r w:rsidRPr="009402D8">
        <w:rPr>
          <w:rFonts w:asciiTheme="majorHAnsi" w:hAnsiTheme="majorHAnsi" w:cstheme="majorHAnsi"/>
          <w:bCs/>
          <w:iCs/>
          <w:sz w:val="18"/>
          <w:szCs w:val="18"/>
        </w:rPr>
        <w:tab/>
      </w:r>
      <w:r w:rsidR="000172E3" w:rsidRPr="009402D8">
        <w:rPr>
          <w:rFonts w:asciiTheme="majorHAnsi" w:hAnsiTheme="majorHAnsi" w:cstheme="majorHAnsi"/>
          <w:bCs/>
          <w:i/>
          <w:sz w:val="18"/>
          <w:szCs w:val="18"/>
        </w:rPr>
        <w:t>ZÚR stanovují požadavky na koordinaci územně plánovací činnosti obcí při upřesňování vymezení ploch a koridorů republikového a nadmístního významu (včetně ÚSES a územních rezerv) uvedených v kap. D. textové části a zobrazených ve výkresu A.2 grafické části ZÚR. Koordinace při vymezování jednotlivých ploch a koridorů je úkolem pro řešení v ÚPD dotčených obcí:</w:t>
      </w:r>
    </w:p>
    <w:tbl>
      <w:tblPr>
        <w:tblW w:w="0" w:type="auto"/>
        <w:jc w:val="center"/>
        <w:tblBorders>
          <w:insideH w:val="single" w:sz="6" w:space="0" w:color="000000"/>
          <w:insideV w:val="single" w:sz="6" w:space="0" w:color="000000"/>
        </w:tblBorders>
        <w:tblLook w:val="04A0" w:firstRow="1" w:lastRow="0" w:firstColumn="1" w:lastColumn="0" w:noHBand="0" w:noVBand="1"/>
      </w:tblPr>
      <w:tblGrid>
        <w:gridCol w:w="882"/>
        <w:gridCol w:w="1867"/>
        <w:gridCol w:w="984"/>
        <w:gridCol w:w="1237"/>
      </w:tblGrid>
      <w:tr w:rsidR="0068493C" w:rsidRPr="009402D8" w14:paraId="59565A97" w14:textId="77777777" w:rsidTr="00765F24">
        <w:trPr>
          <w:jc w:val="center"/>
        </w:trPr>
        <w:tc>
          <w:tcPr>
            <w:tcW w:w="0" w:type="auto"/>
            <w:shd w:val="clear" w:color="auto" w:fill="auto"/>
            <w:vAlign w:val="center"/>
          </w:tcPr>
          <w:p w14:paraId="64EC017D" w14:textId="77777777" w:rsidR="0068493C" w:rsidRPr="009402D8" w:rsidRDefault="0068493C" w:rsidP="00040B6A">
            <w:pPr>
              <w:spacing w:after="0"/>
              <w:jc w:val="center"/>
              <w:rPr>
                <w:rFonts w:asciiTheme="majorHAnsi" w:hAnsiTheme="majorHAnsi" w:cstheme="majorHAnsi"/>
                <w:b/>
                <w:bCs/>
                <w:color w:val="000000"/>
                <w:sz w:val="18"/>
                <w:szCs w:val="18"/>
              </w:rPr>
            </w:pPr>
            <w:r w:rsidRPr="009402D8">
              <w:rPr>
                <w:rFonts w:asciiTheme="majorHAnsi" w:hAnsiTheme="majorHAnsi" w:cstheme="majorHAnsi"/>
                <w:b/>
                <w:bCs/>
                <w:color w:val="000000"/>
                <w:sz w:val="18"/>
                <w:szCs w:val="18"/>
              </w:rPr>
              <w:t>ORP</w:t>
            </w:r>
          </w:p>
        </w:tc>
        <w:tc>
          <w:tcPr>
            <w:tcW w:w="0" w:type="auto"/>
            <w:shd w:val="clear" w:color="auto" w:fill="auto"/>
            <w:vAlign w:val="center"/>
          </w:tcPr>
          <w:p w14:paraId="4D021132" w14:textId="77777777" w:rsidR="0068493C" w:rsidRPr="009402D8" w:rsidRDefault="0068493C" w:rsidP="00040B6A">
            <w:pPr>
              <w:spacing w:after="0"/>
              <w:jc w:val="center"/>
              <w:rPr>
                <w:rFonts w:asciiTheme="majorHAnsi" w:hAnsiTheme="majorHAnsi" w:cstheme="majorHAnsi"/>
                <w:b/>
                <w:bCs/>
                <w:color w:val="000000"/>
                <w:sz w:val="18"/>
                <w:szCs w:val="18"/>
              </w:rPr>
            </w:pPr>
            <w:r w:rsidRPr="009402D8">
              <w:rPr>
                <w:rFonts w:asciiTheme="majorHAnsi" w:hAnsiTheme="majorHAnsi" w:cstheme="majorHAnsi"/>
                <w:b/>
                <w:bCs/>
                <w:color w:val="000000"/>
                <w:sz w:val="18"/>
                <w:szCs w:val="18"/>
              </w:rPr>
              <w:t>OBEC</w:t>
            </w:r>
          </w:p>
        </w:tc>
        <w:tc>
          <w:tcPr>
            <w:tcW w:w="0" w:type="auto"/>
            <w:shd w:val="clear" w:color="auto" w:fill="auto"/>
            <w:vAlign w:val="center"/>
          </w:tcPr>
          <w:p w14:paraId="635A7D82" w14:textId="77777777" w:rsidR="0068493C" w:rsidRPr="009402D8" w:rsidRDefault="0068493C" w:rsidP="00040B6A">
            <w:pPr>
              <w:spacing w:after="0"/>
              <w:jc w:val="center"/>
              <w:rPr>
                <w:rFonts w:asciiTheme="majorHAnsi" w:hAnsiTheme="majorHAnsi" w:cstheme="majorHAnsi"/>
                <w:b/>
                <w:bCs/>
                <w:color w:val="000000"/>
                <w:sz w:val="18"/>
                <w:szCs w:val="18"/>
              </w:rPr>
            </w:pPr>
            <w:r w:rsidRPr="009402D8">
              <w:rPr>
                <w:rFonts w:asciiTheme="majorHAnsi" w:hAnsiTheme="majorHAnsi" w:cstheme="majorHAnsi"/>
                <w:b/>
                <w:bCs/>
                <w:color w:val="000000"/>
                <w:sz w:val="18"/>
                <w:szCs w:val="18"/>
              </w:rPr>
              <w:t>VPS</w:t>
            </w:r>
          </w:p>
        </w:tc>
        <w:tc>
          <w:tcPr>
            <w:tcW w:w="0" w:type="auto"/>
            <w:shd w:val="clear" w:color="auto" w:fill="auto"/>
            <w:vAlign w:val="center"/>
          </w:tcPr>
          <w:p w14:paraId="218DD5F8" w14:textId="77777777" w:rsidR="0068493C" w:rsidRPr="009402D8" w:rsidRDefault="0068493C" w:rsidP="00040B6A">
            <w:pPr>
              <w:spacing w:after="0"/>
              <w:jc w:val="center"/>
              <w:rPr>
                <w:rFonts w:asciiTheme="majorHAnsi" w:hAnsiTheme="majorHAnsi" w:cstheme="majorHAnsi"/>
                <w:b/>
                <w:bCs/>
                <w:color w:val="000000"/>
                <w:sz w:val="18"/>
                <w:szCs w:val="18"/>
              </w:rPr>
            </w:pPr>
            <w:r w:rsidRPr="009402D8">
              <w:rPr>
                <w:rFonts w:asciiTheme="majorHAnsi" w:hAnsiTheme="majorHAnsi" w:cstheme="majorHAnsi"/>
                <w:b/>
                <w:bCs/>
                <w:color w:val="000000"/>
                <w:sz w:val="18"/>
                <w:szCs w:val="18"/>
              </w:rPr>
              <w:t>VPO - ÚSES</w:t>
            </w:r>
          </w:p>
        </w:tc>
      </w:tr>
      <w:tr w:rsidR="0068493C" w:rsidRPr="009402D8" w14:paraId="46C8D92D" w14:textId="77777777" w:rsidTr="00765F24">
        <w:trPr>
          <w:jc w:val="center"/>
        </w:trPr>
        <w:tc>
          <w:tcPr>
            <w:tcW w:w="0" w:type="auto"/>
            <w:shd w:val="clear" w:color="auto" w:fill="auto"/>
            <w:vAlign w:val="center"/>
          </w:tcPr>
          <w:p w14:paraId="60DE4857" w14:textId="77777777" w:rsidR="0068493C" w:rsidRPr="009402D8" w:rsidRDefault="0068493C" w:rsidP="00040B6A">
            <w:pPr>
              <w:spacing w:after="0"/>
              <w:jc w:val="center"/>
              <w:rPr>
                <w:rFonts w:asciiTheme="majorHAnsi" w:hAnsiTheme="majorHAnsi" w:cstheme="majorHAnsi"/>
                <w:b/>
                <w:bCs/>
                <w:color w:val="000000"/>
                <w:sz w:val="18"/>
                <w:szCs w:val="18"/>
              </w:rPr>
            </w:pPr>
            <w:r w:rsidRPr="009402D8">
              <w:rPr>
                <w:rFonts w:asciiTheme="majorHAnsi" w:hAnsiTheme="majorHAnsi" w:cstheme="majorHAnsi"/>
                <w:b/>
                <w:bCs/>
                <w:color w:val="000000"/>
                <w:sz w:val="18"/>
                <w:szCs w:val="18"/>
              </w:rPr>
              <w:t>Nymburk</w:t>
            </w:r>
          </w:p>
        </w:tc>
        <w:tc>
          <w:tcPr>
            <w:tcW w:w="0" w:type="auto"/>
            <w:shd w:val="clear" w:color="auto" w:fill="auto"/>
            <w:vAlign w:val="center"/>
          </w:tcPr>
          <w:p w14:paraId="4A8A2A9D" w14:textId="77777777" w:rsidR="0068493C" w:rsidRPr="009402D8" w:rsidRDefault="0068493C" w:rsidP="00040B6A">
            <w:pPr>
              <w:spacing w:after="0"/>
              <w:jc w:val="center"/>
              <w:rPr>
                <w:rFonts w:asciiTheme="majorHAnsi" w:hAnsiTheme="majorHAnsi" w:cstheme="majorHAnsi"/>
                <w:color w:val="000000"/>
                <w:sz w:val="18"/>
                <w:szCs w:val="18"/>
              </w:rPr>
            </w:pPr>
            <w:r w:rsidRPr="009402D8">
              <w:rPr>
                <w:rFonts w:asciiTheme="majorHAnsi" w:hAnsiTheme="majorHAnsi" w:cstheme="majorHAnsi"/>
                <w:color w:val="000000"/>
                <w:sz w:val="18"/>
                <w:szCs w:val="18"/>
              </w:rPr>
              <w:t>Kostomlaty nad Labem</w:t>
            </w:r>
          </w:p>
        </w:tc>
        <w:tc>
          <w:tcPr>
            <w:tcW w:w="0" w:type="auto"/>
            <w:shd w:val="clear" w:color="auto" w:fill="auto"/>
            <w:vAlign w:val="center"/>
          </w:tcPr>
          <w:p w14:paraId="3191B04A" w14:textId="34D122B3" w:rsidR="0068493C" w:rsidRPr="009402D8" w:rsidRDefault="000172E3" w:rsidP="00040B6A">
            <w:pPr>
              <w:spacing w:after="0"/>
              <w:jc w:val="center"/>
              <w:rPr>
                <w:rFonts w:asciiTheme="majorHAnsi" w:hAnsiTheme="majorHAnsi" w:cstheme="majorHAnsi"/>
                <w:color w:val="000000"/>
                <w:sz w:val="18"/>
                <w:szCs w:val="18"/>
              </w:rPr>
            </w:pPr>
            <w:r w:rsidRPr="009402D8">
              <w:rPr>
                <w:rFonts w:asciiTheme="majorHAnsi" w:hAnsiTheme="majorHAnsi" w:cstheme="majorHAnsi"/>
                <w:color w:val="000000"/>
                <w:sz w:val="18"/>
                <w:szCs w:val="18"/>
              </w:rPr>
              <w:t>D322, VD1</w:t>
            </w:r>
          </w:p>
        </w:tc>
        <w:tc>
          <w:tcPr>
            <w:tcW w:w="0" w:type="auto"/>
            <w:shd w:val="clear" w:color="auto" w:fill="auto"/>
            <w:vAlign w:val="center"/>
          </w:tcPr>
          <w:p w14:paraId="3D24C5E6" w14:textId="77777777" w:rsidR="0068493C" w:rsidRPr="009402D8" w:rsidRDefault="0068493C" w:rsidP="00040B6A">
            <w:pPr>
              <w:spacing w:after="0"/>
              <w:jc w:val="center"/>
              <w:rPr>
                <w:rFonts w:asciiTheme="majorHAnsi" w:hAnsiTheme="majorHAnsi" w:cstheme="majorHAnsi"/>
                <w:color w:val="000000"/>
                <w:sz w:val="18"/>
                <w:szCs w:val="18"/>
              </w:rPr>
            </w:pPr>
            <w:r w:rsidRPr="009402D8">
              <w:rPr>
                <w:rFonts w:asciiTheme="majorHAnsi" w:hAnsiTheme="majorHAnsi" w:cstheme="majorHAnsi"/>
                <w:color w:val="000000"/>
                <w:sz w:val="18"/>
                <w:szCs w:val="18"/>
              </w:rPr>
              <w:t>NK 10, RC 349</w:t>
            </w:r>
          </w:p>
        </w:tc>
      </w:tr>
    </w:tbl>
    <w:p w14:paraId="52B61828" w14:textId="419388B8" w:rsidR="0068493C" w:rsidRPr="009402D8" w:rsidRDefault="0068493C" w:rsidP="00040B6A">
      <w:pPr>
        <w:pStyle w:val="Mra2-reakceern"/>
        <w:spacing w:before="120"/>
        <w:rPr>
          <w:rFonts w:asciiTheme="majorHAnsi" w:hAnsiTheme="majorHAnsi" w:cstheme="majorHAnsi"/>
          <w:color w:val="auto"/>
        </w:rPr>
      </w:pPr>
      <w:r w:rsidRPr="009402D8">
        <w:rPr>
          <w:rFonts w:asciiTheme="majorHAnsi" w:hAnsiTheme="majorHAnsi" w:cstheme="majorHAnsi"/>
          <w:color w:val="auto"/>
        </w:rPr>
        <w:t>Územní plán zajišťuje koordinaci ploch a koridorů</w:t>
      </w:r>
      <w:r w:rsidR="004C536A" w:rsidRPr="009402D8">
        <w:rPr>
          <w:rFonts w:asciiTheme="majorHAnsi" w:hAnsiTheme="majorHAnsi" w:cstheme="majorHAnsi"/>
          <w:color w:val="auto"/>
        </w:rPr>
        <w:t>,</w:t>
      </w:r>
      <w:r w:rsidRPr="009402D8">
        <w:rPr>
          <w:rFonts w:asciiTheme="majorHAnsi" w:hAnsiTheme="majorHAnsi" w:cstheme="majorHAnsi"/>
          <w:color w:val="auto"/>
        </w:rPr>
        <w:t xml:space="preserve"> VPS a VPO </w:t>
      </w:r>
      <w:r w:rsidR="004C536A" w:rsidRPr="009402D8">
        <w:rPr>
          <w:rFonts w:asciiTheme="majorHAnsi" w:hAnsiTheme="majorHAnsi" w:cstheme="majorHAnsi"/>
          <w:color w:val="auto"/>
        </w:rPr>
        <w:t xml:space="preserve">vymezených v </w:t>
      </w:r>
      <w:r w:rsidRPr="009402D8">
        <w:rPr>
          <w:rFonts w:asciiTheme="majorHAnsi" w:hAnsiTheme="majorHAnsi" w:cstheme="majorHAnsi"/>
          <w:color w:val="auto"/>
        </w:rPr>
        <w:t>ZÚR SK s územně plánovací dokumentací sousedních obcí</w:t>
      </w:r>
      <w:r w:rsidR="004C536A" w:rsidRPr="009402D8">
        <w:rPr>
          <w:rFonts w:asciiTheme="majorHAnsi" w:hAnsiTheme="majorHAnsi" w:cstheme="majorHAnsi"/>
          <w:color w:val="auto"/>
        </w:rPr>
        <w:t xml:space="preserve"> (s vyhodnocením v oddílech výše)</w:t>
      </w:r>
      <w:r w:rsidRPr="009402D8">
        <w:rPr>
          <w:rFonts w:asciiTheme="majorHAnsi" w:hAnsiTheme="majorHAnsi" w:cstheme="majorHAnsi"/>
          <w:color w:val="auto"/>
        </w:rPr>
        <w:t>.</w:t>
      </w:r>
    </w:p>
    <w:p w14:paraId="71B6606F" w14:textId="56598955" w:rsidR="003F79C7" w:rsidRPr="009402D8" w:rsidRDefault="003F79C7" w:rsidP="003F79C7">
      <w:pPr>
        <w:keepNext/>
        <w:autoSpaceDE w:val="0"/>
        <w:autoSpaceDN w:val="0"/>
        <w:adjustRightInd w:val="0"/>
        <w:spacing w:before="120" w:after="120" w:line="240" w:lineRule="auto"/>
        <w:ind w:left="567" w:hanging="567"/>
        <w:jc w:val="both"/>
        <w:rPr>
          <w:rFonts w:asciiTheme="majorHAnsi" w:hAnsiTheme="majorHAnsi" w:cstheme="majorHAnsi"/>
          <w:b/>
          <w:bCs/>
          <w:iCs/>
          <w:sz w:val="18"/>
          <w:szCs w:val="18"/>
        </w:rPr>
      </w:pPr>
      <w:r w:rsidRPr="009402D8">
        <w:rPr>
          <w:rFonts w:asciiTheme="majorHAnsi" w:hAnsiTheme="majorHAnsi" w:cstheme="majorHAnsi"/>
          <w:b/>
          <w:bCs/>
          <w:iCs/>
          <w:sz w:val="18"/>
          <w:szCs w:val="18"/>
        </w:rPr>
        <w:t>H.2.</w:t>
      </w:r>
      <w:r w:rsidRPr="009402D8">
        <w:rPr>
          <w:rFonts w:asciiTheme="majorHAnsi" w:hAnsiTheme="majorHAnsi" w:cstheme="majorHAnsi"/>
          <w:b/>
          <w:bCs/>
          <w:iCs/>
          <w:sz w:val="18"/>
          <w:szCs w:val="18"/>
        </w:rPr>
        <w:tab/>
        <w:t>Požadavky na řešení v ÚPD obcí</w:t>
      </w:r>
    </w:p>
    <w:p w14:paraId="5DA7EDD3" w14:textId="3F800E58" w:rsidR="003F79C7" w:rsidRPr="009402D8" w:rsidRDefault="003F79C7" w:rsidP="003F79C7">
      <w:pPr>
        <w:keepNext/>
        <w:autoSpaceDE w:val="0"/>
        <w:autoSpaceDN w:val="0"/>
        <w:adjustRightInd w:val="0"/>
        <w:spacing w:before="120" w:after="120" w:line="240" w:lineRule="auto"/>
        <w:ind w:left="567" w:hanging="567"/>
        <w:jc w:val="both"/>
        <w:rPr>
          <w:rFonts w:asciiTheme="majorHAnsi" w:hAnsiTheme="majorHAnsi" w:cstheme="majorHAnsi"/>
          <w:b/>
          <w:bCs/>
          <w:iCs/>
          <w:sz w:val="18"/>
          <w:szCs w:val="18"/>
        </w:rPr>
      </w:pPr>
      <w:r w:rsidRPr="009402D8">
        <w:rPr>
          <w:rFonts w:asciiTheme="majorHAnsi" w:hAnsiTheme="majorHAnsi" w:cstheme="majorHAnsi"/>
          <w:b/>
          <w:bCs/>
          <w:iCs/>
          <w:sz w:val="18"/>
          <w:szCs w:val="18"/>
        </w:rPr>
        <w:t>Zelené pásy v krajině</w:t>
      </w:r>
    </w:p>
    <w:p w14:paraId="7C9E702B" w14:textId="713AF503" w:rsidR="003F79C7" w:rsidRPr="009402D8" w:rsidRDefault="003F79C7" w:rsidP="003F79C7">
      <w:pPr>
        <w:autoSpaceDE w:val="0"/>
        <w:autoSpaceDN w:val="0"/>
        <w:adjustRightInd w:val="0"/>
        <w:spacing w:before="120" w:after="120" w:line="240" w:lineRule="auto"/>
        <w:ind w:left="567" w:hanging="567"/>
        <w:jc w:val="both"/>
        <w:rPr>
          <w:rFonts w:asciiTheme="majorHAnsi" w:hAnsiTheme="majorHAnsi" w:cstheme="majorHAnsi"/>
          <w:bCs/>
          <w:i/>
          <w:sz w:val="18"/>
          <w:szCs w:val="18"/>
        </w:rPr>
      </w:pPr>
      <w:r w:rsidRPr="009402D8">
        <w:rPr>
          <w:rFonts w:asciiTheme="majorHAnsi" w:hAnsiTheme="majorHAnsi" w:cstheme="majorHAnsi"/>
          <w:bCs/>
          <w:iCs/>
          <w:sz w:val="18"/>
          <w:szCs w:val="18"/>
        </w:rPr>
        <w:t>(240a)</w:t>
      </w:r>
      <w:r w:rsidRPr="009402D8">
        <w:rPr>
          <w:rFonts w:asciiTheme="majorHAnsi" w:hAnsiTheme="majorHAnsi" w:cstheme="majorHAnsi"/>
          <w:bCs/>
          <w:iCs/>
          <w:sz w:val="18"/>
          <w:szCs w:val="18"/>
        </w:rPr>
        <w:tab/>
      </w:r>
      <w:r w:rsidRPr="009402D8">
        <w:rPr>
          <w:rFonts w:asciiTheme="majorHAnsi" w:hAnsiTheme="majorHAnsi" w:cstheme="majorHAnsi"/>
          <w:bCs/>
          <w:i/>
          <w:sz w:val="18"/>
          <w:szCs w:val="18"/>
        </w:rPr>
        <w:t>Ve vzájemné koordinaci vytvářet územní podmínky včetně vymezování ploch pro vytváření zelených pásů v krajině na území obcí a ve vybraných katastrálních územích:</w:t>
      </w:r>
    </w:p>
    <w:tbl>
      <w:tblPr>
        <w:tblW w:w="0" w:type="auto"/>
        <w:jc w:val="center"/>
        <w:tblBorders>
          <w:insideH w:val="single" w:sz="6" w:space="0" w:color="000000"/>
          <w:insideV w:val="single" w:sz="6" w:space="0" w:color="000000"/>
        </w:tblBorders>
        <w:tblLook w:val="04A0" w:firstRow="1" w:lastRow="0" w:firstColumn="1" w:lastColumn="0" w:noHBand="0" w:noVBand="1"/>
      </w:tblPr>
      <w:tblGrid>
        <w:gridCol w:w="882"/>
        <w:gridCol w:w="1867"/>
        <w:gridCol w:w="1867"/>
      </w:tblGrid>
      <w:tr w:rsidR="003F79C7" w:rsidRPr="009402D8" w14:paraId="55A955C2" w14:textId="77777777" w:rsidTr="001A2CDF">
        <w:trPr>
          <w:jc w:val="center"/>
        </w:trPr>
        <w:tc>
          <w:tcPr>
            <w:tcW w:w="0" w:type="auto"/>
            <w:shd w:val="clear" w:color="auto" w:fill="auto"/>
            <w:vAlign w:val="center"/>
          </w:tcPr>
          <w:p w14:paraId="65421D7A" w14:textId="0A601054" w:rsidR="003F79C7" w:rsidRPr="009402D8" w:rsidRDefault="003F79C7" w:rsidP="000F4A1C">
            <w:pPr>
              <w:spacing w:after="0"/>
              <w:jc w:val="center"/>
              <w:rPr>
                <w:rFonts w:asciiTheme="majorHAnsi" w:hAnsiTheme="majorHAnsi" w:cstheme="majorHAnsi"/>
                <w:b/>
                <w:bCs/>
                <w:color w:val="000000"/>
                <w:sz w:val="18"/>
                <w:szCs w:val="18"/>
              </w:rPr>
            </w:pPr>
            <w:r w:rsidRPr="009402D8">
              <w:rPr>
                <w:rFonts w:asciiTheme="majorHAnsi" w:hAnsiTheme="majorHAnsi" w:cstheme="majorHAnsi"/>
                <w:b/>
                <w:bCs/>
                <w:color w:val="000000"/>
                <w:sz w:val="18"/>
                <w:szCs w:val="18"/>
              </w:rPr>
              <w:t>SO ORP</w:t>
            </w:r>
          </w:p>
        </w:tc>
        <w:tc>
          <w:tcPr>
            <w:tcW w:w="0" w:type="auto"/>
            <w:shd w:val="clear" w:color="auto" w:fill="auto"/>
            <w:vAlign w:val="center"/>
          </w:tcPr>
          <w:p w14:paraId="3471B4E7" w14:textId="4F594536" w:rsidR="003F79C7" w:rsidRPr="009402D8" w:rsidRDefault="003F79C7" w:rsidP="000F4A1C">
            <w:pPr>
              <w:spacing w:after="0"/>
              <w:jc w:val="center"/>
              <w:rPr>
                <w:rFonts w:asciiTheme="majorHAnsi" w:hAnsiTheme="majorHAnsi" w:cstheme="majorHAnsi"/>
                <w:b/>
                <w:bCs/>
                <w:color w:val="000000"/>
                <w:sz w:val="18"/>
                <w:szCs w:val="18"/>
              </w:rPr>
            </w:pPr>
            <w:r w:rsidRPr="009402D8">
              <w:rPr>
                <w:rFonts w:asciiTheme="majorHAnsi" w:hAnsiTheme="majorHAnsi" w:cstheme="majorHAnsi"/>
                <w:b/>
                <w:bCs/>
                <w:color w:val="000000"/>
                <w:sz w:val="18"/>
                <w:szCs w:val="18"/>
              </w:rPr>
              <w:t>Obce</w:t>
            </w:r>
          </w:p>
        </w:tc>
        <w:tc>
          <w:tcPr>
            <w:tcW w:w="0" w:type="auto"/>
            <w:shd w:val="clear" w:color="auto" w:fill="auto"/>
            <w:vAlign w:val="center"/>
          </w:tcPr>
          <w:p w14:paraId="6EC9FAD9" w14:textId="37DDD1FD" w:rsidR="003F79C7" w:rsidRPr="009402D8" w:rsidRDefault="003F79C7" w:rsidP="000F4A1C">
            <w:pPr>
              <w:spacing w:after="0"/>
              <w:jc w:val="center"/>
              <w:rPr>
                <w:rFonts w:asciiTheme="majorHAnsi" w:hAnsiTheme="majorHAnsi" w:cstheme="majorHAnsi"/>
                <w:b/>
                <w:bCs/>
                <w:color w:val="000000"/>
                <w:sz w:val="18"/>
                <w:szCs w:val="18"/>
              </w:rPr>
            </w:pPr>
            <w:r w:rsidRPr="009402D8">
              <w:rPr>
                <w:rFonts w:asciiTheme="majorHAnsi" w:hAnsiTheme="majorHAnsi" w:cstheme="majorHAnsi"/>
                <w:b/>
                <w:bCs/>
                <w:color w:val="000000"/>
                <w:sz w:val="18"/>
                <w:szCs w:val="18"/>
              </w:rPr>
              <w:t>Katastrální území</w:t>
            </w:r>
          </w:p>
        </w:tc>
      </w:tr>
      <w:tr w:rsidR="003F79C7" w:rsidRPr="009402D8" w14:paraId="36A161AB" w14:textId="77777777" w:rsidTr="0099598D">
        <w:trPr>
          <w:jc w:val="center"/>
        </w:trPr>
        <w:tc>
          <w:tcPr>
            <w:tcW w:w="0" w:type="auto"/>
            <w:shd w:val="clear" w:color="auto" w:fill="auto"/>
            <w:vAlign w:val="center"/>
          </w:tcPr>
          <w:p w14:paraId="5C4BE84A" w14:textId="77777777" w:rsidR="003F79C7" w:rsidRPr="009402D8" w:rsidRDefault="003F79C7" w:rsidP="000F4A1C">
            <w:pPr>
              <w:spacing w:after="0"/>
              <w:jc w:val="center"/>
              <w:rPr>
                <w:rFonts w:asciiTheme="majorHAnsi" w:hAnsiTheme="majorHAnsi" w:cstheme="majorHAnsi"/>
                <w:b/>
                <w:bCs/>
                <w:color w:val="000000"/>
                <w:sz w:val="18"/>
                <w:szCs w:val="18"/>
              </w:rPr>
            </w:pPr>
            <w:r w:rsidRPr="009402D8">
              <w:rPr>
                <w:rFonts w:asciiTheme="majorHAnsi" w:hAnsiTheme="majorHAnsi" w:cstheme="majorHAnsi"/>
                <w:b/>
                <w:bCs/>
                <w:color w:val="000000"/>
                <w:sz w:val="18"/>
                <w:szCs w:val="18"/>
              </w:rPr>
              <w:t>Nymburk</w:t>
            </w:r>
          </w:p>
        </w:tc>
        <w:tc>
          <w:tcPr>
            <w:tcW w:w="0" w:type="auto"/>
            <w:shd w:val="clear" w:color="auto" w:fill="auto"/>
            <w:vAlign w:val="center"/>
          </w:tcPr>
          <w:p w14:paraId="671B3F8A" w14:textId="77777777" w:rsidR="003F79C7" w:rsidRPr="009402D8" w:rsidRDefault="003F79C7" w:rsidP="000F4A1C">
            <w:pPr>
              <w:spacing w:after="0"/>
              <w:jc w:val="center"/>
              <w:rPr>
                <w:rFonts w:asciiTheme="majorHAnsi" w:hAnsiTheme="majorHAnsi" w:cstheme="majorHAnsi"/>
                <w:color w:val="000000"/>
                <w:sz w:val="18"/>
                <w:szCs w:val="18"/>
              </w:rPr>
            </w:pPr>
            <w:r w:rsidRPr="009402D8">
              <w:rPr>
                <w:rFonts w:asciiTheme="majorHAnsi" w:hAnsiTheme="majorHAnsi" w:cstheme="majorHAnsi"/>
                <w:color w:val="000000"/>
                <w:sz w:val="18"/>
                <w:szCs w:val="18"/>
              </w:rPr>
              <w:t>Kostomlaty nad Labem</w:t>
            </w:r>
          </w:p>
        </w:tc>
        <w:tc>
          <w:tcPr>
            <w:tcW w:w="0" w:type="auto"/>
            <w:shd w:val="clear" w:color="auto" w:fill="auto"/>
            <w:vAlign w:val="center"/>
          </w:tcPr>
          <w:p w14:paraId="05234F2F" w14:textId="440ECA00" w:rsidR="003F79C7" w:rsidRPr="009402D8" w:rsidRDefault="003F79C7" w:rsidP="000F4A1C">
            <w:pPr>
              <w:spacing w:after="0"/>
              <w:jc w:val="center"/>
              <w:rPr>
                <w:rFonts w:asciiTheme="majorHAnsi" w:hAnsiTheme="majorHAnsi" w:cstheme="majorHAnsi"/>
                <w:color w:val="000000"/>
                <w:sz w:val="18"/>
                <w:szCs w:val="18"/>
              </w:rPr>
            </w:pPr>
            <w:r w:rsidRPr="009402D8">
              <w:rPr>
                <w:rFonts w:asciiTheme="majorHAnsi" w:hAnsiTheme="majorHAnsi" w:cstheme="majorHAnsi"/>
                <w:color w:val="000000"/>
                <w:sz w:val="18"/>
                <w:szCs w:val="18"/>
              </w:rPr>
              <w:t>Kostomlaty nad Labem</w:t>
            </w:r>
          </w:p>
        </w:tc>
      </w:tr>
    </w:tbl>
    <w:p w14:paraId="604CE595" w14:textId="27435803" w:rsidR="003F79C7" w:rsidRPr="006070EA" w:rsidRDefault="003F79C7" w:rsidP="003F79C7">
      <w:pPr>
        <w:pStyle w:val="Mra2-reakceern"/>
        <w:spacing w:before="120"/>
        <w:rPr>
          <w:rFonts w:asciiTheme="majorHAnsi" w:hAnsiTheme="majorHAnsi" w:cstheme="majorHAnsi"/>
          <w:color w:val="auto"/>
        </w:rPr>
      </w:pPr>
      <w:r w:rsidRPr="009402D8">
        <w:rPr>
          <w:rFonts w:asciiTheme="majorHAnsi" w:hAnsiTheme="majorHAnsi" w:cstheme="majorHAnsi"/>
          <w:color w:val="auto"/>
        </w:rPr>
        <w:t>Územní plán vytváří podmínky pro naplnění uvedeného úkolu zejména stabilizací ploch ve volné krajině. V k. ú. Kostomlaty nad Labem jde mimo zemědělsky intenzivně využívanou část krajiny stabilizovanou v rámci ploch zemědělských všeobecných (AU) a ekologicky stabilnějších ploch severně od Labe, stabilizovaných jako přírodní všeobecné (NU), lesní všeobecné (LU) a smíšené nezastavěného území – zemědělství extenzivní, přírodní priority, dále zejména vymezením ploch smíšených nezastavěného území – rekreace nepobytová (MU.r), které vytváří souvislý zelený pás bezprostředně obklopující urbanizované území Kostomlat nad Labem, využitelný pro každodenní rekreaci.</w:t>
      </w:r>
    </w:p>
    <w:p w14:paraId="0E81623B" w14:textId="77777777" w:rsidR="00A06407" w:rsidRPr="006070EA" w:rsidRDefault="00A06407" w:rsidP="004C536A">
      <w:pPr>
        <w:pStyle w:val="Odstavecseseznamem"/>
        <w:keepNext/>
        <w:pageBreakBefore/>
        <w:numPr>
          <w:ilvl w:val="0"/>
          <w:numId w:val="1"/>
        </w:numPr>
        <w:pBdr>
          <w:top w:val="single" w:sz="8" w:space="1" w:color="auto"/>
          <w:left w:val="single" w:sz="8" w:space="4" w:color="auto"/>
          <w:bottom w:val="single" w:sz="8" w:space="1" w:color="auto"/>
          <w:right w:val="single" w:sz="8" w:space="4" w:color="auto"/>
        </w:pBdr>
        <w:shd w:val="clear" w:color="auto" w:fill="F2F2F2" w:themeFill="background1" w:themeFillShade="F2"/>
        <w:spacing w:before="200" w:after="200" w:line="240" w:lineRule="auto"/>
        <w:ind w:left="709" w:hanging="709"/>
        <w:contextualSpacing w:val="0"/>
        <w:jc w:val="both"/>
        <w:outlineLvl w:val="0"/>
        <w:rPr>
          <w:rFonts w:asciiTheme="majorHAnsi" w:hAnsiTheme="majorHAnsi" w:cstheme="majorHAnsi"/>
          <w:b/>
          <w:sz w:val="24"/>
          <w:szCs w:val="28"/>
        </w:rPr>
      </w:pPr>
      <w:bookmarkStart w:id="71" w:name="_Toc424119800"/>
      <w:bookmarkStart w:id="72" w:name="_Toc204678170"/>
      <w:bookmarkEnd w:id="64"/>
      <w:r w:rsidRPr="006070EA">
        <w:rPr>
          <w:rFonts w:asciiTheme="majorHAnsi" w:hAnsiTheme="majorHAnsi" w:cstheme="majorHAnsi"/>
          <w:b/>
          <w:sz w:val="24"/>
          <w:szCs w:val="28"/>
        </w:rPr>
        <w:lastRenderedPageBreak/>
        <w:t>VÝČET ZÁLEŽITOSTÍ NADMÍSTNÍHO VÝZNAMU, KTERÉ NEJSOU ŘEŠENY V ZÁSADÁCH ÚZEMNÍHO ROZVOJE (§ 43 ODST. 1 STAVEBNÍHO ZÁKONA), S ODŮVODNĚNÍM POTŘEBY JEJICH VYMEZENÍ</w:t>
      </w:r>
      <w:bookmarkEnd w:id="71"/>
      <w:bookmarkEnd w:id="72"/>
    </w:p>
    <w:p w14:paraId="14A22A15" w14:textId="77777777" w:rsidR="00A06407" w:rsidRPr="006070EA" w:rsidRDefault="00A06407" w:rsidP="00F90B15">
      <w:pPr>
        <w:keepNext/>
        <w:spacing w:after="120" w:line="240" w:lineRule="auto"/>
        <w:ind w:firstLine="709"/>
        <w:jc w:val="both"/>
        <w:rPr>
          <w:rFonts w:asciiTheme="majorHAnsi" w:hAnsiTheme="majorHAnsi" w:cstheme="majorHAnsi"/>
          <w:i/>
          <w:sz w:val="18"/>
          <w:szCs w:val="20"/>
        </w:rPr>
      </w:pPr>
      <w:r w:rsidRPr="006070EA">
        <w:rPr>
          <w:rFonts w:asciiTheme="majorHAnsi" w:hAnsiTheme="majorHAnsi" w:cstheme="majorHAnsi"/>
          <w:i/>
          <w:sz w:val="18"/>
          <w:szCs w:val="20"/>
        </w:rPr>
        <w:t xml:space="preserve">Vyhláška </w:t>
      </w:r>
      <w:r w:rsidR="00E45AAE" w:rsidRPr="006070EA">
        <w:rPr>
          <w:rFonts w:asciiTheme="majorHAnsi" w:hAnsiTheme="majorHAnsi" w:cstheme="majorHAnsi"/>
          <w:i/>
          <w:sz w:val="18"/>
          <w:szCs w:val="20"/>
        </w:rPr>
        <w:t xml:space="preserve">č. </w:t>
      </w:r>
      <w:r w:rsidRPr="006070EA">
        <w:rPr>
          <w:rFonts w:asciiTheme="majorHAnsi" w:hAnsiTheme="majorHAnsi" w:cstheme="majorHAnsi"/>
          <w:i/>
          <w:sz w:val="18"/>
          <w:szCs w:val="20"/>
        </w:rPr>
        <w:t>500/2006 Sb., příloha č. 7 část II, odst. 1 c)</w:t>
      </w:r>
    </w:p>
    <w:p w14:paraId="2C352765" w14:textId="77777777" w:rsidR="00A06407" w:rsidRPr="006070EA" w:rsidRDefault="00A06407" w:rsidP="00F90B15">
      <w:pPr>
        <w:keepNext/>
        <w:spacing w:after="120" w:line="240" w:lineRule="auto"/>
        <w:ind w:firstLine="709"/>
        <w:jc w:val="both"/>
        <w:rPr>
          <w:rFonts w:asciiTheme="majorHAnsi" w:hAnsiTheme="majorHAnsi" w:cstheme="majorHAnsi"/>
          <w:b/>
          <w:i/>
          <w:sz w:val="18"/>
          <w:szCs w:val="20"/>
        </w:rPr>
      </w:pPr>
      <w:r w:rsidRPr="006070EA">
        <w:rPr>
          <w:rFonts w:asciiTheme="majorHAnsi" w:hAnsiTheme="majorHAnsi" w:cstheme="majorHAnsi"/>
          <w:b/>
          <w:i/>
          <w:sz w:val="18"/>
          <w:szCs w:val="20"/>
        </w:rPr>
        <w:t>Zpracovává projektant.</w:t>
      </w:r>
    </w:p>
    <w:p w14:paraId="00DA68E5" w14:textId="2D85881E" w:rsidR="001E189B" w:rsidRDefault="001E189B" w:rsidP="00734811">
      <w:pPr>
        <w:ind w:firstLine="709"/>
        <w:jc w:val="both"/>
        <w:rPr>
          <w:rFonts w:asciiTheme="majorHAnsi" w:hAnsiTheme="majorHAnsi" w:cstheme="majorHAnsi"/>
          <w:snapToGrid w:val="0"/>
          <w:sz w:val="18"/>
          <w:szCs w:val="18"/>
        </w:rPr>
      </w:pPr>
      <w:r w:rsidRPr="009402D8">
        <w:rPr>
          <w:rFonts w:asciiTheme="majorHAnsi" w:hAnsiTheme="majorHAnsi" w:cstheme="majorHAnsi"/>
          <w:snapToGrid w:val="0"/>
          <w:sz w:val="18"/>
          <w:szCs w:val="18"/>
        </w:rPr>
        <w:t>Územní plán nevymezuje záležitosti nadmístního významu, které nejsou řešeny v ZÚR Středočeského kraje.</w:t>
      </w:r>
    </w:p>
    <w:p w14:paraId="25CA9A25" w14:textId="77777777" w:rsidR="00A06407" w:rsidRPr="006070EA" w:rsidRDefault="00A06407" w:rsidP="003F79C7">
      <w:pPr>
        <w:pStyle w:val="Odstavecseseznamem"/>
        <w:keepNext/>
        <w:numPr>
          <w:ilvl w:val="0"/>
          <w:numId w:val="1"/>
        </w:numPr>
        <w:pBdr>
          <w:top w:val="single" w:sz="8" w:space="1" w:color="auto"/>
          <w:left w:val="single" w:sz="8" w:space="4" w:color="auto"/>
          <w:bottom w:val="single" w:sz="8" w:space="1" w:color="auto"/>
          <w:right w:val="single" w:sz="8" w:space="4" w:color="auto"/>
        </w:pBdr>
        <w:shd w:val="clear" w:color="auto" w:fill="F2F2F2" w:themeFill="background1" w:themeFillShade="F2"/>
        <w:spacing w:before="200" w:after="200" w:line="240" w:lineRule="auto"/>
        <w:ind w:left="709" w:hanging="709"/>
        <w:contextualSpacing w:val="0"/>
        <w:jc w:val="both"/>
        <w:outlineLvl w:val="0"/>
        <w:rPr>
          <w:rFonts w:asciiTheme="majorHAnsi" w:hAnsiTheme="majorHAnsi" w:cstheme="majorHAnsi"/>
          <w:b/>
          <w:sz w:val="24"/>
          <w:szCs w:val="28"/>
        </w:rPr>
      </w:pPr>
      <w:bookmarkStart w:id="73" w:name="_Toc424119801"/>
      <w:bookmarkStart w:id="74" w:name="_Toc204678171"/>
      <w:r w:rsidRPr="006070EA">
        <w:rPr>
          <w:rFonts w:asciiTheme="majorHAnsi" w:hAnsiTheme="majorHAnsi" w:cstheme="majorHAnsi"/>
          <w:b/>
          <w:sz w:val="24"/>
          <w:szCs w:val="28"/>
        </w:rPr>
        <w:t>VYHODNOCENÍ SOULADU S CÍLI A ÚKOLY ÚZEMNÍHO PLÁNOVÁNÍ, ZEJMÉNA S POŽADAVKY NA OCHRANU ARCHITEKTONICKÝCH A URBANISTICKÝCH HODNOT V ÚZEMÍ A POŽADAVKY NA OCHRANU NEZASTAVĚNÉHO ÚZEMÍ</w:t>
      </w:r>
      <w:bookmarkEnd w:id="73"/>
      <w:bookmarkEnd w:id="74"/>
    </w:p>
    <w:p w14:paraId="68883C61" w14:textId="77777777" w:rsidR="00A06407" w:rsidRPr="006070EA" w:rsidRDefault="00A06407" w:rsidP="005F01B8">
      <w:pPr>
        <w:keepNext/>
        <w:spacing w:after="120" w:line="240" w:lineRule="auto"/>
        <w:jc w:val="both"/>
        <w:rPr>
          <w:rFonts w:asciiTheme="majorHAnsi" w:hAnsiTheme="majorHAnsi" w:cstheme="majorHAnsi"/>
          <w:i/>
          <w:sz w:val="18"/>
          <w:szCs w:val="20"/>
        </w:rPr>
      </w:pPr>
      <w:r w:rsidRPr="006070EA">
        <w:rPr>
          <w:rFonts w:asciiTheme="majorHAnsi" w:hAnsiTheme="majorHAnsi" w:cstheme="majorHAnsi"/>
          <w:sz w:val="18"/>
          <w:szCs w:val="20"/>
        </w:rPr>
        <w:tab/>
      </w:r>
      <w:r w:rsidRPr="006070EA">
        <w:rPr>
          <w:rFonts w:asciiTheme="majorHAnsi" w:hAnsiTheme="majorHAnsi" w:cstheme="majorHAnsi"/>
          <w:i/>
          <w:sz w:val="18"/>
          <w:szCs w:val="20"/>
        </w:rPr>
        <w:t>Zákon č. 183/2006 Sb., § 53, odst. 4 b)</w:t>
      </w:r>
    </w:p>
    <w:p w14:paraId="4D814541" w14:textId="77777777" w:rsidR="00A06407" w:rsidRPr="006070EA" w:rsidRDefault="00A06407" w:rsidP="005F01B8">
      <w:pPr>
        <w:keepNext/>
        <w:spacing w:after="120" w:line="240" w:lineRule="auto"/>
        <w:jc w:val="both"/>
        <w:rPr>
          <w:rFonts w:asciiTheme="majorHAnsi" w:hAnsiTheme="majorHAnsi" w:cstheme="majorHAnsi"/>
          <w:b/>
          <w:i/>
          <w:sz w:val="18"/>
          <w:szCs w:val="20"/>
        </w:rPr>
      </w:pPr>
      <w:r w:rsidRPr="006070EA">
        <w:rPr>
          <w:rFonts w:asciiTheme="majorHAnsi" w:hAnsiTheme="majorHAnsi" w:cstheme="majorHAnsi"/>
          <w:i/>
          <w:sz w:val="18"/>
          <w:szCs w:val="20"/>
        </w:rPr>
        <w:tab/>
      </w:r>
      <w:r w:rsidRPr="006070EA">
        <w:rPr>
          <w:rFonts w:asciiTheme="majorHAnsi" w:hAnsiTheme="majorHAnsi" w:cstheme="majorHAnsi"/>
          <w:b/>
          <w:i/>
          <w:sz w:val="18"/>
          <w:szCs w:val="20"/>
        </w:rPr>
        <w:t>Zpracovává projektant.</w:t>
      </w:r>
    </w:p>
    <w:p w14:paraId="734ABDA7" w14:textId="509042D7" w:rsidR="0005599F" w:rsidRPr="006070EA" w:rsidRDefault="00A06407" w:rsidP="009E07E1">
      <w:pPr>
        <w:spacing w:after="120" w:line="240" w:lineRule="auto"/>
        <w:ind w:firstLine="709"/>
        <w:jc w:val="both"/>
        <w:rPr>
          <w:rFonts w:asciiTheme="majorHAnsi" w:hAnsiTheme="majorHAnsi" w:cstheme="majorHAnsi"/>
          <w:sz w:val="18"/>
          <w:szCs w:val="20"/>
        </w:rPr>
      </w:pPr>
      <w:r w:rsidRPr="006070EA">
        <w:rPr>
          <w:rFonts w:asciiTheme="majorHAnsi" w:hAnsiTheme="majorHAnsi" w:cstheme="majorHAnsi"/>
          <w:sz w:val="18"/>
          <w:szCs w:val="20"/>
        </w:rPr>
        <w:t xml:space="preserve">Soulad s cíli a úkoly územního plánování tak, jak je </w:t>
      </w:r>
      <w:r w:rsidR="0005599F" w:rsidRPr="006070EA">
        <w:rPr>
          <w:rFonts w:asciiTheme="majorHAnsi" w:hAnsiTheme="majorHAnsi" w:cstheme="majorHAnsi"/>
          <w:sz w:val="18"/>
          <w:szCs w:val="20"/>
        </w:rPr>
        <w:t>stanovují § 18 a 19 zákona č. 183/2006 Sb., o</w:t>
      </w:r>
      <w:r w:rsidR="00104F68" w:rsidRPr="006070EA">
        <w:rPr>
          <w:rFonts w:asciiTheme="majorHAnsi" w:hAnsiTheme="majorHAnsi" w:cstheme="majorHAnsi"/>
          <w:sz w:val="18"/>
          <w:szCs w:val="20"/>
        </w:rPr>
        <w:t> </w:t>
      </w:r>
      <w:r w:rsidR="0005599F" w:rsidRPr="006070EA">
        <w:rPr>
          <w:rFonts w:asciiTheme="majorHAnsi" w:hAnsiTheme="majorHAnsi" w:cstheme="majorHAnsi"/>
          <w:sz w:val="18"/>
          <w:szCs w:val="20"/>
        </w:rPr>
        <w:t>územním plánování a stavebním řádu (stavební zákon), ve znění pozdějších předpisů (dále jen „stavební zákon“). Pro ÚP </w:t>
      </w:r>
      <w:r w:rsidR="00327E92" w:rsidRPr="006070EA">
        <w:rPr>
          <w:rFonts w:asciiTheme="majorHAnsi" w:hAnsiTheme="majorHAnsi" w:cstheme="majorHAnsi"/>
          <w:sz w:val="18"/>
          <w:szCs w:val="20"/>
        </w:rPr>
        <w:t>Kostomlaty nad Labem</w:t>
      </w:r>
      <w:r w:rsidR="0005599F" w:rsidRPr="006070EA">
        <w:rPr>
          <w:rFonts w:asciiTheme="majorHAnsi" w:hAnsiTheme="majorHAnsi" w:cstheme="majorHAnsi"/>
          <w:sz w:val="18"/>
          <w:szCs w:val="20"/>
        </w:rPr>
        <w:t xml:space="preserve"> vyplývají zejména následující </w:t>
      </w:r>
      <w:r w:rsidR="00D926CA" w:rsidRPr="006070EA">
        <w:rPr>
          <w:rFonts w:asciiTheme="majorHAnsi" w:hAnsiTheme="majorHAnsi" w:cstheme="majorHAnsi"/>
          <w:sz w:val="18"/>
          <w:szCs w:val="20"/>
        </w:rPr>
        <w:t>cíle a úkoly územního plánování.</w:t>
      </w:r>
    </w:p>
    <w:p w14:paraId="155AB737" w14:textId="77777777" w:rsidR="00D926CA" w:rsidRPr="006070EA" w:rsidRDefault="00FC425E" w:rsidP="0036779E">
      <w:pPr>
        <w:pStyle w:val="Odstavecseseznamem"/>
        <w:numPr>
          <w:ilvl w:val="1"/>
          <w:numId w:val="21"/>
        </w:numPr>
        <w:spacing w:before="160" w:after="120" w:line="240" w:lineRule="auto"/>
        <w:ind w:left="709" w:hanging="709"/>
        <w:contextualSpacing w:val="0"/>
        <w:outlineLvl w:val="1"/>
        <w:rPr>
          <w:rFonts w:asciiTheme="majorHAnsi" w:hAnsiTheme="majorHAnsi" w:cstheme="majorHAnsi"/>
          <w:b/>
          <w:szCs w:val="20"/>
        </w:rPr>
      </w:pPr>
      <w:bookmarkStart w:id="75" w:name="_Toc415755946"/>
      <w:bookmarkStart w:id="76" w:name="_Toc415756312"/>
      <w:bookmarkStart w:id="77" w:name="_Toc415756671"/>
      <w:bookmarkStart w:id="78" w:name="_Toc415756921"/>
      <w:bookmarkStart w:id="79" w:name="_Toc415757171"/>
      <w:bookmarkStart w:id="80" w:name="_Toc415757420"/>
      <w:bookmarkStart w:id="81" w:name="_Toc415757578"/>
      <w:bookmarkStart w:id="82" w:name="_Toc424050104"/>
      <w:bookmarkStart w:id="83" w:name="_Toc424050278"/>
      <w:bookmarkStart w:id="84" w:name="_Toc424050436"/>
      <w:bookmarkStart w:id="85" w:name="_Toc424112298"/>
      <w:bookmarkStart w:id="86" w:name="_Toc424119322"/>
      <w:bookmarkStart w:id="87" w:name="_Toc424119802"/>
      <w:bookmarkStart w:id="88" w:name="_Toc424120058"/>
      <w:bookmarkStart w:id="89" w:name="_Toc424120484"/>
      <w:bookmarkStart w:id="90" w:name="_Toc424126190"/>
      <w:bookmarkStart w:id="91" w:name="_Toc424138771"/>
      <w:bookmarkStart w:id="92" w:name="_Toc445291885"/>
      <w:bookmarkStart w:id="93" w:name="_Toc445910398"/>
      <w:bookmarkStart w:id="94" w:name="_Toc448831877"/>
      <w:bookmarkStart w:id="95" w:name="_Toc448832067"/>
      <w:bookmarkStart w:id="96" w:name="_Toc450037727"/>
      <w:bookmarkStart w:id="97" w:name="_Toc450223021"/>
      <w:bookmarkStart w:id="98" w:name="_Toc424119804"/>
      <w:bookmarkStart w:id="99" w:name="_Toc204678172"/>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r w:rsidRPr="006070EA">
        <w:rPr>
          <w:rFonts w:asciiTheme="majorHAnsi" w:hAnsiTheme="majorHAnsi" w:cstheme="majorHAnsi"/>
          <w:b/>
          <w:szCs w:val="20"/>
        </w:rPr>
        <w:t>Vyhodnocení s</w:t>
      </w:r>
      <w:r w:rsidR="00D926CA" w:rsidRPr="006070EA">
        <w:rPr>
          <w:rFonts w:asciiTheme="majorHAnsi" w:hAnsiTheme="majorHAnsi" w:cstheme="majorHAnsi"/>
          <w:b/>
          <w:szCs w:val="20"/>
        </w:rPr>
        <w:t>oulad</w:t>
      </w:r>
      <w:r w:rsidRPr="006070EA">
        <w:rPr>
          <w:rFonts w:asciiTheme="majorHAnsi" w:hAnsiTheme="majorHAnsi" w:cstheme="majorHAnsi"/>
          <w:b/>
          <w:szCs w:val="20"/>
        </w:rPr>
        <w:t>u</w:t>
      </w:r>
      <w:r w:rsidR="00D926CA" w:rsidRPr="006070EA">
        <w:rPr>
          <w:rFonts w:asciiTheme="majorHAnsi" w:hAnsiTheme="majorHAnsi" w:cstheme="majorHAnsi"/>
          <w:b/>
          <w:szCs w:val="20"/>
        </w:rPr>
        <w:t xml:space="preserve"> s cíli územního plánování</w:t>
      </w:r>
      <w:bookmarkEnd w:id="98"/>
      <w:bookmarkEnd w:id="99"/>
    </w:p>
    <w:p w14:paraId="3E082AD4" w14:textId="35E08D48" w:rsidR="00327E92" w:rsidRPr="006070EA" w:rsidRDefault="00327E92" w:rsidP="00327E92">
      <w:pPr>
        <w:pStyle w:val="Odstavecseseznamem"/>
        <w:numPr>
          <w:ilvl w:val="0"/>
          <w:numId w:val="5"/>
        </w:numPr>
        <w:spacing w:after="60" w:line="240" w:lineRule="auto"/>
        <w:ind w:left="567" w:hanging="567"/>
        <w:contextualSpacing w:val="0"/>
        <w:jc w:val="both"/>
        <w:rPr>
          <w:rFonts w:asciiTheme="majorHAnsi" w:hAnsiTheme="majorHAnsi" w:cstheme="majorHAnsi"/>
          <w:sz w:val="18"/>
          <w:szCs w:val="20"/>
        </w:rPr>
      </w:pPr>
      <w:r w:rsidRPr="006070EA">
        <w:rPr>
          <w:rFonts w:asciiTheme="majorHAnsi" w:hAnsiTheme="majorHAnsi" w:cstheme="majorHAnsi"/>
          <w:i/>
          <w:sz w:val="18"/>
          <w:szCs w:val="20"/>
        </w:rPr>
        <w:t>Cílem územního plánování je vytvářet předpoklady pro výstavbu a pro udržitelný rozvoj území, spočívající ve vyváženém vztahu podmínek pro příznivé životní prostředí, pro hospodářský rozvoj a pro soudržnost společenství obyvatel území a</w:t>
      </w:r>
      <w:r w:rsidR="00701754" w:rsidRPr="006070EA">
        <w:rPr>
          <w:rFonts w:asciiTheme="majorHAnsi" w:hAnsiTheme="majorHAnsi" w:cstheme="majorHAnsi"/>
          <w:i/>
          <w:sz w:val="18"/>
          <w:szCs w:val="20"/>
        </w:rPr>
        <w:t> </w:t>
      </w:r>
      <w:r w:rsidRPr="006070EA">
        <w:rPr>
          <w:rFonts w:asciiTheme="majorHAnsi" w:hAnsiTheme="majorHAnsi" w:cstheme="majorHAnsi"/>
          <w:i/>
          <w:sz w:val="18"/>
          <w:szCs w:val="20"/>
        </w:rPr>
        <w:t>uspokojující potřeby současné generace, aniž by ohrožoval podmínky života generací budoucích.</w:t>
      </w:r>
    </w:p>
    <w:p w14:paraId="5A5FDFA5" w14:textId="77777777" w:rsidR="00327E92" w:rsidRPr="006070EA" w:rsidRDefault="00327E92" w:rsidP="00327E92">
      <w:pPr>
        <w:pStyle w:val="Mra-Vyjden"/>
        <w:spacing w:before="0"/>
        <w:rPr>
          <w:rFonts w:asciiTheme="majorHAnsi" w:hAnsiTheme="majorHAnsi" w:cstheme="majorHAnsi"/>
          <w:color w:val="auto"/>
        </w:rPr>
      </w:pPr>
      <w:r w:rsidRPr="006070EA">
        <w:rPr>
          <w:rFonts w:asciiTheme="majorHAnsi" w:hAnsiTheme="majorHAnsi" w:cstheme="majorHAnsi"/>
          <w:color w:val="auto"/>
        </w:rPr>
        <w:t>Územní plán vytváří předpoklady pro výstavbu a pro udržitelný rozvoj území bezvýhradným členěním území obce na jednotlivé plochy s rozdílným způsobem využití, stanovením podmínek plošného a prostorového uspořádání a vymezením zastavěného území a zastavitelných ploch. Těmito kroky je rovněž podpořena rovnováha podmínek pro konsolidaci jednotlivých pilířů udržitelného rozvoje území.</w:t>
      </w:r>
    </w:p>
    <w:p w14:paraId="2B13A94A" w14:textId="77777777" w:rsidR="00327E92" w:rsidRPr="006070EA" w:rsidRDefault="00327E92" w:rsidP="00327E92">
      <w:pPr>
        <w:pStyle w:val="Mra-Vyjden"/>
        <w:spacing w:before="0"/>
        <w:ind w:firstLine="709"/>
        <w:rPr>
          <w:rFonts w:asciiTheme="majorHAnsi" w:hAnsiTheme="majorHAnsi" w:cstheme="majorHAnsi"/>
          <w:color w:val="auto"/>
        </w:rPr>
      </w:pPr>
      <w:r w:rsidRPr="006070EA">
        <w:rPr>
          <w:rFonts w:asciiTheme="majorHAnsi" w:hAnsiTheme="majorHAnsi" w:cstheme="majorHAnsi"/>
          <w:color w:val="auto"/>
        </w:rPr>
        <w:t xml:space="preserve">V souladu s principy udržitelného rozvoje je Územním plánem Kostomlaty nad Labem navržen rozvoj, zajišťující efektivní využití stávající veřejné infrastruktury a podporující rozvoj bydlení v obci. Ochrana přírodních a krajinných hodnot je zajištěna jejich respektováním jakožto limitů využití území a vymezením ÚSES. Stanovením podmínek využití ploch v nezastavěném území jsou vytvořeny podmínky pro posilování environmentálního pilíře. </w:t>
      </w:r>
    </w:p>
    <w:p w14:paraId="2C524863" w14:textId="4876A7C2" w:rsidR="00327E92" w:rsidRPr="006070EA" w:rsidRDefault="00327E92" w:rsidP="00327E92">
      <w:pPr>
        <w:pStyle w:val="Mra-Vyjden"/>
        <w:spacing w:before="0"/>
        <w:ind w:firstLine="709"/>
        <w:rPr>
          <w:rFonts w:asciiTheme="majorHAnsi" w:hAnsiTheme="majorHAnsi" w:cstheme="majorHAnsi"/>
          <w:color w:val="auto"/>
        </w:rPr>
      </w:pPr>
      <w:r w:rsidRPr="006070EA">
        <w:rPr>
          <w:rFonts w:asciiTheme="majorHAnsi" w:hAnsiTheme="majorHAnsi" w:cstheme="majorHAnsi"/>
          <w:color w:val="auto"/>
        </w:rPr>
        <w:t xml:space="preserve">Hospodářský rozvoj je podpořen zejména stabilizací stávajících výrobních areálů v rámci ploch s rozdílným způsobem využití </w:t>
      </w:r>
      <w:r w:rsidRPr="006070EA">
        <w:rPr>
          <w:rFonts w:asciiTheme="majorHAnsi" w:hAnsiTheme="majorHAnsi" w:cstheme="majorHAnsi"/>
          <w:i/>
          <w:color w:val="auto"/>
        </w:rPr>
        <w:t xml:space="preserve">výroba zemědělská </w:t>
      </w:r>
      <w:r w:rsidR="00967517" w:rsidRPr="006070EA">
        <w:rPr>
          <w:rFonts w:asciiTheme="majorHAnsi" w:hAnsiTheme="majorHAnsi" w:cstheme="majorHAnsi"/>
          <w:i/>
          <w:color w:val="auto"/>
        </w:rPr>
        <w:t xml:space="preserve">a lesnická </w:t>
      </w:r>
      <w:r w:rsidRPr="006070EA">
        <w:rPr>
          <w:rFonts w:asciiTheme="majorHAnsi" w:hAnsiTheme="majorHAnsi" w:cstheme="majorHAnsi"/>
          <w:color w:val="auto"/>
        </w:rPr>
        <w:t xml:space="preserve">(VZ) a </w:t>
      </w:r>
      <w:r w:rsidRPr="006070EA">
        <w:rPr>
          <w:rFonts w:asciiTheme="majorHAnsi" w:hAnsiTheme="majorHAnsi" w:cstheme="majorHAnsi"/>
          <w:i/>
          <w:iCs/>
          <w:color w:val="auto"/>
        </w:rPr>
        <w:t xml:space="preserve">výroba </w:t>
      </w:r>
      <w:r w:rsidR="00967517" w:rsidRPr="006070EA">
        <w:rPr>
          <w:rFonts w:asciiTheme="majorHAnsi" w:hAnsiTheme="majorHAnsi" w:cstheme="majorHAnsi"/>
          <w:i/>
          <w:iCs/>
          <w:color w:val="auto"/>
        </w:rPr>
        <w:t>lehká</w:t>
      </w:r>
      <w:r w:rsidRPr="006070EA">
        <w:rPr>
          <w:rFonts w:asciiTheme="majorHAnsi" w:hAnsiTheme="majorHAnsi" w:cstheme="majorHAnsi"/>
          <w:i/>
          <w:iCs/>
          <w:color w:val="auto"/>
        </w:rPr>
        <w:t xml:space="preserve"> </w:t>
      </w:r>
      <w:r w:rsidRPr="006070EA">
        <w:rPr>
          <w:rFonts w:asciiTheme="majorHAnsi" w:hAnsiTheme="majorHAnsi" w:cstheme="majorHAnsi"/>
          <w:color w:val="auto"/>
        </w:rPr>
        <w:t>(VL) a vymezením zastavitelné plochy Z</w:t>
      </w:r>
      <w:r w:rsidR="00967517" w:rsidRPr="006070EA">
        <w:rPr>
          <w:rFonts w:asciiTheme="majorHAnsi" w:hAnsiTheme="majorHAnsi" w:cstheme="majorHAnsi"/>
          <w:color w:val="auto"/>
        </w:rPr>
        <w:t>.</w:t>
      </w:r>
      <w:r w:rsidRPr="006070EA">
        <w:rPr>
          <w:rFonts w:asciiTheme="majorHAnsi" w:hAnsiTheme="majorHAnsi" w:cstheme="majorHAnsi"/>
          <w:color w:val="auto"/>
        </w:rPr>
        <w:t xml:space="preserve">13 (VL) pro jejich rozvoj a dále umožněním drobných průmyslových aktivit v dalších plochách s rozdílným způsobem využití (zejm. plochy </w:t>
      </w:r>
      <w:r w:rsidRPr="006070EA">
        <w:rPr>
          <w:rFonts w:asciiTheme="majorHAnsi" w:hAnsiTheme="majorHAnsi" w:cstheme="majorHAnsi"/>
          <w:i/>
          <w:color w:val="auto"/>
        </w:rPr>
        <w:t>smíšené obytné venkovské</w:t>
      </w:r>
      <w:r w:rsidR="00967517" w:rsidRPr="006070EA">
        <w:rPr>
          <w:rFonts w:asciiTheme="majorHAnsi" w:hAnsiTheme="majorHAnsi" w:cstheme="majorHAnsi"/>
          <w:i/>
          <w:color w:val="auto"/>
        </w:rPr>
        <w:t xml:space="preserve"> </w:t>
      </w:r>
      <w:r w:rsidR="00967517" w:rsidRPr="006070EA">
        <w:rPr>
          <w:rFonts w:asciiTheme="majorHAnsi" w:hAnsiTheme="majorHAnsi" w:cstheme="majorHAnsi"/>
          <w:iCs/>
          <w:color w:val="auto"/>
        </w:rPr>
        <w:t>(SV)</w:t>
      </w:r>
      <w:r w:rsidRPr="006070EA">
        <w:rPr>
          <w:rFonts w:asciiTheme="majorHAnsi" w:hAnsiTheme="majorHAnsi" w:cstheme="majorHAnsi"/>
          <w:color w:val="auto"/>
        </w:rPr>
        <w:t xml:space="preserve">, </w:t>
      </w:r>
      <w:r w:rsidR="00967517" w:rsidRPr="006070EA">
        <w:rPr>
          <w:rFonts w:asciiTheme="majorHAnsi" w:hAnsiTheme="majorHAnsi" w:cstheme="majorHAnsi"/>
          <w:i/>
          <w:iCs/>
          <w:color w:val="auto"/>
        </w:rPr>
        <w:t>smíšené obytné</w:t>
      </w:r>
      <w:r w:rsidR="00967517" w:rsidRPr="006070EA">
        <w:rPr>
          <w:rFonts w:asciiTheme="majorHAnsi" w:hAnsiTheme="majorHAnsi" w:cstheme="majorHAnsi"/>
          <w:color w:val="auto"/>
        </w:rPr>
        <w:t xml:space="preserve"> </w:t>
      </w:r>
      <w:r w:rsidRPr="006070EA">
        <w:rPr>
          <w:rFonts w:asciiTheme="majorHAnsi" w:hAnsiTheme="majorHAnsi" w:cstheme="majorHAnsi"/>
          <w:i/>
          <w:iCs/>
          <w:color w:val="auto"/>
        </w:rPr>
        <w:t>městské</w:t>
      </w:r>
      <w:r w:rsidRPr="006070EA">
        <w:rPr>
          <w:rFonts w:asciiTheme="majorHAnsi" w:hAnsiTheme="majorHAnsi" w:cstheme="majorHAnsi"/>
          <w:color w:val="auto"/>
        </w:rPr>
        <w:t xml:space="preserve"> </w:t>
      </w:r>
      <w:r w:rsidR="00967517" w:rsidRPr="006070EA">
        <w:rPr>
          <w:rFonts w:asciiTheme="majorHAnsi" w:hAnsiTheme="majorHAnsi" w:cstheme="majorHAnsi"/>
          <w:color w:val="auto"/>
        </w:rPr>
        <w:t>(</w:t>
      </w:r>
      <w:r w:rsidRPr="006070EA">
        <w:rPr>
          <w:rFonts w:asciiTheme="majorHAnsi" w:hAnsiTheme="majorHAnsi" w:cstheme="majorHAnsi"/>
          <w:color w:val="auto"/>
        </w:rPr>
        <w:t>SM</w:t>
      </w:r>
      <w:r w:rsidR="00967517" w:rsidRPr="006070EA">
        <w:rPr>
          <w:rFonts w:asciiTheme="majorHAnsi" w:hAnsiTheme="majorHAnsi" w:cstheme="majorHAnsi"/>
          <w:color w:val="auto"/>
        </w:rPr>
        <w:t>)</w:t>
      </w:r>
      <w:r w:rsidRPr="006070EA">
        <w:rPr>
          <w:rFonts w:asciiTheme="majorHAnsi" w:hAnsiTheme="majorHAnsi" w:cstheme="majorHAnsi"/>
          <w:color w:val="auto"/>
        </w:rPr>
        <w:t xml:space="preserve"> a </w:t>
      </w:r>
      <w:r w:rsidRPr="006070EA">
        <w:rPr>
          <w:rFonts w:asciiTheme="majorHAnsi" w:hAnsiTheme="majorHAnsi" w:cstheme="majorHAnsi"/>
          <w:i/>
          <w:iCs/>
          <w:color w:val="auto"/>
        </w:rPr>
        <w:t>bydlení</w:t>
      </w:r>
      <w:r w:rsidRPr="006070EA">
        <w:rPr>
          <w:rFonts w:asciiTheme="majorHAnsi" w:hAnsiTheme="majorHAnsi" w:cstheme="majorHAnsi"/>
          <w:color w:val="auto"/>
        </w:rPr>
        <w:t xml:space="preserve"> </w:t>
      </w:r>
      <w:r w:rsidR="00967517" w:rsidRPr="006070EA">
        <w:rPr>
          <w:rFonts w:asciiTheme="majorHAnsi" w:hAnsiTheme="majorHAnsi" w:cstheme="majorHAnsi"/>
          <w:i/>
          <w:iCs/>
          <w:color w:val="auto"/>
        </w:rPr>
        <w:t>hromadné</w:t>
      </w:r>
      <w:r w:rsidR="00967517" w:rsidRPr="006070EA">
        <w:rPr>
          <w:rFonts w:asciiTheme="majorHAnsi" w:hAnsiTheme="majorHAnsi" w:cstheme="majorHAnsi"/>
          <w:color w:val="auto"/>
        </w:rPr>
        <w:t xml:space="preserve"> (</w:t>
      </w:r>
      <w:r w:rsidRPr="006070EA">
        <w:rPr>
          <w:rFonts w:asciiTheme="majorHAnsi" w:hAnsiTheme="majorHAnsi" w:cstheme="majorHAnsi"/>
          <w:color w:val="auto"/>
        </w:rPr>
        <w:t>BH</w:t>
      </w:r>
      <w:r w:rsidR="00967517" w:rsidRPr="006070EA">
        <w:rPr>
          <w:rFonts w:asciiTheme="majorHAnsi" w:hAnsiTheme="majorHAnsi" w:cstheme="majorHAnsi"/>
          <w:color w:val="auto"/>
        </w:rPr>
        <w:t>)</w:t>
      </w:r>
      <w:r w:rsidRPr="006070EA">
        <w:rPr>
          <w:rFonts w:asciiTheme="majorHAnsi" w:hAnsiTheme="majorHAnsi" w:cstheme="majorHAnsi"/>
          <w:color w:val="auto"/>
        </w:rPr>
        <w:t xml:space="preserve"> a</w:t>
      </w:r>
      <w:r w:rsidR="00967517" w:rsidRPr="006070EA">
        <w:rPr>
          <w:rFonts w:asciiTheme="majorHAnsi" w:hAnsiTheme="majorHAnsi" w:cstheme="majorHAnsi"/>
          <w:color w:val="auto"/>
        </w:rPr>
        <w:t xml:space="preserve"> </w:t>
      </w:r>
      <w:r w:rsidR="00967517" w:rsidRPr="006070EA">
        <w:rPr>
          <w:rFonts w:asciiTheme="majorHAnsi" w:hAnsiTheme="majorHAnsi" w:cstheme="majorHAnsi"/>
          <w:i/>
          <w:iCs/>
          <w:color w:val="auto"/>
        </w:rPr>
        <w:t>bydlení individuální</w:t>
      </w:r>
      <w:r w:rsidR="00967517" w:rsidRPr="006070EA">
        <w:rPr>
          <w:rFonts w:asciiTheme="majorHAnsi" w:hAnsiTheme="majorHAnsi" w:cstheme="majorHAnsi"/>
          <w:color w:val="auto"/>
        </w:rPr>
        <w:t xml:space="preserve"> (</w:t>
      </w:r>
      <w:r w:rsidRPr="006070EA">
        <w:rPr>
          <w:rFonts w:asciiTheme="majorHAnsi" w:hAnsiTheme="majorHAnsi" w:cstheme="majorHAnsi"/>
          <w:color w:val="auto"/>
        </w:rPr>
        <w:t>BI). Sociální soudržnost je podpořena dotvářením urbanistické struktury sídla, zachováním historicky vzniklého sídelního centra a vytvořením předpokladů pro zvyšování kvality bydlení a života v obci.</w:t>
      </w:r>
    </w:p>
    <w:p w14:paraId="6BAFC2E6" w14:textId="77777777" w:rsidR="00327E92" w:rsidRPr="006070EA" w:rsidRDefault="00327E92" w:rsidP="00327E92">
      <w:pPr>
        <w:pStyle w:val="Odstavecseseznamem"/>
        <w:keepLines/>
        <w:numPr>
          <w:ilvl w:val="0"/>
          <w:numId w:val="5"/>
        </w:numPr>
        <w:spacing w:before="120" w:after="60" w:line="240" w:lineRule="auto"/>
        <w:ind w:left="567" w:hanging="567"/>
        <w:jc w:val="both"/>
        <w:rPr>
          <w:rFonts w:asciiTheme="majorHAnsi" w:hAnsiTheme="majorHAnsi" w:cstheme="majorHAnsi"/>
          <w:i/>
          <w:sz w:val="18"/>
          <w:szCs w:val="20"/>
        </w:rPr>
      </w:pPr>
      <w:r w:rsidRPr="006070EA">
        <w:rPr>
          <w:rFonts w:asciiTheme="majorHAnsi" w:hAnsiTheme="majorHAnsi" w:cstheme="majorHAnsi"/>
          <w:i/>
          <w:sz w:val="18"/>
          <w:szCs w:val="20"/>
        </w:rPr>
        <w:t>Územní plánování zajišťuje předpoklady pro udržitelný rozvoj území soustavným a komplexním řešením účelného využití a prostorového uspořádání území s cílem dosažení obecně prospěšného souladu veřejných a soukromých zájmů na rozvoji území. Za tím účelem sleduje společenský a hospodářský potenciál rozvoje.</w:t>
      </w:r>
    </w:p>
    <w:p w14:paraId="50D4CF97" w14:textId="77777777" w:rsidR="00327E92" w:rsidRPr="006070EA" w:rsidRDefault="00327E92" w:rsidP="00327E92">
      <w:pPr>
        <w:pStyle w:val="Mra2-reakceern"/>
        <w:ind w:left="720"/>
        <w:rPr>
          <w:rFonts w:asciiTheme="majorHAnsi" w:hAnsiTheme="majorHAnsi" w:cstheme="majorHAnsi"/>
          <w:i/>
          <w:color w:val="auto"/>
        </w:rPr>
      </w:pPr>
      <w:r w:rsidRPr="006070EA">
        <w:rPr>
          <w:rFonts w:asciiTheme="majorHAnsi" w:hAnsiTheme="majorHAnsi" w:cstheme="majorHAnsi"/>
          <w:color w:val="auto"/>
        </w:rPr>
        <w:t xml:space="preserve">V rámci zpracování Návrhu ÚP Kostomlaty nad Labem bylo prověřeno stávající využití řešeného území a jeho prostorové uspořádání, vyhodnoceno dosavadní naplňování rozvojových předpokladů stanovených v platné ÚPD Kostomlaty nad Labem a vyhodnocena potřeba vymezení zastavitelných ploch jako základní východisko pro stanovení potřeby plošného rozvoje zástavby obce v rámci ÚP Kostomlaty nad Labem. Tato vyhodnocení jsou uvedena v kapitole </w:t>
      </w:r>
      <w:r w:rsidRPr="006070EA">
        <w:rPr>
          <w:rFonts w:asciiTheme="majorHAnsi" w:hAnsiTheme="majorHAnsi" w:cstheme="majorHAnsi"/>
          <w:i/>
          <w:color w:val="auto"/>
        </w:rPr>
        <w:t>10 Vyhodnocení účelného využití zastavěného území a vyhodnocení potřeby vymezení zastavitelných ploch.</w:t>
      </w:r>
    </w:p>
    <w:p w14:paraId="0F2CAC33" w14:textId="77777777" w:rsidR="00327E92" w:rsidRPr="006070EA" w:rsidRDefault="00327E92" w:rsidP="00327E92">
      <w:pPr>
        <w:pStyle w:val="Mra2-reakceern"/>
        <w:ind w:left="720" w:firstLine="698"/>
        <w:rPr>
          <w:rFonts w:asciiTheme="majorHAnsi" w:hAnsiTheme="majorHAnsi" w:cstheme="majorHAnsi"/>
          <w:color w:val="auto"/>
        </w:rPr>
      </w:pPr>
      <w:r w:rsidRPr="006070EA">
        <w:rPr>
          <w:rFonts w:asciiTheme="majorHAnsi" w:hAnsiTheme="majorHAnsi" w:cstheme="majorHAnsi"/>
          <w:color w:val="auto"/>
        </w:rPr>
        <w:t xml:space="preserve">Územní plán dosahuje souladu s daným cílem respektováním obsahového rámce a metodického postupu prací stanovených příslušnou legislativou (včetně souvisejících judikátů) na úseku územního plánování, která se promítá nejen do všech fází zpracování samotného ÚP, ale rovněž do souvisejících dokumentů s přímým vlivem na ÚP. Obecně prospěšného souladu širokého spektra zájmů na rozvoji území dojde koordinací stanovisek dotčených orgánů s námitkami a připomínkami zainteresovaných soukromých i veřejných subjektů a následnou závěrečnou dohodou všech účastníků procesu pořizování územního plánu (projektanta, pořizovatele, samosprávy, dotčených orgánů, veřejnosti atd.). </w:t>
      </w:r>
    </w:p>
    <w:p w14:paraId="3FD6D9EC" w14:textId="77777777" w:rsidR="00327E92" w:rsidRPr="006070EA" w:rsidRDefault="00327E92" w:rsidP="00327E92">
      <w:pPr>
        <w:pStyle w:val="Odstavecseseznamem"/>
        <w:numPr>
          <w:ilvl w:val="0"/>
          <w:numId w:val="5"/>
        </w:numPr>
        <w:spacing w:before="120" w:after="60" w:line="240" w:lineRule="auto"/>
        <w:ind w:left="567" w:hanging="567"/>
        <w:jc w:val="both"/>
        <w:rPr>
          <w:rFonts w:asciiTheme="majorHAnsi" w:hAnsiTheme="majorHAnsi" w:cstheme="majorHAnsi"/>
          <w:i/>
          <w:sz w:val="18"/>
          <w:szCs w:val="20"/>
        </w:rPr>
      </w:pPr>
      <w:r w:rsidRPr="006070EA">
        <w:rPr>
          <w:rFonts w:asciiTheme="majorHAnsi" w:hAnsiTheme="majorHAnsi" w:cstheme="majorHAnsi"/>
          <w:i/>
          <w:sz w:val="18"/>
          <w:szCs w:val="20"/>
        </w:rPr>
        <w:t>Orgány územního plánování postupem podle tohoto zákona koordinují veřejné i soukromé záměry změn v území, výstavbu a jiné činnosti ovlivňující rozvoj území a konkretizují ochranu veřejných zájmů vyplývajících ze zvláštních právních předpisů.</w:t>
      </w:r>
    </w:p>
    <w:p w14:paraId="307311D2" w14:textId="77777777" w:rsidR="00327E92" w:rsidRPr="006070EA" w:rsidRDefault="00327E92" w:rsidP="00327E92">
      <w:pPr>
        <w:pStyle w:val="Mra2-reakceern"/>
        <w:ind w:left="720"/>
        <w:rPr>
          <w:rFonts w:asciiTheme="majorHAnsi" w:hAnsiTheme="majorHAnsi" w:cstheme="majorHAnsi"/>
          <w:i/>
          <w:color w:val="auto"/>
        </w:rPr>
      </w:pPr>
      <w:r w:rsidRPr="006070EA">
        <w:rPr>
          <w:rFonts w:asciiTheme="majorHAnsi" w:hAnsiTheme="majorHAnsi" w:cstheme="majorHAnsi"/>
          <w:color w:val="auto"/>
        </w:rPr>
        <w:t xml:space="preserve">Požadavek se týká účasti orgánů územního plánování v procesu pořízení Územního plánu Kostomlaty nad Labem. Vyhodnocení souladu bude doplněno na základě projednání Návrhu ÚP Kostomlaty nad Labem v kapitole </w:t>
      </w:r>
      <w:r w:rsidRPr="006070EA">
        <w:rPr>
          <w:rFonts w:asciiTheme="majorHAnsi" w:hAnsiTheme="majorHAnsi" w:cstheme="majorHAnsi"/>
          <w:i/>
          <w:color w:val="auto"/>
        </w:rPr>
        <w:lastRenderedPageBreak/>
        <w:t xml:space="preserve">7 Vyhodnocení souladu s požadavky zvláštních právních předpisů a se stanovisky dotčených orgánů podle zvláštních právních předpisů, popřípadě s výsledkem řešení rozporů. </w:t>
      </w:r>
    </w:p>
    <w:p w14:paraId="497F6C05" w14:textId="77777777" w:rsidR="00327E92" w:rsidRPr="006070EA" w:rsidRDefault="00327E92" w:rsidP="00327E92">
      <w:pPr>
        <w:pStyle w:val="Zkladntext2"/>
        <w:numPr>
          <w:ilvl w:val="0"/>
          <w:numId w:val="6"/>
        </w:numPr>
        <w:spacing w:before="120" w:after="60" w:line="240" w:lineRule="auto"/>
        <w:ind w:left="567" w:hanging="567"/>
        <w:jc w:val="both"/>
        <w:rPr>
          <w:rFonts w:asciiTheme="majorHAnsi" w:hAnsiTheme="majorHAnsi" w:cstheme="majorHAnsi"/>
          <w:bCs/>
          <w:i/>
          <w:sz w:val="18"/>
          <w:szCs w:val="18"/>
        </w:rPr>
      </w:pPr>
      <w:r w:rsidRPr="006070EA">
        <w:rPr>
          <w:rFonts w:asciiTheme="majorHAnsi" w:hAnsiTheme="majorHAnsi" w:cstheme="majorHAnsi"/>
          <w:bCs/>
          <w:i/>
          <w:sz w:val="18"/>
          <w:szCs w:val="18"/>
        </w:rPr>
        <w:t>Územní plánování ve veřejném zájmu chrání a rozvíjí přírodní, kulturní a civilizační hodnoty území, včetně urbanistického, architektonického a archeologického dědictví. Přitom chrání krajinu jako podstatnou složku prostředí života obyvatel a základ jejich totožnosti. S ohledem na to určuje podmínky pro hospodárné využívání zastavěného území a zajišťuje ochranu nezastavěného území a nezastavitelných pozemků. Zastavitelné plochy se vymezují s ohledem na potenciál rozvoje území a míru využití zastavěného území.</w:t>
      </w:r>
    </w:p>
    <w:p w14:paraId="385FE7A4" w14:textId="77777777" w:rsidR="00327E92" w:rsidRPr="006070EA" w:rsidRDefault="00327E92" w:rsidP="00327E92">
      <w:pPr>
        <w:pStyle w:val="Mra2-reakceern"/>
        <w:ind w:left="720"/>
        <w:rPr>
          <w:rFonts w:asciiTheme="majorHAnsi" w:hAnsiTheme="majorHAnsi" w:cstheme="majorHAnsi"/>
          <w:color w:val="auto"/>
        </w:rPr>
      </w:pPr>
      <w:r w:rsidRPr="006070EA">
        <w:rPr>
          <w:rFonts w:asciiTheme="majorHAnsi" w:hAnsiTheme="majorHAnsi" w:cstheme="majorHAnsi"/>
          <w:color w:val="auto"/>
        </w:rPr>
        <w:t xml:space="preserve">Územní plán stanovuje koncepci ochrany a rozvoje kulturních, přírodních i civilizačních hodnot území formou závazných požadavků. Urbanistické a architektonické dědictví na území města je chráněno v rámci stanovení požadavků na ochranu kulturních hodnot. </w:t>
      </w:r>
    </w:p>
    <w:p w14:paraId="524640AA" w14:textId="77777777" w:rsidR="00327E92" w:rsidRPr="006070EA" w:rsidRDefault="00327E92" w:rsidP="00327E92">
      <w:pPr>
        <w:pStyle w:val="Mra2-reakceern"/>
        <w:ind w:left="720" w:firstLine="698"/>
        <w:rPr>
          <w:rFonts w:asciiTheme="majorHAnsi" w:hAnsiTheme="majorHAnsi" w:cstheme="majorHAnsi"/>
          <w:color w:val="auto"/>
        </w:rPr>
      </w:pPr>
      <w:r w:rsidRPr="006070EA">
        <w:rPr>
          <w:rFonts w:asciiTheme="majorHAnsi" w:hAnsiTheme="majorHAnsi" w:cstheme="majorHAnsi"/>
          <w:color w:val="auto"/>
        </w:rPr>
        <w:t xml:space="preserve">Základním členěním řešeného území na zastavěné území, zastavitelné plochy a nezastavěné území je stimulováno přednostní využívání již urbanizovaných ploch a ploch v přímém kontaktu s městem, a vytvořeny jsou podmínky pro ochranu krajiny. </w:t>
      </w:r>
    </w:p>
    <w:p w14:paraId="6C2B9B89" w14:textId="77777777" w:rsidR="00327E92" w:rsidRPr="006070EA" w:rsidRDefault="00327E92" w:rsidP="00327E92">
      <w:pPr>
        <w:pStyle w:val="Mra2-reakceern"/>
        <w:ind w:left="720" w:firstLine="698"/>
        <w:rPr>
          <w:rFonts w:asciiTheme="majorHAnsi" w:hAnsiTheme="majorHAnsi" w:cstheme="majorHAnsi"/>
          <w:color w:val="auto"/>
        </w:rPr>
      </w:pPr>
      <w:r w:rsidRPr="006070EA">
        <w:rPr>
          <w:rFonts w:asciiTheme="majorHAnsi" w:hAnsiTheme="majorHAnsi" w:cstheme="majorHAnsi"/>
          <w:color w:val="auto"/>
        </w:rPr>
        <w:t xml:space="preserve">Hospodárné, dlouhodobě udržitelné využívání veškerých ploch s rozdílným způsobem využití je zajištěno stanovením podmínek plošného a prostorového uspořádání. Zastavitelné plochy jsou vymezeny na základě potenciálu rozvoje, vyhodnocení jejich potřeby je součástí Odůvodnění ÚP v kapitole </w:t>
      </w:r>
      <w:r w:rsidRPr="006070EA">
        <w:rPr>
          <w:rFonts w:asciiTheme="majorHAnsi" w:hAnsiTheme="majorHAnsi" w:cstheme="majorHAnsi"/>
          <w:i/>
          <w:color w:val="auto"/>
        </w:rPr>
        <w:t>10 Vyhodnocení účelného využití zastavěného území a vyhodnocení potřeby vymezení zastavitelných ploch</w:t>
      </w:r>
      <w:r w:rsidRPr="006070EA">
        <w:rPr>
          <w:rFonts w:asciiTheme="majorHAnsi" w:hAnsiTheme="majorHAnsi" w:cstheme="majorHAnsi"/>
          <w:color w:val="auto"/>
        </w:rPr>
        <w:t>.</w:t>
      </w:r>
    </w:p>
    <w:p w14:paraId="5FFAD88B" w14:textId="77777777" w:rsidR="00327E92" w:rsidRPr="006070EA" w:rsidRDefault="00327E92" w:rsidP="00327E92">
      <w:pPr>
        <w:pStyle w:val="Zkladntext2"/>
        <w:numPr>
          <w:ilvl w:val="0"/>
          <w:numId w:val="6"/>
        </w:numPr>
        <w:spacing w:before="120" w:after="60" w:line="240" w:lineRule="auto"/>
        <w:ind w:left="567" w:hanging="567"/>
        <w:jc w:val="both"/>
        <w:rPr>
          <w:rFonts w:asciiTheme="majorHAnsi" w:hAnsiTheme="majorHAnsi" w:cstheme="majorHAnsi"/>
          <w:bCs/>
          <w:i/>
          <w:sz w:val="18"/>
          <w:szCs w:val="18"/>
        </w:rPr>
      </w:pPr>
      <w:r w:rsidRPr="006070EA">
        <w:rPr>
          <w:rFonts w:asciiTheme="majorHAnsi" w:hAnsiTheme="majorHAnsi" w:cstheme="majorHAnsi"/>
          <w:bCs/>
          <w:i/>
          <w:sz w:val="18"/>
          <w:szCs w:val="18"/>
        </w:rPr>
        <w:t>V nezastavěném území lze v souladu s jeho charakterem umisťovat stavby, zařízení, a jiná opatření pouze pro zemědělství, lesnictví, vodní hospodářství, těžbu nerostů, pro ochranu přírody a krajiny, pro veřejnou dopravní a technickou infrastrukturu, pro snižování nebezpečí ekologických a přírodních katastrof a pro odstraňování jejich důsledků, a dále taková technická opatření a stavby, které zlepší podmínky jeho využití pro účely rekreace a cestovního ruchu, například cyklistické stezky, hygienická zařízení, ekologická a informační centra. Uvedené stavby, zařízení a jiná opatření včetně staveb, které s nimi bezprostředně souvisejí včetně oplocení, lze v nezastavěném území umisťovat v případech, pokud je územně plánovací dokumentace výslovně nevylučuje.</w:t>
      </w:r>
    </w:p>
    <w:p w14:paraId="35523D6A" w14:textId="49F30C6E" w:rsidR="00327E92" w:rsidRPr="006070EA" w:rsidRDefault="00327E92" w:rsidP="00327E92">
      <w:pPr>
        <w:pStyle w:val="Mra2-reakceern"/>
        <w:ind w:left="720"/>
        <w:rPr>
          <w:rFonts w:asciiTheme="majorHAnsi" w:hAnsiTheme="majorHAnsi" w:cstheme="majorHAnsi"/>
          <w:color w:val="auto"/>
        </w:rPr>
      </w:pPr>
      <w:r w:rsidRPr="006070EA">
        <w:rPr>
          <w:rFonts w:asciiTheme="majorHAnsi" w:hAnsiTheme="majorHAnsi" w:cstheme="majorHAnsi"/>
          <w:color w:val="auto"/>
        </w:rPr>
        <w:t>V rámci koncepce uspořádání krajiny člení územní plán nezastavěné území na plochy vodní a vodohospodářské</w:t>
      </w:r>
      <w:r w:rsidR="00967517" w:rsidRPr="006070EA">
        <w:rPr>
          <w:rFonts w:asciiTheme="majorHAnsi" w:hAnsiTheme="majorHAnsi" w:cstheme="majorHAnsi"/>
          <w:color w:val="auto"/>
        </w:rPr>
        <w:t xml:space="preserve"> všeobecné</w:t>
      </w:r>
      <w:r w:rsidRPr="006070EA">
        <w:rPr>
          <w:rFonts w:asciiTheme="majorHAnsi" w:hAnsiTheme="majorHAnsi" w:cstheme="majorHAnsi"/>
          <w:color w:val="auto"/>
        </w:rPr>
        <w:t xml:space="preserve"> (W</w:t>
      </w:r>
      <w:r w:rsidR="00967517" w:rsidRPr="006070EA">
        <w:rPr>
          <w:rFonts w:asciiTheme="majorHAnsi" w:hAnsiTheme="majorHAnsi" w:cstheme="majorHAnsi"/>
          <w:color w:val="auto"/>
        </w:rPr>
        <w:t>U</w:t>
      </w:r>
      <w:r w:rsidRPr="006070EA">
        <w:rPr>
          <w:rFonts w:asciiTheme="majorHAnsi" w:hAnsiTheme="majorHAnsi" w:cstheme="majorHAnsi"/>
          <w:color w:val="auto"/>
        </w:rPr>
        <w:t xml:space="preserve">), zemědělské </w:t>
      </w:r>
      <w:r w:rsidR="00967517" w:rsidRPr="006070EA">
        <w:rPr>
          <w:rFonts w:asciiTheme="majorHAnsi" w:hAnsiTheme="majorHAnsi" w:cstheme="majorHAnsi"/>
          <w:color w:val="auto"/>
        </w:rPr>
        <w:t xml:space="preserve">všeobecné </w:t>
      </w:r>
      <w:r w:rsidRPr="006070EA">
        <w:rPr>
          <w:rFonts w:asciiTheme="majorHAnsi" w:hAnsiTheme="majorHAnsi" w:cstheme="majorHAnsi"/>
          <w:color w:val="auto"/>
        </w:rPr>
        <w:t>(</w:t>
      </w:r>
      <w:r w:rsidR="00967517" w:rsidRPr="006070EA">
        <w:rPr>
          <w:rFonts w:asciiTheme="majorHAnsi" w:hAnsiTheme="majorHAnsi" w:cstheme="majorHAnsi"/>
          <w:color w:val="auto"/>
        </w:rPr>
        <w:t>AU</w:t>
      </w:r>
      <w:r w:rsidRPr="006070EA">
        <w:rPr>
          <w:rFonts w:asciiTheme="majorHAnsi" w:hAnsiTheme="majorHAnsi" w:cstheme="majorHAnsi"/>
          <w:color w:val="auto"/>
        </w:rPr>
        <w:t>), lesní</w:t>
      </w:r>
      <w:r w:rsidR="00967517" w:rsidRPr="006070EA">
        <w:rPr>
          <w:rFonts w:asciiTheme="majorHAnsi" w:hAnsiTheme="majorHAnsi" w:cstheme="majorHAnsi"/>
          <w:color w:val="auto"/>
        </w:rPr>
        <w:t xml:space="preserve"> všeobecné</w:t>
      </w:r>
      <w:r w:rsidRPr="006070EA">
        <w:rPr>
          <w:rFonts w:asciiTheme="majorHAnsi" w:hAnsiTheme="majorHAnsi" w:cstheme="majorHAnsi"/>
          <w:color w:val="auto"/>
        </w:rPr>
        <w:t xml:space="preserve"> (L</w:t>
      </w:r>
      <w:r w:rsidR="00967517" w:rsidRPr="006070EA">
        <w:rPr>
          <w:rFonts w:asciiTheme="majorHAnsi" w:hAnsiTheme="majorHAnsi" w:cstheme="majorHAnsi"/>
          <w:color w:val="auto"/>
        </w:rPr>
        <w:t>U</w:t>
      </w:r>
      <w:r w:rsidRPr="006070EA">
        <w:rPr>
          <w:rFonts w:asciiTheme="majorHAnsi" w:hAnsiTheme="majorHAnsi" w:cstheme="majorHAnsi"/>
          <w:color w:val="auto"/>
        </w:rPr>
        <w:t xml:space="preserve">), přírodní </w:t>
      </w:r>
      <w:r w:rsidR="00967517" w:rsidRPr="006070EA">
        <w:rPr>
          <w:rFonts w:asciiTheme="majorHAnsi" w:hAnsiTheme="majorHAnsi" w:cstheme="majorHAnsi"/>
          <w:color w:val="auto"/>
        </w:rPr>
        <w:t xml:space="preserve">všeobecné </w:t>
      </w:r>
      <w:r w:rsidRPr="006070EA">
        <w:rPr>
          <w:rFonts w:asciiTheme="majorHAnsi" w:hAnsiTheme="majorHAnsi" w:cstheme="majorHAnsi"/>
          <w:color w:val="auto"/>
        </w:rPr>
        <w:t>(N</w:t>
      </w:r>
      <w:r w:rsidR="00967517" w:rsidRPr="006070EA">
        <w:rPr>
          <w:rFonts w:asciiTheme="majorHAnsi" w:hAnsiTheme="majorHAnsi" w:cstheme="majorHAnsi"/>
          <w:color w:val="auto"/>
        </w:rPr>
        <w:t>U</w:t>
      </w:r>
      <w:r w:rsidRPr="006070EA">
        <w:rPr>
          <w:rFonts w:asciiTheme="majorHAnsi" w:hAnsiTheme="majorHAnsi" w:cstheme="majorHAnsi"/>
          <w:color w:val="auto"/>
        </w:rPr>
        <w:t>) a smíšené nezastavěného území (</w:t>
      </w:r>
      <w:r w:rsidR="00967517" w:rsidRPr="006070EA">
        <w:rPr>
          <w:rFonts w:asciiTheme="majorHAnsi" w:hAnsiTheme="majorHAnsi" w:cstheme="majorHAnsi"/>
          <w:color w:val="auto"/>
        </w:rPr>
        <w:t>MU.zp</w:t>
      </w:r>
      <w:r w:rsidRPr="006070EA">
        <w:rPr>
          <w:rFonts w:asciiTheme="majorHAnsi" w:hAnsiTheme="majorHAnsi" w:cstheme="majorHAnsi"/>
          <w:color w:val="auto"/>
        </w:rPr>
        <w:t xml:space="preserve">, </w:t>
      </w:r>
      <w:r w:rsidR="00967517" w:rsidRPr="006070EA">
        <w:rPr>
          <w:rFonts w:asciiTheme="majorHAnsi" w:hAnsiTheme="majorHAnsi" w:cstheme="majorHAnsi"/>
          <w:color w:val="auto"/>
        </w:rPr>
        <w:t>MU.r</w:t>
      </w:r>
      <w:r w:rsidRPr="006070EA">
        <w:rPr>
          <w:rFonts w:asciiTheme="majorHAnsi" w:hAnsiTheme="majorHAnsi" w:cstheme="majorHAnsi"/>
          <w:color w:val="auto"/>
        </w:rPr>
        <w:t xml:space="preserve">, </w:t>
      </w:r>
      <w:r w:rsidR="00967517" w:rsidRPr="006070EA">
        <w:rPr>
          <w:rFonts w:asciiTheme="majorHAnsi" w:hAnsiTheme="majorHAnsi" w:cstheme="majorHAnsi"/>
          <w:color w:val="auto"/>
        </w:rPr>
        <w:t>MU.s</w:t>
      </w:r>
      <w:r w:rsidRPr="006070EA">
        <w:rPr>
          <w:rFonts w:asciiTheme="majorHAnsi" w:hAnsiTheme="majorHAnsi" w:cstheme="majorHAnsi"/>
          <w:color w:val="auto"/>
        </w:rPr>
        <w:t xml:space="preserve">) a stanovuje podmínky pro jejich využití. V řešeném území obce Kostomlaty nad Labem byly prověřeny požadavky na ochranu přírodních a krajinných hodnot, vyhodnocen charakter území a potenciály rozvoje a využívání nezastavěného území pro účely uvedené v § 18 odst. 5 stavebního zákona. V rámci stanovení podmínek využití ploch s rozdílným způsobem využití jsou v plochách nezastavěného území umožněny, podmíněně umožněny nebo zcela vyloučeny stavby, zařízení a jiná opatření dle uvedeného odstavce, v zájmu ochrany nezastavěného území před neuváženými a neodůvodněnými stavebními zásahy. </w:t>
      </w:r>
    </w:p>
    <w:p w14:paraId="2F0ADB15" w14:textId="77777777" w:rsidR="00327E92" w:rsidRPr="006070EA" w:rsidRDefault="00327E92" w:rsidP="00327E92">
      <w:pPr>
        <w:pStyle w:val="Zkladntext2"/>
        <w:numPr>
          <w:ilvl w:val="0"/>
          <w:numId w:val="6"/>
        </w:numPr>
        <w:spacing w:before="120" w:after="60" w:line="240" w:lineRule="auto"/>
        <w:ind w:left="567" w:hanging="567"/>
        <w:jc w:val="both"/>
        <w:rPr>
          <w:rFonts w:asciiTheme="majorHAnsi" w:hAnsiTheme="majorHAnsi" w:cstheme="majorHAnsi"/>
          <w:bCs/>
          <w:i/>
          <w:sz w:val="18"/>
          <w:szCs w:val="18"/>
        </w:rPr>
      </w:pPr>
      <w:r w:rsidRPr="006070EA">
        <w:rPr>
          <w:rFonts w:asciiTheme="majorHAnsi" w:hAnsiTheme="majorHAnsi" w:cstheme="majorHAnsi"/>
          <w:bCs/>
          <w:i/>
          <w:sz w:val="18"/>
          <w:szCs w:val="18"/>
        </w:rPr>
        <w:t>Na nezastavitelných pozemcích lze výjimečně umístit technickou infrastrukturu způsobem, který neznemožní jejich dosavadní užívání.</w:t>
      </w:r>
    </w:p>
    <w:p w14:paraId="0B93BEB7" w14:textId="4E838AB9" w:rsidR="00327E92" w:rsidRPr="006070EA" w:rsidRDefault="00327E92" w:rsidP="00327E92">
      <w:pPr>
        <w:pStyle w:val="Mra2-reakceern"/>
        <w:ind w:left="720"/>
        <w:rPr>
          <w:rFonts w:asciiTheme="majorHAnsi" w:hAnsiTheme="majorHAnsi" w:cstheme="majorHAnsi"/>
          <w:color w:val="auto"/>
        </w:rPr>
      </w:pPr>
      <w:r w:rsidRPr="006070EA">
        <w:rPr>
          <w:rFonts w:asciiTheme="majorHAnsi" w:hAnsiTheme="majorHAnsi" w:cstheme="majorHAnsi"/>
          <w:color w:val="auto"/>
        </w:rPr>
        <w:t>V souladu s § 2 odst. (1) písm. e) stavebního zákona jsou jako nezastavitelné definovány pozemky, jež nelze zastavět na území obce, která nemá vydaný územní plán. Požadavek se netýká procesu pořizování územního plánu.</w:t>
      </w:r>
    </w:p>
    <w:p w14:paraId="3FBE1AE0" w14:textId="77777777" w:rsidR="005827F9" w:rsidRPr="006070EA" w:rsidRDefault="00FC425E" w:rsidP="0036779E">
      <w:pPr>
        <w:pStyle w:val="Odstavecseseznamem"/>
        <w:keepNext/>
        <w:numPr>
          <w:ilvl w:val="1"/>
          <w:numId w:val="21"/>
        </w:numPr>
        <w:spacing w:before="160" w:after="120" w:line="240" w:lineRule="auto"/>
        <w:ind w:left="709" w:hanging="709"/>
        <w:contextualSpacing w:val="0"/>
        <w:outlineLvl w:val="1"/>
        <w:rPr>
          <w:rFonts w:asciiTheme="majorHAnsi" w:hAnsiTheme="majorHAnsi" w:cstheme="majorHAnsi"/>
          <w:b/>
          <w:szCs w:val="20"/>
        </w:rPr>
      </w:pPr>
      <w:bookmarkStart w:id="100" w:name="_Toc424119805"/>
      <w:bookmarkStart w:id="101" w:name="_Toc204678173"/>
      <w:r w:rsidRPr="006070EA">
        <w:rPr>
          <w:rFonts w:asciiTheme="majorHAnsi" w:hAnsiTheme="majorHAnsi" w:cstheme="majorHAnsi"/>
          <w:b/>
          <w:szCs w:val="20"/>
        </w:rPr>
        <w:t>Vyhodnocení s</w:t>
      </w:r>
      <w:r w:rsidR="005827F9" w:rsidRPr="006070EA">
        <w:rPr>
          <w:rFonts w:asciiTheme="majorHAnsi" w:hAnsiTheme="majorHAnsi" w:cstheme="majorHAnsi"/>
          <w:b/>
          <w:szCs w:val="20"/>
        </w:rPr>
        <w:t>oulad</w:t>
      </w:r>
      <w:r w:rsidRPr="006070EA">
        <w:rPr>
          <w:rFonts w:asciiTheme="majorHAnsi" w:hAnsiTheme="majorHAnsi" w:cstheme="majorHAnsi"/>
          <w:b/>
          <w:szCs w:val="20"/>
        </w:rPr>
        <w:t>u</w:t>
      </w:r>
      <w:r w:rsidR="005827F9" w:rsidRPr="006070EA">
        <w:rPr>
          <w:rFonts w:asciiTheme="majorHAnsi" w:hAnsiTheme="majorHAnsi" w:cstheme="majorHAnsi"/>
          <w:b/>
          <w:szCs w:val="20"/>
        </w:rPr>
        <w:t xml:space="preserve"> s úkoly územního plánování</w:t>
      </w:r>
      <w:bookmarkEnd w:id="100"/>
      <w:bookmarkEnd w:id="101"/>
    </w:p>
    <w:p w14:paraId="7B19DF75" w14:textId="77777777" w:rsidR="005827F9" w:rsidRPr="006070EA" w:rsidRDefault="005827F9" w:rsidP="00E25586">
      <w:pPr>
        <w:pStyle w:val="Zkladntext2"/>
        <w:keepNext/>
        <w:spacing w:line="240" w:lineRule="auto"/>
        <w:ind w:left="567" w:hanging="567"/>
        <w:rPr>
          <w:rFonts w:asciiTheme="majorHAnsi" w:hAnsiTheme="majorHAnsi" w:cstheme="majorHAnsi"/>
          <w:b/>
          <w:bCs/>
          <w:sz w:val="18"/>
          <w:szCs w:val="18"/>
        </w:rPr>
      </w:pPr>
      <w:r w:rsidRPr="006070EA">
        <w:rPr>
          <w:rFonts w:asciiTheme="majorHAnsi" w:hAnsiTheme="majorHAnsi" w:cstheme="majorHAnsi"/>
          <w:b/>
          <w:bCs/>
          <w:iCs/>
          <w:sz w:val="18"/>
          <w:szCs w:val="18"/>
        </w:rPr>
        <w:t>(1</w:t>
      </w:r>
      <w:r w:rsidRPr="006070EA">
        <w:rPr>
          <w:rFonts w:asciiTheme="majorHAnsi" w:hAnsiTheme="majorHAnsi" w:cstheme="majorHAnsi"/>
          <w:b/>
          <w:bCs/>
          <w:sz w:val="18"/>
          <w:szCs w:val="18"/>
        </w:rPr>
        <w:t>)</w:t>
      </w:r>
      <w:r w:rsidRPr="006070EA">
        <w:rPr>
          <w:rFonts w:asciiTheme="majorHAnsi" w:hAnsiTheme="majorHAnsi" w:cstheme="majorHAnsi"/>
          <w:b/>
          <w:bCs/>
          <w:sz w:val="18"/>
          <w:szCs w:val="18"/>
        </w:rPr>
        <w:tab/>
      </w:r>
      <w:r w:rsidR="00D814A9" w:rsidRPr="006070EA">
        <w:rPr>
          <w:rFonts w:asciiTheme="majorHAnsi" w:hAnsiTheme="majorHAnsi" w:cstheme="majorHAnsi"/>
          <w:b/>
          <w:bCs/>
          <w:sz w:val="18"/>
          <w:szCs w:val="18"/>
        </w:rPr>
        <w:tab/>
      </w:r>
      <w:r w:rsidRPr="006070EA">
        <w:rPr>
          <w:rFonts w:asciiTheme="majorHAnsi" w:hAnsiTheme="majorHAnsi" w:cstheme="majorHAnsi"/>
          <w:b/>
          <w:bCs/>
          <w:sz w:val="18"/>
          <w:szCs w:val="18"/>
        </w:rPr>
        <w:t>Úkolem územního plánování je zejména:</w:t>
      </w:r>
    </w:p>
    <w:p w14:paraId="72F87092" w14:textId="77777777" w:rsidR="00327E92" w:rsidRPr="006070EA" w:rsidRDefault="00327E92" w:rsidP="00327E92">
      <w:pPr>
        <w:pStyle w:val="Zkladntext2"/>
        <w:numPr>
          <w:ilvl w:val="0"/>
          <w:numId w:val="7"/>
        </w:numPr>
        <w:spacing w:after="60" w:line="240" w:lineRule="auto"/>
        <w:ind w:left="567" w:hanging="567"/>
        <w:jc w:val="both"/>
        <w:rPr>
          <w:rFonts w:asciiTheme="majorHAnsi" w:hAnsiTheme="majorHAnsi" w:cstheme="majorHAnsi"/>
          <w:bCs/>
          <w:i/>
          <w:sz w:val="18"/>
          <w:szCs w:val="18"/>
        </w:rPr>
      </w:pPr>
      <w:r w:rsidRPr="006070EA">
        <w:rPr>
          <w:rFonts w:asciiTheme="majorHAnsi" w:hAnsiTheme="majorHAnsi" w:cstheme="majorHAnsi"/>
          <w:bCs/>
          <w:i/>
          <w:sz w:val="18"/>
          <w:szCs w:val="18"/>
        </w:rPr>
        <w:t>zjišťovat a posuzovat stav území, jeho přírodní, kulturní a civilizační hodnoty,</w:t>
      </w:r>
    </w:p>
    <w:p w14:paraId="400380AF" w14:textId="4B0EBB29" w:rsidR="00327E92" w:rsidRPr="006070EA" w:rsidRDefault="00327E92" w:rsidP="00327E92">
      <w:pPr>
        <w:pStyle w:val="Mra2-reakceern"/>
        <w:rPr>
          <w:rFonts w:asciiTheme="majorHAnsi" w:hAnsiTheme="majorHAnsi" w:cstheme="majorHAnsi"/>
          <w:color w:val="auto"/>
        </w:rPr>
      </w:pPr>
      <w:r w:rsidRPr="006070EA">
        <w:rPr>
          <w:rFonts w:asciiTheme="majorHAnsi" w:hAnsiTheme="majorHAnsi" w:cstheme="majorHAnsi"/>
          <w:color w:val="auto"/>
        </w:rPr>
        <w:t>V rámci přípravných prací na územním plánu byly podrobně analyzovány veškeré dostupné podklady a informace o území. Zásadním podkladem (zdrojem) pro zjištění a posouzení stavu území byly územně analytické podklady ORP Nymburk, zahrnující podrobně a kvalifikovaně zpracovaný rozbor udržitelného rozvoje území. Přírodní, kulturní a</w:t>
      </w:r>
      <w:r w:rsidR="00967517" w:rsidRPr="006070EA">
        <w:rPr>
          <w:rFonts w:asciiTheme="majorHAnsi" w:hAnsiTheme="majorHAnsi" w:cstheme="majorHAnsi"/>
          <w:color w:val="auto"/>
        </w:rPr>
        <w:t> </w:t>
      </w:r>
      <w:r w:rsidRPr="006070EA">
        <w:rPr>
          <w:rFonts w:asciiTheme="majorHAnsi" w:hAnsiTheme="majorHAnsi" w:cstheme="majorHAnsi"/>
          <w:color w:val="auto"/>
        </w:rPr>
        <w:t>civilizační hodnoty území byly identifikovány a potvrzeny na základě vlastního průzkumu projektanta, konzultací s představiteli obce a studiem relevantních podkladů.</w:t>
      </w:r>
    </w:p>
    <w:p w14:paraId="616C85ED" w14:textId="77777777" w:rsidR="00327E92" w:rsidRPr="006070EA" w:rsidRDefault="00327E92" w:rsidP="00327E92">
      <w:pPr>
        <w:pStyle w:val="Zkladntext2"/>
        <w:keepNext/>
        <w:numPr>
          <w:ilvl w:val="0"/>
          <w:numId w:val="7"/>
        </w:numPr>
        <w:spacing w:before="120" w:after="60" w:line="240" w:lineRule="auto"/>
        <w:ind w:left="567" w:hanging="567"/>
        <w:jc w:val="both"/>
        <w:rPr>
          <w:rFonts w:asciiTheme="majorHAnsi" w:hAnsiTheme="majorHAnsi" w:cstheme="majorHAnsi"/>
          <w:bCs/>
          <w:i/>
          <w:sz w:val="18"/>
          <w:szCs w:val="18"/>
        </w:rPr>
      </w:pPr>
      <w:r w:rsidRPr="006070EA">
        <w:rPr>
          <w:rFonts w:asciiTheme="majorHAnsi" w:hAnsiTheme="majorHAnsi" w:cstheme="majorHAnsi"/>
          <w:bCs/>
          <w:i/>
          <w:sz w:val="18"/>
          <w:szCs w:val="18"/>
        </w:rPr>
        <w:t>stanovovat koncepci rozvoje území, včetně urbanistické koncepce s ohledem na hodnoty a podmínky území,</w:t>
      </w:r>
    </w:p>
    <w:p w14:paraId="1B5AB276" w14:textId="77777777" w:rsidR="00327E92" w:rsidRPr="006070EA" w:rsidRDefault="00327E92" w:rsidP="00327E92">
      <w:pPr>
        <w:pStyle w:val="Mra2-reakceern"/>
        <w:keepLines/>
        <w:rPr>
          <w:rFonts w:asciiTheme="majorHAnsi" w:hAnsiTheme="majorHAnsi" w:cstheme="majorHAnsi"/>
          <w:color w:val="auto"/>
        </w:rPr>
      </w:pPr>
      <w:r w:rsidRPr="006070EA">
        <w:rPr>
          <w:rFonts w:asciiTheme="majorHAnsi" w:hAnsiTheme="majorHAnsi" w:cstheme="majorHAnsi"/>
          <w:color w:val="auto"/>
        </w:rPr>
        <w:t>Koncepce rozvoje území obce včetně urbanistické koncepce reagují na výstupy rozboru udržitelného rozvoje území zpracovaného v rámci ÚAP a jsou stanoveny s ohledem na další identifikované hodnoty území, zejména s ohledem na stabilizovanou urbanistickou strukturu sídla, typologii krajiny, přírodní podmínky apod.</w:t>
      </w:r>
    </w:p>
    <w:p w14:paraId="017D18C9" w14:textId="77777777" w:rsidR="00327E92" w:rsidRPr="006070EA" w:rsidRDefault="00327E92" w:rsidP="00327E92">
      <w:pPr>
        <w:pStyle w:val="Zkladntext2"/>
        <w:keepNext/>
        <w:numPr>
          <w:ilvl w:val="0"/>
          <w:numId w:val="7"/>
        </w:numPr>
        <w:spacing w:before="120" w:after="60" w:line="240" w:lineRule="auto"/>
        <w:ind w:left="567" w:hanging="567"/>
        <w:jc w:val="both"/>
        <w:rPr>
          <w:rFonts w:asciiTheme="majorHAnsi" w:hAnsiTheme="majorHAnsi" w:cstheme="majorHAnsi"/>
          <w:bCs/>
          <w:i/>
          <w:sz w:val="18"/>
          <w:szCs w:val="18"/>
        </w:rPr>
      </w:pPr>
      <w:r w:rsidRPr="006070EA">
        <w:rPr>
          <w:rFonts w:asciiTheme="majorHAnsi" w:hAnsiTheme="majorHAnsi" w:cstheme="majorHAnsi"/>
          <w:bCs/>
          <w:i/>
          <w:sz w:val="18"/>
          <w:szCs w:val="18"/>
        </w:rPr>
        <w:t>prověřovat a posuzovat potřebu změn v území, veřejný zájem na jejich provedení, jejich přínosy, problémy, rizika s ohledem například na veřejné zdraví, životní prostředí, geologickou stavbu území, vliv na veřejnou infrastrukturu a na její hospodárné využívání,</w:t>
      </w:r>
    </w:p>
    <w:p w14:paraId="372C882C" w14:textId="18124393" w:rsidR="00327E92" w:rsidRPr="006070EA" w:rsidRDefault="00327E92" w:rsidP="00327E92">
      <w:pPr>
        <w:pStyle w:val="Mra2-reakceern"/>
        <w:rPr>
          <w:rFonts w:asciiTheme="majorHAnsi" w:hAnsiTheme="majorHAnsi" w:cstheme="majorHAnsi"/>
          <w:color w:val="auto"/>
        </w:rPr>
      </w:pPr>
      <w:r w:rsidRPr="006070EA">
        <w:rPr>
          <w:rFonts w:asciiTheme="majorHAnsi" w:hAnsiTheme="majorHAnsi" w:cstheme="majorHAnsi"/>
          <w:color w:val="auto"/>
        </w:rPr>
        <w:t>Zastavitelné plochy jsou vymezeny s cílem posílit vyváženost složek udržitelného rozvoje a s ohledem na předpokládaný demografický vývoj, zájem o výstavbu v obci, rozvojovou koncepci stanovenou stávající ÚPD, polohu a význam obce v rámci sídelní struktury a její strategické cíle. Veřejný zájem na jejich provedení, přínosy, problémy a</w:t>
      </w:r>
      <w:r w:rsidR="00967517" w:rsidRPr="006070EA">
        <w:rPr>
          <w:rFonts w:asciiTheme="majorHAnsi" w:hAnsiTheme="majorHAnsi" w:cstheme="majorHAnsi"/>
          <w:color w:val="auto"/>
        </w:rPr>
        <w:t> </w:t>
      </w:r>
      <w:r w:rsidRPr="006070EA">
        <w:rPr>
          <w:rFonts w:asciiTheme="majorHAnsi" w:hAnsiTheme="majorHAnsi" w:cstheme="majorHAnsi"/>
          <w:color w:val="auto"/>
        </w:rPr>
        <w:t>rizika s ohledem na veřejné zdraví, životní prostředí, geologickou stavbu území, vliv na veřejnou infrastrukturu a její hospodárné využívání byly při jejich vymezování zohledněny.</w:t>
      </w:r>
    </w:p>
    <w:p w14:paraId="4270DFD2" w14:textId="77777777" w:rsidR="00327E92" w:rsidRPr="006070EA" w:rsidRDefault="00327E92" w:rsidP="00327E92">
      <w:pPr>
        <w:pStyle w:val="Zkladntext2"/>
        <w:numPr>
          <w:ilvl w:val="0"/>
          <w:numId w:val="7"/>
        </w:numPr>
        <w:spacing w:before="120" w:after="60" w:line="240" w:lineRule="auto"/>
        <w:ind w:left="567" w:hanging="567"/>
        <w:jc w:val="both"/>
        <w:rPr>
          <w:rFonts w:asciiTheme="majorHAnsi" w:hAnsiTheme="majorHAnsi" w:cstheme="majorHAnsi"/>
          <w:bCs/>
          <w:i/>
          <w:sz w:val="18"/>
          <w:szCs w:val="18"/>
        </w:rPr>
      </w:pPr>
      <w:r w:rsidRPr="006070EA">
        <w:rPr>
          <w:rFonts w:asciiTheme="majorHAnsi" w:hAnsiTheme="majorHAnsi" w:cstheme="majorHAnsi"/>
          <w:bCs/>
          <w:i/>
          <w:sz w:val="18"/>
          <w:szCs w:val="18"/>
        </w:rPr>
        <w:lastRenderedPageBreak/>
        <w:t>stanovovat urbanistické, architektonické a estetické požadavky na využívání a prostorové uspořádání území a na jeho změny, zejména na umístění, uspořádání a řešení staveb,</w:t>
      </w:r>
    </w:p>
    <w:p w14:paraId="7F474670" w14:textId="779F4E0D" w:rsidR="00327E92" w:rsidRPr="006070EA" w:rsidRDefault="00327E92" w:rsidP="00327E92">
      <w:pPr>
        <w:pStyle w:val="Mra2-reakceern"/>
        <w:rPr>
          <w:rFonts w:asciiTheme="majorHAnsi" w:hAnsiTheme="majorHAnsi" w:cstheme="majorHAnsi"/>
          <w:color w:val="auto"/>
        </w:rPr>
      </w:pPr>
      <w:r w:rsidRPr="006070EA">
        <w:rPr>
          <w:rFonts w:asciiTheme="majorHAnsi" w:hAnsiTheme="majorHAnsi" w:cstheme="majorHAnsi"/>
          <w:color w:val="auto"/>
        </w:rPr>
        <w:t xml:space="preserve">Územní plán určuje požadavky na využívání a prostorové uspořádání území v mezích stavebního zákona. V rámci podmínek prostorového uspořádání jsou stanoveny základní požadavky na výškovou hladinu, intenzitu a strukturu zástavby zohledňující aktuální trendy v oblasti architektury a urbanismu a současný urbanistický vzhled </w:t>
      </w:r>
      <w:r w:rsidR="00967517" w:rsidRPr="006070EA">
        <w:rPr>
          <w:rFonts w:asciiTheme="majorHAnsi" w:hAnsiTheme="majorHAnsi" w:cstheme="majorHAnsi"/>
          <w:color w:val="auto"/>
        </w:rPr>
        <w:t>sídel</w:t>
      </w:r>
      <w:r w:rsidRPr="006070EA">
        <w:rPr>
          <w:rFonts w:asciiTheme="majorHAnsi" w:hAnsiTheme="majorHAnsi" w:cstheme="majorHAnsi"/>
          <w:color w:val="auto"/>
        </w:rPr>
        <w:t xml:space="preserve">. </w:t>
      </w:r>
    </w:p>
    <w:p w14:paraId="6C663E01" w14:textId="77777777" w:rsidR="00327E92" w:rsidRPr="006070EA" w:rsidRDefault="00327E92" w:rsidP="00327E92">
      <w:pPr>
        <w:pStyle w:val="Zkladntext2"/>
        <w:keepNext/>
        <w:numPr>
          <w:ilvl w:val="0"/>
          <w:numId w:val="7"/>
        </w:numPr>
        <w:spacing w:before="120" w:after="60" w:line="240" w:lineRule="auto"/>
        <w:ind w:left="567" w:hanging="567"/>
        <w:jc w:val="both"/>
        <w:rPr>
          <w:rFonts w:asciiTheme="majorHAnsi" w:hAnsiTheme="majorHAnsi" w:cstheme="majorHAnsi"/>
          <w:bCs/>
          <w:i/>
          <w:sz w:val="18"/>
          <w:szCs w:val="18"/>
        </w:rPr>
      </w:pPr>
      <w:r w:rsidRPr="006070EA">
        <w:rPr>
          <w:rFonts w:asciiTheme="majorHAnsi" w:hAnsiTheme="majorHAnsi" w:cstheme="majorHAnsi"/>
          <w:bCs/>
          <w:i/>
          <w:sz w:val="18"/>
          <w:szCs w:val="18"/>
        </w:rPr>
        <w:t xml:space="preserve">stanovovat podmínky pro provedení změn v území, zejména pak pro umístění a uspořádání staveb s ohledem na stávající charakter a hodnoty území, </w:t>
      </w:r>
    </w:p>
    <w:p w14:paraId="2965AE5E" w14:textId="77777777" w:rsidR="00327E92" w:rsidRPr="006070EA" w:rsidRDefault="00327E92" w:rsidP="00327E92">
      <w:pPr>
        <w:pStyle w:val="Mra2-reakceern"/>
        <w:rPr>
          <w:rFonts w:asciiTheme="majorHAnsi" w:hAnsiTheme="majorHAnsi" w:cstheme="majorHAnsi"/>
          <w:color w:val="auto"/>
        </w:rPr>
      </w:pPr>
      <w:r w:rsidRPr="006070EA">
        <w:rPr>
          <w:rFonts w:asciiTheme="majorHAnsi" w:hAnsiTheme="majorHAnsi" w:cstheme="majorHAnsi"/>
          <w:color w:val="auto"/>
        </w:rPr>
        <w:t>Pro nově realizovanou zástavbu jsou územním plánem stanoveny obecné podmínky pro zachování charakteru celkové urbanistické struktury, zejména požadavky na prostorové uspořádání území se stanovením podmínek pro novou výstavbu.</w:t>
      </w:r>
    </w:p>
    <w:p w14:paraId="3CDF0552" w14:textId="77777777" w:rsidR="00327E92" w:rsidRPr="006070EA" w:rsidRDefault="00327E92" w:rsidP="00327E92">
      <w:pPr>
        <w:pStyle w:val="Zkladntext2"/>
        <w:keepNext/>
        <w:numPr>
          <w:ilvl w:val="0"/>
          <w:numId w:val="7"/>
        </w:numPr>
        <w:spacing w:before="120" w:after="60" w:line="240" w:lineRule="auto"/>
        <w:ind w:left="567" w:hanging="567"/>
        <w:jc w:val="both"/>
        <w:rPr>
          <w:rFonts w:asciiTheme="majorHAnsi" w:hAnsiTheme="majorHAnsi" w:cstheme="majorHAnsi"/>
          <w:bCs/>
          <w:i/>
          <w:sz w:val="18"/>
          <w:szCs w:val="18"/>
        </w:rPr>
      </w:pPr>
      <w:r w:rsidRPr="006070EA">
        <w:rPr>
          <w:rFonts w:asciiTheme="majorHAnsi" w:hAnsiTheme="majorHAnsi" w:cstheme="majorHAnsi"/>
          <w:bCs/>
          <w:i/>
          <w:sz w:val="18"/>
          <w:szCs w:val="18"/>
        </w:rPr>
        <w:t>stanovovat pořadí provádění změn v území (etapizaci),</w:t>
      </w:r>
    </w:p>
    <w:p w14:paraId="52DBE4F8" w14:textId="77777777" w:rsidR="00327E92" w:rsidRPr="006070EA" w:rsidRDefault="00327E92" w:rsidP="00327E92">
      <w:pPr>
        <w:pStyle w:val="Mra2-reakceern"/>
        <w:rPr>
          <w:rFonts w:asciiTheme="majorHAnsi" w:hAnsiTheme="majorHAnsi" w:cstheme="majorHAnsi"/>
          <w:color w:val="auto"/>
        </w:rPr>
      </w:pPr>
      <w:r w:rsidRPr="006070EA">
        <w:rPr>
          <w:rFonts w:asciiTheme="majorHAnsi" w:hAnsiTheme="majorHAnsi" w:cstheme="majorHAnsi"/>
          <w:color w:val="auto"/>
        </w:rPr>
        <w:t>ÚP nestanovuje pořadí změn v území (etapizaci) zejména z důvodu rozsahu a umístění zastavitelných v bezprostřední návaznosti na zastavěné území. V rámci procesu pořizování ÚP Kostomlaty nad Labem nebyly vzneseny žádné požadavky na stanovení pořadí změn v území.</w:t>
      </w:r>
    </w:p>
    <w:p w14:paraId="58EBD130" w14:textId="77777777" w:rsidR="00327E92" w:rsidRPr="006070EA" w:rsidRDefault="00327E92" w:rsidP="00327E92">
      <w:pPr>
        <w:pStyle w:val="Zkladntext2"/>
        <w:numPr>
          <w:ilvl w:val="0"/>
          <w:numId w:val="7"/>
        </w:numPr>
        <w:spacing w:before="120" w:after="60" w:line="240" w:lineRule="auto"/>
        <w:ind w:left="567" w:hanging="567"/>
        <w:jc w:val="both"/>
        <w:rPr>
          <w:rFonts w:asciiTheme="majorHAnsi" w:hAnsiTheme="majorHAnsi" w:cstheme="majorHAnsi"/>
          <w:bCs/>
          <w:i/>
          <w:sz w:val="18"/>
          <w:szCs w:val="18"/>
        </w:rPr>
      </w:pPr>
      <w:r w:rsidRPr="006070EA">
        <w:rPr>
          <w:rFonts w:asciiTheme="majorHAnsi" w:hAnsiTheme="majorHAnsi" w:cstheme="majorHAnsi"/>
          <w:bCs/>
          <w:i/>
          <w:sz w:val="18"/>
          <w:szCs w:val="18"/>
        </w:rPr>
        <w:t>vytvářet v území podmínky pro snižování nebezpečí ekologických a přírodních katastrof a pro odstraňování jejich důsledků, a to přírodě blízkým způsobem,</w:t>
      </w:r>
    </w:p>
    <w:p w14:paraId="69C50922" w14:textId="1E0F2FF9" w:rsidR="00327E92" w:rsidRPr="006070EA" w:rsidRDefault="00327E92" w:rsidP="00327E92">
      <w:pPr>
        <w:pStyle w:val="Mra2-reakceern"/>
        <w:rPr>
          <w:rFonts w:asciiTheme="majorHAnsi" w:hAnsiTheme="majorHAnsi" w:cstheme="majorHAnsi"/>
          <w:color w:val="auto"/>
        </w:rPr>
      </w:pPr>
      <w:r w:rsidRPr="006070EA">
        <w:rPr>
          <w:rFonts w:asciiTheme="majorHAnsi" w:hAnsiTheme="majorHAnsi" w:cstheme="majorHAnsi"/>
          <w:color w:val="auto"/>
        </w:rPr>
        <w:t xml:space="preserve">Podmínky pro využití ploch s rozdílným způsobem využití jsou formulovány tak, aby bylo v zastavěném i nezastavěném území umožněno realizovat přírodě blízká opatření pro snižování nebezpečí ekologických a přírodních katastrof a pro odstraňování jejich důsledků. Jedná se zejména o opatření zvyšující retenční schopnost území a případná ochranná a revitalizační opatření nestavebního charakteru. </w:t>
      </w:r>
    </w:p>
    <w:p w14:paraId="46FC505E" w14:textId="77777777" w:rsidR="00327E92" w:rsidRPr="006070EA" w:rsidRDefault="00327E92" w:rsidP="00327E92">
      <w:pPr>
        <w:pStyle w:val="Zkladntext2"/>
        <w:numPr>
          <w:ilvl w:val="0"/>
          <w:numId w:val="7"/>
        </w:numPr>
        <w:spacing w:before="120" w:after="60" w:line="240" w:lineRule="auto"/>
        <w:ind w:left="567" w:hanging="567"/>
        <w:jc w:val="both"/>
        <w:rPr>
          <w:rFonts w:asciiTheme="majorHAnsi" w:hAnsiTheme="majorHAnsi" w:cstheme="majorHAnsi"/>
          <w:bCs/>
          <w:i/>
          <w:sz w:val="18"/>
          <w:szCs w:val="18"/>
        </w:rPr>
      </w:pPr>
      <w:r w:rsidRPr="006070EA">
        <w:rPr>
          <w:rFonts w:asciiTheme="majorHAnsi" w:hAnsiTheme="majorHAnsi" w:cstheme="majorHAnsi"/>
          <w:bCs/>
          <w:i/>
          <w:sz w:val="18"/>
          <w:szCs w:val="18"/>
        </w:rPr>
        <w:t xml:space="preserve"> vytvářet v území podmínky pro odstraňování důsledků náhlých hospodářských změn,</w:t>
      </w:r>
    </w:p>
    <w:p w14:paraId="58A3F905" w14:textId="77777777" w:rsidR="00327E92" w:rsidRPr="006070EA" w:rsidRDefault="00327E92" w:rsidP="00327E92">
      <w:pPr>
        <w:pStyle w:val="Mra2-reakceern"/>
        <w:rPr>
          <w:rFonts w:asciiTheme="majorHAnsi" w:hAnsiTheme="majorHAnsi" w:cstheme="majorHAnsi"/>
          <w:color w:val="auto"/>
        </w:rPr>
      </w:pPr>
      <w:r w:rsidRPr="006070EA">
        <w:rPr>
          <w:rFonts w:asciiTheme="majorHAnsi" w:hAnsiTheme="majorHAnsi" w:cstheme="majorHAnsi"/>
          <w:color w:val="auto"/>
        </w:rPr>
        <w:t>Podmínky pro odstraňování důsledků náhlých hospodářských změn jsou územním plánem vytvořeny zejména v rámci koncepce rozvoje území obce. Flexibilita využití území je v maximální míře zajištěna v rámci intenzivně urbanizovaného území s ohledem na zajištění dostatečné kvality bydlení v obci. Kromě toho jsou vytvořeny podmínky pro posílení ekonomické základny obce.</w:t>
      </w:r>
    </w:p>
    <w:p w14:paraId="25950A9C" w14:textId="77777777" w:rsidR="00327E92" w:rsidRPr="006070EA" w:rsidRDefault="00327E92" w:rsidP="00327E92">
      <w:pPr>
        <w:pStyle w:val="Zkladntext2"/>
        <w:numPr>
          <w:ilvl w:val="0"/>
          <w:numId w:val="7"/>
        </w:numPr>
        <w:spacing w:before="120" w:after="60" w:line="240" w:lineRule="auto"/>
        <w:ind w:left="567" w:hanging="567"/>
        <w:jc w:val="both"/>
        <w:rPr>
          <w:rFonts w:asciiTheme="majorHAnsi" w:hAnsiTheme="majorHAnsi" w:cstheme="majorHAnsi"/>
          <w:bCs/>
          <w:i/>
          <w:sz w:val="18"/>
          <w:szCs w:val="18"/>
        </w:rPr>
      </w:pPr>
      <w:r w:rsidRPr="006070EA">
        <w:rPr>
          <w:rFonts w:asciiTheme="majorHAnsi" w:hAnsiTheme="majorHAnsi" w:cstheme="majorHAnsi"/>
          <w:bCs/>
          <w:i/>
          <w:sz w:val="18"/>
          <w:szCs w:val="18"/>
        </w:rPr>
        <w:t>stanovovat podmínky pro obnovu a rozvoj sídelní struktury a pro kvalitní bydlení,</w:t>
      </w:r>
    </w:p>
    <w:p w14:paraId="61C4DBAF" w14:textId="77777777" w:rsidR="00327E92" w:rsidRPr="006070EA" w:rsidRDefault="00327E92" w:rsidP="00327E92">
      <w:pPr>
        <w:pStyle w:val="Mra2-reakceern"/>
        <w:rPr>
          <w:rFonts w:asciiTheme="majorHAnsi" w:hAnsiTheme="majorHAnsi" w:cstheme="majorHAnsi"/>
          <w:color w:val="auto"/>
        </w:rPr>
      </w:pPr>
      <w:r w:rsidRPr="006070EA">
        <w:rPr>
          <w:rFonts w:asciiTheme="majorHAnsi" w:hAnsiTheme="majorHAnsi" w:cstheme="majorHAnsi"/>
          <w:color w:val="auto"/>
        </w:rPr>
        <w:t>Stanovením podmínek plošného a prostorového uspořádání v zastavěném území a zastavitelných plochách je deklarována jednoznačná podpora obnovy a rozvoje sídelní struktury a kvalitního bydlení.</w:t>
      </w:r>
    </w:p>
    <w:p w14:paraId="40F4A37F" w14:textId="53BCCFE7" w:rsidR="00967517" w:rsidRPr="006070EA" w:rsidRDefault="00967517" w:rsidP="00967517">
      <w:pPr>
        <w:pStyle w:val="Zkladntext2"/>
        <w:numPr>
          <w:ilvl w:val="0"/>
          <w:numId w:val="7"/>
        </w:numPr>
        <w:spacing w:before="120" w:after="60" w:line="240" w:lineRule="auto"/>
        <w:ind w:left="567" w:hanging="567"/>
        <w:jc w:val="both"/>
        <w:rPr>
          <w:rFonts w:asciiTheme="majorHAnsi" w:hAnsiTheme="majorHAnsi" w:cstheme="majorHAnsi"/>
          <w:bCs/>
          <w:i/>
          <w:sz w:val="18"/>
          <w:szCs w:val="18"/>
        </w:rPr>
      </w:pPr>
      <w:r w:rsidRPr="006070EA">
        <w:rPr>
          <w:rFonts w:asciiTheme="majorHAnsi" w:hAnsiTheme="majorHAnsi" w:cstheme="majorHAnsi"/>
          <w:bCs/>
          <w:i/>
          <w:sz w:val="18"/>
          <w:szCs w:val="18"/>
        </w:rPr>
        <w:t>s ohledem na charakter území a kvalitu vystavěného prostředí vyhodnocovat a, je-li to účelné vymezovat vhodné plochy pro výrobu; plochy pro výrobu elektřiny, plynu a tepla včetně ploch pro jejich výrobu z obnovitelných zdrojů vymezovat rovněž s ohledem na cíle politik, strategií a koncepcí veřejné správy v oblasti energetiky a klimatu;</w:t>
      </w:r>
    </w:p>
    <w:p w14:paraId="043119F4" w14:textId="1C4271CB" w:rsidR="00967517" w:rsidRPr="006070EA" w:rsidRDefault="00967517" w:rsidP="00967517">
      <w:pPr>
        <w:pStyle w:val="Mra2-reakceern"/>
        <w:rPr>
          <w:rFonts w:asciiTheme="majorHAnsi" w:hAnsiTheme="majorHAnsi" w:cstheme="majorHAnsi"/>
          <w:color w:val="auto"/>
        </w:rPr>
      </w:pPr>
      <w:r w:rsidRPr="00A76411">
        <w:rPr>
          <w:rFonts w:asciiTheme="majorHAnsi" w:hAnsiTheme="majorHAnsi" w:cstheme="majorHAnsi"/>
          <w:color w:val="auto"/>
        </w:rPr>
        <w:t>ÚP nevymezuje explicitně plochy určené pro výrobu elektřiny, plynu a tepla včetně ploch pro jejich výrobu z obnovitelných zdrojů. ÚP Kostomlaty nad Labem reguluje možnosti realizace výroben elektřiny v řešeném území v rámci stanovených podmínek jednotlivých ploch s rozdílným způsobem využití.</w:t>
      </w:r>
      <w:r w:rsidR="001470C7" w:rsidRPr="00A76411">
        <w:rPr>
          <w:rFonts w:asciiTheme="majorHAnsi" w:hAnsiTheme="majorHAnsi" w:cstheme="majorHAnsi"/>
          <w:color w:val="auto"/>
        </w:rPr>
        <w:t xml:space="preserve"> V urbanizovaném území jsou možnosti výroby energie z obnovitelných zdrojů omezeny na technická zařízení staveb. V nezastavěném území je vyloučeno umisťovat stavby a zařízení pro výrobu energie z obnovitelných zdrojů využívající energii slunečního záření s celkovým elektrickým výkonem výrobny elektřiny nad 50 kW v rámci ploch zemědělských všeobecných (AU) a</w:t>
      </w:r>
      <w:r w:rsidR="00A76411">
        <w:rPr>
          <w:rFonts w:asciiTheme="majorHAnsi" w:hAnsiTheme="majorHAnsi" w:cstheme="majorHAnsi"/>
          <w:color w:val="auto"/>
        </w:rPr>
        <w:t> </w:t>
      </w:r>
      <w:r w:rsidR="001470C7" w:rsidRPr="00A76411">
        <w:rPr>
          <w:rFonts w:asciiTheme="majorHAnsi" w:hAnsiTheme="majorHAnsi" w:cstheme="majorHAnsi"/>
          <w:color w:val="auto"/>
        </w:rPr>
        <w:t>smíšených nezastavěného území – zemědělství extenzivní, přírodní priority (MU.zp).</w:t>
      </w:r>
    </w:p>
    <w:p w14:paraId="582CC0AF" w14:textId="7A5629CF" w:rsidR="00327E92" w:rsidRPr="006070EA" w:rsidRDefault="00327E92" w:rsidP="00327E92">
      <w:pPr>
        <w:pStyle w:val="Zkladntext2"/>
        <w:numPr>
          <w:ilvl w:val="0"/>
          <w:numId w:val="7"/>
        </w:numPr>
        <w:spacing w:before="120" w:after="60" w:line="240" w:lineRule="auto"/>
        <w:ind w:left="567" w:hanging="567"/>
        <w:jc w:val="both"/>
        <w:rPr>
          <w:rFonts w:asciiTheme="majorHAnsi" w:hAnsiTheme="majorHAnsi" w:cstheme="majorHAnsi"/>
          <w:bCs/>
          <w:i/>
          <w:sz w:val="18"/>
          <w:szCs w:val="18"/>
        </w:rPr>
      </w:pPr>
      <w:r w:rsidRPr="006070EA">
        <w:rPr>
          <w:rFonts w:asciiTheme="majorHAnsi" w:hAnsiTheme="majorHAnsi" w:cstheme="majorHAnsi"/>
          <w:bCs/>
          <w:i/>
          <w:sz w:val="18"/>
          <w:szCs w:val="18"/>
        </w:rPr>
        <w:t>prověřovat a vytvářet v území podmínky pro hospodárné vynakládání prostředků z veřejných rozpočtů na změny v území,</w:t>
      </w:r>
    </w:p>
    <w:p w14:paraId="47E8D9EF" w14:textId="77777777" w:rsidR="00327E92" w:rsidRPr="006070EA" w:rsidRDefault="00327E92" w:rsidP="00327E92">
      <w:pPr>
        <w:pStyle w:val="Mra2-reakceern"/>
        <w:rPr>
          <w:rFonts w:asciiTheme="majorHAnsi" w:hAnsiTheme="majorHAnsi" w:cstheme="majorHAnsi"/>
          <w:color w:val="auto"/>
        </w:rPr>
      </w:pPr>
      <w:r w:rsidRPr="006070EA">
        <w:rPr>
          <w:rFonts w:asciiTheme="majorHAnsi" w:hAnsiTheme="majorHAnsi" w:cstheme="majorHAnsi"/>
          <w:color w:val="auto"/>
        </w:rPr>
        <w:t xml:space="preserve">ÚP respektuje tento úkol především formulací urbanistické koncepce, která klade mimořádný důraz na bezprostřední návaznost zastavitelných ploch na zastavěné území, infrastrukturní kostru obce a komunikační systém. Cílem řešení je omezení finanční, časové a realizační náročností, čímž bude minimalizována zátěž na veřejné rozpočty zajišťující v převážné míře investice do infrastruktury. </w:t>
      </w:r>
    </w:p>
    <w:p w14:paraId="4AFD6FEE" w14:textId="77777777" w:rsidR="00327E92" w:rsidRPr="006070EA" w:rsidRDefault="00327E92" w:rsidP="00327E92">
      <w:pPr>
        <w:pStyle w:val="Zkladntext2"/>
        <w:keepNext/>
        <w:numPr>
          <w:ilvl w:val="0"/>
          <w:numId w:val="7"/>
        </w:numPr>
        <w:spacing w:before="120" w:after="60" w:line="240" w:lineRule="auto"/>
        <w:ind w:left="567" w:hanging="567"/>
        <w:jc w:val="both"/>
        <w:rPr>
          <w:rFonts w:asciiTheme="majorHAnsi" w:hAnsiTheme="majorHAnsi" w:cstheme="majorHAnsi"/>
          <w:bCs/>
          <w:i/>
          <w:sz w:val="18"/>
          <w:szCs w:val="18"/>
        </w:rPr>
      </w:pPr>
      <w:r w:rsidRPr="006070EA">
        <w:rPr>
          <w:rFonts w:asciiTheme="majorHAnsi" w:hAnsiTheme="majorHAnsi" w:cstheme="majorHAnsi"/>
          <w:bCs/>
          <w:i/>
          <w:sz w:val="18"/>
          <w:szCs w:val="18"/>
        </w:rPr>
        <w:t>vytvářet v území podmínky pro zajištění civilní ochrany,</w:t>
      </w:r>
    </w:p>
    <w:p w14:paraId="77BBC996" w14:textId="4CD43B72" w:rsidR="00327E92" w:rsidRPr="006070EA" w:rsidRDefault="00327E92" w:rsidP="00327E92">
      <w:pPr>
        <w:pStyle w:val="Mra2-reakceern"/>
        <w:rPr>
          <w:rFonts w:asciiTheme="majorHAnsi" w:hAnsiTheme="majorHAnsi" w:cstheme="majorHAnsi"/>
          <w:color w:val="auto"/>
        </w:rPr>
      </w:pPr>
      <w:r w:rsidRPr="006070EA">
        <w:rPr>
          <w:rFonts w:asciiTheme="majorHAnsi" w:hAnsiTheme="majorHAnsi" w:cstheme="majorHAnsi"/>
          <w:color w:val="auto"/>
        </w:rPr>
        <w:t xml:space="preserve">Požadavky civilní ochrany jsou územním plánem zohledněny. Konkrétní informace k civilní ochraně ve vztahu k řešení ÚP Kostomlaty nad Labem jsou uvedeny v kapitole </w:t>
      </w:r>
      <w:r w:rsidRPr="006070EA">
        <w:rPr>
          <w:rFonts w:asciiTheme="majorHAnsi" w:hAnsiTheme="majorHAnsi" w:cstheme="majorHAnsi"/>
          <w:i/>
          <w:color w:val="auto"/>
        </w:rPr>
        <w:t>11.2.</w:t>
      </w:r>
      <w:r w:rsidR="00EF7B4B" w:rsidRPr="006070EA">
        <w:rPr>
          <w:rFonts w:asciiTheme="majorHAnsi" w:hAnsiTheme="majorHAnsi" w:cstheme="majorHAnsi"/>
          <w:i/>
          <w:color w:val="auto"/>
        </w:rPr>
        <w:t>4</w:t>
      </w:r>
      <w:r w:rsidRPr="006070EA">
        <w:rPr>
          <w:rFonts w:asciiTheme="majorHAnsi" w:hAnsiTheme="majorHAnsi" w:cstheme="majorHAnsi"/>
          <w:i/>
          <w:color w:val="auto"/>
        </w:rPr>
        <w:t xml:space="preserve"> Civilní ochrana, obrana státu, požární ochrana a další specifické požadavky</w:t>
      </w:r>
      <w:r w:rsidRPr="006070EA">
        <w:rPr>
          <w:rFonts w:asciiTheme="majorHAnsi" w:hAnsiTheme="majorHAnsi" w:cstheme="majorHAnsi"/>
          <w:color w:val="auto"/>
        </w:rPr>
        <w:t xml:space="preserve">. </w:t>
      </w:r>
    </w:p>
    <w:p w14:paraId="7A316E4F" w14:textId="77777777" w:rsidR="00327E92" w:rsidRPr="006070EA" w:rsidRDefault="00327E92" w:rsidP="00327E92">
      <w:pPr>
        <w:pStyle w:val="Zkladntext2"/>
        <w:keepNext/>
        <w:numPr>
          <w:ilvl w:val="0"/>
          <w:numId w:val="7"/>
        </w:numPr>
        <w:spacing w:before="120" w:after="60" w:line="240" w:lineRule="auto"/>
        <w:ind w:left="567" w:hanging="567"/>
        <w:jc w:val="both"/>
        <w:rPr>
          <w:rFonts w:asciiTheme="majorHAnsi" w:hAnsiTheme="majorHAnsi" w:cstheme="majorHAnsi"/>
          <w:bCs/>
          <w:i/>
          <w:sz w:val="18"/>
          <w:szCs w:val="18"/>
        </w:rPr>
      </w:pPr>
      <w:r w:rsidRPr="006070EA">
        <w:rPr>
          <w:rFonts w:asciiTheme="majorHAnsi" w:hAnsiTheme="majorHAnsi" w:cstheme="majorHAnsi"/>
          <w:bCs/>
          <w:i/>
          <w:sz w:val="18"/>
          <w:szCs w:val="18"/>
        </w:rPr>
        <w:t>určovat nutné asanační, rekonstrukční a rekultivační zásahy do území,</w:t>
      </w:r>
    </w:p>
    <w:p w14:paraId="5561BF6A" w14:textId="77777777" w:rsidR="00327E92" w:rsidRPr="006070EA" w:rsidRDefault="00327E92" w:rsidP="00327E92">
      <w:pPr>
        <w:pStyle w:val="Mra2-reakceern"/>
        <w:rPr>
          <w:rFonts w:asciiTheme="majorHAnsi" w:hAnsiTheme="majorHAnsi" w:cstheme="majorHAnsi"/>
          <w:i/>
          <w:color w:val="auto"/>
        </w:rPr>
      </w:pPr>
      <w:r w:rsidRPr="006070EA">
        <w:rPr>
          <w:rFonts w:asciiTheme="majorHAnsi" w:hAnsiTheme="majorHAnsi" w:cstheme="majorHAnsi"/>
          <w:color w:val="auto"/>
        </w:rPr>
        <w:t xml:space="preserve">Územním plánem nejsou konkrétní asanační, rekonstrukční a rekultivační zásahy určeny. V urbanizovaném území jsou zejména v rámci přípustného a podmíněně přípustného využití jednotlivých ploch umožněny nekolidující změny způsobu využívání. </w:t>
      </w:r>
    </w:p>
    <w:p w14:paraId="21F922F2" w14:textId="77777777" w:rsidR="00327E92" w:rsidRPr="006070EA" w:rsidRDefault="00327E92" w:rsidP="00327E92">
      <w:pPr>
        <w:pStyle w:val="Zkladntext2"/>
        <w:keepNext/>
        <w:numPr>
          <w:ilvl w:val="0"/>
          <w:numId w:val="7"/>
        </w:numPr>
        <w:spacing w:before="120" w:after="60" w:line="240" w:lineRule="auto"/>
        <w:ind w:left="567" w:hanging="567"/>
        <w:jc w:val="both"/>
        <w:rPr>
          <w:rFonts w:asciiTheme="majorHAnsi" w:hAnsiTheme="majorHAnsi" w:cstheme="majorHAnsi"/>
          <w:bCs/>
          <w:i/>
          <w:sz w:val="18"/>
          <w:szCs w:val="18"/>
        </w:rPr>
      </w:pPr>
      <w:r w:rsidRPr="006070EA">
        <w:rPr>
          <w:rFonts w:asciiTheme="majorHAnsi" w:hAnsiTheme="majorHAnsi" w:cstheme="majorHAnsi"/>
          <w:bCs/>
          <w:i/>
          <w:sz w:val="18"/>
          <w:szCs w:val="18"/>
        </w:rPr>
        <w:t>vytvářet podmínky pro ochranu území podle zvláštních právních předpisů před negativními vlivy záměrů na území a navrhovat kompenzační opatření, pokud zvláštní právní předpis nestanoví jinak,</w:t>
      </w:r>
    </w:p>
    <w:p w14:paraId="6DBE64CB" w14:textId="77777777" w:rsidR="00327E92" w:rsidRPr="006070EA" w:rsidRDefault="00327E92" w:rsidP="00327E92">
      <w:pPr>
        <w:pStyle w:val="Mra2-reakceern"/>
        <w:rPr>
          <w:rFonts w:asciiTheme="majorHAnsi" w:hAnsiTheme="majorHAnsi" w:cstheme="majorHAnsi"/>
          <w:color w:val="auto"/>
        </w:rPr>
      </w:pPr>
      <w:r w:rsidRPr="006070EA">
        <w:rPr>
          <w:rFonts w:asciiTheme="majorHAnsi" w:hAnsiTheme="majorHAnsi" w:cstheme="majorHAnsi"/>
          <w:color w:val="auto"/>
        </w:rPr>
        <w:t xml:space="preserve">Územní plán nevymezuje zastavitelné plochy umožňující umisťovat záměry vyvolávající negativní vlivy na území. V případě realizace takových záměrů ve stabilizovaných plochách, bude postupováno v souladu se zvláštními </w:t>
      </w:r>
      <w:r w:rsidRPr="006070EA">
        <w:rPr>
          <w:rFonts w:asciiTheme="majorHAnsi" w:hAnsiTheme="majorHAnsi" w:cstheme="majorHAnsi"/>
          <w:color w:val="auto"/>
        </w:rPr>
        <w:lastRenderedPageBreak/>
        <w:t>právními předpisy zejména na úsecích ochrany veřejného zdraví, přírody a krajiny a památkové péče. ÚP respektuje podmínky pro ochranu území, které jsou stanoveny zvláštními právními předpisy.</w:t>
      </w:r>
    </w:p>
    <w:p w14:paraId="3C2DB981" w14:textId="77777777" w:rsidR="00327E92" w:rsidRPr="006070EA" w:rsidRDefault="00327E92" w:rsidP="00327E92">
      <w:pPr>
        <w:pStyle w:val="Zkladntext2"/>
        <w:numPr>
          <w:ilvl w:val="0"/>
          <w:numId w:val="7"/>
        </w:numPr>
        <w:spacing w:before="120" w:after="60" w:line="240" w:lineRule="auto"/>
        <w:ind w:left="567" w:hanging="567"/>
        <w:jc w:val="both"/>
        <w:rPr>
          <w:rFonts w:asciiTheme="majorHAnsi" w:hAnsiTheme="majorHAnsi" w:cstheme="majorHAnsi"/>
          <w:bCs/>
          <w:i/>
          <w:sz w:val="18"/>
          <w:szCs w:val="18"/>
        </w:rPr>
      </w:pPr>
      <w:r w:rsidRPr="006070EA">
        <w:rPr>
          <w:rFonts w:asciiTheme="majorHAnsi" w:hAnsiTheme="majorHAnsi" w:cstheme="majorHAnsi"/>
          <w:bCs/>
          <w:i/>
          <w:sz w:val="18"/>
          <w:szCs w:val="18"/>
        </w:rPr>
        <w:t>regulovat rozsah ploch pro využívání přírodních zdrojů,</w:t>
      </w:r>
    </w:p>
    <w:p w14:paraId="41326A25" w14:textId="77777777" w:rsidR="00327E92" w:rsidRPr="006070EA" w:rsidRDefault="00327E92" w:rsidP="00327E92">
      <w:pPr>
        <w:pStyle w:val="Mra2-reakceern"/>
        <w:rPr>
          <w:rFonts w:asciiTheme="majorHAnsi" w:hAnsiTheme="majorHAnsi" w:cstheme="majorHAnsi"/>
          <w:color w:val="auto"/>
        </w:rPr>
      </w:pPr>
      <w:r w:rsidRPr="006070EA">
        <w:rPr>
          <w:rFonts w:asciiTheme="majorHAnsi" w:hAnsiTheme="majorHAnsi" w:cstheme="majorHAnsi"/>
          <w:color w:val="auto"/>
        </w:rPr>
        <w:t xml:space="preserve">Plochy pro využívání přírodních zdrojů ve smyslu nerostných surovin nejsou územním plánem vymezeny, na základě § 18 odst. 5 stavebního zákona je těžba nerostů v řešeném území zcela vyloučena. Regulovaný rozsah využívání ostatních přírodních zdrojů (půdy, vody, energií atd.) je územním plánem umožněn v rámci příslušných ploch s rozdílným způsobem využití. </w:t>
      </w:r>
    </w:p>
    <w:p w14:paraId="461EF6F1" w14:textId="77777777" w:rsidR="00327E92" w:rsidRPr="006070EA" w:rsidRDefault="00327E92" w:rsidP="00327E92">
      <w:pPr>
        <w:pStyle w:val="Zkladntext2"/>
        <w:numPr>
          <w:ilvl w:val="0"/>
          <w:numId w:val="7"/>
        </w:numPr>
        <w:spacing w:before="120" w:after="60" w:line="240" w:lineRule="auto"/>
        <w:ind w:left="567" w:hanging="567"/>
        <w:jc w:val="both"/>
        <w:rPr>
          <w:rFonts w:asciiTheme="majorHAnsi" w:hAnsiTheme="majorHAnsi" w:cstheme="majorHAnsi"/>
          <w:bCs/>
          <w:i/>
          <w:sz w:val="18"/>
          <w:szCs w:val="18"/>
        </w:rPr>
      </w:pPr>
      <w:r w:rsidRPr="006070EA">
        <w:rPr>
          <w:rFonts w:asciiTheme="majorHAnsi" w:hAnsiTheme="majorHAnsi" w:cstheme="majorHAnsi"/>
          <w:bCs/>
          <w:i/>
          <w:sz w:val="18"/>
          <w:szCs w:val="18"/>
        </w:rPr>
        <w:t>uplatňovat poznatky zejména z oborů architektury, urbanismu, územního plánování a ekologie a památkové péče,</w:t>
      </w:r>
    </w:p>
    <w:p w14:paraId="127A255F" w14:textId="2CF44BCD" w:rsidR="00327E92" w:rsidRPr="006070EA" w:rsidRDefault="00327E92" w:rsidP="00327E92">
      <w:pPr>
        <w:pStyle w:val="Mra2-reakceern"/>
        <w:rPr>
          <w:rFonts w:asciiTheme="majorHAnsi" w:hAnsiTheme="majorHAnsi" w:cstheme="majorHAnsi"/>
          <w:color w:val="auto"/>
        </w:rPr>
      </w:pPr>
      <w:r w:rsidRPr="006070EA">
        <w:rPr>
          <w:rFonts w:asciiTheme="majorHAnsi" w:hAnsiTheme="majorHAnsi" w:cstheme="majorHAnsi"/>
          <w:color w:val="auto"/>
        </w:rPr>
        <w:t>Na zpracování územního plánu se podílel kolektiv odborníků různých odvětví. Při zpracování ÚP byly uplatněny poznatky zejména z výše uvedených oborů, ale i dalších technických, přírodovědných a humanitních disciplín. Současně byly přiměřeně aplikovány metodické podklady zpracované na úrovni zainteresovaných resortů a výsledky a závěry analytické činnosti.</w:t>
      </w:r>
    </w:p>
    <w:p w14:paraId="7FEAA051" w14:textId="68843273" w:rsidR="00CE6186" w:rsidRPr="006070EA" w:rsidRDefault="00CE6186" w:rsidP="00D814A9">
      <w:pPr>
        <w:pStyle w:val="Odstavecseseznamem"/>
        <w:keepNext/>
        <w:numPr>
          <w:ilvl w:val="0"/>
          <w:numId w:val="1"/>
        </w:numPr>
        <w:pBdr>
          <w:top w:val="single" w:sz="8" w:space="1" w:color="auto"/>
          <w:left w:val="single" w:sz="8" w:space="4" w:color="auto"/>
          <w:bottom w:val="single" w:sz="8" w:space="1" w:color="auto"/>
          <w:right w:val="single" w:sz="8" w:space="4" w:color="auto"/>
        </w:pBdr>
        <w:shd w:val="clear" w:color="auto" w:fill="F2F2F2" w:themeFill="background1" w:themeFillShade="F2"/>
        <w:spacing w:before="200" w:after="200" w:line="240" w:lineRule="auto"/>
        <w:ind w:left="709" w:hanging="709"/>
        <w:contextualSpacing w:val="0"/>
        <w:jc w:val="both"/>
        <w:outlineLvl w:val="0"/>
        <w:rPr>
          <w:rFonts w:asciiTheme="majorHAnsi" w:hAnsiTheme="majorHAnsi" w:cstheme="majorHAnsi"/>
          <w:b/>
          <w:sz w:val="24"/>
          <w:szCs w:val="28"/>
        </w:rPr>
      </w:pPr>
      <w:bookmarkStart w:id="102" w:name="_Toc424119806"/>
      <w:bookmarkStart w:id="103" w:name="_Toc204678174"/>
      <w:r w:rsidRPr="006070EA">
        <w:rPr>
          <w:rFonts w:asciiTheme="majorHAnsi" w:hAnsiTheme="majorHAnsi" w:cstheme="majorHAnsi"/>
          <w:b/>
          <w:sz w:val="24"/>
          <w:szCs w:val="28"/>
        </w:rPr>
        <w:t>VYHODNOCENÍ SOULADU S POŽADAVKY STAVEBNÍHO ZÁKONA A JEHO PROVÁDĚCÍCH PRÁVNÍCH PŘEDPISŮ</w:t>
      </w:r>
      <w:bookmarkEnd w:id="102"/>
      <w:bookmarkEnd w:id="103"/>
    </w:p>
    <w:p w14:paraId="671537DD" w14:textId="77777777" w:rsidR="00CE6186" w:rsidRPr="006070EA" w:rsidRDefault="00B223BA" w:rsidP="009E07E1">
      <w:pPr>
        <w:keepNext/>
        <w:spacing w:after="120" w:line="240" w:lineRule="auto"/>
        <w:ind w:firstLine="709"/>
        <w:jc w:val="both"/>
        <w:rPr>
          <w:rFonts w:asciiTheme="majorHAnsi" w:hAnsiTheme="majorHAnsi" w:cstheme="majorHAnsi"/>
          <w:i/>
          <w:sz w:val="18"/>
          <w:lang w:eastAsia="ar-SA"/>
        </w:rPr>
      </w:pPr>
      <w:r w:rsidRPr="006070EA">
        <w:rPr>
          <w:rFonts w:asciiTheme="majorHAnsi" w:hAnsiTheme="majorHAnsi" w:cstheme="majorHAnsi"/>
          <w:i/>
          <w:sz w:val="18"/>
          <w:lang w:eastAsia="ar-SA"/>
        </w:rPr>
        <w:t>Zákon č. 183/2006 Sb., § 53, odst. 4 c)</w:t>
      </w:r>
    </w:p>
    <w:p w14:paraId="340CFD9D" w14:textId="77777777" w:rsidR="00B223BA" w:rsidRPr="006070EA" w:rsidRDefault="00B223BA" w:rsidP="009E07E1">
      <w:pPr>
        <w:keepNext/>
        <w:spacing w:after="120" w:line="240" w:lineRule="auto"/>
        <w:ind w:firstLine="709"/>
        <w:jc w:val="both"/>
        <w:rPr>
          <w:rFonts w:asciiTheme="majorHAnsi" w:hAnsiTheme="majorHAnsi" w:cstheme="majorHAnsi"/>
          <w:b/>
          <w:i/>
          <w:sz w:val="18"/>
          <w:lang w:eastAsia="ar-SA"/>
        </w:rPr>
      </w:pPr>
      <w:r w:rsidRPr="006070EA">
        <w:rPr>
          <w:rFonts w:asciiTheme="majorHAnsi" w:hAnsiTheme="majorHAnsi" w:cstheme="majorHAnsi"/>
          <w:b/>
          <w:i/>
          <w:sz w:val="18"/>
          <w:lang w:eastAsia="ar-SA"/>
        </w:rPr>
        <w:t>Zpracovává projektant v rozsahu jím navrhovaných částí.</w:t>
      </w:r>
    </w:p>
    <w:p w14:paraId="4E9CC55F" w14:textId="77777777" w:rsidR="00327E92" w:rsidRPr="006070EA" w:rsidRDefault="00327E92" w:rsidP="00327E92">
      <w:pPr>
        <w:spacing w:after="60" w:line="240" w:lineRule="auto"/>
        <w:ind w:firstLine="709"/>
        <w:jc w:val="both"/>
        <w:rPr>
          <w:rFonts w:asciiTheme="majorHAnsi" w:hAnsiTheme="majorHAnsi" w:cstheme="majorHAnsi"/>
          <w:sz w:val="18"/>
          <w:lang w:eastAsia="ar-SA"/>
        </w:rPr>
      </w:pPr>
      <w:r w:rsidRPr="006070EA">
        <w:rPr>
          <w:rFonts w:asciiTheme="majorHAnsi" w:hAnsiTheme="majorHAnsi" w:cstheme="majorHAnsi"/>
          <w:sz w:val="18"/>
          <w:lang w:eastAsia="ar-SA"/>
        </w:rPr>
        <w:t>Územní plán Kostomlaty nad Labem je zpracován a pořízen v souladu se zákonem č. 183/2006 Sb., o územním plánování a stavebním řádu, ve znění pozdějších předpisů (dále také jen „zákon č. 183/2006 Sb.“ nebo „stavební zákon“), a jeho prováděcích vyhlášek č. 500/2006 Sb., o územně analytických podkladech, územně plánovací dokumentaci a způsobu evidence územně plánovací činnosti, ve znění pozdějších předpisů (dále také jen „vyhláška č. 500/2006 Sb.“) a 501/2006 Sb., o obecných požadavcích na využívání území, ve znění pozdějších předpisů (dále také jen „vyhláška č. 501/2006 Sb.“):</w:t>
      </w:r>
    </w:p>
    <w:p w14:paraId="6F4C9FA1" w14:textId="77777777" w:rsidR="00327E92" w:rsidRPr="006070EA" w:rsidRDefault="00327E92" w:rsidP="00327E92">
      <w:pPr>
        <w:pStyle w:val="Odstavecseseznamem"/>
        <w:numPr>
          <w:ilvl w:val="0"/>
          <w:numId w:val="18"/>
        </w:numPr>
        <w:spacing w:after="60" w:line="240" w:lineRule="auto"/>
        <w:ind w:left="714" w:hanging="357"/>
        <w:contextualSpacing w:val="0"/>
        <w:jc w:val="both"/>
        <w:rPr>
          <w:rFonts w:asciiTheme="majorHAnsi" w:hAnsiTheme="majorHAnsi" w:cstheme="majorHAnsi"/>
          <w:sz w:val="18"/>
          <w:lang w:eastAsia="ar-SA"/>
        </w:rPr>
      </w:pPr>
      <w:r w:rsidRPr="006070EA">
        <w:rPr>
          <w:rFonts w:asciiTheme="majorHAnsi" w:hAnsiTheme="majorHAnsi" w:cstheme="majorHAnsi"/>
          <w:sz w:val="18"/>
          <w:lang w:eastAsia="ar-SA"/>
        </w:rPr>
        <w:t xml:space="preserve">obsahová struktura textové části ÚP Kostomlaty nad Labem je v souladu s </w:t>
      </w:r>
      <w:r w:rsidRPr="006070EA">
        <w:rPr>
          <w:rFonts w:asciiTheme="majorHAnsi" w:hAnsiTheme="majorHAnsi" w:cstheme="majorHAnsi"/>
          <w:b/>
          <w:sz w:val="18"/>
          <w:lang w:eastAsia="ar-SA"/>
        </w:rPr>
        <w:t>§§ 43–55 zákona č. 183/2006 Sb. a přílohou č. 7, část I. vyhlášky č. 500/2006 Sb.</w:t>
      </w:r>
      <w:r w:rsidRPr="006070EA">
        <w:rPr>
          <w:rFonts w:asciiTheme="majorHAnsi" w:hAnsiTheme="majorHAnsi" w:cstheme="majorHAnsi"/>
          <w:sz w:val="18"/>
          <w:lang w:eastAsia="ar-SA"/>
        </w:rPr>
        <w:t>;</w:t>
      </w:r>
    </w:p>
    <w:p w14:paraId="6994E6AF" w14:textId="7F74DAF7" w:rsidR="00327E92" w:rsidRPr="006070EA" w:rsidRDefault="00327E92" w:rsidP="00327E92">
      <w:pPr>
        <w:pStyle w:val="Odstavecseseznamem"/>
        <w:numPr>
          <w:ilvl w:val="0"/>
          <w:numId w:val="18"/>
        </w:numPr>
        <w:spacing w:after="60" w:line="240" w:lineRule="auto"/>
        <w:ind w:left="714" w:hanging="357"/>
        <w:contextualSpacing w:val="0"/>
        <w:jc w:val="both"/>
        <w:rPr>
          <w:rFonts w:asciiTheme="majorHAnsi" w:hAnsiTheme="majorHAnsi" w:cstheme="majorHAnsi"/>
          <w:sz w:val="18"/>
          <w:lang w:eastAsia="ar-SA"/>
        </w:rPr>
      </w:pPr>
      <w:r w:rsidRPr="006070EA">
        <w:rPr>
          <w:rFonts w:asciiTheme="majorHAnsi" w:hAnsiTheme="majorHAnsi" w:cstheme="majorHAnsi"/>
          <w:sz w:val="18"/>
          <w:lang w:eastAsia="ar-SA"/>
        </w:rPr>
        <w:t>grafická část ÚP Kostomlaty nad Labem je zpracována v souladu s </w:t>
      </w:r>
      <w:r w:rsidRPr="006070EA">
        <w:rPr>
          <w:rFonts w:asciiTheme="majorHAnsi" w:hAnsiTheme="majorHAnsi" w:cstheme="majorHAnsi"/>
          <w:b/>
          <w:sz w:val="18"/>
          <w:lang w:eastAsia="ar-SA"/>
        </w:rPr>
        <w:t>přílohou č. 7, část I., odst. 3 a 4 vyhlášky č.</w:t>
      </w:r>
      <w:r w:rsidR="00031B68" w:rsidRPr="006070EA">
        <w:rPr>
          <w:rFonts w:asciiTheme="majorHAnsi" w:hAnsiTheme="majorHAnsi" w:cstheme="majorHAnsi"/>
          <w:b/>
          <w:sz w:val="18"/>
          <w:lang w:eastAsia="ar-SA"/>
        </w:rPr>
        <w:t> </w:t>
      </w:r>
      <w:r w:rsidRPr="006070EA">
        <w:rPr>
          <w:rFonts w:asciiTheme="majorHAnsi" w:hAnsiTheme="majorHAnsi" w:cstheme="majorHAnsi"/>
          <w:b/>
          <w:sz w:val="18"/>
          <w:lang w:eastAsia="ar-SA"/>
        </w:rPr>
        <w:t>500/2006</w:t>
      </w:r>
      <w:r w:rsidR="00031B68" w:rsidRPr="006070EA">
        <w:rPr>
          <w:rFonts w:asciiTheme="majorHAnsi" w:hAnsiTheme="majorHAnsi" w:cstheme="majorHAnsi"/>
          <w:b/>
          <w:sz w:val="18"/>
          <w:lang w:eastAsia="ar-SA"/>
        </w:rPr>
        <w:t> </w:t>
      </w:r>
      <w:r w:rsidRPr="006070EA">
        <w:rPr>
          <w:rFonts w:asciiTheme="majorHAnsi" w:hAnsiTheme="majorHAnsi" w:cstheme="majorHAnsi"/>
          <w:b/>
          <w:sz w:val="18"/>
          <w:lang w:eastAsia="ar-SA"/>
        </w:rPr>
        <w:t>Sb., a v souladu s § 13 a § 14 vyhlášky č. 500/2006 Sb.</w:t>
      </w:r>
      <w:r w:rsidRPr="006070EA">
        <w:rPr>
          <w:rFonts w:asciiTheme="majorHAnsi" w:hAnsiTheme="majorHAnsi" w:cstheme="majorHAnsi"/>
          <w:sz w:val="18"/>
          <w:lang w:eastAsia="ar-SA"/>
        </w:rPr>
        <w:t>;</w:t>
      </w:r>
    </w:p>
    <w:p w14:paraId="1062C9E1" w14:textId="77777777" w:rsidR="00327E92" w:rsidRPr="006070EA" w:rsidRDefault="00327E92" w:rsidP="00327E92">
      <w:pPr>
        <w:pStyle w:val="Odstavecseseznamem"/>
        <w:numPr>
          <w:ilvl w:val="0"/>
          <w:numId w:val="18"/>
        </w:numPr>
        <w:spacing w:after="60" w:line="240" w:lineRule="auto"/>
        <w:ind w:left="714" w:hanging="357"/>
        <w:contextualSpacing w:val="0"/>
        <w:jc w:val="both"/>
        <w:rPr>
          <w:rFonts w:asciiTheme="majorHAnsi" w:hAnsiTheme="majorHAnsi" w:cstheme="majorHAnsi"/>
          <w:sz w:val="18"/>
          <w:lang w:eastAsia="ar-SA"/>
        </w:rPr>
      </w:pPr>
      <w:r w:rsidRPr="006070EA">
        <w:rPr>
          <w:rFonts w:asciiTheme="majorHAnsi" w:hAnsiTheme="majorHAnsi" w:cstheme="majorHAnsi"/>
          <w:sz w:val="18"/>
          <w:lang w:eastAsia="ar-SA"/>
        </w:rPr>
        <w:t xml:space="preserve">ÚP Kostomlaty nad Labem je pořizován v souladu s </w:t>
      </w:r>
      <w:r w:rsidRPr="006070EA">
        <w:rPr>
          <w:rFonts w:asciiTheme="majorHAnsi" w:hAnsiTheme="majorHAnsi" w:cstheme="majorHAnsi"/>
          <w:b/>
          <w:sz w:val="18"/>
          <w:lang w:eastAsia="ar-SA"/>
        </w:rPr>
        <w:t>§§ 44–46 zákona č. 183/2006 Sb.</w:t>
      </w:r>
      <w:r w:rsidRPr="006070EA">
        <w:rPr>
          <w:rFonts w:asciiTheme="majorHAnsi" w:hAnsiTheme="majorHAnsi" w:cstheme="majorHAnsi"/>
          <w:sz w:val="18"/>
          <w:lang w:eastAsia="ar-SA"/>
        </w:rPr>
        <w:t>;</w:t>
      </w:r>
    </w:p>
    <w:p w14:paraId="38E76B58" w14:textId="77777777" w:rsidR="00327E92" w:rsidRPr="006070EA" w:rsidRDefault="00327E92" w:rsidP="00327E92">
      <w:pPr>
        <w:pStyle w:val="Odstavecseseznamem"/>
        <w:numPr>
          <w:ilvl w:val="0"/>
          <w:numId w:val="18"/>
        </w:numPr>
        <w:spacing w:after="0" w:line="240" w:lineRule="auto"/>
        <w:ind w:left="714" w:hanging="357"/>
        <w:contextualSpacing w:val="0"/>
        <w:jc w:val="both"/>
        <w:rPr>
          <w:rFonts w:asciiTheme="majorHAnsi" w:hAnsiTheme="majorHAnsi" w:cstheme="majorHAnsi"/>
          <w:sz w:val="18"/>
          <w:lang w:eastAsia="ar-SA"/>
        </w:rPr>
      </w:pPr>
      <w:r w:rsidRPr="006070EA">
        <w:rPr>
          <w:rFonts w:asciiTheme="majorHAnsi" w:hAnsiTheme="majorHAnsi" w:cstheme="majorHAnsi"/>
          <w:sz w:val="18"/>
          <w:lang w:eastAsia="ar-SA"/>
        </w:rPr>
        <w:t xml:space="preserve">dle </w:t>
      </w:r>
      <w:r w:rsidRPr="006070EA">
        <w:rPr>
          <w:rFonts w:asciiTheme="majorHAnsi" w:hAnsiTheme="majorHAnsi" w:cstheme="majorHAnsi"/>
          <w:b/>
          <w:sz w:val="18"/>
          <w:lang w:eastAsia="ar-SA"/>
        </w:rPr>
        <w:t>§ 53 odst. 4 zákona č. 183/2006 Sb.</w:t>
      </w:r>
      <w:r w:rsidRPr="006070EA">
        <w:rPr>
          <w:rFonts w:asciiTheme="majorHAnsi" w:hAnsiTheme="majorHAnsi" w:cstheme="majorHAnsi"/>
          <w:sz w:val="18"/>
          <w:lang w:eastAsia="ar-SA"/>
        </w:rPr>
        <w:t xml:space="preserve"> je v textové části odůvodnění ÚP Kostomlaty nad Labem vyhodnocen soulad:</w:t>
      </w:r>
    </w:p>
    <w:p w14:paraId="210DE810" w14:textId="77777777" w:rsidR="00327E92" w:rsidRPr="006070EA" w:rsidRDefault="00327E92" w:rsidP="00327E92">
      <w:pPr>
        <w:pStyle w:val="Odstavecseseznamem"/>
        <w:numPr>
          <w:ilvl w:val="1"/>
          <w:numId w:val="18"/>
        </w:numPr>
        <w:spacing w:after="0" w:line="240" w:lineRule="auto"/>
        <w:contextualSpacing w:val="0"/>
        <w:jc w:val="both"/>
        <w:rPr>
          <w:rFonts w:asciiTheme="majorHAnsi" w:hAnsiTheme="majorHAnsi" w:cstheme="majorHAnsi"/>
          <w:sz w:val="18"/>
          <w:lang w:eastAsia="ar-SA"/>
        </w:rPr>
      </w:pPr>
      <w:r w:rsidRPr="006070EA">
        <w:rPr>
          <w:rFonts w:asciiTheme="majorHAnsi" w:hAnsiTheme="majorHAnsi" w:cstheme="majorHAnsi"/>
          <w:sz w:val="18"/>
          <w:lang w:eastAsia="ar-SA"/>
        </w:rPr>
        <w:t xml:space="preserve">s politikou územního rozvoje a územně plánovací dokumentací vydanou krajem, </w:t>
      </w:r>
    </w:p>
    <w:p w14:paraId="2D8C602A" w14:textId="77777777" w:rsidR="00327E92" w:rsidRPr="006070EA" w:rsidRDefault="00327E92" w:rsidP="00327E92">
      <w:pPr>
        <w:pStyle w:val="Odstavecseseznamem"/>
        <w:numPr>
          <w:ilvl w:val="1"/>
          <w:numId w:val="18"/>
        </w:numPr>
        <w:spacing w:after="0" w:line="240" w:lineRule="auto"/>
        <w:contextualSpacing w:val="0"/>
        <w:jc w:val="both"/>
        <w:rPr>
          <w:rFonts w:asciiTheme="majorHAnsi" w:hAnsiTheme="majorHAnsi" w:cstheme="majorHAnsi"/>
          <w:sz w:val="18"/>
          <w:lang w:eastAsia="ar-SA"/>
        </w:rPr>
      </w:pPr>
      <w:r w:rsidRPr="006070EA">
        <w:rPr>
          <w:rFonts w:asciiTheme="majorHAnsi" w:hAnsiTheme="majorHAnsi" w:cstheme="majorHAnsi"/>
          <w:sz w:val="18"/>
          <w:lang w:eastAsia="ar-SA"/>
        </w:rPr>
        <w:t>s cíli a úkoly územního plánování, zejména s požadavky na ochranu architektonických a urbanistických hodnot a požadavky na ochranu nezastavěného území,</w:t>
      </w:r>
    </w:p>
    <w:p w14:paraId="7D52077E" w14:textId="77777777" w:rsidR="00327E92" w:rsidRPr="006070EA" w:rsidRDefault="00327E92" w:rsidP="00327E92">
      <w:pPr>
        <w:pStyle w:val="Odstavecseseznamem"/>
        <w:numPr>
          <w:ilvl w:val="1"/>
          <w:numId w:val="18"/>
        </w:numPr>
        <w:spacing w:after="0" w:line="240" w:lineRule="auto"/>
        <w:contextualSpacing w:val="0"/>
        <w:jc w:val="both"/>
        <w:rPr>
          <w:rFonts w:asciiTheme="majorHAnsi" w:hAnsiTheme="majorHAnsi" w:cstheme="majorHAnsi"/>
          <w:sz w:val="18"/>
          <w:lang w:eastAsia="ar-SA"/>
        </w:rPr>
      </w:pPr>
      <w:r w:rsidRPr="006070EA">
        <w:rPr>
          <w:rFonts w:asciiTheme="majorHAnsi" w:hAnsiTheme="majorHAnsi" w:cstheme="majorHAnsi"/>
          <w:sz w:val="18"/>
          <w:lang w:eastAsia="ar-SA"/>
        </w:rPr>
        <w:t>s požadavky tohoto zákona a jeho prováděcích právních předpisů,</w:t>
      </w:r>
    </w:p>
    <w:p w14:paraId="4EF65D9D" w14:textId="77777777" w:rsidR="00327E92" w:rsidRPr="006070EA" w:rsidRDefault="00327E92" w:rsidP="00327E92">
      <w:pPr>
        <w:pStyle w:val="Odstavecseseznamem"/>
        <w:numPr>
          <w:ilvl w:val="1"/>
          <w:numId w:val="18"/>
        </w:numPr>
        <w:spacing w:after="60" w:line="240" w:lineRule="auto"/>
        <w:contextualSpacing w:val="0"/>
        <w:jc w:val="both"/>
        <w:rPr>
          <w:rFonts w:asciiTheme="majorHAnsi" w:hAnsiTheme="majorHAnsi" w:cstheme="majorHAnsi"/>
          <w:sz w:val="18"/>
          <w:lang w:eastAsia="ar-SA"/>
        </w:rPr>
      </w:pPr>
      <w:r w:rsidRPr="006070EA">
        <w:rPr>
          <w:rFonts w:asciiTheme="majorHAnsi" w:hAnsiTheme="majorHAnsi" w:cstheme="majorHAnsi"/>
          <w:sz w:val="18"/>
          <w:lang w:eastAsia="ar-SA"/>
        </w:rPr>
        <w:t>s požadavky zvláštních právních předpisů a se stanovisky dotčených orgánů podle zvláštních právních předpisů, popřípadě s výsledkem řešení rozporů;</w:t>
      </w:r>
    </w:p>
    <w:p w14:paraId="5C723F27" w14:textId="77777777" w:rsidR="00327E92" w:rsidRPr="006070EA" w:rsidRDefault="00327E92" w:rsidP="00327E92">
      <w:pPr>
        <w:pStyle w:val="Odstavecseseznamem"/>
        <w:numPr>
          <w:ilvl w:val="0"/>
          <w:numId w:val="18"/>
        </w:numPr>
        <w:spacing w:after="0" w:line="240" w:lineRule="auto"/>
        <w:contextualSpacing w:val="0"/>
        <w:jc w:val="both"/>
        <w:rPr>
          <w:rFonts w:asciiTheme="majorHAnsi" w:hAnsiTheme="majorHAnsi" w:cstheme="majorHAnsi"/>
          <w:sz w:val="18"/>
          <w:lang w:eastAsia="ar-SA"/>
        </w:rPr>
      </w:pPr>
      <w:r w:rsidRPr="006070EA">
        <w:rPr>
          <w:rFonts w:asciiTheme="majorHAnsi" w:hAnsiTheme="majorHAnsi" w:cstheme="majorHAnsi"/>
          <w:sz w:val="18"/>
          <w:lang w:eastAsia="ar-SA"/>
        </w:rPr>
        <w:t xml:space="preserve">dle </w:t>
      </w:r>
      <w:r w:rsidRPr="006070EA">
        <w:rPr>
          <w:rFonts w:asciiTheme="majorHAnsi" w:hAnsiTheme="majorHAnsi" w:cstheme="majorHAnsi"/>
          <w:b/>
          <w:sz w:val="18"/>
          <w:lang w:eastAsia="ar-SA"/>
        </w:rPr>
        <w:t xml:space="preserve">§ 53 odst. 5 zákona č. 183/2006 Sb. </w:t>
      </w:r>
      <w:r w:rsidRPr="006070EA">
        <w:rPr>
          <w:rFonts w:asciiTheme="majorHAnsi" w:hAnsiTheme="majorHAnsi" w:cstheme="majorHAnsi"/>
          <w:sz w:val="18"/>
          <w:lang w:eastAsia="ar-SA"/>
        </w:rPr>
        <w:t>je součástí ÚP Kostomlaty nad Labem:</w:t>
      </w:r>
    </w:p>
    <w:p w14:paraId="25EDA352" w14:textId="77777777" w:rsidR="00327E92" w:rsidRPr="006070EA" w:rsidRDefault="00327E92" w:rsidP="00327E92">
      <w:pPr>
        <w:pStyle w:val="Odstavecseseznamem"/>
        <w:numPr>
          <w:ilvl w:val="1"/>
          <w:numId w:val="18"/>
        </w:numPr>
        <w:spacing w:after="0" w:line="240" w:lineRule="auto"/>
        <w:contextualSpacing w:val="0"/>
        <w:jc w:val="both"/>
        <w:rPr>
          <w:rFonts w:asciiTheme="majorHAnsi" w:hAnsiTheme="majorHAnsi" w:cstheme="majorHAnsi"/>
          <w:sz w:val="18"/>
          <w:lang w:eastAsia="ar-SA"/>
        </w:rPr>
      </w:pPr>
      <w:r w:rsidRPr="006070EA">
        <w:rPr>
          <w:rFonts w:asciiTheme="majorHAnsi" w:hAnsiTheme="majorHAnsi" w:cstheme="majorHAnsi"/>
          <w:sz w:val="18"/>
          <w:lang w:eastAsia="ar-SA"/>
        </w:rPr>
        <w:t>výsledek přezkoumání územního plánu podle odstavce 4 (§ 53 zákona č. 183/2006 Sb.),</w:t>
      </w:r>
    </w:p>
    <w:p w14:paraId="289F46B3" w14:textId="77777777" w:rsidR="00327E92" w:rsidRPr="006070EA" w:rsidRDefault="00327E92" w:rsidP="00327E92">
      <w:pPr>
        <w:pStyle w:val="Odstavecseseznamem"/>
        <w:numPr>
          <w:ilvl w:val="1"/>
          <w:numId w:val="18"/>
        </w:numPr>
        <w:spacing w:after="0" w:line="240" w:lineRule="auto"/>
        <w:contextualSpacing w:val="0"/>
        <w:jc w:val="both"/>
        <w:rPr>
          <w:rFonts w:asciiTheme="majorHAnsi" w:hAnsiTheme="majorHAnsi" w:cstheme="majorHAnsi"/>
          <w:sz w:val="18"/>
          <w:lang w:eastAsia="ar-SA"/>
        </w:rPr>
      </w:pPr>
      <w:r w:rsidRPr="006070EA">
        <w:rPr>
          <w:rFonts w:asciiTheme="majorHAnsi" w:hAnsiTheme="majorHAnsi" w:cstheme="majorHAnsi"/>
          <w:sz w:val="18"/>
          <w:lang w:eastAsia="ar-SA"/>
        </w:rPr>
        <w:t>zpráva o vyhodnocení vlivů na udržitelný rozvoj území obsahující základní informace o výsledcích tohoto vyhodnocení včetně výsledků vyhodnocení vlivů na životní prostředí,</w:t>
      </w:r>
    </w:p>
    <w:p w14:paraId="01680691" w14:textId="77777777" w:rsidR="00327E92" w:rsidRPr="006070EA" w:rsidRDefault="00327E92" w:rsidP="00327E92">
      <w:pPr>
        <w:pStyle w:val="Odstavecseseznamem"/>
        <w:numPr>
          <w:ilvl w:val="1"/>
          <w:numId w:val="18"/>
        </w:numPr>
        <w:spacing w:after="0" w:line="240" w:lineRule="auto"/>
        <w:contextualSpacing w:val="0"/>
        <w:jc w:val="both"/>
        <w:rPr>
          <w:rFonts w:asciiTheme="majorHAnsi" w:hAnsiTheme="majorHAnsi" w:cstheme="majorHAnsi"/>
          <w:sz w:val="18"/>
          <w:lang w:eastAsia="ar-SA"/>
        </w:rPr>
      </w:pPr>
      <w:r w:rsidRPr="006070EA">
        <w:rPr>
          <w:rFonts w:asciiTheme="majorHAnsi" w:hAnsiTheme="majorHAnsi" w:cstheme="majorHAnsi"/>
          <w:sz w:val="18"/>
          <w:lang w:eastAsia="ar-SA"/>
        </w:rPr>
        <w:t>stanovisko krajského úřadu podle § 50 odst. 5,</w:t>
      </w:r>
    </w:p>
    <w:p w14:paraId="0ED08B5F" w14:textId="77777777" w:rsidR="00327E92" w:rsidRPr="006070EA" w:rsidRDefault="00327E92" w:rsidP="00327E92">
      <w:pPr>
        <w:pStyle w:val="Odstavecseseznamem"/>
        <w:numPr>
          <w:ilvl w:val="1"/>
          <w:numId w:val="18"/>
        </w:numPr>
        <w:spacing w:after="0" w:line="240" w:lineRule="auto"/>
        <w:contextualSpacing w:val="0"/>
        <w:jc w:val="both"/>
        <w:rPr>
          <w:rFonts w:asciiTheme="majorHAnsi" w:hAnsiTheme="majorHAnsi" w:cstheme="majorHAnsi"/>
          <w:sz w:val="18"/>
          <w:lang w:eastAsia="ar-SA"/>
        </w:rPr>
      </w:pPr>
      <w:r w:rsidRPr="006070EA">
        <w:rPr>
          <w:rFonts w:asciiTheme="majorHAnsi" w:hAnsiTheme="majorHAnsi" w:cstheme="majorHAnsi"/>
          <w:sz w:val="18"/>
          <w:lang w:eastAsia="ar-SA"/>
        </w:rPr>
        <w:t>sdělení, jak bylo stanovisko podle § 50 odst. 5 zohledněno, s uvedením závažných důvodů, pokud některé požadavky nebo podmínky zohledněny nebyly,</w:t>
      </w:r>
    </w:p>
    <w:p w14:paraId="717F72CF" w14:textId="77777777" w:rsidR="00327E92" w:rsidRPr="006070EA" w:rsidRDefault="00327E92" w:rsidP="00327E92">
      <w:pPr>
        <w:pStyle w:val="Odstavecseseznamem"/>
        <w:numPr>
          <w:ilvl w:val="1"/>
          <w:numId w:val="18"/>
        </w:numPr>
        <w:spacing w:after="0" w:line="240" w:lineRule="auto"/>
        <w:contextualSpacing w:val="0"/>
        <w:jc w:val="both"/>
        <w:rPr>
          <w:rFonts w:asciiTheme="majorHAnsi" w:hAnsiTheme="majorHAnsi" w:cstheme="majorHAnsi"/>
          <w:sz w:val="18"/>
          <w:lang w:eastAsia="ar-SA"/>
        </w:rPr>
      </w:pPr>
      <w:r w:rsidRPr="006070EA">
        <w:rPr>
          <w:rFonts w:asciiTheme="majorHAnsi" w:hAnsiTheme="majorHAnsi" w:cstheme="majorHAnsi"/>
          <w:sz w:val="18"/>
          <w:lang w:eastAsia="ar-SA"/>
        </w:rPr>
        <w:t xml:space="preserve">komplexní zdůvodnění přijatého řešení včetně vybrané varianty, </w:t>
      </w:r>
    </w:p>
    <w:p w14:paraId="4164567D" w14:textId="77777777" w:rsidR="00327E92" w:rsidRPr="006070EA" w:rsidRDefault="00327E92" w:rsidP="00327E92">
      <w:pPr>
        <w:pStyle w:val="Odstavecseseznamem"/>
        <w:numPr>
          <w:ilvl w:val="1"/>
          <w:numId w:val="18"/>
        </w:numPr>
        <w:spacing w:after="60" w:line="240" w:lineRule="auto"/>
        <w:contextualSpacing w:val="0"/>
        <w:jc w:val="both"/>
        <w:rPr>
          <w:rFonts w:asciiTheme="majorHAnsi" w:hAnsiTheme="majorHAnsi" w:cstheme="majorHAnsi"/>
          <w:sz w:val="18"/>
          <w:lang w:eastAsia="ar-SA"/>
        </w:rPr>
      </w:pPr>
      <w:r w:rsidRPr="006070EA">
        <w:rPr>
          <w:rFonts w:asciiTheme="majorHAnsi" w:hAnsiTheme="majorHAnsi" w:cstheme="majorHAnsi"/>
          <w:sz w:val="18"/>
          <w:lang w:eastAsia="ar-SA"/>
        </w:rPr>
        <w:t>vyhodnocení účelného využití zastavěného území a vyhodnocení potřeby vymezení zastavitelných ploch;</w:t>
      </w:r>
    </w:p>
    <w:p w14:paraId="4156CF34" w14:textId="77777777" w:rsidR="00327E92" w:rsidRPr="006070EA" w:rsidRDefault="00327E92" w:rsidP="00327E92">
      <w:pPr>
        <w:pStyle w:val="Odstavecseseznamem"/>
        <w:numPr>
          <w:ilvl w:val="0"/>
          <w:numId w:val="18"/>
        </w:numPr>
        <w:spacing w:after="0" w:line="240" w:lineRule="auto"/>
        <w:contextualSpacing w:val="0"/>
        <w:jc w:val="both"/>
        <w:rPr>
          <w:rFonts w:asciiTheme="majorHAnsi" w:hAnsiTheme="majorHAnsi" w:cstheme="majorHAnsi"/>
          <w:sz w:val="18"/>
          <w:lang w:eastAsia="ar-SA"/>
        </w:rPr>
      </w:pPr>
      <w:r w:rsidRPr="006070EA">
        <w:rPr>
          <w:rFonts w:asciiTheme="majorHAnsi" w:hAnsiTheme="majorHAnsi" w:cstheme="majorHAnsi"/>
          <w:sz w:val="18"/>
          <w:lang w:eastAsia="ar-SA"/>
        </w:rPr>
        <w:t xml:space="preserve">dle </w:t>
      </w:r>
      <w:r w:rsidRPr="006070EA">
        <w:rPr>
          <w:rFonts w:asciiTheme="majorHAnsi" w:hAnsiTheme="majorHAnsi" w:cstheme="majorHAnsi"/>
          <w:b/>
          <w:sz w:val="18"/>
          <w:lang w:eastAsia="ar-SA"/>
        </w:rPr>
        <w:t xml:space="preserve">přílohy č. 7, část II. vyhlášky č. 500/2006 Sb. </w:t>
      </w:r>
      <w:r w:rsidRPr="006070EA">
        <w:rPr>
          <w:rFonts w:asciiTheme="majorHAnsi" w:hAnsiTheme="majorHAnsi" w:cstheme="majorHAnsi"/>
          <w:sz w:val="18"/>
          <w:lang w:eastAsia="ar-SA"/>
        </w:rPr>
        <w:t xml:space="preserve">je součástí ÚP Kostomlaty nad Labem: </w:t>
      </w:r>
    </w:p>
    <w:p w14:paraId="3A57D6E8" w14:textId="77777777" w:rsidR="00327E92" w:rsidRPr="006070EA" w:rsidRDefault="00327E92" w:rsidP="00327E92">
      <w:pPr>
        <w:pStyle w:val="Odstavecseseznamem"/>
        <w:numPr>
          <w:ilvl w:val="1"/>
          <w:numId w:val="18"/>
        </w:numPr>
        <w:spacing w:after="0" w:line="240" w:lineRule="auto"/>
        <w:contextualSpacing w:val="0"/>
        <w:jc w:val="both"/>
        <w:rPr>
          <w:rFonts w:asciiTheme="majorHAnsi" w:hAnsiTheme="majorHAnsi" w:cstheme="majorHAnsi"/>
          <w:sz w:val="18"/>
          <w:lang w:eastAsia="ar-SA"/>
        </w:rPr>
      </w:pPr>
      <w:r w:rsidRPr="006070EA">
        <w:rPr>
          <w:rFonts w:asciiTheme="majorHAnsi" w:hAnsiTheme="majorHAnsi" w:cstheme="majorHAnsi"/>
          <w:sz w:val="18"/>
          <w:lang w:eastAsia="ar-SA"/>
        </w:rPr>
        <w:t>vyhodnocení koordinace využívání území z hlediska širších vztahů v území,</w:t>
      </w:r>
    </w:p>
    <w:p w14:paraId="56DC5407" w14:textId="77777777" w:rsidR="00327E92" w:rsidRPr="006070EA" w:rsidRDefault="00327E92" w:rsidP="00327E92">
      <w:pPr>
        <w:pStyle w:val="Odstavecseseznamem"/>
        <w:numPr>
          <w:ilvl w:val="1"/>
          <w:numId w:val="18"/>
        </w:numPr>
        <w:spacing w:after="0" w:line="240" w:lineRule="auto"/>
        <w:contextualSpacing w:val="0"/>
        <w:jc w:val="both"/>
        <w:rPr>
          <w:rFonts w:asciiTheme="majorHAnsi" w:hAnsiTheme="majorHAnsi" w:cstheme="majorHAnsi"/>
          <w:sz w:val="18"/>
          <w:lang w:eastAsia="ar-SA"/>
        </w:rPr>
      </w:pPr>
      <w:r w:rsidRPr="006070EA">
        <w:rPr>
          <w:rFonts w:asciiTheme="majorHAnsi" w:hAnsiTheme="majorHAnsi" w:cstheme="majorHAnsi"/>
          <w:sz w:val="18"/>
          <w:lang w:eastAsia="ar-SA"/>
        </w:rPr>
        <w:t>vyhodnocení splnění požadavků zadání,</w:t>
      </w:r>
    </w:p>
    <w:p w14:paraId="5D9070E6" w14:textId="77777777" w:rsidR="00327E92" w:rsidRPr="006070EA" w:rsidRDefault="00327E92" w:rsidP="00327E92">
      <w:pPr>
        <w:pStyle w:val="Odstavecseseznamem"/>
        <w:numPr>
          <w:ilvl w:val="1"/>
          <w:numId w:val="18"/>
        </w:numPr>
        <w:spacing w:after="0" w:line="240" w:lineRule="auto"/>
        <w:contextualSpacing w:val="0"/>
        <w:jc w:val="both"/>
        <w:rPr>
          <w:rFonts w:asciiTheme="majorHAnsi" w:hAnsiTheme="majorHAnsi" w:cstheme="majorHAnsi"/>
          <w:sz w:val="18"/>
          <w:lang w:eastAsia="ar-SA"/>
        </w:rPr>
      </w:pPr>
      <w:r w:rsidRPr="006070EA">
        <w:rPr>
          <w:rFonts w:asciiTheme="majorHAnsi" w:hAnsiTheme="majorHAnsi" w:cstheme="majorHAnsi"/>
          <w:sz w:val="18"/>
          <w:lang w:eastAsia="ar-SA"/>
        </w:rPr>
        <w:t>výčet záležitostí nemístního významu, které nejsou řešeny v zásadách územního rozvoje (§ 43, odst. 1 stavebního zákona), s odůvodněním potřeby jejich vymezení,</w:t>
      </w:r>
    </w:p>
    <w:p w14:paraId="09481807" w14:textId="77777777" w:rsidR="00327E92" w:rsidRPr="006070EA" w:rsidRDefault="00327E92" w:rsidP="00327E92">
      <w:pPr>
        <w:pStyle w:val="Odstavecseseznamem"/>
        <w:numPr>
          <w:ilvl w:val="1"/>
          <w:numId w:val="18"/>
        </w:numPr>
        <w:spacing w:after="60" w:line="240" w:lineRule="auto"/>
        <w:contextualSpacing w:val="0"/>
        <w:jc w:val="both"/>
        <w:rPr>
          <w:rFonts w:asciiTheme="majorHAnsi" w:hAnsiTheme="majorHAnsi" w:cstheme="majorHAnsi"/>
          <w:sz w:val="18"/>
          <w:lang w:eastAsia="ar-SA"/>
        </w:rPr>
      </w:pPr>
      <w:r w:rsidRPr="006070EA">
        <w:rPr>
          <w:rFonts w:asciiTheme="majorHAnsi" w:hAnsiTheme="majorHAnsi" w:cstheme="majorHAnsi"/>
          <w:sz w:val="18"/>
          <w:lang w:eastAsia="ar-SA"/>
        </w:rPr>
        <w:t>vyhodnocení předpokládaných důsledků navrhovaného řešení na zemědělský půdní fond a pozemky určené k plnění funkce lesa.</w:t>
      </w:r>
    </w:p>
    <w:p w14:paraId="557E8476" w14:textId="2DCE6A4F" w:rsidR="00327E92" w:rsidRPr="006070EA" w:rsidRDefault="00327E92" w:rsidP="00327E92">
      <w:pPr>
        <w:spacing w:before="120" w:after="60" w:line="240" w:lineRule="auto"/>
        <w:ind w:firstLine="709"/>
        <w:jc w:val="both"/>
        <w:rPr>
          <w:rFonts w:asciiTheme="majorHAnsi" w:hAnsiTheme="majorHAnsi" w:cstheme="majorHAnsi"/>
          <w:color w:val="FF0000"/>
          <w:sz w:val="18"/>
          <w:lang w:eastAsia="ar-SA"/>
        </w:rPr>
      </w:pPr>
      <w:r w:rsidRPr="006070EA">
        <w:rPr>
          <w:rFonts w:asciiTheme="majorHAnsi" w:hAnsiTheme="majorHAnsi" w:cstheme="majorHAnsi"/>
          <w:sz w:val="18"/>
          <w:lang w:eastAsia="ar-SA"/>
        </w:rPr>
        <w:t>Soulad Územního plánu Kostomlaty nad Labem s požadavky stavebního zákona a jeho prováděcích předpisů lze mimo jiné dokladovat také na vlastní dokumentaci a průběhu jejího pořizování.</w:t>
      </w:r>
    </w:p>
    <w:p w14:paraId="4E73090C" w14:textId="77777777" w:rsidR="00B223BA" w:rsidRPr="006070EA" w:rsidRDefault="00B223BA" w:rsidP="009E33CB">
      <w:pPr>
        <w:pStyle w:val="Odstavecseseznamem"/>
        <w:keepNext/>
        <w:numPr>
          <w:ilvl w:val="0"/>
          <w:numId w:val="1"/>
        </w:numPr>
        <w:pBdr>
          <w:top w:val="single" w:sz="8" w:space="1" w:color="auto"/>
          <w:left w:val="single" w:sz="8" w:space="4" w:color="auto"/>
          <w:bottom w:val="single" w:sz="8" w:space="1" w:color="auto"/>
          <w:right w:val="single" w:sz="8" w:space="4" w:color="auto"/>
        </w:pBdr>
        <w:shd w:val="clear" w:color="auto" w:fill="F2F2F2" w:themeFill="background1" w:themeFillShade="F2"/>
        <w:spacing w:before="200" w:after="200" w:line="240" w:lineRule="auto"/>
        <w:ind w:left="709" w:hanging="709"/>
        <w:contextualSpacing w:val="0"/>
        <w:jc w:val="both"/>
        <w:outlineLvl w:val="0"/>
        <w:rPr>
          <w:rFonts w:asciiTheme="majorHAnsi" w:hAnsiTheme="majorHAnsi" w:cstheme="majorHAnsi"/>
          <w:b/>
          <w:sz w:val="24"/>
          <w:szCs w:val="28"/>
        </w:rPr>
      </w:pPr>
      <w:bookmarkStart w:id="104" w:name="_Toc424119807"/>
      <w:bookmarkStart w:id="105" w:name="_Toc204678175"/>
      <w:r w:rsidRPr="006070EA">
        <w:rPr>
          <w:rFonts w:asciiTheme="majorHAnsi" w:hAnsiTheme="majorHAnsi" w:cstheme="majorHAnsi"/>
          <w:b/>
          <w:sz w:val="24"/>
          <w:szCs w:val="28"/>
        </w:rPr>
        <w:lastRenderedPageBreak/>
        <w:t>VYHODNOCENÍ SOULADU S POŽADAVKY ZVLÁŠTNÍCH PRÁVNÍCH PŘEDPISŮ A SE STANOVISKY DOTČENÝCH ORGÁNŮ PODLE ZVLÁŠTNÍCH PRÁVNÍCH PŘEDPISŮ, POPŘÍPADĚ S VÝSLEDKEM ŘEŠENÍ ROZPORŮ</w:t>
      </w:r>
      <w:bookmarkEnd w:id="104"/>
      <w:bookmarkEnd w:id="105"/>
    </w:p>
    <w:p w14:paraId="2E2EE0A3" w14:textId="77777777" w:rsidR="00B223BA" w:rsidRPr="006070EA" w:rsidRDefault="00B223BA" w:rsidP="009E33CB">
      <w:pPr>
        <w:keepNext/>
        <w:spacing w:after="120" w:line="240" w:lineRule="auto"/>
        <w:ind w:firstLine="709"/>
        <w:jc w:val="both"/>
        <w:rPr>
          <w:rFonts w:asciiTheme="majorHAnsi" w:hAnsiTheme="majorHAnsi" w:cstheme="majorHAnsi"/>
          <w:i/>
          <w:sz w:val="18"/>
          <w:lang w:eastAsia="ar-SA"/>
        </w:rPr>
      </w:pPr>
      <w:r w:rsidRPr="006070EA">
        <w:rPr>
          <w:rFonts w:asciiTheme="majorHAnsi" w:hAnsiTheme="majorHAnsi" w:cstheme="majorHAnsi"/>
          <w:i/>
          <w:sz w:val="18"/>
          <w:lang w:eastAsia="ar-SA"/>
        </w:rPr>
        <w:t>Zákon č. 183/2006 Sb., § 53, odst. 4 d)</w:t>
      </w:r>
    </w:p>
    <w:p w14:paraId="576C876F" w14:textId="708FC42A" w:rsidR="00B223BA" w:rsidRPr="006070EA" w:rsidRDefault="00B223BA" w:rsidP="009E33CB">
      <w:pPr>
        <w:keepNext/>
        <w:spacing w:after="120" w:line="240" w:lineRule="auto"/>
        <w:ind w:firstLine="709"/>
        <w:jc w:val="both"/>
        <w:rPr>
          <w:rFonts w:asciiTheme="majorHAnsi" w:hAnsiTheme="majorHAnsi" w:cstheme="majorHAnsi"/>
          <w:b/>
          <w:i/>
          <w:sz w:val="18"/>
          <w:lang w:eastAsia="ar-SA"/>
        </w:rPr>
      </w:pPr>
      <w:r w:rsidRPr="006070EA">
        <w:rPr>
          <w:rFonts w:asciiTheme="majorHAnsi" w:hAnsiTheme="majorHAnsi" w:cstheme="majorHAnsi"/>
          <w:b/>
          <w:i/>
          <w:sz w:val="18"/>
          <w:lang w:eastAsia="ar-SA"/>
        </w:rPr>
        <w:t>Zpracovává projektant (soulad se zvláštními právními předpisy) společně s pořizovatelem.</w:t>
      </w:r>
    </w:p>
    <w:p w14:paraId="72C6F242" w14:textId="77777777" w:rsidR="00B64E3A" w:rsidRPr="00B64E3A" w:rsidRDefault="00B64E3A" w:rsidP="00B64E3A">
      <w:pPr>
        <w:spacing w:after="60" w:line="240" w:lineRule="auto"/>
        <w:ind w:firstLine="709"/>
        <w:jc w:val="both"/>
        <w:rPr>
          <w:rFonts w:asciiTheme="majorHAnsi" w:hAnsiTheme="majorHAnsi" w:cstheme="majorHAnsi"/>
          <w:sz w:val="18"/>
          <w:szCs w:val="18"/>
          <w:lang w:eastAsia="ar-SA"/>
        </w:rPr>
      </w:pPr>
      <w:r w:rsidRPr="00B64E3A">
        <w:rPr>
          <w:rFonts w:asciiTheme="majorHAnsi" w:hAnsiTheme="majorHAnsi" w:cstheme="majorHAnsi"/>
          <w:sz w:val="18"/>
          <w:szCs w:val="18"/>
          <w:lang w:eastAsia="ar-SA"/>
        </w:rPr>
        <w:t>Územní plán je v souladu s požadavky zvláštních právních předpisů a se stanovisky dotčených orgánů podle zvláštních právních předpisů. Návrh byl upraven v souladu se stanovisky uplatněnými k návrhu zadání územního plánu, ke společnému jednání, k veřejnému projednání, k návrhu rozhodnutí o námitkách a k návrhu vyhodnocení připomínek.</w:t>
      </w:r>
    </w:p>
    <w:p w14:paraId="5548C4A9" w14:textId="77777777" w:rsidR="00B64E3A" w:rsidRPr="00B64E3A" w:rsidRDefault="00B64E3A" w:rsidP="00B64E3A">
      <w:pPr>
        <w:spacing w:after="60" w:line="240" w:lineRule="auto"/>
        <w:ind w:firstLine="709"/>
        <w:jc w:val="both"/>
        <w:rPr>
          <w:rFonts w:asciiTheme="majorHAnsi" w:hAnsiTheme="majorHAnsi" w:cstheme="majorHAnsi"/>
          <w:sz w:val="18"/>
          <w:szCs w:val="18"/>
          <w:lang w:eastAsia="ar-SA"/>
        </w:rPr>
      </w:pPr>
      <w:r w:rsidRPr="00B64E3A">
        <w:rPr>
          <w:rFonts w:asciiTheme="majorHAnsi" w:hAnsiTheme="majorHAnsi" w:cstheme="majorHAnsi"/>
          <w:sz w:val="18"/>
          <w:szCs w:val="18"/>
          <w:lang w:eastAsia="ar-SA"/>
        </w:rPr>
        <w:t>Jedná se zvláště o tato stanoviska:</w:t>
      </w:r>
    </w:p>
    <w:p w14:paraId="63AD7CCE" w14:textId="77777777" w:rsidR="00B64E3A" w:rsidRPr="00B64E3A" w:rsidRDefault="00B64E3A" w:rsidP="00B64E3A">
      <w:pPr>
        <w:spacing w:after="60" w:line="240" w:lineRule="auto"/>
        <w:ind w:firstLine="709"/>
        <w:jc w:val="both"/>
        <w:rPr>
          <w:rFonts w:asciiTheme="majorHAnsi" w:hAnsiTheme="majorHAnsi" w:cstheme="majorHAnsi"/>
          <w:sz w:val="18"/>
          <w:szCs w:val="18"/>
          <w:lang w:eastAsia="ar-SA"/>
        </w:rPr>
      </w:pPr>
      <w:r w:rsidRPr="00B64E3A">
        <w:rPr>
          <w:rFonts w:asciiTheme="majorHAnsi" w:hAnsiTheme="majorHAnsi" w:cstheme="majorHAnsi"/>
          <w:sz w:val="18"/>
          <w:szCs w:val="18"/>
          <w:lang w:eastAsia="ar-SA"/>
        </w:rPr>
        <w:t>Krajský úřad Stř. kraje, odbor životního prostředí a zemědělství -  č. j. 044598/2019/KUSK z 8.4.2019</w:t>
      </w:r>
    </w:p>
    <w:p w14:paraId="1199DCE1" w14:textId="77777777" w:rsidR="00B64E3A" w:rsidRPr="00B64E3A" w:rsidRDefault="00B64E3A" w:rsidP="00B64E3A">
      <w:pPr>
        <w:spacing w:after="60" w:line="240" w:lineRule="auto"/>
        <w:ind w:firstLine="709"/>
        <w:jc w:val="both"/>
        <w:rPr>
          <w:rFonts w:asciiTheme="majorHAnsi" w:hAnsiTheme="majorHAnsi" w:cstheme="majorHAnsi"/>
          <w:sz w:val="18"/>
          <w:szCs w:val="18"/>
          <w:lang w:eastAsia="ar-SA"/>
        </w:rPr>
      </w:pPr>
      <w:r w:rsidRPr="00B64E3A">
        <w:rPr>
          <w:rFonts w:asciiTheme="majorHAnsi" w:hAnsiTheme="majorHAnsi" w:cstheme="majorHAnsi"/>
          <w:sz w:val="18"/>
          <w:szCs w:val="18"/>
          <w:lang w:eastAsia="ar-SA"/>
        </w:rPr>
        <w:t>Krajský úřad Stř. kraje, odbor životního prostředí a zemědělství -  č. j.084126/KUSK z 16.8.2021</w:t>
      </w:r>
    </w:p>
    <w:p w14:paraId="56BB68BF" w14:textId="77777777" w:rsidR="00B64E3A" w:rsidRPr="00B64E3A" w:rsidRDefault="00B64E3A" w:rsidP="00B64E3A">
      <w:pPr>
        <w:spacing w:after="60" w:line="240" w:lineRule="auto"/>
        <w:ind w:firstLine="709"/>
        <w:jc w:val="both"/>
        <w:rPr>
          <w:rFonts w:asciiTheme="majorHAnsi" w:hAnsiTheme="majorHAnsi" w:cstheme="majorHAnsi"/>
          <w:sz w:val="18"/>
          <w:szCs w:val="18"/>
          <w:lang w:eastAsia="ar-SA"/>
        </w:rPr>
      </w:pPr>
      <w:r w:rsidRPr="00B64E3A">
        <w:rPr>
          <w:rFonts w:asciiTheme="majorHAnsi" w:hAnsiTheme="majorHAnsi" w:cstheme="majorHAnsi"/>
          <w:sz w:val="18"/>
          <w:szCs w:val="18"/>
          <w:lang w:eastAsia="ar-SA"/>
        </w:rPr>
        <w:t>Ministerstvo dopravy – zn. 247/2019-910-UPR/2 z 23.4.2019</w:t>
      </w:r>
    </w:p>
    <w:p w14:paraId="6EAE4C63" w14:textId="77777777" w:rsidR="00B64E3A" w:rsidRPr="00B64E3A" w:rsidRDefault="00B64E3A" w:rsidP="00B64E3A">
      <w:pPr>
        <w:spacing w:after="60" w:line="240" w:lineRule="auto"/>
        <w:ind w:left="709"/>
        <w:jc w:val="both"/>
        <w:rPr>
          <w:rFonts w:asciiTheme="majorHAnsi" w:hAnsiTheme="majorHAnsi" w:cstheme="majorHAnsi"/>
          <w:sz w:val="18"/>
          <w:szCs w:val="18"/>
          <w:lang w:eastAsia="ar-SA"/>
        </w:rPr>
      </w:pPr>
      <w:r w:rsidRPr="00B64E3A">
        <w:rPr>
          <w:rFonts w:asciiTheme="majorHAnsi" w:hAnsiTheme="majorHAnsi" w:cstheme="majorHAnsi"/>
          <w:sz w:val="18"/>
          <w:szCs w:val="18"/>
          <w:lang w:eastAsia="ar-SA"/>
        </w:rPr>
        <w:t>Ministerstvo obrany – sz. zn. 107976/2019-1150-OÚZ-LIT z 8.4.2019  a sp. zn. 138059/2022-1322-OÚZ-PHA z 11.7.2022</w:t>
      </w:r>
    </w:p>
    <w:p w14:paraId="2FB56C79" w14:textId="77777777" w:rsidR="00B64E3A" w:rsidRPr="00B64E3A" w:rsidRDefault="00B64E3A" w:rsidP="00B64E3A">
      <w:pPr>
        <w:spacing w:after="60" w:line="240" w:lineRule="auto"/>
        <w:ind w:left="709"/>
        <w:jc w:val="both"/>
        <w:rPr>
          <w:rFonts w:asciiTheme="majorHAnsi" w:hAnsiTheme="majorHAnsi" w:cstheme="majorHAnsi"/>
          <w:sz w:val="18"/>
          <w:szCs w:val="18"/>
          <w:lang w:eastAsia="ar-SA"/>
        </w:rPr>
      </w:pPr>
      <w:r w:rsidRPr="00B64E3A">
        <w:rPr>
          <w:rFonts w:asciiTheme="majorHAnsi" w:hAnsiTheme="majorHAnsi" w:cstheme="majorHAnsi"/>
          <w:sz w:val="18"/>
          <w:szCs w:val="18"/>
          <w:lang w:eastAsia="ar-SA"/>
        </w:rPr>
        <w:t>Krajský úřad Stř. kraje – koordinované stanovisko č. j. 066126/2022/KUSK z 20.7.2022, č. j. 048765/2023/KUSK z 28.4.2023, č. j. 079051/2023/KUSK z 27.7.2023</w:t>
      </w:r>
    </w:p>
    <w:p w14:paraId="5E0F3732" w14:textId="77777777" w:rsidR="00B64E3A" w:rsidRPr="00B64E3A" w:rsidRDefault="00B64E3A" w:rsidP="00B64E3A">
      <w:pPr>
        <w:spacing w:after="60" w:line="240" w:lineRule="auto"/>
        <w:ind w:firstLine="709"/>
        <w:jc w:val="both"/>
        <w:rPr>
          <w:rFonts w:asciiTheme="majorHAnsi" w:hAnsiTheme="majorHAnsi" w:cstheme="majorHAnsi"/>
          <w:sz w:val="18"/>
          <w:szCs w:val="18"/>
          <w:lang w:eastAsia="ar-SA"/>
        </w:rPr>
      </w:pPr>
      <w:r w:rsidRPr="00B64E3A">
        <w:rPr>
          <w:rFonts w:asciiTheme="majorHAnsi" w:hAnsiTheme="majorHAnsi" w:cstheme="majorHAnsi"/>
          <w:sz w:val="18"/>
          <w:szCs w:val="18"/>
          <w:lang w:eastAsia="ar-SA"/>
        </w:rPr>
        <w:t>Krajský úřad Stř. kraje, odbor územního plánování a stavebního řádu – č. j. 117004/2023/KUSK z 12.9.2023</w:t>
      </w:r>
    </w:p>
    <w:p w14:paraId="08C55FD2" w14:textId="77777777" w:rsidR="00B64E3A" w:rsidRPr="00B64E3A" w:rsidRDefault="00B64E3A" w:rsidP="00B64E3A">
      <w:pPr>
        <w:spacing w:after="60" w:line="240" w:lineRule="auto"/>
        <w:ind w:firstLine="709"/>
        <w:jc w:val="both"/>
        <w:rPr>
          <w:rFonts w:asciiTheme="majorHAnsi" w:hAnsiTheme="majorHAnsi" w:cstheme="majorHAnsi"/>
          <w:sz w:val="18"/>
          <w:szCs w:val="18"/>
          <w:lang w:eastAsia="ar-SA"/>
        </w:rPr>
      </w:pPr>
      <w:r w:rsidRPr="00B64E3A">
        <w:rPr>
          <w:rFonts w:asciiTheme="majorHAnsi" w:hAnsiTheme="majorHAnsi" w:cstheme="majorHAnsi"/>
          <w:sz w:val="18"/>
          <w:szCs w:val="18"/>
          <w:lang w:eastAsia="ar-SA"/>
        </w:rPr>
        <w:t>Krajský úřad Stř. kraje – koordinované stanovisko č. j. 100272/2024/KUSK z 20.8.2024</w:t>
      </w:r>
    </w:p>
    <w:p w14:paraId="16F9A8EC" w14:textId="77777777" w:rsidR="00B64E3A" w:rsidRPr="00B64E3A" w:rsidRDefault="00B64E3A" w:rsidP="00B64E3A">
      <w:pPr>
        <w:spacing w:after="60" w:line="240" w:lineRule="auto"/>
        <w:ind w:firstLine="709"/>
        <w:jc w:val="both"/>
        <w:rPr>
          <w:rFonts w:asciiTheme="majorHAnsi" w:hAnsiTheme="majorHAnsi" w:cstheme="majorHAnsi"/>
          <w:sz w:val="18"/>
          <w:szCs w:val="18"/>
          <w:lang w:eastAsia="ar-SA"/>
        </w:rPr>
      </w:pPr>
      <w:r w:rsidRPr="00B64E3A">
        <w:rPr>
          <w:rFonts w:asciiTheme="majorHAnsi" w:hAnsiTheme="majorHAnsi" w:cstheme="majorHAnsi"/>
          <w:sz w:val="18"/>
          <w:szCs w:val="18"/>
          <w:lang w:eastAsia="ar-SA"/>
        </w:rPr>
        <w:t>Krajský úřad Stř. kraje, odbor územního plánování a stavebního řádu – č. j. 112447/2024/KUSK z 22.8.2024.</w:t>
      </w:r>
    </w:p>
    <w:p w14:paraId="02D230F7" w14:textId="77777777" w:rsidR="00B64E3A" w:rsidRPr="00B64E3A" w:rsidRDefault="00B64E3A" w:rsidP="00B64E3A">
      <w:pPr>
        <w:spacing w:after="60" w:line="240" w:lineRule="auto"/>
        <w:ind w:left="709"/>
        <w:jc w:val="both"/>
        <w:rPr>
          <w:rFonts w:asciiTheme="majorHAnsi" w:hAnsiTheme="majorHAnsi" w:cstheme="majorHAnsi"/>
          <w:sz w:val="18"/>
          <w:szCs w:val="18"/>
          <w:lang w:eastAsia="ar-SA"/>
        </w:rPr>
      </w:pPr>
      <w:r w:rsidRPr="00B64E3A">
        <w:rPr>
          <w:rFonts w:asciiTheme="majorHAnsi" w:hAnsiTheme="majorHAnsi" w:cstheme="majorHAnsi"/>
          <w:sz w:val="18"/>
          <w:szCs w:val="18"/>
          <w:lang w:eastAsia="ar-SA"/>
        </w:rPr>
        <w:t>Krajský úřad Středočeského kraje, koordinované stanovisko č. j. 012945/2025/KUSK z 3.3.2025 a č. j. 073968/2025/KUSK z 12.06.2025.</w:t>
      </w:r>
    </w:p>
    <w:p w14:paraId="54AD354B" w14:textId="77777777" w:rsidR="00B64E3A" w:rsidRPr="00B64E3A" w:rsidRDefault="00B64E3A" w:rsidP="00B64E3A">
      <w:pPr>
        <w:spacing w:after="60" w:line="240" w:lineRule="auto"/>
        <w:ind w:firstLine="709"/>
        <w:jc w:val="both"/>
        <w:rPr>
          <w:rFonts w:asciiTheme="majorHAnsi" w:hAnsiTheme="majorHAnsi" w:cstheme="majorHAnsi"/>
          <w:sz w:val="18"/>
          <w:szCs w:val="18"/>
          <w:lang w:eastAsia="ar-SA"/>
        </w:rPr>
      </w:pPr>
      <w:r w:rsidRPr="00B64E3A">
        <w:rPr>
          <w:rFonts w:asciiTheme="majorHAnsi" w:hAnsiTheme="majorHAnsi" w:cstheme="majorHAnsi"/>
          <w:sz w:val="18"/>
          <w:szCs w:val="18"/>
          <w:lang w:eastAsia="ar-SA"/>
        </w:rPr>
        <w:t xml:space="preserve">Krajský úřad Středočeského kraje, odbor územního plánování a stavebního řádu, jako nadřízený orgán územního plánování, posoudil podle ustanovení § 50 odst. 7 stavebního zákona návrh územního plánu Kostomlaty nad Labem, neshledal v něm chyby a nedostatky a vydal dne 12.09.2023 stanovisko, v němž konstatoval, že lze postupovat v dalším řízení o územním plánu. </w:t>
      </w:r>
    </w:p>
    <w:p w14:paraId="13E2559E" w14:textId="77777777" w:rsidR="00B64E3A" w:rsidRPr="00B64E3A" w:rsidRDefault="00B64E3A" w:rsidP="00B64E3A">
      <w:pPr>
        <w:spacing w:after="60" w:line="240" w:lineRule="auto"/>
        <w:ind w:firstLine="709"/>
        <w:jc w:val="both"/>
        <w:rPr>
          <w:rFonts w:asciiTheme="majorHAnsi" w:hAnsiTheme="majorHAnsi" w:cstheme="majorHAnsi"/>
          <w:sz w:val="18"/>
          <w:szCs w:val="18"/>
          <w:lang w:eastAsia="ar-SA"/>
        </w:rPr>
      </w:pPr>
      <w:r w:rsidRPr="00B64E3A">
        <w:rPr>
          <w:rFonts w:asciiTheme="majorHAnsi" w:hAnsiTheme="majorHAnsi" w:cstheme="majorHAnsi"/>
          <w:sz w:val="18"/>
          <w:szCs w:val="18"/>
          <w:lang w:eastAsia="ar-SA"/>
        </w:rPr>
        <w:t>Pořizovatel v dalších fázích pořizování ÚP postupoval v souladu s požadavky zvláštních právních předpisů.</w:t>
      </w:r>
    </w:p>
    <w:p w14:paraId="46D90457" w14:textId="77777777" w:rsidR="009E33CB" w:rsidRPr="006070EA" w:rsidRDefault="009E33CB" w:rsidP="00AA641A">
      <w:pPr>
        <w:pStyle w:val="Odstavecseseznamem"/>
        <w:keepNext/>
        <w:numPr>
          <w:ilvl w:val="0"/>
          <w:numId w:val="1"/>
        </w:numPr>
        <w:pBdr>
          <w:top w:val="single" w:sz="8" w:space="1" w:color="auto"/>
          <w:left w:val="single" w:sz="8" w:space="4" w:color="auto"/>
          <w:bottom w:val="single" w:sz="8" w:space="1" w:color="auto"/>
          <w:right w:val="single" w:sz="8" w:space="4" w:color="auto"/>
        </w:pBdr>
        <w:shd w:val="clear" w:color="auto" w:fill="F2F2F2" w:themeFill="background1" w:themeFillShade="F2"/>
        <w:spacing w:before="200" w:after="200" w:line="240" w:lineRule="auto"/>
        <w:ind w:left="709" w:hanging="709"/>
        <w:contextualSpacing w:val="0"/>
        <w:jc w:val="both"/>
        <w:outlineLvl w:val="0"/>
        <w:rPr>
          <w:rFonts w:asciiTheme="majorHAnsi" w:hAnsiTheme="majorHAnsi" w:cstheme="majorHAnsi"/>
          <w:b/>
          <w:sz w:val="24"/>
          <w:szCs w:val="28"/>
        </w:rPr>
      </w:pPr>
      <w:bookmarkStart w:id="106" w:name="_Toc415755952"/>
      <w:bookmarkStart w:id="107" w:name="_Toc415756318"/>
      <w:bookmarkStart w:id="108" w:name="_Toc415756677"/>
      <w:bookmarkStart w:id="109" w:name="_Toc415756927"/>
      <w:bookmarkStart w:id="110" w:name="_Toc415757177"/>
      <w:bookmarkStart w:id="111" w:name="_Toc415757426"/>
      <w:bookmarkStart w:id="112" w:name="_Toc415757584"/>
      <w:bookmarkStart w:id="113" w:name="_Toc424050110"/>
      <w:bookmarkStart w:id="114" w:name="_Toc424050284"/>
      <w:bookmarkStart w:id="115" w:name="_Toc424050442"/>
      <w:bookmarkStart w:id="116" w:name="_Toc424112304"/>
      <w:bookmarkStart w:id="117" w:name="_Toc424119328"/>
      <w:bookmarkStart w:id="118" w:name="_Toc424119808"/>
      <w:bookmarkStart w:id="119" w:name="_Toc424120064"/>
      <w:bookmarkStart w:id="120" w:name="_Toc424120490"/>
      <w:bookmarkStart w:id="121" w:name="_Toc424126196"/>
      <w:bookmarkStart w:id="122" w:name="_Toc424138777"/>
      <w:bookmarkStart w:id="123" w:name="_Toc445291891"/>
      <w:bookmarkStart w:id="124" w:name="_Toc445910404"/>
      <w:bookmarkStart w:id="125" w:name="_Toc448831883"/>
      <w:bookmarkStart w:id="126" w:name="_Toc448832073"/>
      <w:bookmarkStart w:id="127" w:name="_Toc450037733"/>
      <w:bookmarkStart w:id="128" w:name="_Toc450223027"/>
      <w:bookmarkStart w:id="129" w:name="_Toc472325677"/>
      <w:bookmarkStart w:id="130" w:name="_Toc204678176"/>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r w:rsidRPr="006070EA">
        <w:rPr>
          <w:rFonts w:asciiTheme="majorHAnsi" w:hAnsiTheme="majorHAnsi" w:cstheme="majorHAnsi"/>
          <w:b/>
          <w:sz w:val="24"/>
          <w:szCs w:val="28"/>
        </w:rPr>
        <w:t>VÝSLEDEK PŘEZKOUMÁNÍ ÚZEMNÍHO PLÁNU PODLE § 53 ODST. 4 PÍSM A) AŽ D) STAVEBNÍHO ZÁKONA</w:t>
      </w:r>
      <w:bookmarkEnd w:id="130"/>
    </w:p>
    <w:p w14:paraId="0E8847A4" w14:textId="77777777" w:rsidR="009E33CB" w:rsidRPr="006070EA" w:rsidRDefault="009E33CB" w:rsidP="00AA641A">
      <w:pPr>
        <w:keepNext/>
        <w:spacing w:after="120" w:line="240" w:lineRule="auto"/>
        <w:ind w:firstLine="709"/>
        <w:jc w:val="both"/>
        <w:rPr>
          <w:rFonts w:asciiTheme="majorHAnsi" w:hAnsiTheme="majorHAnsi" w:cstheme="majorHAnsi"/>
          <w:i/>
          <w:sz w:val="18"/>
          <w:lang w:eastAsia="ar-SA"/>
        </w:rPr>
      </w:pPr>
      <w:r w:rsidRPr="006070EA">
        <w:rPr>
          <w:rFonts w:asciiTheme="majorHAnsi" w:hAnsiTheme="majorHAnsi" w:cstheme="majorHAnsi"/>
          <w:i/>
          <w:sz w:val="18"/>
          <w:lang w:eastAsia="ar-SA"/>
        </w:rPr>
        <w:t>Zákon č. 183/2006 Sb., § 53, odst. 4 d)</w:t>
      </w:r>
    </w:p>
    <w:p w14:paraId="1D311461" w14:textId="013111E7" w:rsidR="009E33CB" w:rsidRPr="006070EA" w:rsidRDefault="009E33CB" w:rsidP="00AA641A">
      <w:pPr>
        <w:keepNext/>
        <w:spacing w:after="120" w:line="240" w:lineRule="auto"/>
        <w:ind w:firstLine="709"/>
        <w:jc w:val="both"/>
        <w:rPr>
          <w:rFonts w:asciiTheme="majorHAnsi" w:hAnsiTheme="majorHAnsi" w:cstheme="majorHAnsi"/>
          <w:b/>
          <w:i/>
          <w:sz w:val="18"/>
          <w:lang w:eastAsia="ar-SA"/>
        </w:rPr>
      </w:pPr>
      <w:r w:rsidRPr="006070EA">
        <w:rPr>
          <w:rFonts w:asciiTheme="majorHAnsi" w:hAnsiTheme="majorHAnsi" w:cstheme="majorHAnsi"/>
          <w:b/>
          <w:i/>
          <w:sz w:val="18"/>
          <w:lang w:eastAsia="ar-SA"/>
        </w:rPr>
        <w:t>Zpracovává pořizovatel.</w:t>
      </w:r>
    </w:p>
    <w:p w14:paraId="6A92D5CD" w14:textId="77777777" w:rsidR="00B64E3A" w:rsidRPr="00B64E3A" w:rsidRDefault="00B64E3A" w:rsidP="00B64E3A">
      <w:pPr>
        <w:spacing w:after="60" w:line="240" w:lineRule="auto"/>
        <w:ind w:firstLine="709"/>
        <w:jc w:val="both"/>
        <w:rPr>
          <w:rFonts w:asciiTheme="majorHAnsi" w:hAnsiTheme="majorHAnsi" w:cstheme="majorHAnsi"/>
          <w:sz w:val="18"/>
          <w:szCs w:val="18"/>
          <w:lang w:eastAsia="ar-SA"/>
        </w:rPr>
      </w:pPr>
      <w:r w:rsidRPr="00B64E3A">
        <w:rPr>
          <w:rFonts w:asciiTheme="majorHAnsi" w:hAnsiTheme="majorHAnsi" w:cstheme="majorHAnsi"/>
          <w:sz w:val="18"/>
          <w:szCs w:val="18"/>
          <w:lang w:eastAsia="ar-SA"/>
        </w:rPr>
        <w:t>Územní plán respektuje schválenou Politiku územního rozvoje ČR v úplném znění po aktualizaci č. 9 a nadřazenou ÚPD – zásady územního rozvoje ČR, v úplném znění po aktualizaci č. 16. Návrhu územního plánu se dotkla aktualizace ZÚR č. 11 z ledna 2024, týkající se železniční trati Lysá n. L – Kolín. Dopravní koridor KDZ1 byl upraven v souladu s aktualizací ZÚR Středočeského kraje. Územní plán respektuje hodnoty a limity území a řeší území obce v souladu s principy udržitelného rozvoje území.</w:t>
      </w:r>
    </w:p>
    <w:p w14:paraId="14A8E27B" w14:textId="77777777" w:rsidR="00B8260B" w:rsidRPr="006070EA" w:rsidRDefault="00B8260B" w:rsidP="00B64E3A">
      <w:pPr>
        <w:pStyle w:val="Odstavecseseznamem"/>
        <w:keepNext/>
        <w:pageBreakBefore/>
        <w:numPr>
          <w:ilvl w:val="0"/>
          <w:numId w:val="1"/>
        </w:numPr>
        <w:pBdr>
          <w:top w:val="single" w:sz="8" w:space="1" w:color="auto"/>
          <w:left w:val="single" w:sz="8" w:space="4" w:color="auto"/>
          <w:bottom w:val="single" w:sz="8" w:space="1" w:color="auto"/>
          <w:right w:val="single" w:sz="8" w:space="4" w:color="auto"/>
        </w:pBdr>
        <w:shd w:val="clear" w:color="auto" w:fill="F2F2F2" w:themeFill="background1" w:themeFillShade="F2"/>
        <w:spacing w:before="200" w:after="200" w:line="240" w:lineRule="auto"/>
        <w:ind w:left="709" w:hanging="709"/>
        <w:contextualSpacing w:val="0"/>
        <w:jc w:val="both"/>
        <w:outlineLvl w:val="0"/>
        <w:rPr>
          <w:rFonts w:asciiTheme="majorHAnsi" w:hAnsiTheme="majorHAnsi" w:cstheme="majorHAnsi"/>
          <w:b/>
          <w:sz w:val="24"/>
          <w:szCs w:val="28"/>
        </w:rPr>
      </w:pPr>
      <w:bookmarkStart w:id="131" w:name="_Toc424119812"/>
      <w:bookmarkStart w:id="132" w:name="_Toc204678177"/>
      <w:r w:rsidRPr="006070EA">
        <w:rPr>
          <w:rFonts w:asciiTheme="majorHAnsi" w:hAnsiTheme="majorHAnsi" w:cstheme="majorHAnsi"/>
          <w:b/>
          <w:sz w:val="24"/>
          <w:szCs w:val="28"/>
        </w:rPr>
        <w:lastRenderedPageBreak/>
        <w:t>VYHODNOCENÍ SPLNĚNÍ POŽADAVKŮ ZADÁNÍ</w:t>
      </w:r>
      <w:bookmarkEnd w:id="131"/>
      <w:bookmarkEnd w:id="132"/>
    </w:p>
    <w:p w14:paraId="2E053C29" w14:textId="77777777" w:rsidR="00B8260B" w:rsidRPr="006070EA" w:rsidRDefault="00B8260B" w:rsidP="009E07E1">
      <w:pPr>
        <w:spacing w:after="120" w:line="240" w:lineRule="auto"/>
        <w:ind w:firstLine="709"/>
        <w:jc w:val="both"/>
        <w:rPr>
          <w:rFonts w:asciiTheme="majorHAnsi" w:hAnsiTheme="majorHAnsi" w:cstheme="majorHAnsi"/>
          <w:i/>
          <w:sz w:val="18"/>
          <w:szCs w:val="18"/>
          <w:lang w:eastAsia="ar-SA"/>
        </w:rPr>
      </w:pPr>
      <w:r w:rsidRPr="006070EA">
        <w:rPr>
          <w:rFonts w:asciiTheme="majorHAnsi" w:hAnsiTheme="majorHAnsi" w:cstheme="majorHAnsi"/>
          <w:i/>
          <w:sz w:val="18"/>
          <w:szCs w:val="18"/>
          <w:lang w:eastAsia="ar-SA"/>
        </w:rPr>
        <w:t>Vyhláška č. 500/2006 Sb., příloha č. 7 část II, odst. 1 b)</w:t>
      </w:r>
    </w:p>
    <w:p w14:paraId="19E1C292" w14:textId="77777777" w:rsidR="00B8260B" w:rsidRPr="006070EA" w:rsidRDefault="00B8260B" w:rsidP="009E07E1">
      <w:pPr>
        <w:spacing w:after="120" w:line="240" w:lineRule="auto"/>
        <w:ind w:firstLine="709"/>
        <w:jc w:val="both"/>
        <w:rPr>
          <w:rFonts w:asciiTheme="majorHAnsi" w:hAnsiTheme="majorHAnsi" w:cstheme="majorHAnsi"/>
          <w:b/>
          <w:i/>
          <w:sz w:val="18"/>
          <w:szCs w:val="18"/>
          <w:lang w:eastAsia="ar-SA"/>
        </w:rPr>
      </w:pPr>
      <w:r w:rsidRPr="006070EA">
        <w:rPr>
          <w:rFonts w:asciiTheme="majorHAnsi" w:hAnsiTheme="majorHAnsi" w:cstheme="majorHAnsi"/>
          <w:b/>
          <w:i/>
          <w:sz w:val="18"/>
          <w:szCs w:val="18"/>
          <w:lang w:eastAsia="ar-SA"/>
        </w:rPr>
        <w:t>Zpracovává projektant.</w:t>
      </w:r>
    </w:p>
    <w:p w14:paraId="04F20E12" w14:textId="2E139379" w:rsidR="00B8260B" w:rsidRPr="006070EA" w:rsidRDefault="00B8260B" w:rsidP="00D814A9">
      <w:pPr>
        <w:spacing w:after="60" w:line="240" w:lineRule="auto"/>
        <w:ind w:firstLine="709"/>
        <w:jc w:val="both"/>
        <w:rPr>
          <w:rFonts w:asciiTheme="majorHAnsi" w:hAnsiTheme="majorHAnsi" w:cstheme="majorHAnsi"/>
          <w:sz w:val="18"/>
          <w:szCs w:val="18"/>
          <w:lang w:eastAsia="ar-SA"/>
        </w:rPr>
      </w:pPr>
      <w:r w:rsidRPr="006070EA">
        <w:rPr>
          <w:rFonts w:asciiTheme="majorHAnsi" w:hAnsiTheme="majorHAnsi" w:cstheme="majorHAnsi"/>
          <w:sz w:val="18"/>
          <w:szCs w:val="18"/>
          <w:lang w:eastAsia="ar-SA"/>
        </w:rPr>
        <w:t xml:space="preserve">Územní plán </w:t>
      </w:r>
      <w:r w:rsidR="00734352" w:rsidRPr="006070EA">
        <w:rPr>
          <w:rFonts w:asciiTheme="majorHAnsi" w:hAnsiTheme="majorHAnsi" w:cstheme="majorHAnsi"/>
          <w:sz w:val="18"/>
          <w:szCs w:val="18"/>
          <w:lang w:eastAsia="ar-SA"/>
        </w:rPr>
        <w:t>Kostomlaty nad Labem</w:t>
      </w:r>
      <w:r w:rsidRPr="006070EA">
        <w:rPr>
          <w:rFonts w:asciiTheme="majorHAnsi" w:hAnsiTheme="majorHAnsi" w:cstheme="majorHAnsi"/>
          <w:sz w:val="18"/>
          <w:szCs w:val="18"/>
          <w:lang w:eastAsia="ar-SA"/>
        </w:rPr>
        <w:t xml:space="preserve"> je vypracován na základě zadání zpracovaného pořizovatelem územního plánu (</w:t>
      </w:r>
      <w:r w:rsidR="00CA713D" w:rsidRPr="006070EA">
        <w:rPr>
          <w:rFonts w:asciiTheme="majorHAnsi" w:hAnsiTheme="majorHAnsi" w:cstheme="majorHAnsi"/>
          <w:sz w:val="18"/>
          <w:szCs w:val="18"/>
          <w:lang w:eastAsia="ar-SA"/>
        </w:rPr>
        <w:t xml:space="preserve">Městský úřad </w:t>
      </w:r>
      <w:r w:rsidR="00734352" w:rsidRPr="006070EA">
        <w:rPr>
          <w:rFonts w:asciiTheme="majorHAnsi" w:hAnsiTheme="majorHAnsi" w:cstheme="majorHAnsi"/>
          <w:sz w:val="18"/>
          <w:szCs w:val="18"/>
          <w:lang w:eastAsia="ar-SA"/>
        </w:rPr>
        <w:t>Nymburk</w:t>
      </w:r>
      <w:r w:rsidRPr="006070EA">
        <w:rPr>
          <w:rFonts w:asciiTheme="majorHAnsi" w:hAnsiTheme="majorHAnsi" w:cstheme="majorHAnsi"/>
          <w:sz w:val="18"/>
          <w:szCs w:val="18"/>
          <w:lang w:eastAsia="ar-SA"/>
        </w:rPr>
        <w:t xml:space="preserve">). Zadání ÚP </w:t>
      </w:r>
      <w:r w:rsidR="00734352" w:rsidRPr="006070EA">
        <w:rPr>
          <w:rFonts w:asciiTheme="majorHAnsi" w:hAnsiTheme="majorHAnsi" w:cstheme="majorHAnsi"/>
          <w:sz w:val="18"/>
          <w:szCs w:val="18"/>
          <w:lang w:eastAsia="ar-SA"/>
        </w:rPr>
        <w:t>Kostomlaty nad Labem</w:t>
      </w:r>
      <w:r w:rsidR="007F59CA" w:rsidRPr="006070EA">
        <w:rPr>
          <w:rFonts w:asciiTheme="majorHAnsi" w:hAnsiTheme="majorHAnsi" w:cstheme="majorHAnsi"/>
          <w:sz w:val="18"/>
          <w:szCs w:val="18"/>
          <w:lang w:eastAsia="ar-SA"/>
        </w:rPr>
        <w:t xml:space="preserve"> </w:t>
      </w:r>
      <w:r w:rsidRPr="006070EA">
        <w:rPr>
          <w:rFonts w:asciiTheme="majorHAnsi" w:hAnsiTheme="majorHAnsi" w:cstheme="majorHAnsi"/>
          <w:sz w:val="18"/>
          <w:szCs w:val="18"/>
          <w:lang w:eastAsia="ar-SA"/>
        </w:rPr>
        <w:t xml:space="preserve">bylo schváleno </w:t>
      </w:r>
      <w:r w:rsidR="003D2350" w:rsidRPr="006070EA">
        <w:rPr>
          <w:rFonts w:asciiTheme="majorHAnsi" w:hAnsiTheme="majorHAnsi" w:cstheme="majorHAnsi"/>
          <w:sz w:val="18"/>
          <w:szCs w:val="18"/>
          <w:lang w:eastAsia="ar-SA"/>
        </w:rPr>
        <w:t xml:space="preserve">zastupitelstvem obce </w:t>
      </w:r>
      <w:r w:rsidR="00734352" w:rsidRPr="006070EA">
        <w:rPr>
          <w:rFonts w:asciiTheme="majorHAnsi" w:hAnsiTheme="majorHAnsi" w:cstheme="majorHAnsi"/>
          <w:sz w:val="18"/>
          <w:szCs w:val="18"/>
          <w:lang w:eastAsia="ar-SA"/>
        </w:rPr>
        <w:t>Kostomlaty nad Labe</w:t>
      </w:r>
      <w:r w:rsidR="007F59CA" w:rsidRPr="006070EA">
        <w:rPr>
          <w:rFonts w:asciiTheme="majorHAnsi" w:hAnsiTheme="majorHAnsi" w:cstheme="majorHAnsi"/>
          <w:sz w:val="18"/>
          <w:szCs w:val="18"/>
          <w:lang w:eastAsia="ar-SA"/>
        </w:rPr>
        <w:t xml:space="preserve"> dne </w:t>
      </w:r>
      <w:r w:rsidR="00734352" w:rsidRPr="006070EA">
        <w:rPr>
          <w:rFonts w:asciiTheme="majorHAnsi" w:hAnsiTheme="majorHAnsi" w:cstheme="majorHAnsi"/>
          <w:sz w:val="18"/>
          <w:szCs w:val="18"/>
          <w:lang w:eastAsia="ar-SA"/>
        </w:rPr>
        <w:t>21</w:t>
      </w:r>
      <w:r w:rsidR="007F59CA" w:rsidRPr="006070EA">
        <w:rPr>
          <w:rFonts w:asciiTheme="majorHAnsi" w:hAnsiTheme="majorHAnsi" w:cstheme="majorHAnsi"/>
          <w:sz w:val="18"/>
          <w:szCs w:val="18"/>
          <w:lang w:eastAsia="ar-SA"/>
        </w:rPr>
        <w:t>.</w:t>
      </w:r>
      <w:r w:rsidR="00C60834" w:rsidRPr="006070EA">
        <w:rPr>
          <w:rFonts w:asciiTheme="majorHAnsi" w:hAnsiTheme="majorHAnsi" w:cstheme="majorHAnsi"/>
          <w:sz w:val="18"/>
          <w:szCs w:val="18"/>
          <w:lang w:eastAsia="ar-SA"/>
        </w:rPr>
        <w:t xml:space="preserve"> 1</w:t>
      </w:r>
      <w:r w:rsidR="00734352" w:rsidRPr="006070EA">
        <w:rPr>
          <w:rFonts w:asciiTheme="majorHAnsi" w:hAnsiTheme="majorHAnsi" w:cstheme="majorHAnsi"/>
          <w:sz w:val="18"/>
          <w:szCs w:val="18"/>
          <w:lang w:eastAsia="ar-SA"/>
        </w:rPr>
        <w:t>0</w:t>
      </w:r>
      <w:r w:rsidR="007F59CA" w:rsidRPr="006070EA">
        <w:rPr>
          <w:rFonts w:asciiTheme="majorHAnsi" w:hAnsiTheme="majorHAnsi" w:cstheme="majorHAnsi"/>
          <w:sz w:val="18"/>
          <w:szCs w:val="18"/>
          <w:lang w:eastAsia="ar-SA"/>
        </w:rPr>
        <w:t>.</w:t>
      </w:r>
      <w:r w:rsidR="00C60834" w:rsidRPr="006070EA">
        <w:rPr>
          <w:rFonts w:asciiTheme="majorHAnsi" w:hAnsiTheme="majorHAnsi" w:cstheme="majorHAnsi"/>
          <w:sz w:val="18"/>
          <w:szCs w:val="18"/>
          <w:lang w:eastAsia="ar-SA"/>
        </w:rPr>
        <w:t xml:space="preserve"> </w:t>
      </w:r>
      <w:r w:rsidR="007F59CA" w:rsidRPr="006070EA">
        <w:rPr>
          <w:rFonts w:asciiTheme="majorHAnsi" w:hAnsiTheme="majorHAnsi" w:cstheme="majorHAnsi"/>
          <w:sz w:val="18"/>
          <w:szCs w:val="18"/>
          <w:lang w:eastAsia="ar-SA"/>
        </w:rPr>
        <w:t>20</w:t>
      </w:r>
      <w:r w:rsidR="00734352" w:rsidRPr="006070EA">
        <w:rPr>
          <w:rFonts w:asciiTheme="majorHAnsi" w:hAnsiTheme="majorHAnsi" w:cstheme="majorHAnsi"/>
          <w:sz w:val="18"/>
          <w:szCs w:val="18"/>
          <w:lang w:eastAsia="ar-SA"/>
        </w:rPr>
        <w:t>21</w:t>
      </w:r>
      <w:r w:rsidR="007F59CA" w:rsidRPr="006070EA">
        <w:rPr>
          <w:rFonts w:asciiTheme="majorHAnsi" w:hAnsiTheme="majorHAnsi" w:cstheme="majorHAnsi"/>
          <w:sz w:val="18"/>
          <w:szCs w:val="18"/>
          <w:lang w:eastAsia="ar-SA"/>
        </w:rPr>
        <w:t xml:space="preserve"> </w:t>
      </w:r>
      <w:r w:rsidRPr="006070EA">
        <w:rPr>
          <w:rFonts w:asciiTheme="majorHAnsi" w:hAnsiTheme="majorHAnsi" w:cstheme="majorHAnsi"/>
          <w:sz w:val="18"/>
          <w:szCs w:val="18"/>
          <w:lang w:eastAsia="ar-SA"/>
        </w:rPr>
        <w:t xml:space="preserve">usnesením </w:t>
      </w:r>
      <w:r w:rsidR="003D2350" w:rsidRPr="006070EA">
        <w:rPr>
          <w:rFonts w:asciiTheme="majorHAnsi" w:hAnsiTheme="majorHAnsi" w:cstheme="majorHAnsi"/>
          <w:sz w:val="18"/>
          <w:szCs w:val="18"/>
          <w:lang w:eastAsia="ar-SA"/>
        </w:rPr>
        <w:t>č. </w:t>
      </w:r>
      <w:r w:rsidR="00734352" w:rsidRPr="006070EA">
        <w:rPr>
          <w:rFonts w:asciiTheme="majorHAnsi" w:hAnsiTheme="majorHAnsi" w:cstheme="majorHAnsi"/>
          <w:sz w:val="18"/>
          <w:szCs w:val="18"/>
          <w:lang w:eastAsia="ar-SA"/>
        </w:rPr>
        <w:t>7</w:t>
      </w:r>
      <w:r w:rsidR="00C60834" w:rsidRPr="006070EA">
        <w:rPr>
          <w:rFonts w:asciiTheme="majorHAnsi" w:hAnsiTheme="majorHAnsi" w:cstheme="majorHAnsi"/>
          <w:sz w:val="18"/>
          <w:szCs w:val="18"/>
          <w:lang w:eastAsia="ar-SA"/>
        </w:rPr>
        <w:t>/</w:t>
      </w:r>
      <w:r w:rsidR="00734352" w:rsidRPr="006070EA">
        <w:rPr>
          <w:rFonts w:asciiTheme="majorHAnsi" w:hAnsiTheme="majorHAnsi" w:cstheme="majorHAnsi"/>
          <w:sz w:val="18"/>
          <w:szCs w:val="18"/>
          <w:lang w:eastAsia="ar-SA"/>
        </w:rPr>
        <w:t>2021</w:t>
      </w:r>
      <w:r w:rsidRPr="006070EA">
        <w:rPr>
          <w:rFonts w:asciiTheme="majorHAnsi" w:hAnsiTheme="majorHAnsi" w:cstheme="majorHAnsi"/>
          <w:sz w:val="18"/>
          <w:szCs w:val="18"/>
          <w:lang w:eastAsia="ar-SA"/>
        </w:rPr>
        <w:t>.</w:t>
      </w:r>
    </w:p>
    <w:p w14:paraId="55127066" w14:textId="07B4579D" w:rsidR="00A97621" w:rsidRPr="006070EA" w:rsidRDefault="00A97621" w:rsidP="009E07E1">
      <w:pPr>
        <w:spacing w:after="120" w:line="240" w:lineRule="auto"/>
        <w:ind w:firstLine="709"/>
        <w:jc w:val="both"/>
        <w:rPr>
          <w:rFonts w:asciiTheme="majorHAnsi" w:hAnsiTheme="majorHAnsi" w:cstheme="majorHAnsi"/>
          <w:sz w:val="18"/>
          <w:szCs w:val="18"/>
          <w:lang w:eastAsia="ar-SA"/>
        </w:rPr>
      </w:pPr>
      <w:r w:rsidRPr="006070EA">
        <w:rPr>
          <w:rFonts w:asciiTheme="majorHAnsi" w:hAnsiTheme="majorHAnsi" w:cstheme="majorHAnsi"/>
          <w:sz w:val="18"/>
          <w:szCs w:val="18"/>
          <w:lang w:eastAsia="ar-SA"/>
        </w:rPr>
        <w:t xml:space="preserve">Jednotlivé požadavky ze schváleného zadání územního plánu byly v ÚP </w:t>
      </w:r>
      <w:r w:rsidR="00734352" w:rsidRPr="006070EA">
        <w:rPr>
          <w:rFonts w:asciiTheme="majorHAnsi" w:hAnsiTheme="majorHAnsi" w:cstheme="majorHAnsi"/>
          <w:sz w:val="18"/>
          <w:szCs w:val="18"/>
          <w:lang w:eastAsia="ar-SA"/>
        </w:rPr>
        <w:t>Kostomlaty nad Labem</w:t>
      </w:r>
      <w:r w:rsidR="00C60834" w:rsidRPr="006070EA">
        <w:rPr>
          <w:rFonts w:asciiTheme="majorHAnsi" w:hAnsiTheme="majorHAnsi" w:cstheme="majorHAnsi"/>
          <w:sz w:val="18"/>
          <w:szCs w:val="18"/>
          <w:lang w:eastAsia="ar-SA"/>
        </w:rPr>
        <w:t xml:space="preserve"> </w:t>
      </w:r>
      <w:r w:rsidRPr="006070EA">
        <w:rPr>
          <w:rFonts w:asciiTheme="majorHAnsi" w:hAnsiTheme="majorHAnsi" w:cstheme="majorHAnsi"/>
          <w:sz w:val="18"/>
          <w:szCs w:val="18"/>
          <w:lang w:eastAsia="ar-SA"/>
        </w:rPr>
        <w:t>respektovány následujícím způsobem:</w:t>
      </w:r>
    </w:p>
    <w:p w14:paraId="3F6EEB2C" w14:textId="0D787B94" w:rsidR="00C60834" w:rsidRPr="006070EA" w:rsidRDefault="00C60834" w:rsidP="009E07E1">
      <w:pPr>
        <w:spacing w:after="120" w:line="240" w:lineRule="auto"/>
        <w:ind w:firstLine="709"/>
        <w:jc w:val="both"/>
        <w:rPr>
          <w:rFonts w:asciiTheme="majorHAnsi" w:hAnsiTheme="majorHAnsi" w:cstheme="majorHAnsi"/>
          <w:sz w:val="18"/>
          <w:szCs w:val="18"/>
          <w:lang w:eastAsia="ar-SA"/>
        </w:rPr>
      </w:pPr>
      <w:r w:rsidRPr="006070EA">
        <w:rPr>
          <w:rFonts w:asciiTheme="majorHAnsi" w:hAnsiTheme="majorHAnsi" w:cstheme="majorHAnsi"/>
          <w:sz w:val="18"/>
          <w:szCs w:val="18"/>
          <w:lang w:eastAsia="ar-SA"/>
        </w:rPr>
        <w:t xml:space="preserve">(citace ze Zadání ÚP </w:t>
      </w:r>
      <w:r w:rsidR="00734352" w:rsidRPr="006070EA">
        <w:rPr>
          <w:rFonts w:asciiTheme="majorHAnsi" w:hAnsiTheme="majorHAnsi" w:cstheme="majorHAnsi"/>
          <w:sz w:val="18"/>
          <w:szCs w:val="18"/>
          <w:lang w:eastAsia="ar-SA"/>
        </w:rPr>
        <w:t>Kostomlaty nad Labem</w:t>
      </w:r>
      <w:r w:rsidRPr="006070EA">
        <w:rPr>
          <w:rFonts w:asciiTheme="majorHAnsi" w:hAnsiTheme="majorHAnsi" w:cstheme="majorHAnsi"/>
          <w:sz w:val="18"/>
          <w:szCs w:val="18"/>
          <w:lang w:eastAsia="ar-SA"/>
        </w:rPr>
        <w:t xml:space="preserve"> je zvýrazněna kurzívou)</w:t>
      </w:r>
    </w:p>
    <w:p w14:paraId="03D63865" w14:textId="4C3E2699" w:rsidR="0014754E" w:rsidRPr="006070EA" w:rsidRDefault="0014754E" w:rsidP="00B64E3A">
      <w:pPr>
        <w:keepNext/>
        <w:keepLines/>
        <w:spacing w:before="120" w:after="120" w:line="240" w:lineRule="auto"/>
        <w:jc w:val="both"/>
        <w:rPr>
          <w:rFonts w:asciiTheme="majorHAnsi" w:hAnsiTheme="majorHAnsi" w:cstheme="majorHAnsi"/>
          <w:b/>
          <w:i/>
          <w:sz w:val="20"/>
          <w:szCs w:val="20"/>
          <w:lang w:eastAsia="ar-SA"/>
        </w:rPr>
      </w:pPr>
      <w:r w:rsidRPr="006070EA">
        <w:rPr>
          <w:rFonts w:asciiTheme="majorHAnsi" w:hAnsiTheme="majorHAnsi" w:cstheme="majorHAnsi"/>
          <w:b/>
          <w:i/>
          <w:sz w:val="20"/>
          <w:szCs w:val="20"/>
          <w:lang w:eastAsia="ar-SA"/>
        </w:rPr>
        <w:t>Požadavky na základní koncepci rozvoje území obce, vyjádřené zejména v cílech zlepšování dosavadního stavu, včetně rozvoje obce a ochrany hodnot jejího území, v požadavcích na změnu charakteru obce, jejího vztahu k sídelní struktuře a dostupnosti veřejné infrastruktury</w:t>
      </w:r>
    </w:p>
    <w:p w14:paraId="086F3399" w14:textId="77777777" w:rsidR="0014754E" w:rsidRPr="006070EA" w:rsidRDefault="0014754E" w:rsidP="0014754E">
      <w:pPr>
        <w:tabs>
          <w:tab w:val="left" w:pos="567"/>
          <w:tab w:val="left" w:pos="851"/>
        </w:tabs>
        <w:spacing w:before="120" w:after="60" w:line="240" w:lineRule="auto"/>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Územní plán ověří a upřesní závazné úkoly vyplývající z Politiky Územního rozvoje České republiky – Aktualizace č. 1 – schválená vládou ČR 15. 4. 2015 (PÚR ČR) a z nadřazené územně plánovací dokumentace – Zásad Územního rozvoje Středočeského kraje – Aktualizace č. 1 – nabytí účinnosti 26. 8. 2015 (ZÚR SK). Dne 26.4 2018 byla vydána 2. aktualizace Zásad územního rozvoje Středočeského kraje, Nejedná se však o aktualizaci úplnou, náplní je úprava částí platných Zásad územního rozvoje Středočeského kraje podle § 42 odstavce 6, Stavebního zákona, které byly zrušené Nejvyšším správním soudem. Z obdobných důvodů byla vydaná i aktualizace č. 1 (úprava vedení trasy koridoru pro dálnici D3). Vzhledem k tomu, že ani jedna aktualizace se z výše vypsaných důvodů netýká řešeného území, ale pouze specifických, z právního hlediska kolizních míst, bude ÚP Kostomlaty nad Labem de facto vycházet ze Zásad územního rozvoje Středočeského kraje, které nabyly účinnosti dne 22. 2. 2012. Územní plán rovněž zohlední veškerou platnou územně plánovací dokumentaci na úrovni obcí vztahující se k řešenému území. </w:t>
      </w:r>
    </w:p>
    <w:p w14:paraId="2D1B3698" w14:textId="4F595082" w:rsidR="0014754E" w:rsidRPr="006070EA" w:rsidRDefault="0014754E" w:rsidP="0014754E">
      <w:pPr>
        <w:tabs>
          <w:tab w:val="left" w:pos="567"/>
          <w:tab w:val="left" w:pos="851"/>
        </w:tabs>
        <w:spacing w:before="120" w:after="60" w:line="240" w:lineRule="auto"/>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Územní plán zajistí plnění úkolů vyplývajících z vydaných a schválených strategických nebo koncepčních dokumentů, jejichž závěry lze v územním plánu řešit. ÚP je však těmto dokumentům nadřazen, a může tedy přinést modifikace jejich závěrů a úkolů z nich vyplývajících. </w:t>
      </w:r>
    </w:p>
    <w:p w14:paraId="080A4009" w14:textId="77777777" w:rsidR="0014754E" w:rsidRPr="006070EA" w:rsidRDefault="0014754E" w:rsidP="0014754E">
      <w:pPr>
        <w:tabs>
          <w:tab w:val="left" w:pos="567"/>
          <w:tab w:val="left" w:pos="851"/>
        </w:tabs>
        <w:spacing w:before="120" w:after="60" w:line="240" w:lineRule="auto"/>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Územní plán bude vycházet ze zjištění, analýz, rozborů a požadavků vyplývajících z územně plánovacích podkladů – ÚAP SO ORP Nymburk – Aktualizace č. 4 – prosinec 2016 (ÚAP Nymburk). </w:t>
      </w:r>
    </w:p>
    <w:p w14:paraId="0C475271" w14:textId="77777777" w:rsidR="0014754E" w:rsidRPr="006070EA" w:rsidRDefault="0014754E" w:rsidP="0014754E">
      <w:pPr>
        <w:tabs>
          <w:tab w:val="left" w:pos="567"/>
          <w:tab w:val="left" w:pos="851"/>
        </w:tabs>
        <w:spacing w:before="120" w:after="60" w:line="240" w:lineRule="auto"/>
        <w:jc w:val="both"/>
        <w:rPr>
          <w:rFonts w:asciiTheme="majorHAnsi" w:hAnsiTheme="majorHAnsi" w:cstheme="majorHAnsi"/>
          <w:b/>
          <w:i/>
          <w:sz w:val="18"/>
          <w:szCs w:val="18"/>
          <w:lang w:eastAsia="ar-SA"/>
        </w:rPr>
      </w:pPr>
      <w:r w:rsidRPr="006070EA">
        <w:rPr>
          <w:rFonts w:asciiTheme="majorHAnsi" w:hAnsiTheme="majorHAnsi" w:cstheme="majorHAnsi"/>
          <w:b/>
          <w:i/>
          <w:sz w:val="18"/>
          <w:szCs w:val="18"/>
          <w:lang w:eastAsia="ar-SA"/>
        </w:rPr>
        <w:t xml:space="preserve">Požadavky vyplývající z Politiky Územního rozvoje </w:t>
      </w:r>
    </w:p>
    <w:p w14:paraId="2732833B" w14:textId="77777777" w:rsidR="0014754E" w:rsidRPr="006070EA" w:rsidRDefault="0014754E" w:rsidP="0014754E">
      <w:pPr>
        <w:tabs>
          <w:tab w:val="left" w:pos="567"/>
          <w:tab w:val="left" w:pos="851"/>
        </w:tabs>
        <w:spacing w:before="120" w:after="60" w:line="240" w:lineRule="auto"/>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Územní plán v souvislostech řešeného území a v podrobnosti Územního plánu upřesní republikové priority Územního plánování stanovené v PÚR ČR. </w:t>
      </w:r>
    </w:p>
    <w:p w14:paraId="57E14187" w14:textId="77777777" w:rsidR="0014754E" w:rsidRPr="006070EA" w:rsidRDefault="0014754E" w:rsidP="0014754E">
      <w:pPr>
        <w:tabs>
          <w:tab w:val="left" w:pos="567"/>
          <w:tab w:val="left" w:pos="851"/>
        </w:tabs>
        <w:spacing w:before="120" w:after="60" w:line="240" w:lineRule="auto"/>
        <w:jc w:val="both"/>
        <w:rPr>
          <w:rFonts w:asciiTheme="majorHAnsi" w:hAnsiTheme="majorHAnsi" w:cstheme="majorHAnsi"/>
          <w:b/>
          <w:i/>
          <w:sz w:val="18"/>
          <w:szCs w:val="18"/>
          <w:lang w:eastAsia="ar-SA"/>
        </w:rPr>
      </w:pPr>
      <w:r w:rsidRPr="006070EA">
        <w:rPr>
          <w:rFonts w:asciiTheme="majorHAnsi" w:hAnsiTheme="majorHAnsi" w:cstheme="majorHAnsi"/>
          <w:b/>
          <w:i/>
          <w:sz w:val="18"/>
          <w:szCs w:val="18"/>
          <w:lang w:eastAsia="ar-SA"/>
        </w:rPr>
        <w:t xml:space="preserve">Požadavky vyplývající ze ZÚR Středočeského kraje </w:t>
      </w:r>
    </w:p>
    <w:p w14:paraId="576AFF22" w14:textId="77777777" w:rsidR="0014754E" w:rsidRPr="006070EA" w:rsidRDefault="0014754E" w:rsidP="0014754E">
      <w:pPr>
        <w:tabs>
          <w:tab w:val="left" w:pos="567"/>
          <w:tab w:val="left" w:pos="851"/>
        </w:tabs>
        <w:spacing w:before="120" w:after="60" w:line="240" w:lineRule="auto"/>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Územní plán v souvislostech řešeného území a v podrobnosti Územního plánu upřesní priority Územního plánování kraje stanovené v ZÚR SK. </w:t>
      </w:r>
    </w:p>
    <w:p w14:paraId="4D2D9860" w14:textId="77777777" w:rsidR="0014754E" w:rsidRPr="006070EA" w:rsidRDefault="0014754E" w:rsidP="001470C7">
      <w:pPr>
        <w:keepNext/>
        <w:tabs>
          <w:tab w:val="left" w:pos="567"/>
          <w:tab w:val="left" w:pos="851"/>
        </w:tabs>
        <w:spacing w:before="120" w:after="60" w:line="240" w:lineRule="auto"/>
        <w:jc w:val="both"/>
        <w:rPr>
          <w:rFonts w:asciiTheme="majorHAnsi" w:hAnsiTheme="majorHAnsi" w:cstheme="majorHAnsi"/>
          <w:b/>
          <w:i/>
          <w:sz w:val="18"/>
          <w:szCs w:val="18"/>
          <w:lang w:eastAsia="ar-SA"/>
        </w:rPr>
      </w:pPr>
      <w:r w:rsidRPr="006070EA">
        <w:rPr>
          <w:rFonts w:asciiTheme="majorHAnsi" w:hAnsiTheme="majorHAnsi" w:cstheme="majorHAnsi"/>
          <w:b/>
          <w:i/>
          <w:sz w:val="18"/>
          <w:szCs w:val="18"/>
          <w:lang w:eastAsia="ar-SA"/>
        </w:rPr>
        <w:t xml:space="preserve">Požadavky vyplývající z ÚAP ORP Nymburk </w:t>
      </w:r>
    </w:p>
    <w:p w14:paraId="693B6786" w14:textId="77777777" w:rsidR="0014754E" w:rsidRPr="006070EA" w:rsidRDefault="0014754E" w:rsidP="0014754E">
      <w:pPr>
        <w:tabs>
          <w:tab w:val="left" w:pos="567"/>
          <w:tab w:val="left" w:pos="851"/>
        </w:tabs>
        <w:spacing w:before="120" w:after="60" w:line="240" w:lineRule="auto"/>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V rámci ÚAP Nymburk bude Územní plán v obecné rovině reagovat zejména na výskyt hodnot a limitů vztahujících se k řešenému území. </w:t>
      </w:r>
    </w:p>
    <w:p w14:paraId="26FF78EA" w14:textId="77777777" w:rsidR="0014754E" w:rsidRPr="006070EA" w:rsidRDefault="0014754E" w:rsidP="0014754E">
      <w:pPr>
        <w:tabs>
          <w:tab w:val="left" w:pos="567"/>
          <w:tab w:val="left" w:pos="851"/>
        </w:tabs>
        <w:spacing w:before="120" w:after="60" w:line="240" w:lineRule="auto"/>
        <w:jc w:val="both"/>
        <w:rPr>
          <w:rFonts w:asciiTheme="majorHAnsi" w:hAnsiTheme="majorHAnsi" w:cstheme="majorHAnsi"/>
          <w:b/>
          <w:i/>
          <w:sz w:val="18"/>
          <w:szCs w:val="18"/>
          <w:lang w:eastAsia="ar-SA"/>
        </w:rPr>
      </w:pPr>
      <w:r w:rsidRPr="006070EA">
        <w:rPr>
          <w:rFonts w:asciiTheme="majorHAnsi" w:hAnsiTheme="majorHAnsi" w:cstheme="majorHAnsi"/>
          <w:b/>
          <w:i/>
          <w:sz w:val="18"/>
          <w:szCs w:val="18"/>
          <w:lang w:eastAsia="ar-SA"/>
        </w:rPr>
        <w:t xml:space="preserve">Požadavky obce </w:t>
      </w:r>
    </w:p>
    <w:p w14:paraId="445D86E8" w14:textId="1B858A3F" w:rsidR="0014754E" w:rsidRPr="006070EA" w:rsidRDefault="0014754E" w:rsidP="0014754E">
      <w:pPr>
        <w:tabs>
          <w:tab w:val="left" w:pos="567"/>
          <w:tab w:val="left" w:pos="851"/>
        </w:tabs>
        <w:spacing w:before="120" w:after="60" w:line="240" w:lineRule="auto"/>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Základní koncepce rozvoje území obce bude stanovena s ohledem na identifikované hodnoty, záměry a problémy v území vyplývajících zejména z nadřazených dokumentací a územně analytických podkladů ÚAP Nymburk. Územní plán vytvoří obecné podmínky pro udržitelný rozvoj území, bude chránit a rozvíjet přírodní, civilizační a kulturní hodnoty území, včetně urbanistického, architektonického a archeologického dědictví. </w:t>
      </w:r>
    </w:p>
    <w:p w14:paraId="64D74858" w14:textId="65C24066" w:rsidR="00BC3F41" w:rsidRPr="006070EA" w:rsidRDefault="00BC3F41" w:rsidP="00BC3F41">
      <w:pPr>
        <w:pStyle w:val="Mra-Vyjden"/>
        <w:spacing w:before="0"/>
        <w:rPr>
          <w:rFonts w:asciiTheme="majorHAnsi" w:hAnsiTheme="majorHAnsi" w:cstheme="majorHAnsi"/>
          <w:color w:val="auto"/>
        </w:rPr>
      </w:pPr>
      <w:r w:rsidRPr="006070EA">
        <w:rPr>
          <w:rFonts w:asciiTheme="majorHAnsi" w:hAnsiTheme="majorHAnsi" w:cstheme="majorHAnsi"/>
          <w:color w:val="auto"/>
        </w:rPr>
        <w:t>Územní plán respektuje schválenou Politiku územního rozvoje ČR, ve znění Aktualizací č. 1, 2, 3, 4</w:t>
      </w:r>
      <w:r w:rsidR="00031B68" w:rsidRPr="006070EA">
        <w:rPr>
          <w:rFonts w:asciiTheme="majorHAnsi" w:hAnsiTheme="majorHAnsi" w:cstheme="majorHAnsi"/>
          <w:color w:val="auto"/>
        </w:rPr>
        <w:t>,</w:t>
      </w:r>
      <w:r w:rsidRPr="006070EA">
        <w:rPr>
          <w:rFonts w:asciiTheme="majorHAnsi" w:hAnsiTheme="majorHAnsi" w:cstheme="majorHAnsi"/>
          <w:color w:val="auto"/>
        </w:rPr>
        <w:t xml:space="preserve"> 5</w:t>
      </w:r>
      <w:r w:rsidR="00031B68" w:rsidRPr="006070EA">
        <w:rPr>
          <w:rFonts w:asciiTheme="majorHAnsi" w:hAnsiTheme="majorHAnsi" w:cstheme="majorHAnsi"/>
          <w:color w:val="auto"/>
        </w:rPr>
        <w:t xml:space="preserve"> a 6</w:t>
      </w:r>
      <w:r w:rsidRPr="006070EA">
        <w:rPr>
          <w:rFonts w:asciiTheme="majorHAnsi" w:hAnsiTheme="majorHAnsi" w:cstheme="majorHAnsi"/>
          <w:color w:val="auto"/>
        </w:rPr>
        <w:t xml:space="preserve"> a nadřazenou ÚPD – Zásady územního rozvoje Středočeského kraje </w:t>
      </w:r>
      <w:r w:rsidR="00031B68" w:rsidRPr="006070EA">
        <w:rPr>
          <w:rFonts w:asciiTheme="majorHAnsi" w:hAnsiTheme="majorHAnsi" w:cstheme="majorHAnsi"/>
          <w:color w:val="auto"/>
        </w:rPr>
        <w:t>v aktuálním znění</w:t>
      </w:r>
      <w:r w:rsidRPr="006070EA">
        <w:rPr>
          <w:rFonts w:asciiTheme="majorHAnsi" w:hAnsiTheme="majorHAnsi" w:cstheme="majorHAnsi"/>
          <w:color w:val="auto"/>
        </w:rPr>
        <w:t xml:space="preserve">. Vyhodnocení souladu územního plánu s Politikou územního rozvoje a územně plánovací dokumentací vydanou krajem je obsahem kapitoly 3 tohoto Odůvodnění. </w:t>
      </w:r>
    </w:p>
    <w:p w14:paraId="31FF34F5" w14:textId="682D7ACB" w:rsidR="00BC3F41" w:rsidRPr="006070EA" w:rsidRDefault="00BC3F41" w:rsidP="00BC3F41">
      <w:pPr>
        <w:pStyle w:val="Mra-Vyjden"/>
        <w:spacing w:before="0"/>
        <w:rPr>
          <w:rFonts w:asciiTheme="majorHAnsi" w:hAnsiTheme="majorHAnsi" w:cstheme="majorHAnsi"/>
          <w:color w:val="auto"/>
        </w:rPr>
      </w:pPr>
      <w:r w:rsidRPr="006070EA">
        <w:rPr>
          <w:rFonts w:asciiTheme="majorHAnsi" w:hAnsiTheme="majorHAnsi" w:cstheme="majorHAnsi"/>
          <w:color w:val="auto"/>
        </w:rPr>
        <w:tab/>
        <w:t>Územní plán respektuje hodnoty a limity i další relevantní informace o území vyplývající z územně analytických podkladů ORP Nymburk. Na základě vyhodnocení těchto i dalších dostupných informací o území jsou stanovovány jednotlivé rozvojové koncepce územním plánem.</w:t>
      </w:r>
    </w:p>
    <w:p w14:paraId="269F5E71" w14:textId="77777777" w:rsidR="00BC3F41" w:rsidRPr="006070EA" w:rsidRDefault="00BC3F41" w:rsidP="00BC3F41">
      <w:pPr>
        <w:pStyle w:val="Mra-Vyjden"/>
        <w:spacing w:before="0"/>
        <w:rPr>
          <w:rFonts w:asciiTheme="majorHAnsi" w:hAnsiTheme="majorHAnsi" w:cstheme="majorHAnsi"/>
          <w:color w:val="auto"/>
        </w:rPr>
      </w:pPr>
      <w:r w:rsidRPr="006070EA">
        <w:rPr>
          <w:rFonts w:asciiTheme="majorHAnsi" w:hAnsiTheme="majorHAnsi" w:cstheme="majorHAnsi"/>
          <w:color w:val="auto"/>
        </w:rPr>
        <w:tab/>
        <w:t xml:space="preserve">Územní plán Kostomlaty nad Labem řeší území obce v souladu s principy udržitelného rozvoje území. Snahou je vyrovnání pilířů životního prostředí, hospodárného rozvoje a sociální soudržnosti. Koncepce rozvoje obce byla vytvořena při zohlednění pozice obce v sídelní struktuře, jejích charakteristických rysů a analyzovaného rozvojového potenciálu. Územní plán rozvíjí další bytovou výstavbu v obci v rozsahu na základě odborně zpracovaného vyhodnocení potřeby vymezení zastavitelných ploch, které je součástí kapitoly 10 tohoto Odůvodnění. </w:t>
      </w:r>
      <w:r w:rsidRPr="006070EA">
        <w:rPr>
          <w:rFonts w:asciiTheme="majorHAnsi" w:hAnsiTheme="majorHAnsi" w:cstheme="majorHAnsi"/>
          <w:color w:val="auto"/>
        </w:rPr>
        <w:lastRenderedPageBreak/>
        <w:t xml:space="preserve">ÚP členěním řešeného území bezvýhradně na jednotlivé plochy s rozdílným způsobem využití stabilizuje v řešeném území další funkce, zejména klade důraz na zachování a rozvoj občanského vybavení, podnikatelských aktivit včetně zemědělské výroby, technické infrastruktury a zachování stability charakteristického uspořádání krajiny. </w:t>
      </w:r>
    </w:p>
    <w:p w14:paraId="6228C70F" w14:textId="77777777" w:rsidR="0014754E" w:rsidRPr="006070EA" w:rsidRDefault="0014754E" w:rsidP="0014754E">
      <w:pPr>
        <w:spacing w:before="120" w:after="120" w:line="240" w:lineRule="auto"/>
        <w:jc w:val="both"/>
        <w:rPr>
          <w:rFonts w:asciiTheme="majorHAnsi" w:hAnsiTheme="majorHAnsi" w:cstheme="majorHAnsi"/>
          <w:b/>
          <w:i/>
          <w:sz w:val="20"/>
          <w:szCs w:val="20"/>
          <w:lang w:eastAsia="ar-SA"/>
        </w:rPr>
      </w:pPr>
      <w:r w:rsidRPr="006070EA">
        <w:rPr>
          <w:rFonts w:asciiTheme="majorHAnsi" w:hAnsiTheme="majorHAnsi" w:cstheme="majorHAnsi"/>
          <w:b/>
          <w:i/>
          <w:sz w:val="20"/>
          <w:szCs w:val="20"/>
          <w:lang w:eastAsia="ar-SA"/>
        </w:rPr>
        <w:t>Požadavky na urbanistickou koncepci, zejména na prověření plošného a prostorového uspořádání zastavěného území a na prověření možných změn, včetně vymezení zastavitelných ploch</w:t>
      </w:r>
    </w:p>
    <w:p w14:paraId="4A536BE8" w14:textId="77777777" w:rsidR="0014754E" w:rsidRPr="006070EA" w:rsidRDefault="0014754E" w:rsidP="0014754E">
      <w:pPr>
        <w:tabs>
          <w:tab w:val="left" w:pos="567"/>
          <w:tab w:val="left" w:pos="851"/>
        </w:tabs>
        <w:spacing w:before="120" w:after="60" w:line="240" w:lineRule="auto"/>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Územní plán bude členit území na plochy s rozdílným způsobem využití. Tyto plochy lze s ohledem na specifické podmínky a charakter území dále podrobněji členit dle ustanovení § 3 odst. 4 vyhlášky č. 501/2006 Sb., o obecných požadavcích na využívání území, v platném znění. Při vymezování ploch bude využita aktuální verze metodiky minimálního standardu pro digitální zpracování Územních plánů v GIS pro Středočeský kraj (MINIS). </w:t>
      </w:r>
    </w:p>
    <w:p w14:paraId="7D5F8030" w14:textId="77777777" w:rsidR="0014754E" w:rsidRPr="006070EA" w:rsidRDefault="0014754E" w:rsidP="00B64E3A">
      <w:pPr>
        <w:keepNext/>
        <w:tabs>
          <w:tab w:val="left" w:pos="567"/>
          <w:tab w:val="left" w:pos="851"/>
        </w:tabs>
        <w:spacing w:before="120" w:after="60" w:line="240" w:lineRule="auto"/>
        <w:jc w:val="both"/>
        <w:rPr>
          <w:rFonts w:asciiTheme="majorHAnsi" w:hAnsiTheme="majorHAnsi" w:cstheme="majorHAnsi"/>
          <w:b/>
          <w:i/>
          <w:sz w:val="18"/>
          <w:szCs w:val="18"/>
          <w:lang w:eastAsia="ar-SA"/>
        </w:rPr>
      </w:pPr>
      <w:r w:rsidRPr="006070EA">
        <w:rPr>
          <w:rFonts w:asciiTheme="majorHAnsi" w:hAnsiTheme="majorHAnsi" w:cstheme="majorHAnsi"/>
          <w:b/>
          <w:i/>
          <w:sz w:val="18"/>
          <w:szCs w:val="18"/>
          <w:lang w:eastAsia="ar-SA"/>
        </w:rPr>
        <w:t xml:space="preserve">Požadavky vyplývající z Politiky Územního rozvoje </w:t>
      </w:r>
    </w:p>
    <w:p w14:paraId="53C5BAA1" w14:textId="77777777" w:rsidR="0014754E" w:rsidRPr="006070EA" w:rsidRDefault="0014754E" w:rsidP="0014754E">
      <w:pPr>
        <w:tabs>
          <w:tab w:val="left" w:pos="567"/>
          <w:tab w:val="left" w:pos="851"/>
        </w:tabs>
        <w:spacing w:before="120" w:after="60" w:line="240" w:lineRule="auto"/>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Ve vztahu k urbanistické koncepci řešeného území budou zohledněny republikové priority územního plánování pro zajištění udržitelného rozvoje území č. 14 – 32. a úzká vazba na rozvojové oblasti republikového významu – OB1 Metropolitní rozvojová oblast Praha, OBk1 – Střední Polabí. Dalším podstatným efektem je v případě Kostomlat nad Labem spolupůsobení center Lysá nad Labem, Nymburk, Poděbrady. </w:t>
      </w:r>
    </w:p>
    <w:p w14:paraId="6395A2CE" w14:textId="77777777" w:rsidR="0014754E" w:rsidRPr="006070EA" w:rsidRDefault="0014754E" w:rsidP="0014754E">
      <w:pPr>
        <w:tabs>
          <w:tab w:val="left" w:pos="567"/>
          <w:tab w:val="left" w:pos="851"/>
        </w:tabs>
        <w:spacing w:before="120" w:after="60" w:line="240" w:lineRule="auto"/>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Při rozhodování a posuzování záměrů na změny území je z hlediska požadavků na urbanistickou koncepci nutno sledovat zejména: </w:t>
      </w:r>
    </w:p>
    <w:p w14:paraId="7E939D63" w14:textId="357A3D61" w:rsidR="0014754E" w:rsidRPr="006070EA" w:rsidRDefault="0014754E" w:rsidP="0014754E">
      <w:pPr>
        <w:pStyle w:val="Odstavecseseznamem"/>
        <w:numPr>
          <w:ilvl w:val="2"/>
          <w:numId w:val="18"/>
        </w:numPr>
        <w:spacing w:before="120" w:after="60" w:line="240" w:lineRule="auto"/>
        <w:ind w:left="567"/>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rozvoj bydlení při upřednostnění rozvoje uvnitř zastavěného území a předcházení prostorové sociální segregaci, fragmentaci krajiny nově vymezenými zastavitelnými plochami a záborům ploch veřejné zeleně sloužící svému účelu, </w:t>
      </w:r>
    </w:p>
    <w:p w14:paraId="0009D608" w14:textId="507A4583" w:rsidR="0014754E" w:rsidRPr="006070EA" w:rsidRDefault="0014754E" w:rsidP="0014754E">
      <w:pPr>
        <w:pStyle w:val="Odstavecseseznamem"/>
        <w:numPr>
          <w:ilvl w:val="2"/>
          <w:numId w:val="18"/>
        </w:numPr>
        <w:spacing w:before="120" w:after="60" w:line="240" w:lineRule="auto"/>
        <w:ind w:left="567"/>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nové využití nevyužívaných průmyslových, skladových, dopravních a jiných ploch, </w:t>
      </w:r>
    </w:p>
    <w:p w14:paraId="14649626" w14:textId="5D8D76D9" w:rsidR="0014754E" w:rsidRPr="006070EA" w:rsidRDefault="0014754E" w:rsidP="0014754E">
      <w:pPr>
        <w:pStyle w:val="Odstavecseseznamem"/>
        <w:numPr>
          <w:ilvl w:val="2"/>
          <w:numId w:val="18"/>
        </w:numPr>
        <w:spacing w:before="120" w:after="60" w:line="240" w:lineRule="auto"/>
        <w:ind w:left="567"/>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řešení revitalizace opuštěných areálů a ploch (např. předcházející těžbou, průmyslovým využitím apod.), účelnou organizaci materiálových toků a nakládání s odpady. </w:t>
      </w:r>
    </w:p>
    <w:p w14:paraId="71E0EDD8" w14:textId="77777777" w:rsidR="0014754E" w:rsidRPr="006070EA" w:rsidRDefault="0014754E" w:rsidP="0014754E">
      <w:pPr>
        <w:tabs>
          <w:tab w:val="left" w:pos="567"/>
          <w:tab w:val="left" w:pos="851"/>
        </w:tabs>
        <w:spacing w:before="120" w:after="60" w:line="240" w:lineRule="auto"/>
        <w:jc w:val="both"/>
        <w:rPr>
          <w:rFonts w:asciiTheme="majorHAnsi" w:hAnsiTheme="majorHAnsi" w:cstheme="majorHAnsi"/>
          <w:b/>
          <w:i/>
          <w:sz w:val="18"/>
          <w:szCs w:val="18"/>
          <w:lang w:eastAsia="ar-SA"/>
        </w:rPr>
      </w:pPr>
      <w:r w:rsidRPr="006070EA">
        <w:rPr>
          <w:rFonts w:asciiTheme="majorHAnsi" w:hAnsiTheme="majorHAnsi" w:cstheme="majorHAnsi"/>
          <w:b/>
          <w:i/>
          <w:sz w:val="18"/>
          <w:szCs w:val="18"/>
          <w:lang w:eastAsia="ar-SA"/>
        </w:rPr>
        <w:t xml:space="preserve">Požadavky vyplývající ze ZÚR Středočeského kraje </w:t>
      </w:r>
    </w:p>
    <w:p w14:paraId="5D116E3F" w14:textId="77777777" w:rsidR="0014754E" w:rsidRPr="006070EA" w:rsidRDefault="0014754E" w:rsidP="0014754E">
      <w:pPr>
        <w:tabs>
          <w:tab w:val="left" w:pos="567"/>
          <w:tab w:val="left" w:pos="851"/>
        </w:tabs>
        <w:spacing w:before="120" w:after="60" w:line="240" w:lineRule="auto"/>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Ve vztahu k urbanistické koncepci řešeného území budou zohledněny priority územního plánování kraje pro zajištění udržitelného rozvoje území č. 01 – 09. </w:t>
      </w:r>
    </w:p>
    <w:p w14:paraId="00BF5B8E" w14:textId="77777777" w:rsidR="0014754E" w:rsidRPr="006070EA" w:rsidRDefault="0014754E" w:rsidP="0014754E">
      <w:pPr>
        <w:tabs>
          <w:tab w:val="left" w:pos="567"/>
          <w:tab w:val="left" w:pos="851"/>
        </w:tabs>
        <w:spacing w:before="120" w:after="60" w:line="240" w:lineRule="auto"/>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Při rozhodování a posuzování záměrů na změny území v rozvojové ose je z hlediska požadavků na urbanistickou koncepci nutno zohlednit zejména následující body: </w:t>
      </w:r>
    </w:p>
    <w:p w14:paraId="482802F1" w14:textId="783B74A4" w:rsidR="0014754E" w:rsidRPr="006070EA" w:rsidRDefault="0014754E" w:rsidP="0014754E">
      <w:pPr>
        <w:pStyle w:val="Odstavecseseznamem"/>
        <w:numPr>
          <w:ilvl w:val="2"/>
          <w:numId w:val="18"/>
        </w:numPr>
        <w:spacing w:before="120" w:after="60" w:line="240" w:lineRule="auto"/>
        <w:ind w:left="567"/>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ověřit rozsah zastavitelných ploch a stanovit směry jejich využití s ohledem na kapacity obsluhy dopravní a technickou infrastrukturou, limity rozvoje území a ochranu krajiny. </w:t>
      </w:r>
    </w:p>
    <w:p w14:paraId="1DDBC79A" w14:textId="77777777" w:rsidR="0014754E" w:rsidRPr="006070EA" w:rsidRDefault="0014754E" w:rsidP="0014754E">
      <w:pPr>
        <w:tabs>
          <w:tab w:val="left" w:pos="567"/>
          <w:tab w:val="left" w:pos="851"/>
        </w:tabs>
        <w:spacing w:before="120" w:after="60" w:line="240" w:lineRule="auto"/>
        <w:jc w:val="both"/>
        <w:rPr>
          <w:rFonts w:asciiTheme="majorHAnsi" w:hAnsiTheme="majorHAnsi" w:cstheme="majorHAnsi"/>
          <w:b/>
          <w:i/>
          <w:sz w:val="18"/>
          <w:szCs w:val="18"/>
          <w:lang w:eastAsia="ar-SA"/>
        </w:rPr>
      </w:pPr>
      <w:r w:rsidRPr="006070EA">
        <w:rPr>
          <w:rFonts w:asciiTheme="majorHAnsi" w:hAnsiTheme="majorHAnsi" w:cstheme="majorHAnsi"/>
          <w:b/>
          <w:i/>
          <w:sz w:val="18"/>
          <w:szCs w:val="18"/>
          <w:lang w:eastAsia="ar-SA"/>
        </w:rPr>
        <w:t xml:space="preserve">Požadavky vyplývající z ÚAP ORP Nymburk </w:t>
      </w:r>
    </w:p>
    <w:p w14:paraId="13851618" w14:textId="77777777" w:rsidR="0014754E" w:rsidRPr="006070EA" w:rsidRDefault="0014754E" w:rsidP="0014754E">
      <w:pPr>
        <w:tabs>
          <w:tab w:val="left" w:pos="567"/>
          <w:tab w:val="left" w:pos="851"/>
        </w:tabs>
        <w:spacing w:before="120" w:after="60" w:line="240" w:lineRule="auto"/>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Ve vztahu k urbanistické koncepci řešeného území budou kromě standardizovaných sledovaných jevů, prověřeny následující záměry a problémy: </w:t>
      </w:r>
    </w:p>
    <w:p w14:paraId="73AD6491" w14:textId="74C68B13" w:rsidR="0014754E" w:rsidRPr="006070EA" w:rsidRDefault="0014754E" w:rsidP="0014754E">
      <w:pPr>
        <w:pStyle w:val="Odstavecseseznamem"/>
        <w:numPr>
          <w:ilvl w:val="2"/>
          <w:numId w:val="18"/>
        </w:numPr>
        <w:spacing w:before="120" w:after="60" w:line="240" w:lineRule="auto"/>
        <w:ind w:left="567"/>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vedení el.sítě NN (Kostomlaty nad Labem) </w:t>
      </w:r>
    </w:p>
    <w:p w14:paraId="5DF80450" w14:textId="400FBDA6" w:rsidR="0014754E" w:rsidRPr="006070EA" w:rsidRDefault="0014754E" w:rsidP="0014754E">
      <w:pPr>
        <w:pStyle w:val="Odstavecseseznamem"/>
        <w:numPr>
          <w:ilvl w:val="2"/>
          <w:numId w:val="18"/>
        </w:numPr>
        <w:spacing w:before="120" w:after="60" w:line="240" w:lineRule="auto"/>
        <w:ind w:left="567"/>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plynovod STL (Kostomlaty nad Labem) </w:t>
      </w:r>
    </w:p>
    <w:p w14:paraId="0ECA51CC" w14:textId="7C3F3707" w:rsidR="0014754E" w:rsidRPr="006070EA" w:rsidRDefault="0014754E" w:rsidP="0014754E">
      <w:pPr>
        <w:pStyle w:val="Odstavecseseznamem"/>
        <w:numPr>
          <w:ilvl w:val="2"/>
          <w:numId w:val="18"/>
        </w:numPr>
        <w:spacing w:before="120" w:after="60" w:line="240" w:lineRule="auto"/>
        <w:ind w:left="567"/>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vodovod (Lány, Hronětice Rozkoš, Vápensko) </w:t>
      </w:r>
    </w:p>
    <w:p w14:paraId="02B0C5B2" w14:textId="473D7CA7" w:rsidR="0014754E" w:rsidRPr="006070EA" w:rsidRDefault="0014754E" w:rsidP="0014754E">
      <w:pPr>
        <w:pStyle w:val="Odstavecseseznamem"/>
        <w:numPr>
          <w:ilvl w:val="2"/>
          <w:numId w:val="18"/>
        </w:numPr>
        <w:spacing w:before="120" w:after="60" w:line="240" w:lineRule="auto"/>
        <w:ind w:left="567"/>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kanalizace (Hronětice, Rozkoš, Vápensko) </w:t>
      </w:r>
    </w:p>
    <w:p w14:paraId="6A76FCC4" w14:textId="77777777" w:rsidR="0014754E" w:rsidRPr="006070EA" w:rsidRDefault="0014754E" w:rsidP="0014754E">
      <w:pPr>
        <w:tabs>
          <w:tab w:val="left" w:pos="567"/>
          <w:tab w:val="left" w:pos="851"/>
        </w:tabs>
        <w:spacing w:before="120" w:after="60" w:line="240" w:lineRule="auto"/>
        <w:jc w:val="both"/>
        <w:rPr>
          <w:rFonts w:asciiTheme="majorHAnsi" w:hAnsiTheme="majorHAnsi" w:cstheme="majorHAnsi"/>
          <w:b/>
          <w:i/>
          <w:sz w:val="18"/>
          <w:szCs w:val="18"/>
          <w:lang w:eastAsia="ar-SA"/>
        </w:rPr>
      </w:pPr>
      <w:r w:rsidRPr="006070EA">
        <w:rPr>
          <w:rFonts w:asciiTheme="majorHAnsi" w:hAnsiTheme="majorHAnsi" w:cstheme="majorHAnsi"/>
          <w:b/>
          <w:i/>
          <w:sz w:val="18"/>
          <w:szCs w:val="18"/>
          <w:lang w:eastAsia="ar-SA"/>
        </w:rPr>
        <w:t xml:space="preserve">Požadavky obce </w:t>
      </w:r>
    </w:p>
    <w:p w14:paraId="71CBE33C" w14:textId="77777777" w:rsidR="0014754E" w:rsidRPr="006070EA" w:rsidRDefault="0014754E" w:rsidP="0014754E">
      <w:pPr>
        <w:tabs>
          <w:tab w:val="left" w:pos="567"/>
          <w:tab w:val="left" w:pos="851"/>
        </w:tabs>
        <w:spacing w:before="120" w:after="60" w:line="240" w:lineRule="auto"/>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V celém řešeném území bude v souladu se stavebním zákonem a souvisejícími právními předpisy vymezeno zastavěné území. Územní plán bude členit území na plochy s rozdílným způsobem využití. Tyto plochy lze s ohledem na specifické podmínky a charakter území dále podrobněji dělit dle ustanovení § 3 odst. 4 vyhlášky č. 501/2006 Sb., o obecných požadavcích na využívání území, v platném znění. Při vymezování ploch bude využita aktuální verze metodiky minimálního standardu pro digitální zpracování Územních plánů v GIS pro Středočeský kraj (MINIS). Součástí odůvodnění ÚP bude vyhodnocení účelného využití zastavěného území a vyhodnocení potřeby vymezení zastavitelných ploch. </w:t>
      </w:r>
    </w:p>
    <w:p w14:paraId="35D9748D" w14:textId="77777777" w:rsidR="0014754E" w:rsidRPr="006070EA" w:rsidRDefault="0014754E" w:rsidP="0014754E">
      <w:pPr>
        <w:tabs>
          <w:tab w:val="left" w:pos="567"/>
          <w:tab w:val="left" w:pos="851"/>
        </w:tabs>
        <w:spacing w:before="120" w:after="60" w:line="240" w:lineRule="auto"/>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Stávající urbanistická koncepce bude zachována – bude respektován a posílen stávající charakter sídel. Zvláštní zřetel bude brán na zvýšený urbanizační tlak zapříčiněný vysokou atraktivitou území a jeho dopady na dosud nezastavěné území. </w:t>
      </w:r>
    </w:p>
    <w:p w14:paraId="72591385" w14:textId="77777777" w:rsidR="0014754E" w:rsidRPr="006070EA" w:rsidRDefault="0014754E" w:rsidP="0014754E">
      <w:pPr>
        <w:tabs>
          <w:tab w:val="left" w:pos="567"/>
          <w:tab w:val="left" w:pos="851"/>
        </w:tabs>
        <w:spacing w:before="120" w:after="60" w:line="240" w:lineRule="auto"/>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Zastavitelné plochy budou řešeny tak, aby sídlo vhodně rozvíjely s cílem omezit nevhodný zásah do krajiny. Je nutné brát zřetel na postupné vyčerpávání prostoro-rozvojového potenciálu obce (limity využití území X socioekonomická atraktivita území). </w:t>
      </w:r>
    </w:p>
    <w:p w14:paraId="0889B463" w14:textId="5B5C17DD" w:rsidR="0014754E" w:rsidRPr="006070EA" w:rsidRDefault="0014754E" w:rsidP="0014754E">
      <w:pPr>
        <w:tabs>
          <w:tab w:val="left" w:pos="567"/>
          <w:tab w:val="left" w:pos="851"/>
        </w:tabs>
        <w:spacing w:before="120" w:after="60" w:line="240" w:lineRule="auto"/>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ÚP stanoví podmínky pro využití ploch s rozdílným způsobem využití (hlavní využití, pokud je možné jej stanovit, přípustné využití, nepřípustné využití, popřípadě podmíněně přípustné využití). Podle účelnosti budou vymezeny plochy a koridory územních rezerv s cílem prověřit možnost budoucího využití pro stanovený účel. V případě potřeby (zejména ve vztahu k</w:t>
      </w:r>
      <w:r w:rsidR="00BC3F41" w:rsidRPr="006070EA">
        <w:rPr>
          <w:rFonts w:asciiTheme="majorHAnsi" w:hAnsiTheme="majorHAnsi" w:cstheme="majorHAnsi"/>
          <w:bCs/>
          <w:i/>
          <w:sz w:val="18"/>
          <w:szCs w:val="18"/>
          <w:lang w:eastAsia="ar-SA"/>
        </w:rPr>
        <w:t> </w:t>
      </w:r>
      <w:r w:rsidRPr="006070EA">
        <w:rPr>
          <w:rFonts w:asciiTheme="majorHAnsi" w:hAnsiTheme="majorHAnsi" w:cstheme="majorHAnsi"/>
          <w:bCs/>
          <w:i/>
          <w:sz w:val="18"/>
          <w:szCs w:val="18"/>
          <w:lang w:eastAsia="ar-SA"/>
        </w:rPr>
        <w:t>budování dopravní a technické infrastruktury) bude stanoveno pořadí změn v území - etapizace.</w:t>
      </w:r>
    </w:p>
    <w:p w14:paraId="7EE7E991" w14:textId="77777777" w:rsidR="00BC3F41" w:rsidRPr="006070EA" w:rsidRDefault="00BC3F41" w:rsidP="00BC3F41">
      <w:pPr>
        <w:pStyle w:val="Mra-Vyjden"/>
        <w:spacing w:before="0"/>
        <w:rPr>
          <w:rFonts w:asciiTheme="majorHAnsi" w:hAnsiTheme="majorHAnsi" w:cstheme="majorHAnsi"/>
          <w:color w:val="auto"/>
        </w:rPr>
      </w:pPr>
      <w:r w:rsidRPr="006070EA">
        <w:rPr>
          <w:rFonts w:asciiTheme="majorHAnsi" w:hAnsiTheme="majorHAnsi" w:cstheme="majorHAnsi"/>
          <w:color w:val="auto"/>
        </w:rPr>
        <w:t xml:space="preserve">Územním plánem je respektována stávající urbanistická koncepce a charakter sídel. Územní plán člení řešené území bezvýhradně na jednotlivé plochy s rozdílným způsobem využití a stabilizuje v řešeném území další funkce, zejména </w:t>
      </w:r>
      <w:r w:rsidRPr="006070EA">
        <w:rPr>
          <w:rFonts w:asciiTheme="majorHAnsi" w:hAnsiTheme="majorHAnsi" w:cstheme="majorHAnsi"/>
          <w:color w:val="auto"/>
        </w:rPr>
        <w:lastRenderedPageBreak/>
        <w:t>klade důraz na zachování a rozvoj občanského vybavení, podnikatelských aktivit včetně zemědělské výroby, technické infrastruktury a zachování stability charakteristického uspořádání krajiny, a to dle platných metodik.</w:t>
      </w:r>
    </w:p>
    <w:p w14:paraId="21F868B9" w14:textId="4F1336CC" w:rsidR="00BC3F41" w:rsidRPr="006070EA" w:rsidRDefault="00BC3F41" w:rsidP="00BC3F41">
      <w:pPr>
        <w:pStyle w:val="Mra-Vyjden"/>
        <w:spacing w:before="0"/>
        <w:ind w:firstLine="709"/>
        <w:rPr>
          <w:rFonts w:asciiTheme="majorHAnsi" w:hAnsiTheme="majorHAnsi" w:cstheme="majorHAnsi"/>
          <w:color w:val="auto"/>
        </w:rPr>
      </w:pPr>
      <w:r w:rsidRPr="006070EA">
        <w:rPr>
          <w:rFonts w:asciiTheme="majorHAnsi" w:hAnsiTheme="majorHAnsi" w:cstheme="majorHAnsi"/>
          <w:color w:val="auto"/>
        </w:rPr>
        <w:t>Územním plánem je respektována poloha řešeného území mimo rozvojové osy a oblasti jak republikového, tak krajského významu, ale současně na významné dopravní linii mezi vyššími centry osídlení (Lysá nad Labem, Nymburk) a rovněž v relativně dobré dostupnosti Prahy. Územním plánem jsou především rozvíjeny plochy trvalého bydlení (vč. ploch smíšených obytných), a to vždy v návaznosti na stávající zastavěné území a systém veřejné infrastruktury, aby nedocházelo k zakládání nových sídel v krajině či sociální segregaci. V území jsou stabilizovány či mírně rozvíjeny plochy výroby (zemědělské i lehkého průmyslu), čímž je podporován hospodářský pilíř území a</w:t>
      </w:r>
      <w:r w:rsidR="00031B68" w:rsidRPr="006070EA">
        <w:rPr>
          <w:rFonts w:asciiTheme="majorHAnsi" w:hAnsiTheme="majorHAnsi" w:cstheme="majorHAnsi"/>
          <w:color w:val="auto"/>
        </w:rPr>
        <w:t> </w:t>
      </w:r>
      <w:r w:rsidRPr="006070EA">
        <w:rPr>
          <w:rFonts w:asciiTheme="majorHAnsi" w:hAnsiTheme="majorHAnsi" w:cstheme="majorHAnsi"/>
          <w:color w:val="auto"/>
        </w:rPr>
        <w:t>ekonomická stabilita.</w:t>
      </w:r>
    </w:p>
    <w:p w14:paraId="51D63D39" w14:textId="77777777" w:rsidR="00BC3F41" w:rsidRPr="006070EA" w:rsidRDefault="00BC3F41" w:rsidP="00BC3F41">
      <w:pPr>
        <w:pStyle w:val="Mra-Vyjden"/>
        <w:spacing w:before="0"/>
        <w:ind w:firstLine="709"/>
        <w:rPr>
          <w:rFonts w:asciiTheme="majorHAnsi" w:hAnsiTheme="majorHAnsi" w:cstheme="majorHAnsi"/>
          <w:color w:val="auto"/>
        </w:rPr>
      </w:pPr>
      <w:r w:rsidRPr="006070EA">
        <w:rPr>
          <w:rFonts w:asciiTheme="majorHAnsi" w:hAnsiTheme="majorHAnsi" w:cstheme="majorHAnsi"/>
          <w:color w:val="auto"/>
        </w:rPr>
        <w:t>Soulad s nadřazenou ÚPD kraje (ZÚR Středočeského kraje) je obsahem kapitoly 3 tohoto Odůvodnění. Veškeré rozvojové plochy jsou dimenzovány a vymezeny s ohledem na kapacity veřejné dopravní a technické infrastruktury. Pro tu jsou případně navrženy nové zastavitelné plochy či koridory umožňující její rozvoj.</w:t>
      </w:r>
    </w:p>
    <w:p w14:paraId="24A9B30D" w14:textId="19C6B25B" w:rsidR="00BC3F41" w:rsidRPr="006070EA" w:rsidRDefault="00BC3F41" w:rsidP="00BC3F41">
      <w:pPr>
        <w:pStyle w:val="Mra-Vyjden"/>
        <w:spacing w:before="0"/>
        <w:ind w:firstLine="709"/>
        <w:rPr>
          <w:rFonts w:asciiTheme="majorHAnsi" w:hAnsiTheme="majorHAnsi" w:cstheme="majorHAnsi"/>
          <w:color w:val="auto"/>
        </w:rPr>
      </w:pPr>
      <w:r w:rsidRPr="006070EA">
        <w:rPr>
          <w:rFonts w:asciiTheme="majorHAnsi" w:hAnsiTheme="majorHAnsi" w:cstheme="majorHAnsi"/>
          <w:color w:val="auto"/>
        </w:rPr>
        <w:t>Územním plánem jsou respektovány a případně rozvíjeny stávající systémy technické infrastruktury. Pro koordinovaný rozvoj a napojení částí Vápensko, Hronětice a Rozkoš na vodovodní a kanalizační systém je vymezen koridor technické infrastruktury (</w:t>
      </w:r>
      <w:r w:rsidR="00031B68" w:rsidRPr="006070EA">
        <w:rPr>
          <w:rFonts w:asciiTheme="majorHAnsi" w:hAnsiTheme="majorHAnsi" w:cstheme="majorHAnsi"/>
          <w:color w:val="auto"/>
        </w:rPr>
        <w:t>CNU.</w:t>
      </w:r>
      <w:r w:rsidRPr="006070EA">
        <w:rPr>
          <w:rFonts w:asciiTheme="majorHAnsi" w:hAnsiTheme="majorHAnsi" w:cstheme="majorHAnsi"/>
          <w:color w:val="auto"/>
        </w:rPr>
        <w:t>KTI1).</w:t>
      </w:r>
    </w:p>
    <w:p w14:paraId="0B1BB80D" w14:textId="77777777" w:rsidR="00044688" w:rsidRPr="006070EA" w:rsidRDefault="00044688" w:rsidP="00044688">
      <w:pPr>
        <w:keepNext/>
        <w:spacing w:before="120" w:after="120" w:line="240" w:lineRule="auto"/>
        <w:jc w:val="both"/>
        <w:rPr>
          <w:rFonts w:asciiTheme="majorHAnsi" w:hAnsiTheme="majorHAnsi" w:cstheme="majorHAnsi"/>
          <w:b/>
          <w:i/>
          <w:sz w:val="20"/>
          <w:szCs w:val="20"/>
          <w:lang w:eastAsia="ar-SA"/>
        </w:rPr>
      </w:pPr>
      <w:r w:rsidRPr="006070EA">
        <w:rPr>
          <w:rFonts w:asciiTheme="majorHAnsi" w:hAnsiTheme="majorHAnsi" w:cstheme="majorHAnsi"/>
          <w:b/>
          <w:i/>
          <w:sz w:val="20"/>
          <w:szCs w:val="20"/>
          <w:lang w:eastAsia="ar-SA"/>
        </w:rPr>
        <w:t>Požadavky na koncepci veřejné infrastruktury, zejména na prověření uspořádání veřejné infrastruktury a možnosti jejích změn</w:t>
      </w:r>
    </w:p>
    <w:p w14:paraId="12F3AA07" w14:textId="77777777" w:rsidR="00044688" w:rsidRPr="006070EA" w:rsidRDefault="00044688" w:rsidP="00560FA1">
      <w:pPr>
        <w:tabs>
          <w:tab w:val="left" w:pos="567"/>
          <w:tab w:val="left" w:pos="851"/>
        </w:tabs>
        <w:spacing w:before="120" w:after="60" w:line="240" w:lineRule="auto"/>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V Územním plánu bude koncepce veřejné infrastruktury navržena v souladu s požadavky na rozvoj obce a požadavky na urbanistickou koncepci, které jsou uvedeny v předchozích kapitolách zadání a na koncepci uspořádání krajiny, která je uvedena v kapitole následující. Koncepce dopravní a technické infrastruktury bude respektovat přírodní, kulturní a civilizační hodnoty území. Zvláštní pozornost bude ÚP věnovat lokalizaci, podpoře a kooperaci z hlediska veřejné infrastruktury jednotlivých urbanizačních jader (historické jádro obce (Vápensko) X nová zástavba. Územní plán jednoznačně definuje jejich význam a pozici ve struktuře obce. </w:t>
      </w:r>
    </w:p>
    <w:p w14:paraId="680848D8" w14:textId="77777777" w:rsidR="00044688" w:rsidRPr="006070EA" w:rsidRDefault="00044688" w:rsidP="00044688">
      <w:pPr>
        <w:tabs>
          <w:tab w:val="left" w:pos="567"/>
          <w:tab w:val="left" w:pos="851"/>
        </w:tabs>
        <w:spacing w:before="120" w:after="60" w:line="240" w:lineRule="auto"/>
        <w:jc w:val="both"/>
        <w:rPr>
          <w:rFonts w:asciiTheme="majorHAnsi" w:hAnsiTheme="majorHAnsi" w:cstheme="majorHAnsi"/>
          <w:bCs/>
          <w:i/>
          <w:sz w:val="18"/>
          <w:szCs w:val="18"/>
          <w:u w:val="single"/>
          <w:lang w:eastAsia="ar-SA"/>
        </w:rPr>
      </w:pPr>
      <w:r w:rsidRPr="006070EA">
        <w:rPr>
          <w:rFonts w:asciiTheme="majorHAnsi" w:hAnsiTheme="majorHAnsi" w:cstheme="majorHAnsi"/>
          <w:bCs/>
          <w:i/>
          <w:sz w:val="18"/>
          <w:szCs w:val="18"/>
          <w:u w:val="single"/>
          <w:lang w:eastAsia="ar-SA"/>
        </w:rPr>
        <w:t xml:space="preserve">Dopravní infrastruktura </w:t>
      </w:r>
    </w:p>
    <w:p w14:paraId="20DF7703" w14:textId="77777777" w:rsidR="00044688" w:rsidRPr="006070EA" w:rsidRDefault="00044688" w:rsidP="00044688">
      <w:pPr>
        <w:tabs>
          <w:tab w:val="left" w:pos="567"/>
          <w:tab w:val="left" w:pos="851"/>
        </w:tabs>
        <w:spacing w:before="120" w:after="60" w:line="240" w:lineRule="auto"/>
        <w:jc w:val="both"/>
        <w:rPr>
          <w:rFonts w:asciiTheme="majorHAnsi" w:hAnsiTheme="majorHAnsi" w:cstheme="majorHAnsi"/>
          <w:b/>
          <w:i/>
          <w:sz w:val="18"/>
          <w:szCs w:val="18"/>
          <w:lang w:eastAsia="ar-SA"/>
        </w:rPr>
      </w:pPr>
      <w:r w:rsidRPr="006070EA">
        <w:rPr>
          <w:rFonts w:asciiTheme="majorHAnsi" w:hAnsiTheme="majorHAnsi" w:cstheme="majorHAnsi"/>
          <w:b/>
          <w:i/>
          <w:sz w:val="18"/>
          <w:szCs w:val="18"/>
          <w:lang w:eastAsia="ar-SA"/>
        </w:rPr>
        <w:t xml:space="preserve">Požadavky vyplývající z Politiky Územního rozvoje </w:t>
      </w:r>
    </w:p>
    <w:p w14:paraId="37E58130" w14:textId="77777777" w:rsidR="00044688" w:rsidRPr="006070EA" w:rsidRDefault="00044688" w:rsidP="00044688">
      <w:pPr>
        <w:tabs>
          <w:tab w:val="left" w:pos="567"/>
          <w:tab w:val="left" w:pos="851"/>
        </w:tabs>
        <w:spacing w:before="120" w:after="60" w:line="240" w:lineRule="auto"/>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Nad rámec výše zmíněných obecných priorit a vazeb PÚR ČR je třeba v případě koncepce dopravní infrastruktury sledovat zejména: </w:t>
      </w:r>
    </w:p>
    <w:p w14:paraId="7A99D2C5" w14:textId="7C7742F7" w:rsidR="00044688" w:rsidRPr="006070EA" w:rsidRDefault="00044688" w:rsidP="00044688">
      <w:pPr>
        <w:pStyle w:val="Odstavecseseznamem"/>
        <w:numPr>
          <w:ilvl w:val="2"/>
          <w:numId w:val="18"/>
        </w:numPr>
        <w:spacing w:before="120" w:after="60" w:line="240" w:lineRule="auto"/>
        <w:ind w:left="567"/>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možnosti využití stávající veřejné infrastruktury a potřebu jejího dalšího rozvoje a dobudování při současném respektování přírodních, kulturních a civilizačních hodnot území, </w:t>
      </w:r>
    </w:p>
    <w:p w14:paraId="7A37C294" w14:textId="6B39166F" w:rsidR="00044688" w:rsidRPr="006070EA" w:rsidRDefault="00044688" w:rsidP="00044688">
      <w:pPr>
        <w:pStyle w:val="Odstavecseseznamem"/>
        <w:numPr>
          <w:ilvl w:val="2"/>
          <w:numId w:val="18"/>
        </w:numPr>
        <w:spacing w:before="120" w:after="60" w:line="240" w:lineRule="auto"/>
        <w:ind w:left="567"/>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nové využití nevyužívaných průmyslových, skladových, dopravních a jiných ploch, </w:t>
      </w:r>
    </w:p>
    <w:p w14:paraId="4830A113" w14:textId="155E0247" w:rsidR="00044688" w:rsidRPr="006070EA" w:rsidRDefault="00044688" w:rsidP="00044688">
      <w:pPr>
        <w:pStyle w:val="Odstavecseseznamem"/>
        <w:numPr>
          <w:ilvl w:val="2"/>
          <w:numId w:val="18"/>
        </w:numPr>
        <w:spacing w:before="120" w:after="60" w:line="240" w:lineRule="auto"/>
        <w:ind w:left="567"/>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ochranu a využití rekreačního potenciálu krajiny, </w:t>
      </w:r>
    </w:p>
    <w:p w14:paraId="0CA032BE" w14:textId="19E44647" w:rsidR="00044688" w:rsidRPr="006070EA" w:rsidRDefault="00044688" w:rsidP="00044688">
      <w:pPr>
        <w:pStyle w:val="Odstavecseseznamem"/>
        <w:numPr>
          <w:ilvl w:val="2"/>
          <w:numId w:val="18"/>
        </w:numPr>
        <w:spacing w:before="120" w:after="60" w:line="240" w:lineRule="auto"/>
        <w:ind w:left="567"/>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minimalizování ovlivnění přírodních a krajinných hodnot území. </w:t>
      </w:r>
    </w:p>
    <w:p w14:paraId="78C75885" w14:textId="77777777" w:rsidR="00044688" w:rsidRPr="006070EA" w:rsidRDefault="00044688" w:rsidP="00044688">
      <w:pPr>
        <w:tabs>
          <w:tab w:val="left" w:pos="567"/>
          <w:tab w:val="left" w:pos="851"/>
        </w:tabs>
        <w:spacing w:before="120" w:after="60" w:line="240" w:lineRule="auto"/>
        <w:jc w:val="both"/>
        <w:rPr>
          <w:rFonts w:asciiTheme="majorHAnsi" w:hAnsiTheme="majorHAnsi" w:cstheme="majorHAnsi"/>
          <w:b/>
          <w:i/>
          <w:sz w:val="18"/>
          <w:szCs w:val="18"/>
          <w:lang w:eastAsia="ar-SA"/>
        </w:rPr>
      </w:pPr>
      <w:r w:rsidRPr="006070EA">
        <w:rPr>
          <w:rFonts w:asciiTheme="majorHAnsi" w:hAnsiTheme="majorHAnsi" w:cstheme="majorHAnsi"/>
          <w:b/>
          <w:i/>
          <w:sz w:val="18"/>
          <w:szCs w:val="18"/>
          <w:lang w:eastAsia="ar-SA"/>
        </w:rPr>
        <w:t xml:space="preserve">Požadavky vyplývající ze ZÚR Středočeského kraje </w:t>
      </w:r>
    </w:p>
    <w:p w14:paraId="129BDAAF" w14:textId="77777777" w:rsidR="00044688" w:rsidRPr="006070EA" w:rsidRDefault="00044688" w:rsidP="00044688">
      <w:pPr>
        <w:tabs>
          <w:tab w:val="left" w:pos="567"/>
          <w:tab w:val="left" w:pos="851"/>
        </w:tabs>
        <w:spacing w:before="120" w:after="60" w:line="240" w:lineRule="auto"/>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Nad rámec výše zmíněných obecných priorit a vazeb ZÚR SK je třeba v případě koncepce dopravní infrastruktury zohlednit zejména následující body: </w:t>
      </w:r>
    </w:p>
    <w:p w14:paraId="00212280" w14:textId="6A148A0D" w:rsidR="00044688" w:rsidRPr="006070EA" w:rsidRDefault="00044688" w:rsidP="00044688">
      <w:pPr>
        <w:pStyle w:val="Odstavecseseznamem"/>
        <w:numPr>
          <w:ilvl w:val="2"/>
          <w:numId w:val="18"/>
        </w:numPr>
        <w:spacing w:before="120" w:after="60" w:line="240" w:lineRule="auto"/>
        <w:ind w:left="567"/>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rozvoj bydlení sledovat zejména do Kostomlat nad Labem s vazbou na železniční trať Praha – Lysá nad Labem – Nymburk. </w:t>
      </w:r>
    </w:p>
    <w:p w14:paraId="12354173" w14:textId="0CAA3208" w:rsidR="00044688" w:rsidRPr="006070EA" w:rsidRDefault="00044688" w:rsidP="00044688">
      <w:pPr>
        <w:pStyle w:val="Odstavecseseznamem"/>
        <w:numPr>
          <w:ilvl w:val="2"/>
          <w:numId w:val="18"/>
        </w:numPr>
        <w:spacing w:before="120" w:after="60" w:line="240" w:lineRule="auto"/>
        <w:ind w:left="567"/>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ověřit rozsah zastavitelných ploch a stanovit směry jejich využití s ohledem na kapacity obsluhy dopravní a technickou infrastrukturou, limity rozvoje území a ochranu krajiny. </w:t>
      </w:r>
    </w:p>
    <w:p w14:paraId="201C8E0E" w14:textId="77777777" w:rsidR="00044688" w:rsidRPr="006070EA" w:rsidRDefault="00044688" w:rsidP="00044688">
      <w:pPr>
        <w:tabs>
          <w:tab w:val="left" w:pos="567"/>
          <w:tab w:val="left" w:pos="851"/>
        </w:tabs>
        <w:spacing w:before="120" w:after="60" w:line="240" w:lineRule="auto"/>
        <w:jc w:val="both"/>
        <w:rPr>
          <w:rFonts w:asciiTheme="majorHAnsi" w:hAnsiTheme="majorHAnsi" w:cstheme="majorHAnsi"/>
          <w:b/>
          <w:i/>
          <w:sz w:val="18"/>
          <w:szCs w:val="18"/>
          <w:lang w:eastAsia="ar-SA"/>
        </w:rPr>
      </w:pPr>
      <w:r w:rsidRPr="006070EA">
        <w:rPr>
          <w:rFonts w:asciiTheme="majorHAnsi" w:hAnsiTheme="majorHAnsi" w:cstheme="majorHAnsi"/>
          <w:b/>
          <w:i/>
          <w:sz w:val="18"/>
          <w:szCs w:val="18"/>
          <w:lang w:eastAsia="ar-SA"/>
        </w:rPr>
        <w:t xml:space="preserve">Požadavky vyplývající z ÚAP ORP Nymburk </w:t>
      </w:r>
    </w:p>
    <w:p w14:paraId="0282768E" w14:textId="77777777" w:rsidR="00044688" w:rsidRPr="006070EA" w:rsidRDefault="00044688" w:rsidP="00044688">
      <w:pPr>
        <w:tabs>
          <w:tab w:val="left" w:pos="567"/>
          <w:tab w:val="left" w:pos="851"/>
        </w:tabs>
        <w:spacing w:before="120" w:after="60" w:line="240" w:lineRule="auto"/>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Ve vztahu ke koncepci dopravní infrastruktury řešeného území budou kromě standardizovaných, ze zákona sledovaných jevů, prověřeny následující záměry a problémy: </w:t>
      </w:r>
    </w:p>
    <w:p w14:paraId="620AC581" w14:textId="1CCC9F95" w:rsidR="00044688" w:rsidRPr="006070EA" w:rsidRDefault="00044688" w:rsidP="00044688">
      <w:pPr>
        <w:pStyle w:val="Odstavecseseznamem"/>
        <w:numPr>
          <w:ilvl w:val="2"/>
          <w:numId w:val="18"/>
        </w:numPr>
        <w:spacing w:before="120" w:after="60" w:line="240" w:lineRule="auto"/>
        <w:ind w:left="567"/>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prověřit potřebu přeložky silnice II/331 (jižního obchvatu Kostomlat nad Labem) </w:t>
      </w:r>
    </w:p>
    <w:p w14:paraId="5247CE3D" w14:textId="77777777" w:rsidR="00044688" w:rsidRPr="006070EA" w:rsidRDefault="00044688" w:rsidP="00F90B15">
      <w:pPr>
        <w:keepNext/>
        <w:tabs>
          <w:tab w:val="left" w:pos="567"/>
          <w:tab w:val="left" w:pos="851"/>
        </w:tabs>
        <w:spacing w:before="120" w:after="60" w:line="240" w:lineRule="auto"/>
        <w:jc w:val="both"/>
        <w:rPr>
          <w:rFonts w:asciiTheme="majorHAnsi" w:hAnsiTheme="majorHAnsi" w:cstheme="majorHAnsi"/>
          <w:b/>
          <w:i/>
          <w:sz w:val="18"/>
          <w:szCs w:val="18"/>
          <w:lang w:eastAsia="ar-SA"/>
        </w:rPr>
      </w:pPr>
      <w:r w:rsidRPr="006070EA">
        <w:rPr>
          <w:rFonts w:asciiTheme="majorHAnsi" w:hAnsiTheme="majorHAnsi" w:cstheme="majorHAnsi"/>
          <w:b/>
          <w:i/>
          <w:sz w:val="18"/>
          <w:szCs w:val="18"/>
          <w:lang w:eastAsia="ar-SA"/>
        </w:rPr>
        <w:t xml:space="preserve">Požadavky obce </w:t>
      </w:r>
    </w:p>
    <w:p w14:paraId="27BFEBFA" w14:textId="77777777" w:rsidR="00044688" w:rsidRPr="006070EA" w:rsidRDefault="00044688" w:rsidP="00044688">
      <w:pPr>
        <w:tabs>
          <w:tab w:val="left" w:pos="567"/>
          <w:tab w:val="left" w:pos="851"/>
        </w:tabs>
        <w:spacing w:before="120" w:after="60" w:line="240" w:lineRule="auto"/>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Územní plán kromě výše uvedených úkolů dále prověří možnosti zvýšení prostupnosti v podobě obnovy a rozvoje historické komunikační sítě. </w:t>
      </w:r>
    </w:p>
    <w:p w14:paraId="08CCAC4B" w14:textId="006D3080" w:rsidR="00044688" w:rsidRPr="006070EA" w:rsidRDefault="00044688" w:rsidP="00044688">
      <w:pPr>
        <w:tabs>
          <w:tab w:val="left" w:pos="567"/>
          <w:tab w:val="left" w:pos="851"/>
        </w:tabs>
        <w:spacing w:before="120" w:after="60" w:line="240" w:lineRule="auto"/>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Zvláštní důraz bude kladen na možnosti řešení mimoúrovňového křížení železniční tratě v souladu s připravovanou „Modernizací traťového úseku Nymburk – Lysá nad Labem“. </w:t>
      </w:r>
    </w:p>
    <w:p w14:paraId="71DC4690" w14:textId="77777777" w:rsidR="00BC3F41" w:rsidRPr="006070EA" w:rsidRDefault="00BC3F41" w:rsidP="00BC3F41">
      <w:pPr>
        <w:pStyle w:val="Mra-Vyjden"/>
        <w:spacing w:before="0"/>
        <w:rPr>
          <w:rFonts w:asciiTheme="majorHAnsi" w:hAnsiTheme="majorHAnsi" w:cstheme="majorHAnsi"/>
          <w:color w:val="auto"/>
        </w:rPr>
      </w:pPr>
      <w:r w:rsidRPr="006070EA">
        <w:rPr>
          <w:rFonts w:asciiTheme="majorHAnsi" w:hAnsiTheme="majorHAnsi" w:cstheme="majorHAnsi"/>
          <w:color w:val="auto"/>
        </w:rPr>
        <w:t>Územním plánem je respektována a dále rozvíjena veřejná infrastruktura řešeného území. Rozvojové záměry nejsou v kolizi s přírodními a krajinnými hodnotami v území.</w:t>
      </w:r>
    </w:p>
    <w:p w14:paraId="2A8BEE23" w14:textId="77777777" w:rsidR="00BC3F41" w:rsidRPr="006070EA" w:rsidRDefault="00BC3F41" w:rsidP="00BC3F41">
      <w:pPr>
        <w:pStyle w:val="Mra-Vyjden"/>
        <w:spacing w:before="0"/>
        <w:ind w:firstLine="709"/>
        <w:rPr>
          <w:rFonts w:asciiTheme="majorHAnsi" w:hAnsiTheme="majorHAnsi" w:cstheme="majorHAnsi"/>
          <w:color w:val="auto"/>
        </w:rPr>
      </w:pPr>
      <w:r w:rsidRPr="006070EA">
        <w:rPr>
          <w:rFonts w:asciiTheme="majorHAnsi" w:hAnsiTheme="majorHAnsi" w:cstheme="majorHAnsi"/>
          <w:color w:val="auto"/>
        </w:rPr>
        <w:t xml:space="preserve">Hlavní pozornost rozvoje se soustředí na přirozené centrum řešeného území, tedy obec Kostomlaty nad Labem a související části, které mají kvalitní přístup k železničnímu spojení s vyššími centry osídlení. Zastavitelné plochy jsou přitom vymezovány v návaznosti na zastavěné území a veřejnou infrastrukturu. </w:t>
      </w:r>
    </w:p>
    <w:p w14:paraId="77EA4815" w14:textId="066CF6A5" w:rsidR="00BC3F41" w:rsidRPr="006070EA" w:rsidRDefault="00BC3F41" w:rsidP="00BC3F41">
      <w:pPr>
        <w:pStyle w:val="Mra-Vyjden"/>
        <w:spacing w:before="0"/>
        <w:ind w:firstLine="709"/>
        <w:rPr>
          <w:rFonts w:asciiTheme="majorHAnsi" w:hAnsiTheme="majorHAnsi" w:cstheme="majorHAnsi"/>
          <w:color w:val="auto"/>
        </w:rPr>
      </w:pPr>
      <w:r w:rsidRPr="006070EA">
        <w:rPr>
          <w:rFonts w:asciiTheme="majorHAnsi" w:hAnsiTheme="majorHAnsi" w:cstheme="majorHAnsi"/>
          <w:color w:val="auto"/>
        </w:rPr>
        <w:t>Územním plánem je vymezen koridor dopravní infrastruktury železniční (</w:t>
      </w:r>
      <w:bookmarkStart w:id="133" w:name="_Hlk177995590"/>
      <w:r w:rsidR="00031B68" w:rsidRPr="006070EA">
        <w:rPr>
          <w:rFonts w:asciiTheme="majorHAnsi" w:hAnsiTheme="majorHAnsi" w:cstheme="majorHAnsi"/>
          <w:color w:val="auto"/>
        </w:rPr>
        <w:t>CN</w:t>
      </w:r>
      <w:r w:rsidR="0097451F">
        <w:rPr>
          <w:rFonts w:asciiTheme="majorHAnsi" w:hAnsiTheme="majorHAnsi" w:cstheme="majorHAnsi"/>
          <w:color w:val="auto"/>
        </w:rPr>
        <w:t>Z</w:t>
      </w:r>
      <w:r w:rsidR="00031B68" w:rsidRPr="006070EA">
        <w:rPr>
          <w:rFonts w:asciiTheme="majorHAnsi" w:hAnsiTheme="majorHAnsi" w:cstheme="majorHAnsi"/>
          <w:color w:val="auto"/>
        </w:rPr>
        <w:t>.</w:t>
      </w:r>
      <w:r w:rsidR="0097451F">
        <w:rPr>
          <w:rFonts w:asciiTheme="majorHAnsi" w:hAnsiTheme="majorHAnsi" w:cstheme="majorHAnsi"/>
          <w:color w:val="auto"/>
        </w:rPr>
        <w:t>D322</w:t>
      </w:r>
      <w:bookmarkEnd w:id="133"/>
      <w:r w:rsidRPr="006070EA">
        <w:rPr>
          <w:rFonts w:asciiTheme="majorHAnsi" w:hAnsiTheme="majorHAnsi" w:cstheme="majorHAnsi"/>
          <w:color w:val="auto"/>
        </w:rPr>
        <w:t>) pro realizaci mimoúrovňového křížení železniční tratě a modernizaci traťového úseku Lysá nad Labem – Nymburk (trať č. 231)</w:t>
      </w:r>
      <w:r w:rsidR="000C479F" w:rsidRPr="006070EA">
        <w:rPr>
          <w:rFonts w:asciiTheme="majorHAnsi" w:hAnsiTheme="majorHAnsi" w:cstheme="majorHAnsi"/>
          <w:color w:val="auto"/>
        </w:rPr>
        <w:t xml:space="preserve"> a</w:t>
      </w:r>
      <w:r w:rsidR="0097451F">
        <w:rPr>
          <w:rFonts w:asciiTheme="majorHAnsi" w:hAnsiTheme="majorHAnsi" w:cstheme="majorHAnsi"/>
          <w:color w:val="auto"/>
        </w:rPr>
        <w:t xml:space="preserve"> </w:t>
      </w:r>
      <w:r w:rsidR="0097451F">
        <w:rPr>
          <w:rFonts w:asciiTheme="majorHAnsi" w:hAnsiTheme="majorHAnsi" w:cstheme="majorHAnsi"/>
          <w:color w:val="auto"/>
        </w:rPr>
        <w:lastRenderedPageBreak/>
        <w:t>CNU.KD1</w:t>
      </w:r>
      <w:r w:rsidR="00C208DE">
        <w:rPr>
          <w:rFonts w:asciiTheme="majorHAnsi" w:hAnsiTheme="majorHAnsi" w:cstheme="majorHAnsi"/>
          <w:color w:val="auto"/>
        </w:rPr>
        <w:t>,</w:t>
      </w:r>
      <w:r w:rsidR="0097451F">
        <w:rPr>
          <w:rFonts w:asciiTheme="majorHAnsi" w:hAnsiTheme="majorHAnsi" w:cstheme="majorHAnsi"/>
          <w:color w:val="auto"/>
        </w:rPr>
        <w:t xml:space="preserve"> CNU.KD2</w:t>
      </w:r>
      <w:r w:rsidR="00C208DE">
        <w:rPr>
          <w:rFonts w:asciiTheme="majorHAnsi" w:hAnsiTheme="majorHAnsi" w:cstheme="majorHAnsi"/>
          <w:color w:val="auto"/>
        </w:rPr>
        <w:t>, CNU.KD3</w:t>
      </w:r>
      <w:r w:rsidR="00031B68" w:rsidRPr="006070EA">
        <w:rPr>
          <w:rFonts w:asciiTheme="majorHAnsi" w:hAnsiTheme="majorHAnsi" w:cstheme="majorHAnsi"/>
          <w:color w:val="auto"/>
        </w:rPr>
        <w:t> </w:t>
      </w:r>
      <w:r w:rsidR="000C479F" w:rsidRPr="006070EA">
        <w:rPr>
          <w:rFonts w:asciiTheme="majorHAnsi" w:hAnsiTheme="majorHAnsi" w:cstheme="majorHAnsi"/>
          <w:color w:val="auto"/>
        </w:rPr>
        <w:t>související přeložku silnice III. třídy</w:t>
      </w:r>
      <w:r w:rsidRPr="006070EA">
        <w:rPr>
          <w:rFonts w:asciiTheme="majorHAnsi" w:hAnsiTheme="majorHAnsi" w:cstheme="majorHAnsi"/>
          <w:color w:val="auto"/>
        </w:rPr>
        <w:t>.</w:t>
      </w:r>
      <w:r w:rsidR="000C479F" w:rsidRPr="006070EA">
        <w:rPr>
          <w:rFonts w:asciiTheme="majorHAnsi" w:hAnsiTheme="majorHAnsi" w:cstheme="majorHAnsi"/>
          <w:color w:val="auto"/>
        </w:rPr>
        <w:t xml:space="preserve"> Potřeba pro vymezení přeložky silnice II/331 byla prověřena a v rámci návrhu ÚP pro společné jednání byl za tímto záměrem vymezen koridor územní rezervy, který byl však vypuštěn na základě vyhodnocení společného jednání.</w:t>
      </w:r>
    </w:p>
    <w:p w14:paraId="2EFA5DE3" w14:textId="77777777" w:rsidR="00044688" w:rsidRPr="006070EA" w:rsidRDefault="00044688" w:rsidP="00BC3F41">
      <w:pPr>
        <w:keepNext/>
        <w:tabs>
          <w:tab w:val="left" w:pos="567"/>
          <w:tab w:val="left" w:pos="851"/>
        </w:tabs>
        <w:spacing w:before="120" w:after="60" w:line="240" w:lineRule="auto"/>
        <w:jc w:val="both"/>
        <w:rPr>
          <w:rFonts w:asciiTheme="majorHAnsi" w:hAnsiTheme="majorHAnsi" w:cstheme="majorHAnsi"/>
          <w:bCs/>
          <w:i/>
          <w:sz w:val="18"/>
          <w:szCs w:val="18"/>
          <w:u w:val="single"/>
          <w:lang w:eastAsia="ar-SA"/>
        </w:rPr>
      </w:pPr>
      <w:r w:rsidRPr="006070EA">
        <w:rPr>
          <w:rFonts w:asciiTheme="majorHAnsi" w:hAnsiTheme="majorHAnsi" w:cstheme="majorHAnsi"/>
          <w:bCs/>
          <w:i/>
          <w:sz w:val="18"/>
          <w:szCs w:val="18"/>
          <w:u w:val="single"/>
          <w:lang w:eastAsia="ar-SA"/>
        </w:rPr>
        <w:t xml:space="preserve">Technická infrastruktura </w:t>
      </w:r>
    </w:p>
    <w:p w14:paraId="55F0A07C" w14:textId="77777777" w:rsidR="00044688" w:rsidRPr="006070EA" w:rsidRDefault="00044688" w:rsidP="00BC3F41">
      <w:pPr>
        <w:keepNext/>
        <w:tabs>
          <w:tab w:val="left" w:pos="567"/>
          <w:tab w:val="left" w:pos="851"/>
        </w:tabs>
        <w:spacing w:before="120" w:after="60" w:line="240" w:lineRule="auto"/>
        <w:jc w:val="both"/>
        <w:rPr>
          <w:rFonts w:asciiTheme="majorHAnsi" w:hAnsiTheme="majorHAnsi" w:cstheme="majorHAnsi"/>
          <w:b/>
          <w:i/>
          <w:sz w:val="18"/>
          <w:szCs w:val="18"/>
          <w:lang w:eastAsia="ar-SA"/>
        </w:rPr>
      </w:pPr>
      <w:r w:rsidRPr="006070EA">
        <w:rPr>
          <w:rFonts w:asciiTheme="majorHAnsi" w:hAnsiTheme="majorHAnsi" w:cstheme="majorHAnsi"/>
          <w:b/>
          <w:i/>
          <w:sz w:val="18"/>
          <w:szCs w:val="18"/>
          <w:lang w:eastAsia="ar-SA"/>
        </w:rPr>
        <w:t xml:space="preserve">Požadavky vyplývající z Politiky Územního rozvoje </w:t>
      </w:r>
    </w:p>
    <w:p w14:paraId="0B4998C8" w14:textId="77777777" w:rsidR="00044688" w:rsidRPr="006070EA" w:rsidRDefault="00044688" w:rsidP="00044688">
      <w:pPr>
        <w:tabs>
          <w:tab w:val="left" w:pos="567"/>
          <w:tab w:val="left" w:pos="851"/>
        </w:tabs>
        <w:spacing w:before="120" w:after="60" w:line="240" w:lineRule="auto"/>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Nad rámec výše zmíněných obecných priorit a vazeb PÚR ČR je třeba v případě koncepce technické infrastruktury sledovat zejména: </w:t>
      </w:r>
    </w:p>
    <w:p w14:paraId="2176DB11" w14:textId="7E9672F9" w:rsidR="00044688" w:rsidRPr="006070EA" w:rsidRDefault="00044688" w:rsidP="00044688">
      <w:pPr>
        <w:pStyle w:val="Odstavecseseznamem"/>
        <w:numPr>
          <w:ilvl w:val="2"/>
          <w:numId w:val="18"/>
        </w:numPr>
        <w:spacing w:before="120" w:after="60" w:line="240" w:lineRule="auto"/>
        <w:ind w:left="567"/>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možnosti využití stávající veřejné infrastruktury a potřebu jejího dalšího rozvoje a dobudování při současném respektování přírodních, kulturních a civilizačních hodnot území, </w:t>
      </w:r>
    </w:p>
    <w:p w14:paraId="67BEEDAB" w14:textId="7A8520E5" w:rsidR="00044688" w:rsidRPr="006070EA" w:rsidRDefault="00044688" w:rsidP="00044688">
      <w:pPr>
        <w:pStyle w:val="Odstavecseseznamem"/>
        <w:numPr>
          <w:ilvl w:val="2"/>
          <w:numId w:val="18"/>
        </w:numPr>
        <w:spacing w:before="120" w:after="60" w:line="240" w:lineRule="auto"/>
        <w:ind w:left="567"/>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nové využití nevyužívaných průmyslových, skladových, dopravních a jiných ploch, </w:t>
      </w:r>
    </w:p>
    <w:p w14:paraId="22B0B8CD" w14:textId="5AB8159D" w:rsidR="00044688" w:rsidRPr="006070EA" w:rsidRDefault="00044688" w:rsidP="00044688">
      <w:pPr>
        <w:pStyle w:val="Odstavecseseznamem"/>
        <w:numPr>
          <w:ilvl w:val="2"/>
          <w:numId w:val="18"/>
        </w:numPr>
        <w:spacing w:before="120" w:after="60" w:line="240" w:lineRule="auto"/>
        <w:ind w:left="567"/>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ochranu a využití rekreačního potenciálu krajiny, </w:t>
      </w:r>
    </w:p>
    <w:p w14:paraId="14115A7E" w14:textId="2A4464D5" w:rsidR="00044688" w:rsidRPr="006070EA" w:rsidRDefault="00044688" w:rsidP="00044688">
      <w:pPr>
        <w:pStyle w:val="Odstavecseseznamem"/>
        <w:numPr>
          <w:ilvl w:val="2"/>
          <w:numId w:val="18"/>
        </w:numPr>
        <w:spacing w:before="120" w:after="60" w:line="240" w:lineRule="auto"/>
        <w:ind w:left="567"/>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minimalizování ovlivnění přírodních a krajinných hodnot území.</w:t>
      </w:r>
    </w:p>
    <w:p w14:paraId="7E30E11D" w14:textId="77777777" w:rsidR="00044688" w:rsidRPr="006070EA" w:rsidRDefault="00044688" w:rsidP="00044688">
      <w:pPr>
        <w:tabs>
          <w:tab w:val="left" w:pos="567"/>
          <w:tab w:val="left" w:pos="851"/>
        </w:tabs>
        <w:spacing w:before="120" w:after="60" w:line="240" w:lineRule="auto"/>
        <w:jc w:val="both"/>
        <w:rPr>
          <w:rFonts w:asciiTheme="majorHAnsi" w:hAnsiTheme="majorHAnsi" w:cstheme="majorHAnsi"/>
          <w:b/>
          <w:i/>
          <w:sz w:val="18"/>
          <w:szCs w:val="18"/>
          <w:lang w:eastAsia="ar-SA"/>
        </w:rPr>
      </w:pPr>
      <w:r w:rsidRPr="006070EA">
        <w:rPr>
          <w:rFonts w:asciiTheme="majorHAnsi" w:hAnsiTheme="majorHAnsi" w:cstheme="majorHAnsi"/>
          <w:b/>
          <w:i/>
          <w:sz w:val="18"/>
          <w:szCs w:val="18"/>
          <w:lang w:eastAsia="ar-SA"/>
        </w:rPr>
        <w:t xml:space="preserve">Požadavky vyplývající ze ZÚR Středočeského kraje </w:t>
      </w:r>
    </w:p>
    <w:p w14:paraId="3439209A" w14:textId="77777777" w:rsidR="00044688" w:rsidRPr="006070EA" w:rsidRDefault="00044688" w:rsidP="00044688">
      <w:pPr>
        <w:tabs>
          <w:tab w:val="left" w:pos="567"/>
          <w:tab w:val="left" w:pos="851"/>
        </w:tabs>
        <w:spacing w:before="120" w:after="60" w:line="240" w:lineRule="auto"/>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Nad rámec výše zmíněných obecných priorit a vazeb ZÚR SK je třeba v případě koncepce technické infrastruktury zohlednit zejména body: </w:t>
      </w:r>
    </w:p>
    <w:p w14:paraId="0EA49295" w14:textId="35CC97DD" w:rsidR="00044688" w:rsidRPr="006070EA" w:rsidRDefault="00044688" w:rsidP="00044688">
      <w:pPr>
        <w:pStyle w:val="Odstavecseseznamem"/>
        <w:numPr>
          <w:ilvl w:val="2"/>
          <w:numId w:val="18"/>
        </w:numPr>
        <w:spacing w:before="120" w:after="60" w:line="240" w:lineRule="auto"/>
        <w:ind w:left="567"/>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ověřit rozsah zastavitelných ploch a stanovit směry jejich využití s ohledem na kapacity obsluhy dopravní a technickou infrastrukturou, limity rozvoje území a ochranu krajiny. </w:t>
      </w:r>
    </w:p>
    <w:p w14:paraId="5A98216A" w14:textId="77777777" w:rsidR="00044688" w:rsidRPr="006070EA" w:rsidRDefault="00044688" w:rsidP="00044688">
      <w:pPr>
        <w:tabs>
          <w:tab w:val="left" w:pos="567"/>
          <w:tab w:val="left" w:pos="851"/>
        </w:tabs>
        <w:spacing w:before="120" w:after="60" w:line="240" w:lineRule="auto"/>
        <w:jc w:val="both"/>
        <w:rPr>
          <w:rFonts w:asciiTheme="majorHAnsi" w:hAnsiTheme="majorHAnsi" w:cstheme="majorHAnsi"/>
          <w:b/>
          <w:i/>
          <w:sz w:val="18"/>
          <w:szCs w:val="18"/>
          <w:lang w:eastAsia="ar-SA"/>
        </w:rPr>
      </w:pPr>
      <w:r w:rsidRPr="006070EA">
        <w:rPr>
          <w:rFonts w:asciiTheme="majorHAnsi" w:hAnsiTheme="majorHAnsi" w:cstheme="majorHAnsi"/>
          <w:b/>
          <w:i/>
          <w:sz w:val="18"/>
          <w:szCs w:val="18"/>
          <w:lang w:eastAsia="ar-SA"/>
        </w:rPr>
        <w:t xml:space="preserve">Požadavky vyplývající z ÚAP ORP Nymburk </w:t>
      </w:r>
    </w:p>
    <w:p w14:paraId="1946BDB2" w14:textId="77777777" w:rsidR="00044688" w:rsidRPr="006070EA" w:rsidRDefault="00044688" w:rsidP="00044688">
      <w:pPr>
        <w:tabs>
          <w:tab w:val="left" w:pos="567"/>
          <w:tab w:val="left" w:pos="851"/>
        </w:tabs>
        <w:spacing w:before="120" w:after="60" w:line="240" w:lineRule="auto"/>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Ve vztahu ke koncepci technické infrastruktury řešeného území budou kromě standardizovaných, ze zákona sledovaných jevů, prověřeny následující záměry a problémy: </w:t>
      </w:r>
    </w:p>
    <w:p w14:paraId="49E81581" w14:textId="48346423" w:rsidR="00044688" w:rsidRPr="006070EA" w:rsidRDefault="00044688" w:rsidP="00044688">
      <w:pPr>
        <w:pStyle w:val="Odstavecseseznamem"/>
        <w:numPr>
          <w:ilvl w:val="2"/>
          <w:numId w:val="18"/>
        </w:numPr>
        <w:spacing w:before="120" w:after="60" w:line="240" w:lineRule="auto"/>
        <w:ind w:left="567"/>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prověřit a případně umožnit realizaci: </w:t>
      </w:r>
    </w:p>
    <w:p w14:paraId="678DC669" w14:textId="56534B79" w:rsidR="00044688" w:rsidRPr="006070EA" w:rsidRDefault="00044688" w:rsidP="00EB05CF">
      <w:pPr>
        <w:pStyle w:val="Odstavecseseznamem"/>
        <w:numPr>
          <w:ilvl w:val="3"/>
          <w:numId w:val="39"/>
        </w:numPr>
        <w:spacing w:before="120" w:after="60" w:line="240" w:lineRule="auto"/>
        <w:ind w:left="993"/>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distribuční transformační stanice </w:t>
      </w:r>
    </w:p>
    <w:p w14:paraId="45018E19" w14:textId="6C1981B4" w:rsidR="00044688" w:rsidRPr="006070EA" w:rsidRDefault="00044688" w:rsidP="00EB05CF">
      <w:pPr>
        <w:pStyle w:val="Odstavecseseznamem"/>
        <w:numPr>
          <w:ilvl w:val="3"/>
          <w:numId w:val="39"/>
        </w:numPr>
        <w:spacing w:before="120" w:after="60" w:line="240" w:lineRule="auto"/>
        <w:ind w:left="993"/>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vedení el. Sítě VN – ve vazbě na distribuční transformační stanice </w:t>
      </w:r>
    </w:p>
    <w:p w14:paraId="2E9C10F9" w14:textId="77777777" w:rsidR="00044688" w:rsidRPr="006070EA" w:rsidRDefault="00044688" w:rsidP="00044688">
      <w:pPr>
        <w:tabs>
          <w:tab w:val="left" w:pos="567"/>
          <w:tab w:val="left" w:pos="851"/>
        </w:tabs>
        <w:spacing w:before="120" w:after="60" w:line="240" w:lineRule="auto"/>
        <w:jc w:val="both"/>
        <w:rPr>
          <w:rFonts w:asciiTheme="majorHAnsi" w:hAnsiTheme="majorHAnsi" w:cstheme="majorHAnsi"/>
          <w:b/>
          <w:i/>
          <w:sz w:val="18"/>
          <w:szCs w:val="18"/>
          <w:lang w:eastAsia="ar-SA"/>
        </w:rPr>
      </w:pPr>
      <w:r w:rsidRPr="006070EA">
        <w:rPr>
          <w:rFonts w:asciiTheme="majorHAnsi" w:hAnsiTheme="majorHAnsi" w:cstheme="majorHAnsi"/>
          <w:b/>
          <w:i/>
          <w:sz w:val="18"/>
          <w:szCs w:val="18"/>
          <w:lang w:eastAsia="ar-SA"/>
        </w:rPr>
        <w:t xml:space="preserve">Požadavky obce </w:t>
      </w:r>
    </w:p>
    <w:p w14:paraId="3443FAE6" w14:textId="77777777" w:rsidR="00044688" w:rsidRPr="006070EA" w:rsidRDefault="00044688" w:rsidP="00044688">
      <w:pPr>
        <w:tabs>
          <w:tab w:val="left" w:pos="567"/>
          <w:tab w:val="left" w:pos="851"/>
        </w:tabs>
        <w:spacing w:before="120" w:after="60" w:line="240" w:lineRule="auto"/>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Územní plán bude řešit zásobování vodou a čištění odpadních vod v souladu se schváleným PRVK Středočeského kraje. Zvláštní pozornost zaměří na koncepční řešení odkanalizování místních částí Vápensko a Rozkoš v souladu se studií splaškové kanalizace (IKKO Hradec Králové). </w:t>
      </w:r>
    </w:p>
    <w:p w14:paraId="2EFD063F" w14:textId="77777777" w:rsidR="00044688" w:rsidRPr="006070EA" w:rsidRDefault="00044688" w:rsidP="00044688">
      <w:pPr>
        <w:tabs>
          <w:tab w:val="left" w:pos="567"/>
          <w:tab w:val="left" w:pos="851"/>
        </w:tabs>
        <w:spacing w:before="120" w:after="60" w:line="240" w:lineRule="auto"/>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Územní plán bude respektovat, případně aktualizovat stávající koncepci zásobování elektrickou energií a plynem. </w:t>
      </w:r>
    </w:p>
    <w:p w14:paraId="6F5DD893" w14:textId="77777777" w:rsidR="00BC3F41" w:rsidRPr="006070EA" w:rsidRDefault="00BC3F41" w:rsidP="00BC3F41">
      <w:pPr>
        <w:pStyle w:val="Mra-Vyjden"/>
        <w:spacing w:before="0"/>
        <w:rPr>
          <w:rFonts w:asciiTheme="majorHAnsi" w:hAnsiTheme="majorHAnsi" w:cstheme="majorHAnsi"/>
          <w:color w:val="auto"/>
        </w:rPr>
      </w:pPr>
      <w:r w:rsidRPr="006070EA">
        <w:rPr>
          <w:rFonts w:asciiTheme="majorHAnsi" w:hAnsiTheme="majorHAnsi" w:cstheme="majorHAnsi"/>
          <w:color w:val="auto"/>
        </w:rPr>
        <w:t>Územním plánem je respektována a dále rozvíjena veřejná technická infrastruktura řešeného území. Rozvojové záměry nejsou v kolizi s přírodními a krajinnými hodnotami v území.</w:t>
      </w:r>
    </w:p>
    <w:p w14:paraId="7E4A68E6" w14:textId="77777777" w:rsidR="00BC3F41" w:rsidRPr="006070EA" w:rsidRDefault="00BC3F41" w:rsidP="00BC3F41">
      <w:pPr>
        <w:pStyle w:val="Mra-Vyjden"/>
        <w:spacing w:before="0"/>
        <w:ind w:firstLine="709"/>
        <w:rPr>
          <w:rFonts w:asciiTheme="majorHAnsi" w:hAnsiTheme="majorHAnsi" w:cstheme="majorHAnsi"/>
          <w:color w:val="auto"/>
        </w:rPr>
      </w:pPr>
      <w:r w:rsidRPr="006070EA">
        <w:rPr>
          <w:rFonts w:asciiTheme="majorHAnsi" w:hAnsiTheme="majorHAnsi" w:cstheme="majorHAnsi"/>
          <w:color w:val="auto"/>
        </w:rPr>
        <w:t xml:space="preserve">Hlavní pozornost rozvoje se soustředí na přirozené centrum řešeného území, tedy obec Kostomlaty nad Labem a související části s dostatečně kapacitní dopravní i technickou infrastrukturou. Zastavitelné plochy jsou přitom vymezovány v návaznosti na zastavěné území a veřejnou infrastrukturu. </w:t>
      </w:r>
    </w:p>
    <w:p w14:paraId="07A7362C" w14:textId="77777777" w:rsidR="00BC3F41" w:rsidRPr="006070EA" w:rsidRDefault="00BC3F41" w:rsidP="00BC3F41">
      <w:pPr>
        <w:pStyle w:val="Mra-Vyjden"/>
        <w:spacing w:before="0"/>
        <w:ind w:firstLine="709"/>
        <w:rPr>
          <w:rFonts w:asciiTheme="majorHAnsi" w:hAnsiTheme="majorHAnsi" w:cstheme="majorHAnsi"/>
          <w:color w:val="auto"/>
        </w:rPr>
      </w:pPr>
      <w:r w:rsidRPr="006070EA">
        <w:rPr>
          <w:rFonts w:asciiTheme="majorHAnsi" w:hAnsiTheme="majorHAnsi" w:cstheme="majorHAnsi"/>
          <w:color w:val="auto"/>
        </w:rPr>
        <w:t>Územní plán prověřil stávající kapacity systému zásobování území elektrickou energií a stanovil koncepci rozvoje systému distribuce elektrické energie.</w:t>
      </w:r>
    </w:p>
    <w:p w14:paraId="34D5D7C7" w14:textId="0438BE17" w:rsidR="00BC3F41" w:rsidRPr="006070EA" w:rsidRDefault="00BC3F41" w:rsidP="00BC3F41">
      <w:pPr>
        <w:pStyle w:val="Mra-Vyjden"/>
        <w:spacing w:before="0"/>
        <w:ind w:firstLine="709"/>
        <w:rPr>
          <w:rFonts w:asciiTheme="majorHAnsi" w:hAnsiTheme="majorHAnsi" w:cstheme="majorHAnsi"/>
          <w:color w:val="auto"/>
        </w:rPr>
      </w:pPr>
      <w:r w:rsidRPr="006070EA">
        <w:rPr>
          <w:rFonts w:asciiTheme="majorHAnsi" w:hAnsiTheme="majorHAnsi" w:cstheme="majorHAnsi"/>
          <w:color w:val="auto"/>
        </w:rPr>
        <w:t>Územním plánem jsou respektovány a případně rozvíjeny stávající systémy technické infrastruktury. Pro koordinovaný rozvoj a napojení částí Vápensko, Hronětice a Rozkoš na vodovodní a kanalizační systém je vymezen koridor technické infrastruktury (</w:t>
      </w:r>
      <w:r w:rsidR="00346F8E" w:rsidRPr="006070EA">
        <w:rPr>
          <w:rFonts w:asciiTheme="majorHAnsi" w:hAnsiTheme="majorHAnsi" w:cstheme="majorHAnsi"/>
          <w:color w:val="auto"/>
        </w:rPr>
        <w:t>CNU.</w:t>
      </w:r>
      <w:r w:rsidRPr="006070EA">
        <w:rPr>
          <w:rFonts w:asciiTheme="majorHAnsi" w:hAnsiTheme="majorHAnsi" w:cstheme="majorHAnsi"/>
          <w:color w:val="auto"/>
        </w:rPr>
        <w:t>KTI1).</w:t>
      </w:r>
    </w:p>
    <w:p w14:paraId="3BE57DAC" w14:textId="77777777" w:rsidR="00044688" w:rsidRPr="006070EA" w:rsidRDefault="00044688" w:rsidP="00F90B15">
      <w:pPr>
        <w:keepNext/>
        <w:tabs>
          <w:tab w:val="left" w:pos="567"/>
          <w:tab w:val="left" w:pos="851"/>
        </w:tabs>
        <w:spacing w:before="120" w:after="60" w:line="240" w:lineRule="auto"/>
        <w:jc w:val="both"/>
        <w:rPr>
          <w:rFonts w:asciiTheme="majorHAnsi" w:hAnsiTheme="majorHAnsi" w:cstheme="majorHAnsi"/>
          <w:bCs/>
          <w:i/>
          <w:sz w:val="18"/>
          <w:szCs w:val="18"/>
          <w:u w:val="single"/>
          <w:lang w:eastAsia="ar-SA"/>
        </w:rPr>
      </w:pPr>
      <w:r w:rsidRPr="006070EA">
        <w:rPr>
          <w:rFonts w:asciiTheme="majorHAnsi" w:hAnsiTheme="majorHAnsi" w:cstheme="majorHAnsi"/>
          <w:bCs/>
          <w:i/>
          <w:sz w:val="18"/>
          <w:szCs w:val="18"/>
          <w:u w:val="single"/>
          <w:lang w:eastAsia="ar-SA"/>
        </w:rPr>
        <w:t xml:space="preserve">Občanské vybavení a veřejná prostranství </w:t>
      </w:r>
    </w:p>
    <w:p w14:paraId="6E1300B4" w14:textId="77777777" w:rsidR="00044688" w:rsidRPr="006070EA" w:rsidRDefault="00044688" w:rsidP="00F90B15">
      <w:pPr>
        <w:keepNext/>
        <w:tabs>
          <w:tab w:val="left" w:pos="567"/>
          <w:tab w:val="left" w:pos="851"/>
        </w:tabs>
        <w:spacing w:before="120" w:after="60" w:line="240" w:lineRule="auto"/>
        <w:jc w:val="both"/>
        <w:rPr>
          <w:rFonts w:asciiTheme="majorHAnsi" w:hAnsiTheme="majorHAnsi" w:cstheme="majorHAnsi"/>
          <w:b/>
          <w:i/>
          <w:sz w:val="18"/>
          <w:szCs w:val="18"/>
          <w:lang w:eastAsia="ar-SA"/>
        </w:rPr>
      </w:pPr>
      <w:r w:rsidRPr="006070EA">
        <w:rPr>
          <w:rFonts w:asciiTheme="majorHAnsi" w:hAnsiTheme="majorHAnsi" w:cstheme="majorHAnsi"/>
          <w:b/>
          <w:i/>
          <w:sz w:val="18"/>
          <w:szCs w:val="18"/>
          <w:lang w:eastAsia="ar-SA"/>
        </w:rPr>
        <w:t xml:space="preserve">Požadavky vyplývající z Politiky Územního rozvoje </w:t>
      </w:r>
    </w:p>
    <w:p w14:paraId="6A0EF5B2" w14:textId="77777777" w:rsidR="00044688" w:rsidRPr="006070EA" w:rsidRDefault="00044688" w:rsidP="00044688">
      <w:pPr>
        <w:tabs>
          <w:tab w:val="left" w:pos="567"/>
          <w:tab w:val="left" w:pos="851"/>
        </w:tabs>
        <w:spacing w:before="120" w:after="60" w:line="240" w:lineRule="auto"/>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Nad rámec výše zmíněných obecných priorit a vazeb PÚR ČR je třeba v případě koncepce občanského vybavení a veřejných prostranství sledovat zejména: </w:t>
      </w:r>
    </w:p>
    <w:p w14:paraId="5AF494B0" w14:textId="14F72FFE" w:rsidR="00044688" w:rsidRPr="006070EA" w:rsidRDefault="00044688" w:rsidP="00044688">
      <w:pPr>
        <w:pStyle w:val="Odstavecseseznamem"/>
        <w:numPr>
          <w:ilvl w:val="2"/>
          <w:numId w:val="18"/>
        </w:numPr>
        <w:spacing w:before="120" w:after="60" w:line="240" w:lineRule="auto"/>
        <w:ind w:left="567"/>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možnosti využití stávající veřejné infrastruktury a potřebu jejího dalšího rozvoje a dobudování při současném respektování přírodních, kulturních a civilizačních hodnot území, </w:t>
      </w:r>
    </w:p>
    <w:p w14:paraId="73F91AC5" w14:textId="0D66F1FD" w:rsidR="00044688" w:rsidRPr="006070EA" w:rsidRDefault="00044688" w:rsidP="00044688">
      <w:pPr>
        <w:pStyle w:val="Odstavecseseznamem"/>
        <w:numPr>
          <w:ilvl w:val="2"/>
          <w:numId w:val="18"/>
        </w:numPr>
        <w:spacing w:before="120" w:after="60" w:line="240" w:lineRule="auto"/>
        <w:ind w:left="567"/>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rozvoj bydlení při upřednostnění rozvoje uvnitř zastavěného území a předcházení prostorové sociální segregaci, fragmentaci krajiny nově vymezenými zastavitelnými plochami a záborům ploch veřejné zeleně sloužící svému účelu. </w:t>
      </w:r>
    </w:p>
    <w:p w14:paraId="269ACCE2" w14:textId="77777777" w:rsidR="00044688" w:rsidRPr="006070EA" w:rsidRDefault="00044688" w:rsidP="00044688">
      <w:pPr>
        <w:tabs>
          <w:tab w:val="left" w:pos="567"/>
          <w:tab w:val="left" w:pos="851"/>
        </w:tabs>
        <w:spacing w:before="120" w:after="60" w:line="240" w:lineRule="auto"/>
        <w:jc w:val="both"/>
        <w:rPr>
          <w:rFonts w:asciiTheme="majorHAnsi" w:hAnsiTheme="majorHAnsi" w:cstheme="majorHAnsi"/>
          <w:b/>
          <w:i/>
          <w:sz w:val="18"/>
          <w:szCs w:val="18"/>
          <w:lang w:eastAsia="ar-SA"/>
        </w:rPr>
      </w:pPr>
      <w:r w:rsidRPr="006070EA">
        <w:rPr>
          <w:rFonts w:asciiTheme="majorHAnsi" w:hAnsiTheme="majorHAnsi" w:cstheme="majorHAnsi"/>
          <w:b/>
          <w:i/>
          <w:sz w:val="18"/>
          <w:szCs w:val="18"/>
          <w:lang w:eastAsia="ar-SA"/>
        </w:rPr>
        <w:t xml:space="preserve">Požadavky vyplývající ze ZÚR Středočeského kraje </w:t>
      </w:r>
    </w:p>
    <w:p w14:paraId="1BB2C6D5" w14:textId="77777777" w:rsidR="00044688" w:rsidRPr="006070EA" w:rsidRDefault="00044688" w:rsidP="00044688">
      <w:pPr>
        <w:tabs>
          <w:tab w:val="left" w:pos="567"/>
          <w:tab w:val="left" w:pos="851"/>
        </w:tabs>
        <w:spacing w:before="120" w:after="60" w:line="240" w:lineRule="auto"/>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Nad rámec výše zmíněných obecných priorit a vazeb ZÚR SK je třeba v případě koncepce občanského vybavení a veřejných prostranství zohlednit zejména následující body: </w:t>
      </w:r>
    </w:p>
    <w:p w14:paraId="34828CDB" w14:textId="303E98A6" w:rsidR="00044688" w:rsidRPr="006070EA" w:rsidRDefault="00044688" w:rsidP="00044688">
      <w:pPr>
        <w:pStyle w:val="Odstavecseseznamem"/>
        <w:numPr>
          <w:ilvl w:val="2"/>
          <w:numId w:val="18"/>
        </w:numPr>
        <w:spacing w:before="120" w:after="60" w:line="240" w:lineRule="auto"/>
        <w:ind w:left="567"/>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rozvoj bydlení sledovat zejména do Kostomlat nad Labem, s vazbou na provozované systémy dopravní a technické infrastruktury </w:t>
      </w:r>
    </w:p>
    <w:p w14:paraId="0F627F3C" w14:textId="0E8FC056" w:rsidR="00044688" w:rsidRPr="006070EA" w:rsidRDefault="00044688" w:rsidP="00044688">
      <w:pPr>
        <w:pStyle w:val="Odstavecseseznamem"/>
        <w:numPr>
          <w:ilvl w:val="2"/>
          <w:numId w:val="18"/>
        </w:numPr>
        <w:spacing w:before="120" w:after="60" w:line="240" w:lineRule="auto"/>
        <w:ind w:left="567"/>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lastRenderedPageBreak/>
        <w:t xml:space="preserve">ověřit rozsah zastavitelných ploch a stanovit směry jejich využití s ohledem na kapacity obsluhy dopravní a technickou infrastrukturou, limity rozvoje území a ochranu krajiny. </w:t>
      </w:r>
    </w:p>
    <w:p w14:paraId="374613E1" w14:textId="77777777" w:rsidR="00044688" w:rsidRPr="006070EA" w:rsidRDefault="00044688" w:rsidP="00044688">
      <w:pPr>
        <w:tabs>
          <w:tab w:val="left" w:pos="567"/>
          <w:tab w:val="left" w:pos="851"/>
        </w:tabs>
        <w:spacing w:before="120" w:after="60" w:line="240" w:lineRule="auto"/>
        <w:jc w:val="both"/>
        <w:rPr>
          <w:rFonts w:asciiTheme="majorHAnsi" w:hAnsiTheme="majorHAnsi" w:cstheme="majorHAnsi"/>
          <w:b/>
          <w:i/>
          <w:sz w:val="18"/>
          <w:szCs w:val="18"/>
          <w:lang w:eastAsia="ar-SA"/>
        </w:rPr>
      </w:pPr>
      <w:r w:rsidRPr="006070EA">
        <w:rPr>
          <w:rFonts w:asciiTheme="majorHAnsi" w:hAnsiTheme="majorHAnsi" w:cstheme="majorHAnsi"/>
          <w:b/>
          <w:i/>
          <w:sz w:val="18"/>
          <w:szCs w:val="18"/>
          <w:lang w:eastAsia="ar-SA"/>
        </w:rPr>
        <w:t xml:space="preserve">Požadavky vyplývající z ÚAP ORP Nymburk </w:t>
      </w:r>
    </w:p>
    <w:p w14:paraId="170D0A3E" w14:textId="3BD25452" w:rsidR="00044688" w:rsidRPr="006070EA" w:rsidRDefault="00044688" w:rsidP="00044688">
      <w:pPr>
        <w:tabs>
          <w:tab w:val="left" w:pos="567"/>
          <w:tab w:val="left" w:pos="851"/>
        </w:tabs>
        <w:spacing w:before="120" w:after="60" w:line="240" w:lineRule="auto"/>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Ve vztahu ke koncepci technické infrastruktury řešeného území budou kromě standardizovaných, ze zákona sledovaných jevů, prověřeny následující záměry a problémy:</w:t>
      </w:r>
    </w:p>
    <w:p w14:paraId="78C76D89" w14:textId="1A277B5E" w:rsidR="00044688" w:rsidRPr="006070EA" w:rsidRDefault="00044688" w:rsidP="00044688">
      <w:pPr>
        <w:pStyle w:val="Odstavecseseznamem"/>
        <w:numPr>
          <w:ilvl w:val="2"/>
          <w:numId w:val="18"/>
        </w:numPr>
        <w:spacing w:before="120" w:after="60" w:line="240" w:lineRule="auto"/>
        <w:ind w:left="567"/>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nedostatečná občanská vybavenost místních částí – Rozkoš, Vápensko </w:t>
      </w:r>
    </w:p>
    <w:p w14:paraId="15C20A0C" w14:textId="77777777" w:rsidR="00044688" w:rsidRPr="006070EA" w:rsidRDefault="00044688" w:rsidP="00044688">
      <w:pPr>
        <w:tabs>
          <w:tab w:val="left" w:pos="567"/>
          <w:tab w:val="left" w:pos="851"/>
        </w:tabs>
        <w:spacing w:before="120" w:after="60" w:line="240" w:lineRule="auto"/>
        <w:jc w:val="both"/>
        <w:rPr>
          <w:rFonts w:asciiTheme="majorHAnsi" w:hAnsiTheme="majorHAnsi" w:cstheme="majorHAnsi"/>
          <w:b/>
          <w:i/>
          <w:sz w:val="18"/>
          <w:szCs w:val="18"/>
          <w:lang w:eastAsia="ar-SA"/>
        </w:rPr>
      </w:pPr>
      <w:r w:rsidRPr="006070EA">
        <w:rPr>
          <w:rFonts w:asciiTheme="majorHAnsi" w:hAnsiTheme="majorHAnsi" w:cstheme="majorHAnsi"/>
          <w:b/>
          <w:i/>
          <w:sz w:val="18"/>
          <w:szCs w:val="18"/>
          <w:lang w:eastAsia="ar-SA"/>
        </w:rPr>
        <w:t xml:space="preserve">Požadavky obce </w:t>
      </w:r>
    </w:p>
    <w:p w14:paraId="500829C7" w14:textId="77777777" w:rsidR="00044688" w:rsidRPr="006070EA" w:rsidRDefault="00044688" w:rsidP="00044688">
      <w:pPr>
        <w:tabs>
          <w:tab w:val="left" w:pos="567"/>
          <w:tab w:val="left" w:pos="851"/>
        </w:tabs>
        <w:spacing w:before="120" w:after="60" w:line="240" w:lineRule="auto"/>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Územní plán nebude zásadně měnit koncepci občanského vybavení ani umístění ploch veřejných prostranství. Budou respektovány stávající plochy a zohledněny případné nové požadavky. </w:t>
      </w:r>
    </w:p>
    <w:p w14:paraId="057860C6" w14:textId="77777777" w:rsidR="00BC3F41" w:rsidRPr="006070EA" w:rsidRDefault="00BC3F41" w:rsidP="00BC3F41">
      <w:pPr>
        <w:pStyle w:val="Mra-Vyjden"/>
        <w:spacing w:before="0"/>
        <w:rPr>
          <w:rFonts w:asciiTheme="majorHAnsi" w:hAnsiTheme="majorHAnsi" w:cstheme="majorHAnsi"/>
          <w:color w:val="auto"/>
        </w:rPr>
      </w:pPr>
      <w:r w:rsidRPr="006070EA">
        <w:rPr>
          <w:rFonts w:asciiTheme="majorHAnsi" w:hAnsiTheme="majorHAnsi" w:cstheme="majorHAnsi"/>
          <w:color w:val="auto"/>
        </w:rPr>
        <w:t xml:space="preserve">Územním plánem je respektována poloha řešeného území mimo rozvojové osy a oblasti jak republikového, tak krajského významu, ale současně na významné dopravní linii mezi vyššími centry osídlení (Lysá nad Labem, Nymburk) a rovněž v relativně dobré dostupnosti Prahy. Územním plánem jsou především rozvíjeny plochy trvalého bydlení (vč. ploch smíšených obytných), a to vždy v návaznosti na stávající zastavěné území a systém veřejné infrastruktury, aby nedocházelo k zakládání nových sídel v krajině či sociální segregaci. </w:t>
      </w:r>
    </w:p>
    <w:p w14:paraId="762531D7" w14:textId="77777777" w:rsidR="00BC3F41" w:rsidRPr="006070EA" w:rsidRDefault="00BC3F41" w:rsidP="00BC3F41">
      <w:pPr>
        <w:pStyle w:val="Mra-Vyjden"/>
        <w:spacing w:before="0"/>
        <w:ind w:firstLine="709"/>
        <w:rPr>
          <w:rFonts w:asciiTheme="majorHAnsi" w:hAnsiTheme="majorHAnsi" w:cstheme="majorHAnsi"/>
          <w:color w:val="auto"/>
        </w:rPr>
      </w:pPr>
      <w:r w:rsidRPr="006070EA">
        <w:rPr>
          <w:rFonts w:asciiTheme="majorHAnsi" w:hAnsiTheme="majorHAnsi" w:cstheme="majorHAnsi"/>
          <w:color w:val="auto"/>
        </w:rPr>
        <w:t>Územním plánem jsou rozvíjeny části Rozkoš a Vápensko s dominantní funkcí smíšeného venkovského bydlení (SV). V rámci této plochy s rozdílným způsobem využití je umožněn mimo jiné i rozvoj občanské vybavenosti. Podmínky ploch smíšených obytných jsou nastaveny pro zajištění maximální variability využití území, při zachování dominantní obytné funkce.</w:t>
      </w:r>
    </w:p>
    <w:p w14:paraId="0BF601DD" w14:textId="6943C01C" w:rsidR="00BC3F41" w:rsidRPr="006070EA" w:rsidRDefault="00BC3F41" w:rsidP="00BC3F41">
      <w:pPr>
        <w:pStyle w:val="Mra-Vyjden"/>
        <w:spacing w:before="0"/>
        <w:ind w:firstLine="709"/>
        <w:rPr>
          <w:rFonts w:asciiTheme="majorHAnsi" w:hAnsiTheme="majorHAnsi" w:cstheme="majorHAnsi"/>
          <w:color w:val="auto"/>
        </w:rPr>
      </w:pPr>
      <w:r w:rsidRPr="006070EA">
        <w:rPr>
          <w:rFonts w:asciiTheme="majorHAnsi" w:hAnsiTheme="majorHAnsi" w:cstheme="majorHAnsi"/>
          <w:color w:val="auto"/>
        </w:rPr>
        <w:t xml:space="preserve">Stávající občanské vybavení v rámci řešeného území je respektováno a umožněno buď v rámci ploch občanského vybavení </w:t>
      </w:r>
      <w:r w:rsidR="00346F8E" w:rsidRPr="006070EA">
        <w:rPr>
          <w:rFonts w:asciiTheme="majorHAnsi" w:hAnsiTheme="majorHAnsi" w:cstheme="majorHAnsi"/>
          <w:color w:val="auto"/>
        </w:rPr>
        <w:t xml:space="preserve">veřejného </w:t>
      </w:r>
      <w:r w:rsidRPr="006070EA">
        <w:rPr>
          <w:rFonts w:asciiTheme="majorHAnsi" w:hAnsiTheme="majorHAnsi" w:cstheme="majorHAnsi"/>
          <w:color w:val="auto"/>
        </w:rPr>
        <w:t>(OV) nebo v rámci dalších ploch s rozdílným způsobem využití v rámci přípustného či podmíněně přípustného využití.</w:t>
      </w:r>
    </w:p>
    <w:p w14:paraId="59B03CCF" w14:textId="77777777" w:rsidR="00044688" w:rsidRPr="006070EA" w:rsidRDefault="00044688" w:rsidP="00044688">
      <w:pPr>
        <w:keepNext/>
        <w:spacing w:before="120" w:after="120" w:line="240" w:lineRule="auto"/>
        <w:jc w:val="both"/>
        <w:rPr>
          <w:rFonts w:asciiTheme="majorHAnsi" w:hAnsiTheme="majorHAnsi" w:cstheme="majorHAnsi"/>
          <w:b/>
          <w:i/>
          <w:sz w:val="20"/>
          <w:szCs w:val="20"/>
          <w:lang w:eastAsia="ar-SA"/>
        </w:rPr>
      </w:pPr>
      <w:r w:rsidRPr="006070EA">
        <w:rPr>
          <w:rFonts w:asciiTheme="majorHAnsi" w:hAnsiTheme="majorHAnsi" w:cstheme="majorHAnsi"/>
          <w:b/>
          <w:i/>
          <w:sz w:val="20"/>
          <w:szCs w:val="20"/>
          <w:lang w:eastAsia="ar-SA"/>
        </w:rPr>
        <w:t xml:space="preserve">Požadavky na koncepci uspořádání krajiny, zejména na prověření plošného a prostorového uspořádání nezastavěného území a na prověření možných změn, včetně prověření, ve kterých plochách je vhodné vyloučit umísťování staveb, zařízení a jiných opatření pro účely uvedené v § 18 odst. 5 stavebního zákona </w:t>
      </w:r>
    </w:p>
    <w:p w14:paraId="5919C6C3" w14:textId="77777777" w:rsidR="00044688" w:rsidRPr="006070EA" w:rsidRDefault="00044688" w:rsidP="00044688">
      <w:pPr>
        <w:tabs>
          <w:tab w:val="left" w:pos="567"/>
          <w:tab w:val="left" w:pos="851"/>
        </w:tabs>
        <w:spacing w:before="120" w:after="60" w:line="240" w:lineRule="auto"/>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Krajina bude v Územním plánu členěna na části (lokality) na základě typických znaků, v členění dle stávajícího nebo požadovaného způsobu využití. Budou definovány především stabilizované plochy, v nichž nebudou navrhovány změny stávajícího způsobu využití a případně plochy změn v krajině, vymezené za účelem změny využití nebo prostorového uspořádání. </w:t>
      </w:r>
    </w:p>
    <w:p w14:paraId="4CEB0074" w14:textId="77777777" w:rsidR="00044688" w:rsidRPr="006070EA" w:rsidRDefault="00044688" w:rsidP="00044688">
      <w:pPr>
        <w:tabs>
          <w:tab w:val="left" w:pos="567"/>
          <w:tab w:val="left" w:pos="851"/>
        </w:tabs>
        <w:spacing w:before="120" w:after="60" w:line="240" w:lineRule="auto"/>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Urbanizace volné krajiny je z hlediska ochrany hodnot území nežádoucí. Územní plán prověří, zda a za jakých podmínek je možné v dané konkrétní lokalitě umožnit zástavbu. Kromě hledisek urbanistických budou posouzena i hlediska sociální a ekonomická. </w:t>
      </w:r>
    </w:p>
    <w:p w14:paraId="6E7D4545" w14:textId="77777777" w:rsidR="00044688" w:rsidRPr="006070EA" w:rsidRDefault="00044688" w:rsidP="00044688">
      <w:pPr>
        <w:tabs>
          <w:tab w:val="left" w:pos="567"/>
          <w:tab w:val="left" w:pos="851"/>
        </w:tabs>
        <w:spacing w:before="120" w:after="60" w:line="240" w:lineRule="auto"/>
        <w:jc w:val="both"/>
        <w:rPr>
          <w:rFonts w:asciiTheme="majorHAnsi" w:hAnsiTheme="majorHAnsi" w:cstheme="majorHAnsi"/>
          <w:b/>
          <w:i/>
          <w:sz w:val="18"/>
          <w:szCs w:val="18"/>
          <w:lang w:eastAsia="ar-SA"/>
        </w:rPr>
      </w:pPr>
      <w:r w:rsidRPr="006070EA">
        <w:rPr>
          <w:rFonts w:asciiTheme="majorHAnsi" w:hAnsiTheme="majorHAnsi" w:cstheme="majorHAnsi"/>
          <w:b/>
          <w:i/>
          <w:sz w:val="18"/>
          <w:szCs w:val="18"/>
          <w:lang w:eastAsia="ar-SA"/>
        </w:rPr>
        <w:t xml:space="preserve">Požadavky vyplývající z Politiky Územního rozvoje </w:t>
      </w:r>
    </w:p>
    <w:p w14:paraId="56D74DD1" w14:textId="77777777" w:rsidR="00044688" w:rsidRPr="006070EA" w:rsidRDefault="00044688" w:rsidP="00044688">
      <w:pPr>
        <w:tabs>
          <w:tab w:val="left" w:pos="567"/>
          <w:tab w:val="left" w:pos="851"/>
        </w:tabs>
        <w:spacing w:before="120" w:after="60" w:line="240" w:lineRule="auto"/>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V rámci PÚR ČR nejsou z hlediska koncepce uspořádání krajiny na řešené území kladeny zvláštní nároky nad rámec výše zmíněných republikových priorit. </w:t>
      </w:r>
    </w:p>
    <w:p w14:paraId="1CD13E8B" w14:textId="77777777" w:rsidR="00044688" w:rsidRPr="006070EA" w:rsidRDefault="00044688" w:rsidP="00044688">
      <w:pPr>
        <w:tabs>
          <w:tab w:val="left" w:pos="567"/>
          <w:tab w:val="left" w:pos="851"/>
        </w:tabs>
        <w:spacing w:before="120" w:after="60" w:line="240" w:lineRule="auto"/>
        <w:jc w:val="both"/>
        <w:rPr>
          <w:rFonts w:asciiTheme="majorHAnsi" w:hAnsiTheme="majorHAnsi" w:cstheme="majorHAnsi"/>
          <w:b/>
          <w:i/>
          <w:sz w:val="18"/>
          <w:szCs w:val="18"/>
          <w:lang w:eastAsia="ar-SA"/>
        </w:rPr>
      </w:pPr>
      <w:r w:rsidRPr="006070EA">
        <w:rPr>
          <w:rFonts w:asciiTheme="majorHAnsi" w:hAnsiTheme="majorHAnsi" w:cstheme="majorHAnsi"/>
          <w:b/>
          <w:i/>
          <w:sz w:val="18"/>
          <w:szCs w:val="18"/>
          <w:lang w:eastAsia="ar-SA"/>
        </w:rPr>
        <w:t xml:space="preserve">Požadavky vyplývající ze ZÚR Středočeského kraje </w:t>
      </w:r>
    </w:p>
    <w:p w14:paraId="22591864" w14:textId="77777777" w:rsidR="00044688" w:rsidRPr="006070EA" w:rsidRDefault="00044688" w:rsidP="00044688">
      <w:pPr>
        <w:tabs>
          <w:tab w:val="left" w:pos="567"/>
          <w:tab w:val="left" w:pos="851"/>
        </w:tabs>
        <w:spacing w:before="120" w:after="60" w:line="240" w:lineRule="auto"/>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Nad rámec obecných priorit a vazeb ZÚR SK je třeba v případě koncepce uspořádání krajiny zohlednit zejména následující body: </w:t>
      </w:r>
    </w:p>
    <w:p w14:paraId="4F096927" w14:textId="78099714" w:rsidR="00044688" w:rsidRPr="006070EA" w:rsidRDefault="00044688" w:rsidP="00A05E2D">
      <w:pPr>
        <w:pStyle w:val="Odstavecseseznamem"/>
        <w:numPr>
          <w:ilvl w:val="2"/>
          <w:numId w:val="18"/>
        </w:numPr>
        <w:spacing w:before="120" w:after="60" w:line="240" w:lineRule="auto"/>
        <w:ind w:left="567"/>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chránit vysoce hodnotný zemědělský půdní fond, </w:t>
      </w:r>
    </w:p>
    <w:p w14:paraId="3713D92E" w14:textId="4B9D2CFF" w:rsidR="00044688" w:rsidRPr="006070EA" w:rsidRDefault="00044688" w:rsidP="00A05E2D">
      <w:pPr>
        <w:pStyle w:val="Odstavecseseznamem"/>
        <w:numPr>
          <w:ilvl w:val="2"/>
          <w:numId w:val="18"/>
        </w:numPr>
        <w:spacing w:before="120" w:after="60" w:line="240" w:lineRule="auto"/>
        <w:ind w:left="567"/>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respektovat požadavky na ochranu a upřesnit vymezení skladebných částí ÚSES. </w:t>
      </w:r>
    </w:p>
    <w:p w14:paraId="2C9CD646" w14:textId="77777777" w:rsidR="00044688" w:rsidRPr="006070EA" w:rsidRDefault="00044688" w:rsidP="00044688">
      <w:pPr>
        <w:tabs>
          <w:tab w:val="left" w:pos="567"/>
          <w:tab w:val="left" w:pos="851"/>
        </w:tabs>
        <w:spacing w:before="120" w:after="60" w:line="240" w:lineRule="auto"/>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Do řešeného území zasahují prvky ÚSES nadregionálního a regionálního významu: </w:t>
      </w:r>
    </w:p>
    <w:p w14:paraId="17D51486" w14:textId="77777777" w:rsidR="00044688" w:rsidRPr="006070EA" w:rsidRDefault="00044688" w:rsidP="00044688">
      <w:pPr>
        <w:tabs>
          <w:tab w:val="left" w:pos="567"/>
          <w:tab w:val="left" w:pos="851"/>
        </w:tabs>
        <w:spacing w:before="120" w:after="60" w:line="240" w:lineRule="auto"/>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 biokoridor NK10 Stříbrný roh – Polabský luh </w:t>
      </w:r>
    </w:p>
    <w:p w14:paraId="64810B08" w14:textId="77777777" w:rsidR="00044688" w:rsidRPr="006070EA" w:rsidRDefault="00044688" w:rsidP="00044688">
      <w:pPr>
        <w:tabs>
          <w:tab w:val="left" w:pos="567"/>
          <w:tab w:val="left" w:pos="851"/>
        </w:tabs>
        <w:spacing w:before="120" w:after="60" w:line="240" w:lineRule="auto"/>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 regionální biocentrum RC 349 Niva Labe u Semic a Ostré </w:t>
      </w:r>
    </w:p>
    <w:p w14:paraId="45910E25" w14:textId="77777777" w:rsidR="00044688" w:rsidRPr="006070EA" w:rsidRDefault="00044688" w:rsidP="00044688">
      <w:pPr>
        <w:tabs>
          <w:tab w:val="left" w:pos="567"/>
          <w:tab w:val="left" w:pos="851"/>
        </w:tabs>
        <w:spacing w:before="120" w:after="60" w:line="240" w:lineRule="auto"/>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Pro územní plán platí tyto zásady pro usměrňování územního rozvoje a úkoly pro územní plánování: </w:t>
      </w:r>
    </w:p>
    <w:p w14:paraId="68D86BEB" w14:textId="46121077" w:rsidR="00044688" w:rsidRPr="006070EA" w:rsidRDefault="00044688" w:rsidP="00A05E2D">
      <w:pPr>
        <w:pStyle w:val="Odstavecseseznamem"/>
        <w:numPr>
          <w:ilvl w:val="2"/>
          <w:numId w:val="18"/>
        </w:numPr>
        <w:spacing w:before="120" w:after="60" w:line="240" w:lineRule="auto"/>
        <w:ind w:left="567"/>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respektovat plochy a koridory pro biocentra a biokoridory ÚSES na regionální a nadregionální úrovni jako nezastavitelné s využitím pro zvýšení biodiverzity a ekologické stability krajiny, </w:t>
      </w:r>
    </w:p>
    <w:p w14:paraId="51B10557" w14:textId="4AFA408F" w:rsidR="00044688" w:rsidRPr="006070EA" w:rsidRDefault="00044688" w:rsidP="00A05E2D">
      <w:pPr>
        <w:pStyle w:val="Odstavecseseznamem"/>
        <w:numPr>
          <w:ilvl w:val="2"/>
          <w:numId w:val="18"/>
        </w:numPr>
        <w:spacing w:before="120" w:after="60" w:line="240" w:lineRule="auto"/>
        <w:ind w:left="567"/>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stavby dopravní a technické infrastruktury v plochách a koridorech pro biocentra a biokoridory ÚSES připouštět v nezbytných případech za podmínky, že nedojde k významnému snížení schopnosti ekosystému odolávat znečištění, erozi či jiné fyzikální nebo chemické zátěži prostředí, a zároveň nedojde k podstatnému snížení schopnosti bez dalších opatření plnit stabilizující funkce v krajině, </w:t>
      </w:r>
    </w:p>
    <w:p w14:paraId="0F26B4D3" w14:textId="67D3FE50" w:rsidR="00044688" w:rsidRPr="006070EA" w:rsidRDefault="00044688" w:rsidP="00A05E2D">
      <w:pPr>
        <w:pStyle w:val="Odstavecseseznamem"/>
        <w:numPr>
          <w:ilvl w:val="2"/>
          <w:numId w:val="18"/>
        </w:numPr>
        <w:spacing w:before="120" w:after="60" w:line="240" w:lineRule="auto"/>
        <w:ind w:left="567"/>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zpřesnit vymezení regionálních a nadregionálních biocenter a biokoridorů v souladu s metodikou ÚSES a požadavky specifických oborových dokumentací tak, aby byly dodrženy jejich minimální parametry a zajištěna jejich funkčnost. </w:t>
      </w:r>
    </w:p>
    <w:p w14:paraId="7EA7E18D" w14:textId="77777777" w:rsidR="00A05E2D" w:rsidRPr="006070EA" w:rsidRDefault="00A05E2D" w:rsidP="00A05E2D">
      <w:pPr>
        <w:tabs>
          <w:tab w:val="left" w:pos="567"/>
          <w:tab w:val="left" w:pos="851"/>
        </w:tabs>
        <w:spacing w:before="120" w:after="60" w:line="240" w:lineRule="auto"/>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Řešené území spadá v rámci krajinných typů vymezených ZÚR SK do krajiny polní (O04). Pro Územní plán platí tyto zásady pro usměrňování územního rozvoje a úkoly pro územní plánování: </w:t>
      </w:r>
    </w:p>
    <w:p w14:paraId="0984D7D6" w14:textId="46574492" w:rsidR="00A05E2D" w:rsidRPr="006070EA" w:rsidRDefault="00A05E2D" w:rsidP="00A05E2D">
      <w:pPr>
        <w:pStyle w:val="Odstavecseseznamem"/>
        <w:numPr>
          <w:ilvl w:val="2"/>
          <w:numId w:val="18"/>
        </w:numPr>
        <w:spacing w:before="120" w:after="60" w:line="240" w:lineRule="auto"/>
        <w:ind w:left="567"/>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zachování komparativních výhod pro zemědělské hospodaření; </w:t>
      </w:r>
    </w:p>
    <w:p w14:paraId="4858D8BA" w14:textId="02BE984D" w:rsidR="00A05E2D" w:rsidRPr="006070EA" w:rsidRDefault="00A05E2D" w:rsidP="00A05E2D">
      <w:pPr>
        <w:pStyle w:val="Odstavecseseznamem"/>
        <w:numPr>
          <w:ilvl w:val="2"/>
          <w:numId w:val="18"/>
        </w:numPr>
        <w:spacing w:before="120" w:after="60" w:line="240" w:lineRule="auto"/>
        <w:ind w:left="567"/>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neohrozit podmínky pro vysokou nebo specifickou zemědělskou funkci. </w:t>
      </w:r>
    </w:p>
    <w:p w14:paraId="0F6C93C8" w14:textId="77777777" w:rsidR="00A05E2D" w:rsidRPr="006070EA" w:rsidRDefault="00A05E2D" w:rsidP="00A05E2D">
      <w:pPr>
        <w:tabs>
          <w:tab w:val="left" w:pos="567"/>
          <w:tab w:val="left" w:pos="851"/>
        </w:tabs>
        <w:spacing w:before="120" w:after="60" w:line="240" w:lineRule="auto"/>
        <w:jc w:val="both"/>
        <w:rPr>
          <w:rFonts w:asciiTheme="majorHAnsi" w:hAnsiTheme="majorHAnsi" w:cstheme="majorHAnsi"/>
          <w:b/>
          <w:i/>
          <w:sz w:val="18"/>
          <w:szCs w:val="18"/>
          <w:lang w:eastAsia="ar-SA"/>
        </w:rPr>
      </w:pPr>
      <w:r w:rsidRPr="006070EA">
        <w:rPr>
          <w:rFonts w:asciiTheme="majorHAnsi" w:hAnsiTheme="majorHAnsi" w:cstheme="majorHAnsi"/>
          <w:b/>
          <w:i/>
          <w:sz w:val="18"/>
          <w:szCs w:val="18"/>
          <w:lang w:eastAsia="ar-SA"/>
        </w:rPr>
        <w:lastRenderedPageBreak/>
        <w:t xml:space="preserve">Požadavky vyplývající z ÚAP ORP Nymburk </w:t>
      </w:r>
    </w:p>
    <w:p w14:paraId="536E086B" w14:textId="77777777" w:rsidR="00A05E2D" w:rsidRPr="006070EA" w:rsidRDefault="00A05E2D" w:rsidP="00A05E2D">
      <w:pPr>
        <w:tabs>
          <w:tab w:val="left" w:pos="567"/>
          <w:tab w:val="left" w:pos="851"/>
        </w:tabs>
        <w:spacing w:before="120" w:after="60" w:line="240" w:lineRule="auto"/>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Ve vztahu ke koncepci uspořádání krajiny řešeného území budou kromě standardizovaných, ze zákona sledovaných jevů, prověřeny následující záměry a problémy: </w:t>
      </w:r>
    </w:p>
    <w:p w14:paraId="3F45C384" w14:textId="236B8104" w:rsidR="00A05E2D" w:rsidRPr="006070EA" w:rsidRDefault="00A05E2D" w:rsidP="00A05E2D">
      <w:pPr>
        <w:pStyle w:val="Odstavecseseznamem"/>
        <w:numPr>
          <w:ilvl w:val="2"/>
          <w:numId w:val="18"/>
        </w:numPr>
        <w:spacing w:before="120" w:after="60" w:line="240" w:lineRule="auto"/>
        <w:ind w:left="567"/>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záplavové území prochází částí obce – omezen rozvoj obce </w:t>
      </w:r>
    </w:p>
    <w:p w14:paraId="726A8634" w14:textId="57F1DE9A" w:rsidR="00A05E2D" w:rsidRPr="006070EA" w:rsidRDefault="00A05E2D" w:rsidP="00A05E2D">
      <w:pPr>
        <w:pStyle w:val="Odstavecseseznamem"/>
        <w:numPr>
          <w:ilvl w:val="2"/>
          <w:numId w:val="18"/>
        </w:numPr>
        <w:spacing w:before="120" w:after="60" w:line="240" w:lineRule="auto"/>
        <w:ind w:left="567"/>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zemědělská půda I. a II. tř. ochrany ZPF </w:t>
      </w:r>
    </w:p>
    <w:p w14:paraId="784C4DC3" w14:textId="77777777" w:rsidR="00A05E2D" w:rsidRPr="006070EA" w:rsidRDefault="00A05E2D" w:rsidP="00A05E2D">
      <w:pPr>
        <w:tabs>
          <w:tab w:val="left" w:pos="567"/>
          <w:tab w:val="left" w:pos="851"/>
        </w:tabs>
        <w:spacing w:before="120" w:after="60" w:line="240" w:lineRule="auto"/>
        <w:jc w:val="both"/>
        <w:rPr>
          <w:rFonts w:asciiTheme="majorHAnsi" w:hAnsiTheme="majorHAnsi" w:cstheme="majorHAnsi"/>
          <w:b/>
          <w:i/>
          <w:sz w:val="18"/>
          <w:szCs w:val="18"/>
          <w:lang w:eastAsia="ar-SA"/>
        </w:rPr>
      </w:pPr>
      <w:r w:rsidRPr="006070EA">
        <w:rPr>
          <w:rFonts w:asciiTheme="majorHAnsi" w:hAnsiTheme="majorHAnsi" w:cstheme="majorHAnsi"/>
          <w:b/>
          <w:i/>
          <w:sz w:val="18"/>
          <w:szCs w:val="18"/>
          <w:lang w:eastAsia="ar-SA"/>
        </w:rPr>
        <w:t xml:space="preserve">Požadavky obce </w:t>
      </w:r>
    </w:p>
    <w:p w14:paraId="225023CF" w14:textId="77777777" w:rsidR="00A05E2D" w:rsidRPr="006070EA" w:rsidRDefault="00A05E2D" w:rsidP="00A05E2D">
      <w:pPr>
        <w:tabs>
          <w:tab w:val="left" w:pos="567"/>
          <w:tab w:val="left" w:pos="851"/>
        </w:tabs>
        <w:spacing w:before="120" w:after="60" w:line="240" w:lineRule="auto"/>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Územní plán vyhodnotí a navrhne možnosti dalšího prostorového rozvoje zástavby ve vztahu k okolnímu nezastavěnému území (pozemky zařazené do I. a II. třídy ZPF, záplavová území Labe a Vlkavy). </w:t>
      </w:r>
    </w:p>
    <w:p w14:paraId="777A7A50" w14:textId="77777777" w:rsidR="00A05E2D" w:rsidRPr="006070EA" w:rsidRDefault="00A05E2D" w:rsidP="00A05E2D">
      <w:pPr>
        <w:tabs>
          <w:tab w:val="left" w:pos="567"/>
          <w:tab w:val="left" w:pos="851"/>
        </w:tabs>
        <w:spacing w:before="120" w:after="60" w:line="240" w:lineRule="auto"/>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Územní plán prověří síť místních a účelových komunikací a navrhne jejich případné doplnění zejména s ohledem na potřeby zemědělství, cykloturistiky a pěší turistiky. Budou umožněna protierozní opatření, včetně návrhu převodu vybraných lokalit orné půdy do trvalých travních porostů. Rovněž bude umožněno posílení retenční schopnosti území. </w:t>
      </w:r>
    </w:p>
    <w:p w14:paraId="30B33F28" w14:textId="77777777" w:rsidR="00A05E2D" w:rsidRPr="006070EA" w:rsidRDefault="00A05E2D" w:rsidP="00A05E2D">
      <w:pPr>
        <w:tabs>
          <w:tab w:val="left" w:pos="567"/>
          <w:tab w:val="left" w:pos="851"/>
        </w:tabs>
        <w:spacing w:before="120" w:after="60" w:line="240" w:lineRule="auto"/>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Územní plán vymezí a zpřesní prvky územního systému ekologické stability lokální úrovně (dále jen „ÚSES“). </w:t>
      </w:r>
    </w:p>
    <w:p w14:paraId="678AB12E" w14:textId="77777777" w:rsidR="00A05E2D" w:rsidRPr="006070EA" w:rsidRDefault="00A05E2D" w:rsidP="00A05E2D">
      <w:pPr>
        <w:tabs>
          <w:tab w:val="left" w:pos="567"/>
          <w:tab w:val="left" w:pos="851"/>
        </w:tabs>
        <w:spacing w:before="120" w:after="60" w:line="240" w:lineRule="auto"/>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Územní plán plošně umožní výsadbu vhodné zeleně podél stávajících vodotečí a polních cest v úsecích, kde dosud chybí. Zaměří se na možnosti revitalizace zaniklých prvků v krajině. </w:t>
      </w:r>
    </w:p>
    <w:p w14:paraId="00D057E2" w14:textId="4EBC0EC5" w:rsidR="00A05E2D" w:rsidRPr="006070EA" w:rsidRDefault="00A05E2D" w:rsidP="00A05E2D">
      <w:pPr>
        <w:tabs>
          <w:tab w:val="left" w:pos="567"/>
          <w:tab w:val="left" w:pos="851"/>
        </w:tabs>
        <w:spacing w:before="120" w:after="60" w:line="240" w:lineRule="auto"/>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Územní plán prověří možnost vymezení ploch, ve kterých bude vyloučena možnost umisťování staveb, zařízení a jiných opatření pro účely uvedené v § 18 odst. 5 stavebního zákona.</w:t>
      </w:r>
    </w:p>
    <w:p w14:paraId="56FAF366" w14:textId="77777777" w:rsidR="00BC3F41" w:rsidRPr="006070EA" w:rsidRDefault="00BC3F41" w:rsidP="00BC3F41">
      <w:pPr>
        <w:pStyle w:val="Mra-Vyjden"/>
        <w:spacing w:before="0"/>
        <w:rPr>
          <w:rFonts w:asciiTheme="majorHAnsi" w:hAnsiTheme="majorHAnsi" w:cstheme="majorHAnsi"/>
          <w:color w:val="auto"/>
        </w:rPr>
      </w:pPr>
      <w:r w:rsidRPr="006070EA">
        <w:rPr>
          <w:rFonts w:asciiTheme="majorHAnsi" w:hAnsiTheme="majorHAnsi" w:cstheme="majorHAnsi"/>
          <w:color w:val="auto"/>
        </w:rPr>
        <w:t>Územní plán člení řešené území bezvýhradně na jednotlivé plochy s rozdílným způsobem využití a stabilizuje v řešeném území další funkce, zejména klade důraz na zachování a rozvoj občanského vybavení, podnikatelských aktivit včetně zemědělské výroby, technické infrastruktury a zachování stability charakteristického uspořádání krajiny, a to dle platných metodik.</w:t>
      </w:r>
    </w:p>
    <w:p w14:paraId="74587851" w14:textId="4AD48EC7" w:rsidR="00BC3F41" w:rsidRPr="006070EA" w:rsidRDefault="00BC3F41" w:rsidP="00BC3F41">
      <w:pPr>
        <w:pStyle w:val="Mra-Vyjden"/>
        <w:spacing w:before="0"/>
        <w:ind w:firstLine="709"/>
        <w:rPr>
          <w:rFonts w:asciiTheme="majorHAnsi" w:hAnsiTheme="majorHAnsi" w:cstheme="majorHAnsi"/>
          <w:color w:val="auto"/>
        </w:rPr>
      </w:pPr>
      <w:r w:rsidRPr="006070EA">
        <w:rPr>
          <w:rFonts w:asciiTheme="majorHAnsi" w:hAnsiTheme="majorHAnsi" w:cstheme="majorHAnsi"/>
          <w:color w:val="auto"/>
        </w:rPr>
        <w:t>Územním plánem je chráněn vysoce hodnotný zemědělský půdní fond a zachován zemědělský charakter území i s ohledem na cílové charakteristiky stanovené v ZÚR SK (viz kapitolu 3.2. tohoto Odůvodnění). V rámci ochrany ZPF byla stanovena specifická ekostabilizační opatření v krajině. Územním plánem jsou vymezeny a zpřesněny prvky ÚSES vyplývající z nadřazené ÚPD a doplněné o systém lokálních prvků ÚSES.</w:t>
      </w:r>
    </w:p>
    <w:p w14:paraId="0EDD3305" w14:textId="552FD75C" w:rsidR="00BC3F41" w:rsidRPr="006070EA" w:rsidRDefault="00BC3F41" w:rsidP="00BC3F41">
      <w:pPr>
        <w:pStyle w:val="Mra-Vyjden"/>
        <w:spacing w:before="0"/>
        <w:ind w:firstLine="709"/>
        <w:rPr>
          <w:rFonts w:asciiTheme="majorHAnsi" w:hAnsiTheme="majorHAnsi" w:cstheme="majorHAnsi"/>
          <w:color w:val="auto"/>
        </w:rPr>
      </w:pPr>
      <w:r w:rsidRPr="006070EA">
        <w:rPr>
          <w:rFonts w:asciiTheme="majorHAnsi" w:hAnsiTheme="majorHAnsi" w:cstheme="majorHAnsi"/>
          <w:color w:val="auto"/>
        </w:rPr>
        <w:t>Územním plánem jsou respektovány přírodní hodnoty a limity. Rozvoj zástavby je soustředěn mimo záplavová území v návaznosti na zastavěné území obce. Průchodnost krajinou je zajišťována stabilizací stávající cestní sítě a doplněním ploch smíšených nezastavěných – zeměděls</w:t>
      </w:r>
      <w:r w:rsidR="00346F8E" w:rsidRPr="006070EA">
        <w:rPr>
          <w:rFonts w:asciiTheme="majorHAnsi" w:hAnsiTheme="majorHAnsi" w:cstheme="majorHAnsi"/>
          <w:color w:val="auto"/>
        </w:rPr>
        <w:t>tví extenzivní,</w:t>
      </w:r>
      <w:r w:rsidRPr="006070EA">
        <w:rPr>
          <w:rFonts w:asciiTheme="majorHAnsi" w:hAnsiTheme="majorHAnsi" w:cstheme="majorHAnsi"/>
          <w:color w:val="auto"/>
        </w:rPr>
        <w:t xml:space="preserve"> přírodní</w:t>
      </w:r>
      <w:r w:rsidR="00346F8E" w:rsidRPr="006070EA">
        <w:rPr>
          <w:rFonts w:asciiTheme="majorHAnsi" w:hAnsiTheme="majorHAnsi" w:cstheme="majorHAnsi"/>
          <w:color w:val="auto"/>
        </w:rPr>
        <w:t xml:space="preserve"> priority</w:t>
      </w:r>
      <w:r w:rsidRPr="006070EA">
        <w:rPr>
          <w:rFonts w:asciiTheme="majorHAnsi" w:hAnsiTheme="majorHAnsi" w:cstheme="majorHAnsi"/>
          <w:color w:val="auto"/>
        </w:rPr>
        <w:t xml:space="preserve"> (</w:t>
      </w:r>
      <w:r w:rsidR="00346F8E" w:rsidRPr="006070EA">
        <w:rPr>
          <w:rFonts w:asciiTheme="majorHAnsi" w:hAnsiTheme="majorHAnsi" w:cstheme="majorHAnsi"/>
          <w:color w:val="auto"/>
        </w:rPr>
        <w:t>MU.zp</w:t>
      </w:r>
      <w:r w:rsidRPr="006070EA">
        <w:rPr>
          <w:rFonts w:asciiTheme="majorHAnsi" w:hAnsiTheme="majorHAnsi" w:cstheme="majorHAnsi"/>
          <w:color w:val="auto"/>
        </w:rPr>
        <w:t>), ve kterých je průchod krajinou umožněn.</w:t>
      </w:r>
    </w:p>
    <w:p w14:paraId="6F3D99B1" w14:textId="726521E3" w:rsidR="00550188" w:rsidRPr="006070EA" w:rsidRDefault="00550188" w:rsidP="00FD436B">
      <w:pPr>
        <w:keepNext/>
        <w:tabs>
          <w:tab w:val="left" w:pos="567"/>
        </w:tabs>
        <w:spacing w:before="120" w:after="120" w:line="240" w:lineRule="auto"/>
        <w:ind w:left="567" w:hanging="567"/>
        <w:jc w:val="both"/>
        <w:rPr>
          <w:rFonts w:asciiTheme="majorHAnsi" w:hAnsiTheme="majorHAnsi" w:cstheme="majorHAnsi"/>
          <w:b/>
          <w:i/>
          <w:sz w:val="20"/>
          <w:szCs w:val="20"/>
          <w:lang w:eastAsia="ar-SA"/>
        </w:rPr>
      </w:pPr>
      <w:r w:rsidRPr="006070EA">
        <w:rPr>
          <w:rFonts w:asciiTheme="majorHAnsi" w:hAnsiTheme="majorHAnsi" w:cstheme="majorHAnsi"/>
          <w:b/>
          <w:i/>
          <w:sz w:val="20"/>
          <w:szCs w:val="20"/>
          <w:lang w:eastAsia="ar-SA"/>
        </w:rPr>
        <w:t>Požadavky na vymezení ploch a koridorů územních rezerv a na stanovení jejich využití, které bude nutno prověřit</w:t>
      </w:r>
    </w:p>
    <w:p w14:paraId="10ADA240" w14:textId="6B703F9B" w:rsidR="002C27F8" w:rsidRPr="006070EA" w:rsidRDefault="002C27F8" w:rsidP="0017792C">
      <w:pPr>
        <w:tabs>
          <w:tab w:val="left" w:pos="567"/>
          <w:tab w:val="left" w:pos="851"/>
        </w:tabs>
        <w:spacing w:after="60" w:line="240" w:lineRule="auto"/>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Územní plán prověří potřebu a možnosti vymezení ploch a koridorů Územních rezerv a stanoví případně podmínky pro jejich využívání. Jedná se zejména o koridor pro přeložku silnice II/331 (jižní obchvat Kostomlat nad Labem).</w:t>
      </w:r>
    </w:p>
    <w:p w14:paraId="6C26DDC0" w14:textId="63BA8F13" w:rsidR="00BC3F41" w:rsidRPr="006070EA" w:rsidRDefault="00BC3F41" w:rsidP="0017792C">
      <w:pPr>
        <w:pStyle w:val="Mra-Vyjden"/>
        <w:spacing w:before="0"/>
        <w:rPr>
          <w:rFonts w:asciiTheme="majorHAnsi" w:hAnsiTheme="majorHAnsi" w:cstheme="majorHAnsi"/>
        </w:rPr>
      </w:pPr>
      <w:r w:rsidRPr="006070EA">
        <w:rPr>
          <w:rFonts w:asciiTheme="majorHAnsi" w:hAnsiTheme="majorHAnsi" w:cstheme="majorHAnsi"/>
          <w:color w:val="auto"/>
        </w:rPr>
        <w:t xml:space="preserve">Územním plánem byla prověřena potřeba vymezení územních rezerv. Vymezena je územní rezerva bydlení </w:t>
      </w:r>
      <w:r w:rsidR="004F5B3B" w:rsidRPr="006070EA">
        <w:rPr>
          <w:rFonts w:asciiTheme="majorHAnsi" w:hAnsiTheme="majorHAnsi" w:cstheme="majorHAnsi"/>
          <w:color w:val="auto"/>
        </w:rPr>
        <w:t xml:space="preserve">individuálního </w:t>
      </w:r>
      <w:r w:rsidRPr="006070EA">
        <w:rPr>
          <w:rFonts w:asciiTheme="majorHAnsi" w:hAnsiTheme="majorHAnsi" w:cstheme="majorHAnsi"/>
          <w:color w:val="auto"/>
        </w:rPr>
        <w:t xml:space="preserve">(BI) pod označením </w:t>
      </w:r>
      <w:r w:rsidR="000C479F" w:rsidRPr="006070EA">
        <w:rPr>
          <w:rFonts w:asciiTheme="majorHAnsi" w:hAnsiTheme="majorHAnsi" w:cstheme="majorHAnsi"/>
          <w:color w:val="auto"/>
        </w:rPr>
        <w:t>R</w:t>
      </w:r>
      <w:r w:rsidR="004F5B3B" w:rsidRPr="006070EA">
        <w:rPr>
          <w:rFonts w:asciiTheme="majorHAnsi" w:hAnsiTheme="majorHAnsi" w:cstheme="majorHAnsi"/>
          <w:color w:val="auto"/>
        </w:rPr>
        <w:t>.</w:t>
      </w:r>
      <w:r w:rsidR="000C479F" w:rsidRPr="006070EA">
        <w:rPr>
          <w:rFonts w:asciiTheme="majorHAnsi" w:hAnsiTheme="majorHAnsi" w:cstheme="majorHAnsi"/>
          <w:color w:val="auto"/>
        </w:rPr>
        <w:t>1</w:t>
      </w:r>
      <w:r w:rsidRPr="006070EA">
        <w:rPr>
          <w:rFonts w:asciiTheme="majorHAnsi" w:hAnsiTheme="majorHAnsi" w:cstheme="majorHAnsi"/>
          <w:color w:val="auto"/>
        </w:rPr>
        <w:t xml:space="preserve">, která urbanisticky doplňuje zastavěné území v jihovýchodní části Kostomlat nad Labem. </w:t>
      </w:r>
      <w:r w:rsidR="000C479F" w:rsidRPr="006070EA">
        <w:rPr>
          <w:rFonts w:asciiTheme="majorHAnsi" w:hAnsiTheme="majorHAnsi" w:cstheme="majorHAnsi"/>
          <w:color w:val="auto"/>
        </w:rPr>
        <w:t>Potřeba pro vymezení přeložky silnice II/331 byla prověřena a v rámci návrhu ÚP pro společné jednání byl za tímto záměrem vymezen koridor územní rezervy, který byl však</w:t>
      </w:r>
      <w:r w:rsidR="004F5B3B" w:rsidRPr="006070EA">
        <w:rPr>
          <w:rFonts w:asciiTheme="majorHAnsi" w:hAnsiTheme="majorHAnsi" w:cstheme="majorHAnsi"/>
          <w:color w:val="auto"/>
        </w:rPr>
        <w:t xml:space="preserve"> z návrhu ÚP</w:t>
      </w:r>
      <w:r w:rsidR="000C479F" w:rsidRPr="006070EA">
        <w:rPr>
          <w:rFonts w:asciiTheme="majorHAnsi" w:hAnsiTheme="majorHAnsi" w:cstheme="majorHAnsi"/>
          <w:color w:val="auto"/>
        </w:rPr>
        <w:t xml:space="preserve"> vypuštěn na základě vyhodnocení </w:t>
      </w:r>
      <w:r w:rsidR="004F5B3B" w:rsidRPr="006070EA">
        <w:rPr>
          <w:rFonts w:asciiTheme="majorHAnsi" w:hAnsiTheme="majorHAnsi" w:cstheme="majorHAnsi"/>
          <w:color w:val="auto"/>
        </w:rPr>
        <w:t xml:space="preserve">výsledků </w:t>
      </w:r>
      <w:r w:rsidR="000C479F" w:rsidRPr="006070EA">
        <w:rPr>
          <w:rFonts w:asciiTheme="majorHAnsi" w:hAnsiTheme="majorHAnsi" w:cstheme="majorHAnsi"/>
          <w:color w:val="auto"/>
        </w:rPr>
        <w:t>společného jednání.</w:t>
      </w:r>
    </w:p>
    <w:p w14:paraId="320CF797" w14:textId="6ED8C75E" w:rsidR="00282607" w:rsidRPr="006070EA" w:rsidRDefault="00BB50A7" w:rsidP="002C27F8">
      <w:pPr>
        <w:keepNext/>
        <w:spacing w:before="120" w:after="120" w:line="240" w:lineRule="auto"/>
        <w:jc w:val="both"/>
        <w:rPr>
          <w:rFonts w:asciiTheme="majorHAnsi" w:hAnsiTheme="majorHAnsi" w:cstheme="majorHAnsi"/>
          <w:b/>
          <w:i/>
          <w:sz w:val="20"/>
          <w:szCs w:val="20"/>
          <w:lang w:eastAsia="ar-SA"/>
        </w:rPr>
      </w:pPr>
      <w:r w:rsidRPr="006070EA">
        <w:rPr>
          <w:rFonts w:asciiTheme="majorHAnsi" w:hAnsiTheme="majorHAnsi" w:cstheme="majorHAnsi"/>
          <w:b/>
          <w:i/>
          <w:sz w:val="20"/>
          <w:szCs w:val="20"/>
          <w:lang w:eastAsia="ar-SA"/>
        </w:rPr>
        <w:t>Požadavky na prověření vymezení veřejně prospěšných staveb, veřejně prospěšných opatření a asanací, pro které bude možné uplatnit vyvlastnění nebo předkupní právo</w:t>
      </w:r>
    </w:p>
    <w:p w14:paraId="6D9652A5" w14:textId="36888AF4" w:rsidR="002C27F8" w:rsidRPr="006070EA" w:rsidRDefault="002C27F8" w:rsidP="0017792C">
      <w:pPr>
        <w:pStyle w:val="Anadpiskurzva"/>
        <w:spacing w:after="60"/>
        <w:rPr>
          <w:rFonts w:asciiTheme="majorHAnsi" w:hAnsiTheme="majorHAnsi" w:cstheme="majorHAnsi"/>
        </w:rPr>
      </w:pPr>
      <w:r w:rsidRPr="006070EA">
        <w:rPr>
          <w:rFonts w:asciiTheme="majorHAnsi" w:hAnsiTheme="majorHAnsi" w:cstheme="majorHAnsi"/>
        </w:rPr>
        <w:t>Územní plán v případě potřeby vymezí veřejně prospěšné stavby a opatření zejména pro veřejnou infrastrukturu a stavby a</w:t>
      </w:r>
      <w:r w:rsidR="00BC3F41" w:rsidRPr="006070EA">
        <w:rPr>
          <w:rFonts w:asciiTheme="majorHAnsi" w:hAnsiTheme="majorHAnsi" w:cstheme="majorHAnsi"/>
        </w:rPr>
        <w:t> </w:t>
      </w:r>
      <w:r w:rsidRPr="006070EA">
        <w:rPr>
          <w:rFonts w:asciiTheme="majorHAnsi" w:hAnsiTheme="majorHAnsi" w:cstheme="majorHAnsi"/>
        </w:rPr>
        <w:t xml:space="preserve">opatření pro snižování ohrožení přírodními katastrofami a zvyšování retenčních schopností území. </w:t>
      </w:r>
    </w:p>
    <w:p w14:paraId="71ED2003" w14:textId="77777777" w:rsidR="00BC3F41" w:rsidRPr="006070EA" w:rsidRDefault="00BC3F41" w:rsidP="00BC3F41">
      <w:pPr>
        <w:pStyle w:val="Mra-Vyjden"/>
        <w:spacing w:before="0"/>
        <w:rPr>
          <w:rFonts w:asciiTheme="majorHAnsi" w:hAnsiTheme="majorHAnsi" w:cstheme="majorHAnsi"/>
          <w:color w:val="auto"/>
        </w:rPr>
      </w:pPr>
      <w:r w:rsidRPr="006070EA">
        <w:rPr>
          <w:rFonts w:asciiTheme="majorHAnsi" w:hAnsiTheme="majorHAnsi" w:cstheme="majorHAnsi"/>
          <w:color w:val="auto"/>
        </w:rPr>
        <w:t>Územní plán prověřil potřebu vymezení veřejně prospěšných staveb a opatření, pro které lze uplatnit vyvlastnění či předkupní právo.</w:t>
      </w:r>
    </w:p>
    <w:p w14:paraId="30F20B6D" w14:textId="6C8501D2" w:rsidR="00BC3F41" w:rsidRPr="006070EA" w:rsidRDefault="00BC3F41" w:rsidP="00BC3F41">
      <w:pPr>
        <w:pStyle w:val="Mra-Vyjden"/>
        <w:spacing w:before="0"/>
        <w:rPr>
          <w:rFonts w:asciiTheme="majorHAnsi" w:hAnsiTheme="majorHAnsi" w:cstheme="majorHAnsi"/>
          <w:color w:val="auto"/>
        </w:rPr>
      </w:pPr>
      <w:r w:rsidRPr="006070EA">
        <w:rPr>
          <w:rFonts w:asciiTheme="majorHAnsi" w:hAnsiTheme="majorHAnsi" w:cstheme="majorHAnsi"/>
          <w:color w:val="auto"/>
        </w:rPr>
        <w:tab/>
        <w:t>Možnost uplatnění předkupního práva je vymezena pro plochy veřejných prostranství, konkrétně pro zastavitelné plochy veřejné zeleně Z</w:t>
      </w:r>
      <w:r w:rsidR="004F5B3B" w:rsidRPr="006070EA">
        <w:rPr>
          <w:rFonts w:asciiTheme="majorHAnsi" w:hAnsiTheme="majorHAnsi" w:cstheme="majorHAnsi"/>
          <w:color w:val="auto"/>
        </w:rPr>
        <w:t>.</w:t>
      </w:r>
      <w:r w:rsidRPr="006070EA">
        <w:rPr>
          <w:rFonts w:asciiTheme="majorHAnsi" w:hAnsiTheme="majorHAnsi" w:cstheme="majorHAnsi"/>
          <w:color w:val="auto"/>
        </w:rPr>
        <w:t>08, Z</w:t>
      </w:r>
      <w:r w:rsidR="004F5B3B" w:rsidRPr="006070EA">
        <w:rPr>
          <w:rFonts w:asciiTheme="majorHAnsi" w:hAnsiTheme="majorHAnsi" w:cstheme="majorHAnsi"/>
          <w:color w:val="auto"/>
        </w:rPr>
        <w:t>.</w:t>
      </w:r>
      <w:r w:rsidRPr="006070EA">
        <w:rPr>
          <w:rFonts w:asciiTheme="majorHAnsi" w:hAnsiTheme="majorHAnsi" w:cstheme="majorHAnsi"/>
          <w:color w:val="auto"/>
        </w:rPr>
        <w:t>12 v Kostomlatech nad Labem a zastavitelnou plochu veřejného prostranství Z</w:t>
      </w:r>
      <w:r w:rsidR="004F5B3B" w:rsidRPr="006070EA">
        <w:rPr>
          <w:rFonts w:asciiTheme="majorHAnsi" w:hAnsiTheme="majorHAnsi" w:cstheme="majorHAnsi"/>
          <w:color w:val="auto"/>
        </w:rPr>
        <w:t>.</w:t>
      </w:r>
      <w:r w:rsidRPr="006070EA">
        <w:rPr>
          <w:rFonts w:asciiTheme="majorHAnsi" w:hAnsiTheme="majorHAnsi" w:cstheme="majorHAnsi"/>
          <w:color w:val="auto"/>
        </w:rPr>
        <w:t>2</w:t>
      </w:r>
      <w:r w:rsidR="0079659D" w:rsidRPr="006070EA">
        <w:rPr>
          <w:rFonts w:asciiTheme="majorHAnsi" w:hAnsiTheme="majorHAnsi" w:cstheme="majorHAnsi"/>
          <w:color w:val="auto"/>
        </w:rPr>
        <w:t>2</w:t>
      </w:r>
      <w:r w:rsidRPr="006070EA">
        <w:rPr>
          <w:rFonts w:asciiTheme="majorHAnsi" w:hAnsiTheme="majorHAnsi" w:cstheme="majorHAnsi"/>
          <w:color w:val="auto"/>
        </w:rPr>
        <w:t xml:space="preserve"> v</w:t>
      </w:r>
      <w:r w:rsidR="0079659D" w:rsidRPr="006070EA">
        <w:rPr>
          <w:rFonts w:asciiTheme="majorHAnsi" w:hAnsiTheme="majorHAnsi" w:cstheme="majorHAnsi"/>
          <w:color w:val="auto"/>
        </w:rPr>
        <w:t> sídle Vápensko</w:t>
      </w:r>
      <w:r w:rsidRPr="006070EA">
        <w:rPr>
          <w:rFonts w:asciiTheme="majorHAnsi" w:hAnsiTheme="majorHAnsi" w:cstheme="majorHAnsi"/>
          <w:color w:val="auto"/>
        </w:rPr>
        <w:t>.</w:t>
      </w:r>
    </w:p>
    <w:p w14:paraId="50AD23A5" w14:textId="6E01811D" w:rsidR="00BC3F41" w:rsidRPr="006070EA" w:rsidRDefault="00BC3F41" w:rsidP="00BC3F41">
      <w:pPr>
        <w:pStyle w:val="Mra-Vyjden"/>
        <w:spacing w:before="0"/>
        <w:rPr>
          <w:rFonts w:asciiTheme="majorHAnsi" w:hAnsiTheme="majorHAnsi" w:cstheme="majorHAnsi"/>
          <w:color w:val="auto"/>
        </w:rPr>
      </w:pPr>
      <w:r w:rsidRPr="006070EA">
        <w:rPr>
          <w:rFonts w:asciiTheme="majorHAnsi" w:hAnsiTheme="majorHAnsi" w:cstheme="majorHAnsi"/>
          <w:color w:val="auto"/>
        </w:rPr>
        <w:tab/>
        <w:t xml:space="preserve">Územním plánem byly vymezeny veřejně prospěšné stavby, pro které lze práva k pozemkům vyvlastnit. Jedná se výhradně o koridory veřejné dopravní či technické infrastruktury, konkrétně a modernizace železniční trati s realizací mimoúrovňového křížení (koridor </w:t>
      </w:r>
      <w:r w:rsidR="0097451F" w:rsidRPr="006070EA">
        <w:rPr>
          <w:rFonts w:asciiTheme="majorHAnsi" w:hAnsiTheme="majorHAnsi" w:cstheme="majorHAnsi"/>
          <w:color w:val="auto"/>
        </w:rPr>
        <w:t>CN</w:t>
      </w:r>
      <w:r w:rsidR="0097451F">
        <w:rPr>
          <w:rFonts w:asciiTheme="majorHAnsi" w:hAnsiTheme="majorHAnsi" w:cstheme="majorHAnsi"/>
          <w:color w:val="auto"/>
        </w:rPr>
        <w:t>Z</w:t>
      </w:r>
      <w:r w:rsidR="0097451F" w:rsidRPr="006070EA">
        <w:rPr>
          <w:rFonts w:asciiTheme="majorHAnsi" w:hAnsiTheme="majorHAnsi" w:cstheme="majorHAnsi"/>
          <w:color w:val="auto"/>
        </w:rPr>
        <w:t>.</w:t>
      </w:r>
      <w:r w:rsidR="0097451F">
        <w:rPr>
          <w:rFonts w:asciiTheme="majorHAnsi" w:hAnsiTheme="majorHAnsi" w:cstheme="majorHAnsi"/>
          <w:color w:val="auto"/>
        </w:rPr>
        <w:t>D322</w:t>
      </w:r>
      <w:r w:rsidRPr="006070EA">
        <w:rPr>
          <w:rFonts w:asciiTheme="majorHAnsi" w:hAnsiTheme="majorHAnsi" w:cstheme="majorHAnsi"/>
          <w:color w:val="auto"/>
        </w:rPr>
        <w:t xml:space="preserve">) </w:t>
      </w:r>
      <w:r w:rsidR="0097451F">
        <w:rPr>
          <w:rFonts w:asciiTheme="majorHAnsi" w:hAnsiTheme="majorHAnsi" w:cstheme="majorHAnsi"/>
          <w:color w:val="auto"/>
        </w:rPr>
        <w:t>včetně souvisejících staveb (koridory CNU.KD1, CNU.KD2</w:t>
      </w:r>
      <w:r w:rsidR="00C208DE">
        <w:rPr>
          <w:rFonts w:asciiTheme="majorHAnsi" w:hAnsiTheme="majorHAnsi" w:cstheme="majorHAnsi"/>
          <w:color w:val="auto"/>
        </w:rPr>
        <w:t>, CNU.KD3</w:t>
      </w:r>
      <w:r w:rsidR="0097451F">
        <w:rPr>
          <w:rFonts w:asciiTheme="majorHAnsi" w:hAnsiTheme="majorHAnsi" w:cstheme="majorHAnsi"/>
          <w:color w:val="auto"/>
        </w:rPr>
        <w:t xml:space="preserve">) </w:t>
      </w:r>
      <w:r w:rsidRPr="006070EA">
        <w:rPr>
          <w:rFonts w:asciiTheme="majorHAnsi" w:hAnsiTheme="majorHAnsi" w:cstheme="majorHAnsi"/>
          <w:color w:val="auto"/>
        </w:rPr>
        <w:t>a</w:t>
      </w:r>
      <w:r w:rsidR="00F62C4F" w:rsidRPr="006070EA">
        <w:rPr>
          <w:rFonts w:asciiTheme="majorHAnsi" w:hAnsiTheme="majorHAnsi" w:cstheme="majorHAnsi"/>
          <w:color w:val="auto"/>
        </w:rPr>
        <w:t> </w:t>
      </w:r>
      <w:r w:rsidRPr="006070EA">
        <w:rPr>
          <w:rFonts w:asciiTheme="majorHAnsi" w:hAnsiTheme="majorHAnsi" w:cstheme="majorHAnsi"/>
          <w:color w:val="auto"/>
        </w:rPr>
        <w:t xml:space="preserve">lávka přes řeku Labe (koridor </w:t>
      </w:r>
      <w:r w:rsidR="004F5B3B" w:rsidRPr="006070EA">
        <w:rPr>
          <w:rFonts w:asciiTheme="majorHAnsi" w:hAnsiTheme="majorHAnsi" w:cstheme="majorHAnsi"/>
          <w:color w:val="auto"/>
        </w:rPr>
        <w:t>CNU.</w:t>
      </w:r>
      <w:r w:rsidRPr="006070EA">
        <w:rPr>
          <w:rFonts w:asciiTheme="majorHAnsi" w:hAnsiTheme="majorHAnsi" w:cstheme="majorHAnsi"/>
          <w:color w:val="auto"/>
        </w:rPr>
        <w:t xml:space="preserve">KDN1). Z hlediska technické infrastruktury byl jako VPS vymezen koridor vedení kanalizace a vodovodu do částí Hronětice, Vápensko a Rozkoš (koridor </w:t>
      </w:r>
      <w:r w:rsidR="004F5B3B" w:rsidRPr="006070EA">
        <w:rPr>
          <w:rFonts w:asciiTheme="majorHAnsi" w:hAnsiTheme="majorHAnsi" w:cstheme="majorHAnsi"/>
          <w:color w:val="auto"/>
        </w:rPr>
        <w:t>CNU.</w:t>
      </w:r>
      <w:r w:rsidRPr="006070EA">
        <w:rPr>
          <w:rFonts w:asciiTheme="majorHAnsi" w:hAnsiTheme="majorHAnsi" w:cstheme="majorHAnsi"/>
          <w:color w:val="auto"/>
        </w:rPr>
        <w:t>KTI1).</w:t>
      </w:r>
    </w:p>
    <w:p w14:paraId="126CC5CE" w14:textId="49BF29E5" w:rsidR="00BC3F41" w:rsidRPr="006070EA" w:rsidRDefault="00BC3F41" w:rsidP="00BC3F41">
      <w:pPr>
        <w:pStyle w:val="Mra-Vyjden"/>
        <w:spacing w:before="0"/>
        <w:ind w:firstLine="709"/>
        <w:rPr>
          <w:rFonts w:asciiTheme="majorHAnsi" w:hAnsiTheme="majorHAnsi" w:cstheme="majorHAnsi"/>
          <w:color w:val="auto"/>
        </w:rPr>
      </w:pPr>
      <w:r w:rsidRPr="006070EA">
        <w:rPr>
          <w:rFonts w:asciiTheme="majorHAnsi" w:hAnsiTheme="majorHAnsi" w:cstheme="majorHAnsi"/>
          <w:color w:val="auto"/>
        </w:rPr>
        <w:t>Jako veřejně prospěšná opatření (VPO) jsou územním plánem vymezeny dosud nestabilizované části lokálních prvků ÚSES (L</w:t>
      </w:r>
      <w:r w:rsidR="004F5B3B" w:rsidRPr="006070EA">
        <w:rPr>
          <w:rFonts w:asciiTheme="majorHAnsi" w:hAnsiTheme="majorHAnsi" w:cstheme="majorHAnsi"/>
          <w:color w:val="auto"/>
        </w:rPr>
        <w:t>B</w:t>
      </w:r>
      <w:r w:rsidRPr="006070EA">
        <w:rPr>
          <w:rFonts w:asciiTheme="majorHAnsi" w:hAnsiTheme="majorHAnsi" w:cstheme="majorHAnsi"/>
          <w:color w:val="auto"/>
        </w:rPr>
        <w:t>C</w:t>
      </w:r>
      <w:r w:rsidR="004F5B3B" w:rsidRPr="006070EA">
        <w:rPr>
          <w:rFonts w:asciiTheme="majorHAnsi" w:hAnsiTheme="majorHAnsi" w:cstheme="majorHAnsi"/>
          <w:color w:val="auto"/>
        </w:rPr>
        <w:t>.</w:t>
      </w:r>
      <w:r w:rsidRPr="006070EA">
        <w:rPr>
          <w:rFonts w:asciiTheme="majorHAnsi" w:hAnsiTheme="majorHAnsi" w:cstheme="majorHAnsi"/>
          <w:color w:val="auto"/>
        </w:rPr>
        <w:t>1 – plochy</w:t>
      </w:r>
      <w:r w:rsidR="004F5B3B" w:rsidRPr="006070EA">
        <w:rPr>
          <w:rFonts w:asciiTheme="majorHAnsi" w:hAnsiTheme="majorHAnsi" w:cstheme="majorHAnsi"/>
          <w:color w:val="auto"/>
        </w:rPr>
        <w:t xml:space="preserve"> změn v krajině</w:t>
      </w:r>
      <w:r w:rsidRPr="006070EA">
        <w:rPr>
          <w:rFonts w:asciiTheme="majorHAnsi" w:hAnsiTheme="majorHAnsi" w:cstheme="majorHAnsi"/>
          <w:color w:val="auto"/>
        </w:rPr>
        <w:t xml:space="preserve"> K</w:t>
      </w:r>
      <w:r w:rsidR="004F5B3B" w:rsidRPr="006070EA">
        <w:rPr>
          <w:rFonts w:asciiTheme="majorHAnsi" w:hAnsiTheme="majorHAnsi" w:cstheme="majorHAnsi"/>
          <w:color w:val="auto"/>
        </w:rPr>
        <w:t>.</w:t>
      </w:r>
      <w:r w:rsidRPr="006070EA">
        <w:rPr>
          <w:rFonts w:asciiTheme="majorHAnsi" w:hAnsiTheme="majorHAnsi" w:cstheme="majorHAnsi"/>
          <w:color w:val="auto"/>
        </w:rPr>
        <w:t>02 a K</w:t>
      </w:r>
      <w:r w:rsidR="004F5B3B" w:rsidRPr="006070EA">
        <w:rPr>
          <w:rFonts w:asciiTheme="majorHAnsi" w:hAnsiTheme="majorHAnsi" w:cstheme="majorHAnsi"/>
          <w:color w:val="auto"/>
        </w:rPr>
        <w:t>.</w:t>
      </w:r>
      <w:r w:rsidRPr="006070EA">
        <w:rPr>
          <w:rFonts w:asciiTheme="majorHAnsi" w:hAnsiTheme="majorHAnsi" w:cstheme="majorHAnsi"/>
          <w:color w:val="auto"/>
        </w:rPr>
        <w:t>03, L</w:t>
      </w:r>
      <w:r w:rsidR="004F5B3B" w:rsidRPr="006070EA">
        <w:rPr>
          <w:rFonts w:asciiTheme="majorHAnsi" w:hAnsiTheme="majorHAnsi" w:cstheme="majorHAnsi"/>
          <w:color w:val="auto"/>
        </w:rPr>
        <w:t>B</w:t>
      </w:r>
      <w:r w:rsidRPr="006070EA">
        <w:rPr>
          <w:rFonts w:asciiTheme="majorHAnsi" w:hAnsiTheme="majorHAnsi" w:cstheme="majorHAnsi"/>
          <w:color w:val="auto"/>
        </w:rPr>
        <w:t>C</w:t>
      </w:r>
      <w:r w:rsidR="004F5B3B" w:rsidRPr="006070EA">
        <w:rPr>
          <w:rFonts w:asciiTheme="majorHAnsi" w:hAnsiTheme="majorHAnsi" w:cstheme="majorHAnsi"/>
          <w:color w:val="auto"/>
        </w:rPr>
        <w:t>.</w:t>
      </w:r>
      <w:r w:rsidRPr="006070EA">
        <w:rPr>
          <w:rFonts w:asciiTheme="majorHAnsi" w:hAnsiTheme="majorHAnsi" w:cstheme="majorHAnsi"/>
          <w:color w:val="auto"/>
        </w:rPr>
        <w:t>2 – plochy K</w:t>
      </w:r>
      <w:r w:rsidR="004F5B3B" w:rsidRPr="006070EA">
        <w:rPr>
          <w:rFonts w:asciiTheme="majorHAnsi" w:hAnsiTheme="majorHAnsi" w:cstheme="majorHAnsi"/>
          <w:color w:val="auto"/>
        </w:rPr>
        <w:t>.</w:t>
      </w:r>
      <w:r w:rsidRPr="006070EA">
        <w:rPr>
          <w:rFonts w:asciiTheme="majorHAnsi" w:hAnsiTheme="majorHAnsi" w:cstheme="majorHAnsi"/>
          <w:color w:val="auto"/>
        </w:rPr>
        <w:t>04 a K</w:t>
      </w:r>
      <w:r w:rsidR="004F5B3B" w:rsidRPr="006070EA">
        <w:rPr>
          <w:rFonts w:asciiTheme="majorHAnsi" w:hAnsiTheme="majorHAnsi" w:cstheme="majorHAnsi"/>
          <w:color w:val="auto"/>
        </w:rPr>
        <w:t>.</w:t>
      </w:r>
      <w:r w:rsidRPr="006070EA">
        <w:rPr>
          <w:rFonts w:asciiTheme="majorHAnsi" w:hAnsiTheme="majorHAnsi" w:cstheme="majorHAnsi"/>
          <w:color w:val="auto"/>
        </w:rPr>
        <w:t xml:space="preserve">05). </w:t>
      </w:r>
    </w:p>
    <w:p w14:paraId="48CFBAA6" w14:textId="30EA2E7D" w:rsidR="00282607" w:rsidRPr="006070EA" w:rsidRDefault="002C27F8" w:rsidP="002C27F8">
      <w:pPr>
        <w:keepNext/>
        <w:spacing w:before="120" w:after="120" w:line="240" w:lineRule="auto"/>
        <w:jc w:val="both"/>
        <w:rPr>
          <w:rFonts w:asciiTheme="majorHAnsi" w:hAnsiTheme="majorHAnsi" w:cstheme="majorHAnsi"/>
          <w:b/>
          <w:i/>
          <w:sz w:val="20"/>
          <w:szCs w:val="20"/>
          <w:lang w:eastAsia="ar-SA"/>
        </w:rPr>
      </w:pPr>
      <w:r w:rsidRPr="006070EA">
        <w:rPr>
          <w:rFonts w:asciiTheme="majorHAnsi" w:hAnsiTheme="majorHAnsi" w:cstheme="majorHAnsi"/>
          <w:b/>
          <w:i/>
          <w:sz w:val="20"/>
          <w:szCs w:val="20"/>
          <w:lang w:eastAsia="ar-SA"/>
        </w:rPr>
        <w:lastRenderedPageBreak/>
        <w:t>P</w:t>
      </w:r>
      <w:r w:rsidR="00BB50A7" w:rsidRPr="006070EA">
        <w:rPr>
          <w:rFonts w:asciiTheme="majorHAnsi" w:hAnsiTheme="majorHAnsi" w:cstheme="majorHAnsi"/>
          <w:b/>
          <w:i/>
          <w:sz w:val="20"/>
          <w:szCs w:val="20"/>
          <w:lang w:eastAsia="ar-SA"/>
        </w:rPr>
        <w:t>ožadavky na prověření vymezení ploch a koridorů, ve kterých bude rozhodování o změnách v území podmíněno vydáním regulačního plánu, zpracováním územní studie nebo uzavřením dohody o parcelaci</w:t>
      </w:r>
    </w:p>
    <w:p w14:paraId="7C749EB1" w14:textId="77777777" w:rsidR="002C27F8" w:rsidRPr="006070EA" w:rsidRDefault="002C27F8" w:rsidP="002C27F8">
      <w:pPr>
        <w:pStyle w:val="Anadpiskurzva"/>
        <w:spacing w:after="60"/>
        <w:rPr>
          <w:rFonts w:asciiTheme="majorHAnsi" w:hAnsiTheme="majorHAnsi" w:cstheme="majorHAnsi"/>
          <w:b/>
          <w:bCs/>
        </w:rPr>
      </w:pPr>
      <w:r w:rsidRPr="006070EA">
        <w:rPr>
          <w:rFonts w:asciiTheme="majorHAnsi" w:hAnsiTheme="majorHAnsi" w:cstheme="majorHAnsi"/>
          <w:b/>
          <w:bCs/>
        </w:rPr>
        <w:t xml:space="preserve">Vymezení ploch a koridorů, ve kterých bude rozhodování o změnách v území podmíněno vydáním regulačního plánu: </w:t>
      </w:r>
    </w:p>
    <w:p w14:paraId="20F8E2EA" w14:textId="13CEBB98" w:rsidR="002C27F8" w:rsidRPr="006070EA" w:rsidRDefault="002C27F8" w:rsidP="002C27F8">
      <w:pPr>
        <w:pStyle w:val="Anadpiskurzva"/>
        <w:spacing w:after="60"/>
        <w:rPr>
          <w:rFonts w:asciiTheme="majorHAnsi" w:hAnsiTheme="majorHAnsi" w:cstheme="majorHAnsi"/>
        </w:rPr>
      </w:pPr>
      <w:r w:rsidRPr="006070EA">
        <w:rPr>
          <w:rFonts w:asciiTheme="majorHAnsi" w:hAnsiTheme="majorHAnsi" w:cstheme="majorHAnsi"/>
        </w:rPr>
        <w:t xml:space="preserve">Územní plán prověří potřebu vymezení ploch a koridorů, ve kterých bude rozhodování o změnách v území podmíněno vydáním regulačních plánů. </w:t>
      </w:r>
    </w:p>
    <w:p w14:paraId="25DFF3DA" w14:textId="403A9CAF" w:rsidR="004F5B3B" w:rsidRPr="006070EA" w:rsidRDefault="004F5B3B" w:rsidP="00F62C4F">
      <w:pPr>
        <w:pStyle w:val="Mra-Vyjden"/>
        <w:spacing w:before="0"/>
        <w:rPr>
          <w:rFonts w:asciiTheme="majorHAnsi" w:hAnsiTheme="majorHAnsi" w:cstheme="majorHAnsi"/>
          <w:b/>
          <w:bCs/>
        </w:rPr>
      </w:pPr>
      <w:r w:rsidRPr="00A76411">
        <w:rPr>
          <w:rFonts w:asciiTheme="majorHAnsi" w:hAnsiTheme="majorHAnsi" w:cstheme="majorHAnsi"/>
          <w:color w:val="auto"/>
        </w:rPr>
        <w:t xml:space="preserve">Územním plánem jsou vymezeny dvě plochy, ve kterých bude rozhodování o změnách v území podmíněno vydáním regulačního plánu </w:t>
      </w:r>
      <w:r w:rsidR="007F4A1A" w:rsidRPr="00A76411">
        <w:rPr>
          <w:rFonts w:asciiTheme="majorHAnsi" w:hAnsiTheme="majorHAnsi" w:cstheme="majorHAnsi"/>
          <w:color w:val="auto"/>
        </w:rPr>
        <w:t>z podnětu</w:t>
      </w:r>
      <w:r w:rsidRPr="00A76411">
        <w:rPr>
          <w:rFonts w:asciiTheme="majorHAnsi" w:hAnsiTheme="majorHAnsi" w:cstheme="majorHAnsi"/>
          <w:color w:val="auto"/>
        </w:rPr>
        <w:t>. Jedná se o plošně rozsáhlé zastavitelné plochy bydlení individuálního (BI) s označením Z.14 a Z.07 + Z.08 (ZP) v Kostomlatech nad Labem.</w:t>
      </w:r>
    </w:p>
    <w:p w14:paraId="0725F32B" w14:textId="77777777" w:rsidR="002C27F8" w:rsidRPr="006070EA" w:rsidRDefault="002C27F8" w:rsidP="002C27F8">
      <w:pPr>
        <w:pStyle w:val="Anadpiskurzva"/>
        <w:spacing w:after="60"/>
        <w:rPr>
          <w:rFonts w:asciiTheme="majorHAnsi" w:hAnsiTheme="majorHAnsi" w:cstheme="majorHAnsi"/>
          <w:b/>
          <w:bCs/>
        </w:rPr>
      </w:pPr>
      <w:r w:rsidRPr="006070EA">
        <w:rPr>
          <w:rFonts w:asciiTheme="majorHAnsi" w:hAnsiTheme="majorHAnsi" w:cstheme="majorHAnsi"/>
          <w:b/>
          <w:bCs/>
        </w:rPr>
        <w:t xml:space="preserve">Vymezení ploch a koridorů, ve kterých bude rozhodování o změnách v území podmíněno zpracováním Územní studie: </w:t>
      </w:r>
    </w:p>
    <w:p w14:paraId="55EE6906" w14:textId="39DDF11B" w:rsidR="002C27F8" w:rsidRPr="006070EA" w:rsidRDefault="002C27F8" w:rsidP="002C27F8">
      <w:pPr>
        <w:pStyle w:val="Anadpiskurzva"/>
        <w:spacing w:after="60"/>
        <w:rPr>
          <w:rFonts w:asciiTheme="majorHAnsi" w:hAnsiTheme="majorHAnsi" w:cstheme="majorHAnsi"/>
        </w:rPr>
      </w:pPr>
      <w:r w:rsidRPr="006070EA">
        <w:rPr>
          <w:rFonts w:asciiTheme="majorHAnsi" w:hAnsiTheme="majorHAnsi" w:cstheme="majorHAnsi"/>
        </w:rPr>
        <w:t xml:space="preserve">Územní plán prověří potřebu vymezení ploch, ve kterých bude rozhodování o změnách v území podmíněno zpracováním územních studií. </w:t>
      </w:r>
    </w:p>
    <w:p w14:paraId="08769E83" w14:textId="5E5ABCD3" w:rsidR="00F62C4F" w:rsidRPr="006070EA" w:rsidRDefault="00F62C4F" w:rsidP="00F62C4F">
      <w:pPr>
        <w:pStyle w:val="Mra-Vyjden"/>
        <w:spacing w:before="0"/>
        <w:rPr>
          <w:rFonts w:asciiTheme="majorHAnsi" w:hAnsiTheme="majorHAnsi" w:cstheme="majorHAnsi"/>
          <w:b/>
          <w:bCs/>
        </w:rPr>
      </w:pPr>
      <w:r w:rsidRPr="006070EA">
        <w:rPr>
          <w:rFonts w:asciiTheme="majorHAnsi" w:hAnsiTheme="majorHAnsi" w:cstheme="majorHAnsi"/>
          <w:color w:val="auto"/>
        </w:rPr>
        <w:t xml:space="preserve">Územním plánem jsou vymezeny </w:t>
      </w:r>
      <w:r w:rsidR="004F5B3B" w:rsidRPr="006070EA">
        <w:rPr>
          <w:rFonts w:asciiTheme="majorHAnsi" w:hAnsiTheme="majorHAnsi" w:cstheme="majorHAnsi"/>
          <w:color w:val="auto"/>
        </w:rPr>
        <w:t>dvě</w:t>
      </w:r>
      <w:r w:rsidRPr="006070EA">
        <w:rPr>
          <w:rFonts w:asciiTheme="majorHAnsi" w:hAnsiTheme="majorHAnsi" w:cstheme="majorHAnsi"/>
          <w:color w:val="auto"/>
        </w:rPr>
        <w:t xml:space="preserve"> plochy, ve kterých bude rozhodování o změnách v území podmíněno zpracováním územní studie. Jedná se o </w:t>
      </w:r>
      <w:r w:rsidR="004F5B3B" w:rsidRPr="006070EA">
        <w:rPr>
          <w:rFonts w:asciiTheme="majorHAnsi" w:hAnsiTheme="majorHAnsi" w:cstheme="majorHAnsi"/>
          <w:color w:val="auto"/>
        </w:rPr>
        <w:t xml:space="preserve">komplikovaně dostupnou zastavitelnou plochu smíšenou obytnou venkovskou (SV) s označením Z.03 v části Rozkoš a soubor zastavitelných ploch Z.17, Z.18 a Z.19 (SV) obestavující západní část hlavní dopravní komunikace v sídle Lány. </w:t>
      </w:r>
    </w:p>
    <w:p w14:paraId="363FF20F" w14:textId="77777777" w:rsidR="002C27F8" w:rsidRPr="006070EA" w:rsidRDefault="002C27F8" w:rsidP="002C27F8">
      <w:pPr>
        <w:pStyle w:val="Anadpiskurzva"/>
        <w:spacing w:after="60"/>
        <w:rPr>
          <w:rFonts w:asciiTheme="majorHAnsi" w:hAnsiTheme="majorHAnsi" w:cstheme="majorHAnsi"/>
          <w:b/>
          <w:bCs/>
        </w:rPr>
      </w:pPr>
      <w:r w:rsidRPr="006070EA">
        <w:rPr>
          <w:rFonts w:asciiTheme="majorHAnsi" w:hAnsiTheme="majorHAnsi" w:cstheme="majorHAnsi"/>
          <w:b/>
          <w:bCs/>
        </w:rPr>
        <w:t xml:space="preserve">Vymezení ploch a koridorů, ve kterých bude rozhodování o změnách v území podmíněno uzavřením dohody o parcelaci: </w:t>
      </w:r>
    </w:p>
    <w:p w14:paraId="79DFC001" w14:textId="4E35EBFC" w:rsidR="002C27F8" w:rsidRPr="006070EA" w:rsidRDefault="002C27F8" w:rsidP="002C27F8">
      <w:pPr>
        <w:pStyle w:val="Anadpiskurzva"/>
        <w:spacing w:after="60"/>
        <w:rPr>
          <w:rFonts w:asciiTheme="majorHAnsi" w:hAnsiTheme="majorHAnsi" w:cstheme="majorHAnsi"/>
        </w:rPr>
      </w:pPr>
      <w:r w:rsidRPr="006070EA">
        <w:rPr>
          <w:rFonts w:asciiTheme="majorHAnsi" w:hAnsiTheme="majorHAnsi" w:cstheme="majorHAnsi"/>
        </w:rPr>
        <w:t>Územní plán prověří potřebu vymezení ploch, ve kterých bude rozhodování o změnách v území podmíněno uzavřením dohod o parcelacích.</w:t>
      </w:r>
    </w:p>
    <w:p w14:paraId="106A5D94" w14:textId="5848BD1D" w:rsidR="00F62C4F" w:rsidRPr="006070EA" w:rsidRDefault="00F62C4F" w:rsidP="00F62C4F">
      <w:pPr>
        <w:pStyle w:val="Mra-Vyjden"/>
        <w:spacing w:before="0"/>
        <w:rPr>
          <w:rFonts w:asciiTheme="majorHAnsi" w:hAnsiTheme="majorHAnsi" w:cstheme="majorHAnsi"/>
          <w:b/>
          <w:bCs/>
        </w:rPr>
      </w:pPr>
      <w:r w:rsidRPr="006070EA">
        <w:rPr>
          <w:rFonts w:asciiTheme="majorHAnsi" w:hAnsiTheme="majorHAnsi" w:cstheme="majorHAnsi"/>
          <w:color w:val="auto"/>
        </w:rPr>
        <w:t>Plochy a koridory, jejichž využití by bylo podmíněno uzavřením dohody o parcelaci nejsou územním plánem Kostomlaty nad Labem vymezeny.</w:t>
      </w:r>
    </w:p>
    <w:p w14:paraId="13C9ED49" w14:textId="5F401642" w:rsidR="00282607" w:rsidRPr="006070EA" w:rsidRDefault="002C27F8" w:rsidP="00FD436B">
      <w:pPr>
        <w:keepNext/>
        <w:tabs>
          <w:tab w:val="left" w:pos="567"/>
        </w:tabs>
        <w:spacing w:before="120" w:after="120" w:line="240" w:lineRule="auto"/>
        <w:jc w:val="both"/>
        <w:rPr>
          <w:rFonts w:asciiTheme="majorHAnsi" w:hAnsiTheme="majorHAnsi" w:cstheme="majorHAnsi"/>
          <w:b/>
          <w:i/>
          <w:iCs/>
          <w:sz w:val="20"/>
          <w:szCs w:val="20"/>
          <w:lang w:eastAsia="ar-SA"/>
        </w:rPr>
      </w:pPr>
      <w:r w:rsidRPr="006070EA">
        <w:rPr>
          <w:rFonts w:asciiTheme="majorHAnsi" w:hAnsiTheme="majorHAnsi" w:cstheme="majorHAnsi"/>
          <w:b/>
          <w:i/>
          <w:iCs/>
          <w:sz w:val="20"/>
          <w:szCs w:val="20"/>
          <w:lang w:eastAsia="ar-SA"/>
        </w:rPr>
        <w:t>P</w:t>
      </w:r>
      <w:r w:rsidR="00BB50A7" w:rsidRPr="006070EA">
        <w:rPr>
          <w:rFonts w:asciiTheme="majorHAnsi" w:hAnsiTheme="majorHAnsi" w:cstheme="majorHAnsi"/>
          <w:b/>
          <w:i/>
          <w:iCs/>
          <w:sz w:val="20"/>
          <w:szCs w:val="20"/>
          <w:lang w:eastAsia="ar-SA"/>
        </w:rPr>
        <w:t>ožadavek na zpracování variant řešení</w:t>
      </w:r>
    </w:p>
    <w:p w14:paraId="44A0BD5F" w14:textId="3F62F87E" w:rsidR="00781786" w:rsidRPr="006070EA" w:rsidRDefault="002C27F8" w:rsidP="00781786">
      <w:pPr>
        <w:pStyle w:val="Anadpiskurzva"/>
        <w:keepNext w:val="0"/>
        <w:rPr>
          <w:rFonts w:asciiTheme="majorHAnsi" w:hAnsiTheme="majorHAnsi" w:cstheme="majorHAnsi"/>
        </w:rPr>
      </w:pPr>
      <w:r w:rsidRPr="006070EA">
        <w:rPr>
          <w:rFonts w:asciiTheme="majorHAnsi" w:hAnsiTheme="majorHAnsi" w:cstheme="majorHAnsi"/>
        </w:rPr>
        <w:t>Nepožaduje se zpracování variant řešení</w:t>
      </w:r>
      <w:r w:rsidR="00781786" w:rsidRPr="006070EA">
        <w:rPr>
          <w:rFonts w:asciiTheme="majorHAnsi" w:hAnsiTheme="majorHAnsi" w:cstheme="majorHAnsi"/>
        </w:rPr>
        <w:t>.</w:t>
      </w:r>
    </w:p>
    <w:p w14:paraId="658DB3A9" w14:textId="6ED2594D" w:rsidR="00C86905" w:rsidRPr="006070EA" w:rsidRDefault="00F62C4F" w:rsidP="00742F2C">
      <w:pPr>
        <w:pStyle w:val="Mra-Vyjden"/>
        <w:spacing w:before="0"/>
        <w:rPr>
          <w:rFonts w:asciiTheme="majorHAnsi" w:hAnsiTheme="majorHAnsi" w:cstheme="majorHAnsi"/>
          <w:color w:val="auto"/>
        </w:rPr>
      </w:pPr>
      <w:r w:rsidRPr="006070EA">
        <w:rPr>
          <w:rFonts w:asciiTheme="majorHAnsi" w:hAnsiTheme="majorHAnsi" w:cstheme="majorHAnsi"/>
          <w:color w:val="auto"/>
        </w:rPr>
        <w:t>Variantní řešení není zpracováno.</w:t>
      </w:r>
      <w:r w:rsidR="00C86905" w:rsidRPr="006070EA">
        <w:rPr>
          <w:rFonts w:asciiTheme="majorHAnsi" w:hAnsiTheme="majorHAnsi" w:cstheme="majorHAnsi"/>
          <w:color w:val="auto"/>
        </w:rPr>
        <w:t xml:space="preserve"> </w:t>
      </w:r>
      <w:r w:rsidR="00983EDE" w:rsidRPr="006070EA">
        <w:rPr>
          <w:rFonts w:asciiTheme="majorHAnsi" w:hAnsiTheme="majorHAnsi" w:cstheme="majorHAnsi"/>
          <w:color w:val="auto"/>
        </w:rPr>
        <w:t>Územní plán je zpracován jako invariantní.</w:t>
      </w:r>
    </w:p>
    <w:p w14:paraId="7B40FAE6" w14:textId="77777777" w:rsidR="002C27F8" w:rsidRPr="006070EA" w:rsidRDefault="002C27F8" w:rsidP="002C27F8">
      <w:pPr>
        <w:keepNext/>
        <w:spacing w:before="120" w:after="120" w:line="240" w:lineRule="auto"/>
        <w:jc w:val="both"/>
        <w:rPr>
          <w:rFonts w:asciiTheme="majorHAnsi" w:hAnsiTheme="majorHAnsi" w:cstheme="majorHAnsi"/>
          <w:b/>
          <w:i/>
          <w:sz w:val="20"/>
          <w:szCs w:val="20"/>
          <w:lang w:eastAsia="ar-SA"/>
        </w:rPr>
      </w:pPr>
      <w:r w:rsidRPr="006070EA">
        <w:rPr>
          <w:rFonts w:asciiTheme="majorHAnsi" w:hAnsiTheme="majorHAnsi" w:cstheme="majorHAnsi"/>
          <w:b/>
          <w:i/>
          <w:sz w:val="20"/>
          <w:szCs w:val="20"/>
          <w:lang w:eastAsia="ar-SA"/>
        </w:rPr>
        <w:t xml:space="preserve">Požadavky na uspořádání obsahu návrhu územního plánu a na uspořádání obsahu jeho odůvodnění včetně měřítek výkresů a počtu vyhotovení </w:t>
      </w:r>
    </w:p>
    <w:p w14:paraId="06E6323C" w14:textId="77777777" w:rsidR="002C27F8" w:rsidRPr="006070EA" w:rsidRDefault="002C27F8" w:rsidP="002C27F8">
      <w:pPr>
        <w:pStyle w:val="Anadpiskurzva"/>
        <w:keepNext w:val="0"/>
        <w:rPr>
          <w:rFonts w:asciiTheme="majorHAnsi" w:hAnsiTheme="majorHAnsi" w:cstheme="majorHAnsi"/>
        </w:rPr>
      </w:pPr>
      <w:r w:rsidRPr="006070EA">
        <w:rPr>
          <w:rFonts w:asciiTheme="majorHAnsi" w:hAnsiTheme="majorHAnsi" w:cstheme="majorHAnsi"/>
        </w:rPr>
        <w:t xml:space="preserve">Územní plán bude zpracován v souladu se stavebním zákonem, s vyhláškou č. 500/2006 Sb., s vyhláškou č. 501/2006 Sb. a s ostatními právními předpisy. Územní plán bude zpracován rovněž v souladu s metodikou Minimálního standardu pro digitální zpracování Územních plánů nad katastrální mapou měřítka 1:5000. </w:t>
      </w:r>
    </w:p>
    <w:p w14:paraId="4821D1D5" w14:textId="77777777" w:rsidR="002C27F8" w:rsidRPr="006070EA" w:rsidRDefault="002C27F8" w:rsidP="002C27F8">
      <w:pPr>
        <w:pStyle w:val="Anadpiskurzva"/>
        <w:keepNext w:val="0"/>
        <w:rPr>
          <w:rFonts w:asciiTheme="majorHAnsi" w:hAnsiTheme="majorHAnsi" w:cstheme="majorHAnsi"/>
        </w:rPr>
      </w:pPr>
      <w:r w:rsidRPr="006070EA">
        <w:rPr>
          <w:rFonts w:asciiTheme="majorHAnsi" w:hAnsiTheme="majorHAnsi" w:cstheme="majorHAnsi"/>
        </w:rPr>
        <w:t xml:space="preserve">Návrh ÚP bude pro účely společného jednání odevzdán ve dvou vyhotoveních. Upravený návrh ÚP podle výsledků společného jednání s dotčenými orgány a posouzení návrhu krajským úřadem bude odevzdán pro účely veřejného projednání ve dvou vyhotoveních. Bude-li nutné na základě veřejného projednání návrh ÚP upravit, bude odevzdán výsledný návrh ÚP ve čtyřech vyhotoveních. Nebude-li vyžadována na základě veřejného projednání úprava návrhu, budou dotištěna další dvě vyhotovení návrhu. Výsledný návrh bude odevzdán spolu s datovým nosičem. Pro každý stupeň jednání bude předáno rovněž digitální vyhotovení dokumentace. </w:t>
      </w:r>
    </w:p>
    <w:p w14:paraId="6BDE9918" w14:textId="5F069B8E" w:rsidR="002C27F8" w:rsidRPr="006070EA" w:rsidRDefault="002C27F8" w:rsidP="002C27F8">
      <w:pPr>
        <w:pStyle w:val="Anadpiskurzva"/>
        <w:keepNext w:val="0"/>
        <w:rPr>
          <w:rFonts w:asciiTheme="majorHAnsi" w:hAnsiTheme="majorHAnsi" w:cstheme="majorHAnsi"/>
        </w:rPr>
      </w:pPr>
      <w:r w:rsidRPr="006070EA">
        <w:rPr>
          <w:rFonts w:asciiTheme="majorHAnsi" w:hAnsiTheme="majorHAnsi" w:cstheme="majorHAnsi"/>
        </w:rPr>
        <w:t>Výkresy budou zpracovány nad aktuální digitální katastrální mapou, ve vektorové podobě (SHP, DGN) a v této podobě také budou předány po vydání Územního plánu.</w:t>
      </w:r>
    </w:p>
    <w:p w14:paraId="5842D462" w14:textId="77777777" w:rsidR="002C27F8" w:rsidRPr="006070EA" w:rsidRDefault="002C27F8" w:rsidP="002C27F8">
      <w:pPr>
        <w:pStyle w:val="Anadpiskurzva"/>
        <w:spacing w:after="60"/>
        <w:rPr>
          <w:rFonts w:asciiTheme="majorHAnsi" w:hAnsiTheme="majorHAnsi" w:cstheme="majorHAnsi"/>
          <w:b/>
          <w:bCs/>
        </w:rPr>
      </w:pPr>
      <w:r w:rsidRPr="006070EA">
        <w:rPr>
          <w:rFonts w:asciiTheme="majorHAnsi" w:hAnsiTheme="majorHAnsi" w:cstheme="majorHAnsi"/>
          <w:b/>
          <w:bCs/>
        </w:rPr>
        <w:t xml:space="preserve">Územní plán bude obsahovat: </w:t>
      </w:r>
    </w:p>
    <w:p w14:paraId="16DA9E27" w14:textId="4D493E96" w:rsidR="002C27F8" w:rsidRPr="006070EA" w:rsidRDefault="002C27F8" w:rsidP="002C27F8">
      <w:pPr>
        <w:pStyle w:val="Odstavecseseznamem"/>
        <w:numPr>
          <w:ilvl w:val="2"/>
          <w:numId w:val="18"/>
        </w:numPr>
        <w:spacing w:before="120" w:after="60" w:line="240" w:lineRule="auto"/>
        <w:ind w:left="567"/>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textová část </w:t>
      </w:r>
    </w:p>
    <w:p w14:paraId="5BF1FCE2" w14:textId="3B18C4BF" w:rsidR="002C27F8" w:rsidRPr="006070EA" w:rsidRDefault="002C27F8" w:rsidP="002C27F8">
      <w:pPr>
        <w:pStyle w:val="Odstavecseseznamem"/>
        <w:numPr>
          <w:ilvl w:val="2"/>
          <w:numId w:val="18"/>
        </w:numPr>
        <w:spacing w:before="120" w:after="60" w:line="240" w:lineRule="auto"/>
        <w:ind w:left="567"/>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grafická část </w:t>
      </w:r>
    </w:p>
    <w:p w14:paraId="6D7F4536" w14:textId="54069EE1" w:rsidR="002C27F8" w:rsidRPr="006070EA" w:rsidRDefault="002C27F8" w:rsidP="00EB05CF">
      <w:pPr>
        <w:pStyle w:val="Odstavecseseznamem"/>
        <w:numPr>
          <w:ilvl w:val="3"/>
          <w:numId w:val="39"/>
        </w:numPr>
        <w:spacing w:before="120" w:after="60" w:line="240" w:lineRule="auto"/>
        <w:ind w:left="993"/>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Výkres základního členění území 1 : 5 000 </w:t>
      </w:r>
    </w:p>
    <w:p w14:paraId="468F2406" w14:textId="21C7E1D0" w:rsidR="002C27F8" w:rsidRPr="006070EA" w:rsidRDefault="002C27F8" w:rsidP="00EB05CF">
      <w:pPr>
        <w:pStyle w:val="Odstavecseseznamem"/>
        <w:numPr>
          <w:ilvl w:val="3"/>
          <w:numId w:val="39"/>
        </w:numPr>
        <w:spacing w:before="120" w:after="60" w:line="240" w:lineRule="auto"/>
        <w:ind w:left="993"/>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Hlavní výkres 1 : 5 000 </w:t>
      </w:r>
    </w:p>
    <w:p w14:paraId="7C65DA4F" w14:textId="73C8D5EE" w:rsidR="002C27F8" w:rsidRPr="006070EA" w:rsidRDefault="002C27F8" w:rsidP="00EB05CF">
      <w:pPr>
        <w:pStyle w:val="Odstavecseseznamem"/>
        <w:numPr>
          <w:ilvl w:val="3"/>
          <w:numId w:val="39"/>
        </w:numPr>
        <w:spacing w:before="120" w:after="60" w:line="240" w:lineRule="auto"/>
        <w:ind w:left="993"/>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Výkres veřejně prospěšných staveb, opatření a asanací 1 : 5 000 </w:t>
      </w:r>
    </w:p>
    <w:p w14:paraId="272574C4" w14:textId="77777777" w:rsidR="002C27F8" w:rsidRPr="006070EA" w:rsidRDefault="002C27F8" w:rsidP="002C27F8">
      <w:pPr>
        <w:pStyle w:val="Anadpiskurzva"/>
        <w:spacing w:after="60"/>
        <w:rPr>
          <w:rFonts w:asciiTheme="majorHAnsi" w:hAnsiTheme="majorHAnsi" w:cstheme="majorHAnsi"/>
          <w:b/>
          <w:bCs/>
        </w:rPr>
      </w:pPr>
      <w:r w:rsidRPr="006070EA">
        <w:rPr>
          <w:rFonts w:asciiTheme="majorHAnsi" w:hAnsiTheme="majorHAnsi" w:cstheme="majorHAnsi"/>
          <w:b/>
          <w:bCs/>
        </w:rPr>
        <w:t xml:space="preserve">Odůvodnění Územního plánu bude obsahovat: </w:t>
      </w:r>
    </w:p>
    <w:p w14:paraId="62FD5878" w14:textId="4AA5C375" w:rsidR="002C27F8" w:rsidRPr="006070EA" w:rsidRDefault="002C27F8" w:rsidP="002C27F8">
      <w:pPr>
        <w:pStyle w:val="Odstavecseseznamem"/>
        <w:numPr>
          <w:ilvl w:val="2"/>
          <w:numId w:val="18"/>
        </w:numPr>
        <w:spacing w:before="120" w:after="60" w:line="240" w:lineRule="auto"/>
        <w:ind w:left="567"/>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textová část </w:t>
      </w:r>
    </w:p>
    <w:p w14:paraId="2C37E88F" w14:textId="73C3C001" w:rsidR="002C27F8" w:rsidRPr="006070EA" w:rsidRDefault="002C27F8" w:rsidP="002C27F8">
      <w:pPr>
        <w:pStyle w:val="Odstavecseseznamem"/>
        <w:numPr>
          <w:ilvl w:val="2"/>
          <w:numId w:val="18"/>
        </w:numPr>
        <w:spacing w:before="120" w:after="60" w:line="240" w:lineRule="auto"/>
        <w:ind w:left="567"/>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grafická část </w:t>
      </w:r>
    </w:p>
    <w:p w14:paraId="77E17E2D" w14:textId="261B28C3" w:rsidR="002C27F8" w:rsidRPr="006070EA" w:rsidRDefault="002C27F8" w:rsidP="00EB05CF">
      <w:pPr>
        <w:pStyle w:val="Odstavecseseznamem"/>
        <w:numPr>
          <w:ilvl w:val="3"/>
          <w:numId w:val="39"/>
        </w:numPr>
        <w:spacing w:before="120" w:after="60" w:line="240" w:lineRule="auto"/>
        <w:ind w:left="993"/>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Koordinační výkres 1 : 5 000 </w:t>
      </w:r>
    </w:p>
    <w:p w14:paraId="20B28873" w14:textId="04835E97" w:rsidR="002C27F8" w:rsidRPr="006070EA" w:rsidRDefault="002C27F8" w:rsidP="00EB05CF">
      <w:pPr>
        <w:pStyle w:val="Odstavecseseznamem"/>
        <w:numPr>
          <w:ilvl w:val="3"/>
          <w:numId w:val="39"/>
        </w:numPr>
        <w:spacing w:before="120" w:after="60" w:line="240" w:lineRule="auto"/>
        <w:ind w:left="993"/>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Výkres širších vztahů 1 : 100 000 </w:t>
      </w:r>
    </w:p>
    <w:p w14:paraId="7C29603E" w14:textId="5EC3E29E" w:rsidR="002C27F8" w:rsidRPr="006070EA" w:rsidRDefault="002C27F8" w:rsidP="00EB05CF">
      <w:pPr>
        <w:pStyle w:val="Odstavecseseznamem"/>
        <w:numPr>
          <w:ilvl w:val="3"/>
          <w:numId w:val="39"/>
        </w:numPr>
        <w:spacing w:before="120" w:after="60" w:line="240" w:lineRule="auto"/>
        <w:ind w:left="993"/>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Výkres předpokládaných záborů PF 1 : 5 000 </w:t>
      </w:r>
    </w:p>
    <w:p w14:paraId="15EA3CAE" w14:textId="453CAD70" w:rsidR="00F62C4F" w:rsidRPr="006070EA" w:rsidRDefault="00F62C4F" w:rsidP="00F62C4F">
      <w:pPr>
        <w:pStyle w:val="Mra-Vyjden"/>
        <w:spacing w:before="0"/>
        <w:rPr>
          <w:rFonts w:asciiTheme="majorHAnsi" w:hAnsiTheme="majorHAnsi" w:cstheme="majorHAnsi"/>
          <w:color w:val="auto"/>
        </w:rPr>
      </w:pPr>
      <w:r w:rsidRPr="006070EA">
        <w:rPr>
          <w:rFonts w:asciiTheme="majorHAnsi" w:hAnsiTheme="majorHAnsi" w:cstheme="majorHAnsi"/>
          <w:color w:val="auto"/>
        </w:rPr>
        <w:t xml:space="preserve">Územní plán je zpracován v souladu se stavebním zákonem a jeho prováděcími vyhláškami. Požadavky na uspořádání dokumentace a počty vyhotovení jsou respektovány. Zpracování dokumentace ÚP Kostomlaty nad Labem odpovídá požadavkům Zadání ÚP. Uspořádání obsahů textových částí Územního plánu Kostomlaty nad Labem odpovídá požadovanému rozsahu ve schváleném Zadání ÚP. Požadavek na uspořádání grafické části územního plánu </w:t>
      </w:r>
      <w:r w:rsidRPr="006070EA">
        <w:rPr>
          <w:rFonts w:asciiTheme="majorHAnsi" w:hAnsiTheme="majorHAnsi" w:cstheme="majorHAnsi"/>
          <w:color w:val="auto"/>
        </w:rPr>
        <w:lastRenderedPageBreak/>
        <w:t>a</w:t>
      </w:r>
      <w:r w:rsidR="00433C39" w:rsidRPr="006070EA">
        <w:rPr>
          <w:rFonts w:asciiTheme="majorHAnsi" w:hAnsiTheme="majorHAnsi" w:cstheme="majorHAnsi"/>
          <w:color w:val="auto"/>
        </w:rPr>
        <w:t> </w:t>
      </w:r>
      <w:r w:rsidRPr="006070EA">
        <w:rPr>
          <w:rFonts w:asciiTheme="majorHAnsi" w:hAnsiTheme="majorHAnsi" w:cstheme="majorHAnsi"/>
          <w:color w:val="auto"/>
        </w:rPr>
        <w:t xml:space="preserve">odůvodnění byl splněn. Splnění požadavků lze dokladovat na samotné dokumentaci. </w:t>
      </w:r>
      <w:r w:rsidR="004F5B3B" w:rsidRPr="006070EA">
        <w:rPr>
          <w:rFonts w:asciiTheme="majorHAnsi" w:hAnsiTheme="majorHAnsi" w:cstheme="majorHAnsi"/>
          <w:color w:val="auto"/>
        </w:rPr>
        <w:t>Územní plán je zpracován v souladu s aktuální legislativou na úseku územního plánování a v souladu s metodickým pokynem MMR je zpracován v datovém modelu a podle požadavků Standardu vybraných částí územního plánu (jednotný standard ÚPD).</w:t>
      </w:r>
    </w:p>
    <w:p w14:paraId="7C1D68B9" w14:textId="1F13EE89" w:rsidR="00282607" w:rsidRPr="006070EA" w:rsidRDefault="00BB50A7" w:rsidP="00FD436B">
      <w:pPr>
        <w:keepNext/>
        <w:spacing w:before="120" w:after="120" w:line="240" w:lineRule="auto"/>
        <w:ind w:left="567" w:hanging="567"/>
        <w:jc w:val="both"/>
        <w:rPr>
          <w:rFonts w:asciiTheme="majorHAnsi" w:hAnsiTheme="majorHAnsi" w:cstheme="majorHAnsi"/>
          <w:b/>
          <w:i/>
          <w:sz w:val="20"/>
          <w:szCs w:val="20"/>
          <w:lang w:eastAsia="ar-SA"/>
        </w:rPr>
      </w:pPr>
      <w:r w:rsidRPr="006070EA">
        <w:rPr>
          <w:rFonts w:asciiTheme="majorHAnsi" w:hAnsiTheme="majorHAnsi" w:cstheme="majorHAnsi"/>
          <w:b/>
          <w:i/>
          <w:sz w:val="20"/>
          <w:szCs w:val="20"/>
          <w:lang w:eastAsia="ar-SA"/>
        </w:rPr>
        <w:t>Požadavky na vyhodnocení předpokládaných vlivů územního plánu na udržitelný rozvoj území</w:t>
      </w:r>
    </w:p>
    <w:p w14:paraId="2613805C" w14:textId="55300C42" w:rsidR="00706D4E" w:rsidRPr="006070EA" w:rsidRDefault="00706D4E" w:rsidP="00742F2C">
      <w:pPr>
        <w:pStyle w:val="Anadpiskurzva"/>
        <w:keepNext w:val="0"/>
        <w:rPr>
          <w:rFonts w:asciiTheme="majorHAnsi" w:hAnsiTheme="majorHAnsi" w:cstheme="majorHAnsi"/>
        </w:rPr>
      </w:pPr>
      <w:r w:rsidRPr="006070EA">
        <w:rPr>
          <w:rFonts w:asciiTheme="majorHAnsi" w:hAnsiTheme="majorHAnsi" w:cstheme="majorHAnsi"/>
        </w:rPr>
        <w:t>Krajský úřad Středočeského kraje, oddělení ochrany přírody, ve svém stanovisku ze dne 8.4.2019 vyloučil významný vliv koncepce územního plánu na předmět ochrany nebo celistvost evropsky významných lokalit nebo ptačích oblastí. Krajský úřad Středočeského kraj, odbor životního prostředí a zemědělství ve svém stanovisku ze dne 16.8.2021 k doplněnému zadání územního plánu nepožaduje posouzení vlivů územního plánu na životní prostředí a nepožaduje posouzení vlivu územního plánu na životní prostředí, tzv. SEA.</w:t>
      </w:r>
    </w:p>
    <w:p w14:paraId="73BAADFD" w14:textId="77777777" w:rsidR="00F62C4F" w:rsidRPr="006070EA" w:rsidRDefault="00F62C4F" w:rsidP="00F62C4F">
      <w:pPr>
        <w:pStyle w:val="Mra-Vyjden"/>
        <w:spacing w:before="0"/>
        <w:rPr>
          <w:rFonts w:asciiTheme="majorHAnsi" w:hAnsiTheme="majorHAnsi" w:cstheme="majorHAnsi"/>
          <w:color w:val="auto"/>
        </w:rPr>
      </w:pPr>
      <w:r w:rsidRPr="006070EA">
        <w:rPr>
          <w:rFonts w:asciiTheme="majorHAnsi" w:hAnsiTheme="majorHAnsi" w:cstheme="majorHAnsi"/>
          <w:color w:val="auto"/>
        </w:rPr>
        <w:t>Ze stanoviska příslušného úřadu podle zákona o posuzování vlivů na životní prostředí nevyplynula potřeba Vyhodnocení vlivů na udržitelný rozvoj území (viz kapitola 13</w:t>
      </w:r>
      <w:r w:rsidRPr="006070EA">
        <w:rPr>
          <w:rFonts w:asciiTheme="majorHAnsi" w:hAnsiTheme="majorHAnsi" w:cstheme="majorHAnsi"/>
          <w:bCs/>
          <w:i/>
          <w:iCs/>
          <w:color w:val="auto"/>
          <w:szCs w:val="20"/>
        </w:rPr>
        <w:t xml:space="preserve"> Zpráva o vyhodnocení vlivů na udržitelný rozvoj území obsahující základní informace o výsledcích tohoto vyhodnocení včetně výsledků vyhodnocení vlivů na životní prostředí</w:t>
      </w:r>
      <w:r w:rsidRPr="006070EA">
        <w:rPr>
          <w:rFonts w:asciiTheme="majorHAnsi" w:hAnsiTheme="majorHAnsi" w:cstheme="majorHAnsi"/>
          <w:color w:val="auto"/>
        </w:rPr>
        <w:t xml:space="preserve"> tohoto Odůvodnění). </w:t>
      </w:r>
    </w:p>
    <w:p w14:paraId="44470FD9" w14:textId="602173BA" w:rsidR="00706D4E" w:rsidRPr="006070EA" w:rsidRDefault="00F62C4F" w:rsidP="00F62C4F">
      <w:pPr>
        <w:pStyle w:val="Mra-Vyjden"/>
        <w:spacing w:before="0"/>
        <w:rPr>
          <w:rFonts w:asciiTheme="majorHAnsi" w:hAnsiTheme="majorHAnsi" w:cstheme="majorHAnsi"/>
          <w:color w:val="auto"/>
        </w:rPr>
      </w:pPr>
      <w:r w:rsidRPr="006070EA">
        <w:rPr>
          <w:rFonts w:asciiTheme="majorHAnsi" w:hAnsiTheme="majorHAnsi" w:cstheme="majorHAnsi"/>
          <w:color w:val="auto"/>
        </w:rPr>
        <w:t xml:space="preserve">Územní plán stanovenou rozvojovou koncepcí jednoznačně chrání a rozvíjí uvedený současný charakter řešeného území. Koncepce rozvoje území je založena na vyváženém vztahu pilířů udržitelného rozvoje území. Řešení obsahuje zásady ochrany všech složek životního prostředí, vymezuje ucelený a vzájemně propojený ÚSES. Územní plán řeší nevyhovující způsob odkanalizování obce, čímž přispívá k snížení zátěže životního prostředí. </w:t>
      </w:r>
    </w:p>
    <w:p w14:paraId="1A739566" w14:textId="77777777" w:rsidR="00F62C4F" w:rsidRPr="006070EA" w:rsidRDefault="00706D4E" w:rsidP="00706D4E">
      <w:pPr>
        <w:keepNext/>
        <w:spacing w:before="120" w:after="120" w:line="240" w:lineRule="auto"/>
        <w:rPr>
          <w:rFonts w:asciiTheme="majorHAnsi" w:hAnsiTheme="majorHAnsi" w:cstheme="majorHAnsi"/>
          <w:b/>
          <w:i/>
          <w:sz w:val="20"/>
          <w:szCs w:val="20"/>
          <w:lang w:eastAsia="ar-SA"/>
        </w:rPr>
      </w:pPr>
      <w:r w:rsidRPr="006070EA">
        <w:rPr>
          <w:rFonts w:asciiTheme="majorHAnsi" w:hAnsiTheme="majorHAnsi" w:cstheme="majorHAnsi"/>
          <w:b/>
          <w:i/>
          <w:sz w:val="20"/>
          <w:szCs w:val="20"/>
          <w:lang w:eastAsia="ar-SA"/>
        </w:rPr>
        <w:t>Souhrn problémů k řešení v územním plán</w:t>
      </w:r>
      <w:r w:rsidR="00F62C4F" w:rsidRPr="006070EA">
        <w:rPr>
          <w:rFonts w:asciiTheme="majorHAnsi" w:hAnsiTheme="majorHAnsi" w:cstheme="majorHAnsi"/>
          <w:b/>
          <w:i/>
          <w:sz w:val="20"/>
          <w:szCs w:val="20"/>
          <w:lang w:eastAsia="ar-SA"/>
        </w:rPr>
        <w:t>u</w:t>
      </w:r>
    </w:p>
    <w:tbl>
      <w:tblPr>
        <w:tblW w:w="0" w:type="auto"/>
        <w:jc w:val="center"/>
        <w:tblBorders>
          <w:insideH w:val="single" w:sz="4" w:space="0" w:color="auto"/>
          <w:insideV w:val="single" w:sz="4" w:space="0" w:color="auto"/>
        </w:tblBorders>
        <w:tblLayout w:type="fixed"/>
        <w:tblLook w:val="0000" w:firstRow="0" w:lastRow="0" w:firstColumn="0" w:lastColumn="0" w:noHBand="0" w:noVBand="0"/>
      </w:tblPr>
      <w:tblGrid>
        <w:gridCol w:w="4427"/>
        <w:gridCol w:w="4427"/>
      </w:tblGrid>
      <w:tr w:rsidR="00F62C4F" w:rsidRPr="006070EA" w14:paraId="2F1FFFBE" w14:textId="77777777" w:rsidTr="00752A9E">
        <w:trPr>
          <w:jc w:val="center"/>
        </w:trPr>
        <w:tc>
          <w:tcPr>
            <w:tcW w:w="4427" w:type="dxa"/>
            <w:vAlign w:val="center"/>
          </w:tcPr>
          <w:p w14:paraId="6C9B47C6" w14:textId="77777777" w:rsidR="00F62C4F" w:rsidRPr="006070EA" w:rsidRDefault="00F62C4F" w:rsidP="00765F24">
            <w:pPr>
              <w:autoSpaceDE w:val="0"/>
              <w:autoSpaceDN w:val="0"/>
              <w:adjustRightInd w:val="0"/>
              <w:spacing w:after="0" w:line="240" w:lineRule="auto"/>
              <w:rPr>
                <w:rFonts w:asciiTheme="majorHAnsi" w:hAnsiTheme="majorHAnsi" w:cstheme="majorHAnsi"/>
                <w:b/>
                <w:bCs/>
                <w:color w:val="000000"/>
                <w:sz w:val="18"/>
                <w:szCs w:val="18"/>
              </w:rPr>
            </w:pPr>
            <w:r w:rsidRPr="006070EA">
              <w:rPr>
                <w:rFonts w:asciiTheme="majorHAnsi" w:hAnsiTheme="majorHAnsi" w:cstheme="majorHAnsi"/>
                <w:b/>
                <w:bCs/>
                <w:color w:val="000000"/>
                <w:sz w:val="18"/>
                <w:szCs w:val="18"/>
              </w:rPr>
              <w:t xml:space="preserve">urbanistická závada k řešení v ÚP </w:t>
            </w:r>
          </w:p>
        </w:tc>
        <w:tc>
          <w:tcPr>
            <w:tcW w:w="4427" w:type="dxa"/>
            <w:vAlign w:val="center"/>
          </w:tcPr>
          <w:p w14:paraId="1C1D67B3" w14:textId="77777777" w:rsidR="00F62C4F" w:rsidRPr="006070EA" w:rsidRDefault="00F62C4F" w:rsidP="00765F24">
            <w:pPr>
              <w:autoSpaceDE w:val="0"/>
              <w:autoSpaceDN w:val="0"/>
              <w:adjustRightInd w:val="0"/>
              <w:spacing w:after="0" w:line="240" w:lineRule="auto"/>
              <w:rPr>
                <w:rFonts w:asciiTheme="majorHAnsi" w:hAnsiTheme="majorHAnsi" w:cstheme="majorHAnsi"/>
                <w:b/>
                <w:bCs/>
                <w:color w:val="000000"/>
                <w:sz w:val="18"/>
                <w:szCs w:val="18"/>
              </w:rPr>
            </w:pPr>
            <w:r w:rsidRPr="006070EA">
              <w:rPr>
                <w:rFonts w:asciiTheme="majorHAnsi" w:hAnsiTheme="majorHAnsi" w:cstheme="majorHAnsi"/>
                <w:b/>
                <w:bCs/>
                <w:color w:val="000000"/>
                <w:sz w:val="18"/>
                <w:szCs w:val="18"/>
              </w:rPr>
              <w:t xml:space="preserve">lokalizace </w:t>
            </w:r>
          </w:p>
        </w:tc>
      </w:tr>
      <w:tr w:rsidR="00F62C4F" w:rsidRPr="006070EA" w14:paraId="427041B8" w14:textId="77777777" w:rsidTr="00752A9E">
        <w:trPr>
          <w:jc w:val="center"/>
        </w:trPr>
        <w:tc>
          <w:tcPr>
            <w:tcW w:w="4427" w:type="dxa"/>
            <w:vAlign w:val="center"/>
          </w:tcPr>
          <w:p w14:paraId="79A2DAF6" w14:textId="77777777" w:rsidR="00F62C4F" w:rsidRPr="006070EA" w:rsidRDefault="00F62C4F" w:rsidP="00765F24">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 xml:space="preserve">rozvojový potenciál obce mimo významné plošné limity využití území </w:t>
            </w:r>
          </w:p>
        </w:tc>
        <w:tc>
          <w:tcPr>
            <w:tcW w:w="4427" w:type="dxa"/>
            <w:vAlign w:val="center"/>
          </w:tcPr>
          <w:p w14:paraId="77B6FF62" w14:textId="77777777" w:rsidR="00F62C4F" w:rsidRPr="006070EA" w:rsidRDefault="00F62C4F" w:rsidP="00765F24">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 xml:space="preserve">Kostomlaty nad Labem </w:t>
            </w:r>
          </w:p>
        </w:tc>
      </w:tr>
      <w:tr w:rsidR="00F62C4F" w:rsidRPr="006070EA" w14:paraId="4928C549" w14:textId="77777777" w:rsidTr="00752A9E">
        <w:trPr>
          <w:jc w:val="center"/>
        </w:trPr>
        <w:tc>
          <w:tcPr>
            <w:tcW w:w="4427" w:type="dxa"/>
            <w:vAlign w:val="center"/>
          </w:tcPr>
          <w:p w14:paraId="67961811" w14:textId="77777777" w:rsidR="00F62C4F" w:rsidRPr="006070EA" w:rsidRDefault="00F62C4F" w:rsidP="00765F24">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 xml:space="preserve">plocha nebo objekt brownfield </w:t>
            </w:r>
          </w:p>
        </w:tc>
        <w:tc>
          <w:tcPr>
            <w:tcW w:w="4427" w:type="dxa"/>
            <w:vAlign w:val="center"/>
          </w:tcPr>
          <w:p w14:paraId="0426376B" w14:textId="77777777" w:rsidR="00F62C4F" w:rsidRPr="006070EA" w:rsidRDefault="00F62C4F" w:rsidP="00765F24">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 xml:space="preserve">Kostomlaty nad Labem </w:t>
            </w:r>
          </w:p>
        </w:tc>
      </w:tr>
      <w:tr w:rsidR="00F62C4F" w:rsidRPr="006070EA" w14:paraId="43039E0E" w14:textId="77777777" w:rsidTr="00752A9E">
        <w:trPr>
          <w:jc w:val="center"/>
        </w:trPr>
        <w:tc>
          <w:tcPr>
            <w:tcW w:w="4427" w:type="dxa"/>
            <w:vAlign w:val="center"/>
          </w:tcPr>
          <w:p w14:paraId="3C254AF3" w14:textId="77777777" w:rsidR="00F62C4F" w:rsidRPr="006070EA" w:rsidRDefault="00F62C4F" w:rsidP="00765F24">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 xml:space="preserve">absence základního občanského vybavení a služeb v malých sídlech </w:t>
            </w:r>
          </w:p>
        </w:tc>
        <w:tc>
          <w:tcPr>
            <w:tcW w:w="4427" w:type="dxa"/>
            <w:vAlign w:val="center"/>
          </w:tcPr>
          <w:p w14:paraId="7DB9266A" w14:textId="77777777" w:rsidR="00F62C4F" w:rsidRPr="006070EA" w:rsidRDefault="00F62C4F" w:rsidP="00765F24">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 xml:space="preserve">Vápensko, Rozkoš </w:t>
            </w:r>
          </w:p>
        </w:tc>
      </w:tr>
      <w:tr w:rsidR="00F62C4F" w:rsidRPr="006070EA" w14:paraId="5CA2B099" w14:textId="77777777" w:rsidTr="00752A9E">
        <w:trPr>
          <w:jc w:val="center"/>
        </w:trPr>
        <w:tc>
          <w:tcPr>
            <w:tcW w:w="4427" w:type="dxa"/>
            <w:vAlign w:val="center"/>
          </w:tcPr>
          <w:p w14:paraId="7CD34823" w14:textId="77777777" w:rsidR="00F62C4F" w:rsidRPr="006070EA" w:rsidRDefault="00F62C4F" w:rsidP="00765F24">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 xml:space="preserve">slabé vazby mezi jádrovým sídlem a místními částmi </w:t>
            </w:r>
          </w:p>
        </w:tc>
        <w:tc>
          <w:tcPr>
            <w:tcW w:w="4427" w:type="dxa"/>
            <w:vAlign w:val="center"/>
          </w:tcPr>
          <w:p w14:paraId="50836ABD" w14:textId="77777777" w:rsidR="00F62C4F" w:rsidRPr="006070EA" w:rsidRDefault="00F62C4F" w:rsidP="00765F24">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 xml:space="preserve">Vápensko </w:t>
            </w:r>
          </w:p>
        </w:tc>
      </w:tr>
      <w:tr w:rsidR="00F62C4F" w:rsidRPr="006070EA" w14:paraId="6D8769C6" w14:textId="77777777" w:rsidTr="00752A9E">
        <w:trPr>
          <w:jc w:val="center"/>
        </w:trPr>
        <w:tc>
          <w:tcPr>
            <w:tcW w:w="4427" w:type="dxa"/>
            <w:vAlign w:val="center"/>
          </w:tcPr>
          <w:p w14:paraId="685DB28C" w14:textId="77777777" w:rsidR="00F62C4F" w:rsidRPr="006070EA" w:rsidRDefault="00F62C4F" w:rsidP="00765F24">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 xml:space="preserve">liniová bariéra železniční trati rozdělující území a narušující vzájemné vazby mezi sídly a propojení sídel s krajinou </w:t>
            </w:r>
          </w:p>
        </w:tc>
        <w:tc>
          <w:tcPr>
            <w:tcW w:w="4427" w:type="dxa"/>
            <w:vAlign w:val="center"/>
          </w:tcPr>
          <w:p w14:paraId="6D97A44F" w14:textId="77777777" w:rsidR="00F62C4F" w:rsidRPr="006070EA" w:rsidRDefault="00F62C4F" w:rsidP="00765F24">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 xml:space="preserve">celé území </w:t>
            </w:r>
          </w:p>
        </w:tc>
      </w:tr>
      <w:tr w:rsidR="00F62C4F" w:rsidRPr="006070EA" w14:paraId="0445F705" w14:textId="77777777" w:rsidTr="00752A9E">
        <w:trPr>
          <w:jc w:val="center"/>
        </w:trPr>
        <w:tc>
          <w:tcPr>
            <w:tcW w:w="4427" w:type="dxa"/>
            <w:vAlign w:val="center"/>
          </w:tcPr>
          <w:p w14:paraId="7EF1D387" w14:textId="77777777" w:rsidR="00F62C4F" w:rsidRPr="006070EA" w:rsidRDefault="00F62C4F" w:rsidP="00765F24">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 xml:space="preserve">vymezení ÚSES ve stabilizovaných plochách bydlení </w:t>
            </w:r>
          </w:p>
        </w:tc>
        <w:tc>
          <w:tcPr>
            <w:tcW w:w="4427" w:type="dxa"/>
            <w:vAlign w:val="center"/>
          </w:tcPr>
          <w:p w14:paraId="1E4CD2F6" w14:textId="77777777" w:rsidR="00F62C4F" w:rsidRPr="006070EA" w:rsidRDefault="00F62C4F" w:rsidP="00765F24">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 xml:space="preserve">Kostomlaty nad Labem </w:t>
            </w:r>
          </w:p>
        </w:tc>
      </w:tr>
      <w:tr w:rsidR="00F62C4F" w:rsidRPr="006070EA" w14:paraId="56A10E0F" w14:textId="77777777" w:rsidTr="00752A9E">
        <w:trPr>
          <w:jc w:val="center"/>
        </w:trPr>
        <w:tc>
          <w:tcPr>
            <w:tcW w:w="4427" w:type="dxa"/>
            <w:vAlign w:val="center"/>
          </w:tcPr>
          <w:p w14:paraId="0B223185" w14:textId="77777777" w:rsidR="00F62C4F" w:rsidRPr="006070EA" w:rsidRDefault="00F62C4F" w:rsidP="00765F24">
            <w:pPr>
              <w:autoSpaceDE w:val="0"/>
              <w:autoSpaceDN w:val="0"/>
              <w:adjustRightInd w:val="0"/>
              <w:spacing w:after="0" w:line="240" w:lineRule="auto"/>
              <w:rPr>
                <w:rFonts w:asciiTheme="majorHAnsi" w:hAnsiTheme="majorHAnsi" w:cstheme="majorHAnsi"/>
                <w:b/>
                <w:bCs/>
                <w:color w:val="000000"/>
                <w:sz w:val="18"/>
                <w:szCs w:val="18"/>
              </w:rPr>
            </w:pPr>
            <w:r w:rsidRPr="006070EA">
              <w:rPr>
                <w:rFonts w:asciiTheme="majorHAnsi" w:hAnsiTheme="majorHAnsi" w:cstheme="majorHAnsi"/>
                <w:b/>
                <w:bCs/>
                <w:color w:val="000000"/>
                <w:sz w:val="18"/>
                <w:szCs w:val="18"/>
              </w:rPr>
              <w:t xml:space="preserve">dopravní závada k řešení v ÚP </w:t>
            </w:r>
          </w:p>
        </w:tc>
        <w:tc>
          <w:tcPr>
            <w:tcW w:w="4427" w:type="dxa"/>
            <w:vAlign w:val="center"/>
          </w:tcPr>
          <w:p w14:paraId="39D25F5C" w14:textId="77777777" w:rsidR="00F62C4F" w:rsidRPr="006070EA" w:rsidRDefault="00F62C4F" w:rsidP="00765F24">
            <w:pPr>
              <w:autoSpaceDE w:val="0"/>
              <w:autoSpaceDN w:val="0"/>
              <w:adjustRightInd w:val="0"/>
              <w:spacing w:after="0" w:line="240" w:lineRule="auto"/>
              <w:rPr>
                <w:rFonts w:asciiTheme="majorHAnsi" w:hAnsiTheme="majorHAnsi" w:cstheme="majorHAnsi"/>
                <w:b/>
                <w:bCs/>
                <w:color w:val="000000"/>
                <w:sz w:val="18"/>
                <w:szCs w:val="18"/>
              </w:rPr>
            </w:pPr>
            <w:r w:rsidRPr="006070EA">
              <w:rPr>
                <w:rFonts w:asciiTheme="majorHAnsi" w:hAnsiTheme="majorHAnsi" w:cstheme="majorHAnsi"/>
                <w:b/>
                <w:bCs/>
                <w:color w:val="000000"/>
                <w:sz w:val="18"/>
                <w:szCs w:val="18"/>
              </w:rPr>
              <w:t xml:space="preserve">lokalizace </w:t>
            </w:r>
          </w:p>
        </w:tc>
      </w:tr>
      <w:tr w:rsidR="00F62C4F" w:rsidRPr="006070EA" w14:paraId="71272190" w14:textId="77777777" w:rsidTr="00752A9E">
        <w:trPr>
          <w:jc w:val="center"/>
        </w:trPr>
        <w:tc>
          <w:tcPr>
            <w:tcW w:w="4427" w:type="dxa"/>
            <w:vAlign w:val="center"/>
          </w:tcPr>
          <w:p w14:paraId="7BA533C8" w14:textId="77777777" w:rsidR="00F62C4F" w:rsidRPr="006070EA" w:rsidRDefault="00F62C4F" w:rsidP="00765F24">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 xml:space="preserve">dopravní zátěž silnice II/331 v zastavěném území sídla Kostomlaty nad Labem </w:t>
            </w:r>
          </w:p>
        </w:tc>
        <w:tc>
          <w:tcPr>
            <w:tcW w:w="4427" w:type="dxa"/>
            <w:vAlign w:val="center"/>
          </w:tcPr>
          <w:p w14:paraId="0BC073CC" w14:textId="77777777" w:rsidR="00F62C4F" w:rsidRPr="006070EA" w:rsidRDefault="00F62C4F" w:rsidP="00765F24">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 xml:space="preserve">Kostomlaty nad Labem </w:t>
            </w:r>
          </w:p>
        </w:tc>
      </w:tr>
      <w:tr w:rsidR="00F62C4F" w:rsidRPr="006070EA" w14:paraId="417E5269" w14:textId="77777777" w:rsidTr="00752A9E">
        <w:trPr>
          <w:jc w:val="center"/>
        </w:trPr>
        <w:tc>
          <w:tcPr>
            <w:tcW w:w="4427" w:type="dxa"/>
            <w:vAlign w:val="center"/>
          </w:tcPr>
          <w:p w14:paraId="053F83F5" w14:textId="77777777" w:rsidR="00F62C4F" w:rsidRPr="006070EA" w:rsidRDefault="00F62C4F" w:rsidP="00765F24">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 xml:space="preserve">nepřehledná křižovatka u kostela </w:t>
            </w:r>
          </w:p>
          <w:p w14:paraId="70B5FE2E" w14:textId="77777777" w:rsidR="00F62C4F" w:rsidRPr="006070EA" w:rsidRDefault="00F62C4F" w:rsidP="00765F24">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 xml:space="preserve">křižovatka silnic II/331 a III/3319 </w:t>
            </w:r>
          </w:p>
        </w:tc>
        <w:tc>
          <w:tcPr>
            <w:tcW w:w="4427" w:type="dxa"/>
            <w:vAlign w:val="center"/>
          </w:tcPr>
          <w:p w14:paraId="10E5230D" w14:textId="77777777" w:rsidR="00F62C4F" w:rsidRPr="006070EA" w:rsidRDefault="00F62C4F" w:rsidP="00765F24">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 xml:space="preserve">Kostomlaty nad Labem </w:t>
            </w:r>
          </w:p>
        </w:tc>
      </w:tr>
      <w:tr w:rsidR="00F62C4F" w:rsidRPr="006070EA" w14:paraId="3090C866" w14:textId="77777777" w:rsidTr="00752A9E">
        <w:trPr>
          <w:jc w:val="center"/>
        </w:trPr>
        <w:tc>
          <w:tcPr>
            <w:tcW w:w="4427" w:type="dxa"/>
            <w:vAlign w:val="center"/>
          </w:tcPr>
          <w:p w14:paraId="262C51D3" w14:textId="77777777" w:rsidR="00F62C4F" w:rsidRPr="006070EA" w:rsidRDefault="00F62C4F" w:rsidP="00765F24">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 xml:space="preserve">kolizní místa úrovňového křížení železniční trati a silnice </w:t>
            </w:r>
          </w:p>
        </w:tc>
        <w:tc>
          <w:tcPr>
            <w:tcW w:w="4427" w:type="dxa"/>
            <w:vAlign w:val="center"/>
          </w:tcPr>
          <w:p w14:paraId="0D4BD0AA" w14:textId="77777777" w:rsidR="00F62C4F" w:rsidRPr="006070EA" w:rsidRDefault="00F62C4F" w:rsidP="00765F24">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 xml:space="preserve">Kostomlaty nad Labem, Rozkoš </w:t>
            </w:r>
          </w:p>
        </w:tc>
      </w:tr>
      <w:tr w:rsidR="00F62C4F" w:rsidRPr="006070EA" w14:paraId="10B67BFD" w14:textId="77777777" w:rsidTr="00752A9E">
        <w:trPr>
          <w:jc w:val="center"/>
        </w:trPr>
        <w:tc>
          <w:tcPr>
            <w:tcW w:w="4427" w:type="dxa"/>
            <w:vAlign w:val="center"/>
          </w:tcPr>
          <w:p w14:paraId="3D64C533" w14:textId="77777777" w:rsidR="00F62C4F" w:rsidRPr="006070EA" w:rsidRDefault="00F62C4F" w:rsidP="00765F24">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nedostatečně zajištěná pěší prostupnost území včetně propojení sídel a krajiny</w:t>
            </w:r>
          </w:p>
        </w:tc>
        <w:tc>
          <w:tcPr>
            <w:tcW w:w="4427" w:type="dxa"/>
            <w:vAlign w:val="center"/>
          </w:tcPr>
          <w:p w14:paraId="5DEE0EB1" w14:textId="77777777" w:rsidR="00F62C4F" w:rsidRPr="006070EA" w:rsidRDefault="00F62C4F" w:rsidP="00765F24">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 xml:space="preserve">celé území </w:t>
            </w:r>
          </w:p>
        </w:tc>
      </w:tr>
      <w:tr w:rsidR="00F62C4F" w:rsidRPr="006070EA" w14:paraId="46F61A1E" w14:textId="77777777" w:rsidTr="00752A9E">
        <w:trPr>
          <w:jc w:val="center"/>
        </w:trPr>
        <w:tc>
          <w:tcPr>
            <w:tcW w:w="4427" w:type="dxa"/>
            <w:vAlign w:val="center"/>
          </w:tcPr>
          <w:p w14:paraId="43BF4AAA" w14:textId="77777777" w:rsidR="00F62C4F" w:rsidRPr="006070EA" w:rsidRDefault="00F62C4F" w:rsidP="00765F24">
            <w:pPr>
              <w:autoSpaceDE w:val="0"/>
              <w:autoSpaceDN w:val="0"/>
              <w:adjustRightInd w:val="0"/>
              <w:spacing w:after="0" w:line="240" w:lineRule="auto"/>
              <w:rPr>
                <w:rFonts w:asciiTheme="majorHAnsi" w:hAnsiTheme="majorHAnsi" w:cstheme="majorHAnsi"/>
                <w:b/>
                <w:bCs/>
                <w:color w:val="000000"/>
                <w:sz w:val="18"/>
                <w:szCs w:val="18"/>
              </w:rPr>
            </w:pPr>
            <w:r w:rsidRPr="006070EA">
              <w:rPr>
                <w:rFonts w:asciiTheme="majorHAnsi" w:hAnsiTheme="majorHAnsi" w:cstheme="majorHAnsi"/>
                <w:b/>
                <w:bCs/>
                <w:color w:val="000000"/>
                <w:sz w:val="18"/>
                <w:szCs w:val="18"/>
              </w:rPr>
              <w:t xml:space="preserve">technická závada k řešení v ÚP </w:t>
            </w:r>
          </w:p>
        </w:tc>
        <w:tc>
          <w:tcPr>
            <w:tcW w:w="4427" w:type="dxa"/>
            <w:vAlign w:val="center"/>
          </w:tcPr>
          <w:p w14:paraId="1CA0269D" w14:textId="77777777" w:rsidR="00F62C4F" w:rsidRPr="006070EA" w:rsidRDefault="00F62C4F" w:rsidP="00765F24">
            <w:pPr>
              <w:autoSpaceDE w:val="0"/>
              <w:autoSpaceDN w:val="0"/>
              <w:adjustRightInd w:val="0"/>
              <w:spacing w:after="0" w:line="240" w:lineRule="auto"/>
              <w:rPr>
                <w:rFonts w:asciiTheme="majorHAnsi" w:hAnsiTheme="majorHAnsi" w:cstheme="majorHAnsi"/>
                <w:b/>
                <w:bCs/>
                <w:color w:val="000000"/>
                <w:sz w:val="18"/>
                <w:szCs w:val="18"/>
              </w:rPr>
            </w:pPr>
            <w:r w:rsidRPr="006070EA">
              <w:rPr>
                <w:rFonts w:asciiTheme="majorHAnsi" w:hAnsiTheme="majorHAnsi" w:cstheme="majorHAnsi"/>
                <w:b/>
                <w:bCs/>
                <w:color w:val="000000"/>
                <w:sz w:val="18"/>
                <w:szCs w:val="18"/>
              </w:rPr>
              <w:t xml:space="preserve">lokalizace </w:t>
            </w:r>
          </w:p>
        </w:tc>
      </w:tr>
      <w:tr w:rsidR="00F62C4F" w:rsidRPr="006070EA" w14:paraId="1EA85DD0" w14:textId="77777777" w:rsidTr="00752A9E">
        <w:trPr>
          <w:jc w:val="center"/>
        </w:trPr>
        <w:tc>
          <w:tcPr>
            <w:tcW w:w="4427" w:type="dxa"/>
            <w:vAlign w:val="center"/>
          </w:tcPr>
          <w:p w14:paraId="6A54DCDE" w14:textId="77777777" w:rsidR="00F62C4F" w:rsidRPr="006070EA" w:rsidRDefault="00F62C4F" w:rsidP="00765F24">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 xml:space="preserve">absence veřejného vodovodu v malých sídlech </w:t>
            </w:r>
          </w:p>
        </w:tc>
        <w:tc>
          <w:tcPr>
            <w:tcW w:w="4427" w:type="dxa"/>
            <w:vAlign w:val="center"/>
          </w:tcPr>
          <w:p w14:paraId="54AA2709" w14:textId="77777777" w:rsidR="00F62C4F" w:rsidRPr="006070EA" w:rsidRDefault="00F62C4F" w:rsidP="00765F24">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 xml:space="preserve">Lány, Hronětice, Rozkoš, Vápensko </w:t>
            </w:r>
          </w:p>
        </w:tc>
      </w:tr>
      <w:tr w:rsidR="00F62C4F" w:rsidRPr="006070EA" w14:paraId="4CDFB156" w14:textId="77777777" w:rsidTr="00752A9E">
        <w:trPr>
          <w:jc w:val="center"/>
        </w:trPr>
        <w:tc>
          <w:tcPr>
            <w:tcW w:w="4427" w:type="dxa"/>
            <w:vAlign w:val="center"/>
          </w:tcPr>
          <w:p w14:paraId="3C23AA5D" w14:textId="77777777" w:rsidR="00F62C4F" w:rsidRPr="006070EA" w:rsidRDefault="00F62C4F" w:rsidP="00765F24">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 xml:space="preserve">špatná kvalita pitné vody (obyvatelé připojeni na veřejný vodovod se potýkají se špatnou kvalitou vody) – nelze řešit v ÚP </w:t>
            </w:r>
          </w:p>
        </w:tc>
        <w:tc>
          <w:tcPr>
            <w:tcW w:w="4427" w:type="dxa"/>
            <w:vAlign w:val="center"/>
          </w:tcPr>
          <w:p w14:paraId="3F4B754C" w14:textId="77777777" w:rsidR="00F62C4F" w:rsidRPr="006070EA" w:rsidRDefault="00F62C4F" w:rsidP="00765F24">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 xml:space="preserve">celé území </w:t>
            </w:r>
          </w:p>
        </w:tc>
      </w:tr>
      <w:tr w:rsidR="00F62C4F" w:rsidRPr="006070EA" w14:paraId="3EF3F85D" w14:textId="77777777" w:rsidTr="00752A9E">
        <w:trPr>
          <w:jc w:val="center"/>
        </w:trPr>
        <w:tc>
          <w:tcPr>
            <w:tcW w:w="4427" w:type="dxa"/>
            <w:vAlign w:val="center"/>
          </w:tcPr>
          <w:p w14:paraId="3CA30A15" w14:textId="77777777" w:rsidR="00F62C4F" w:rsidRPr="006070EA" w:rsidRDefault="00F62C4F" w:rsidP="00765F24">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 xml:space="preserve">absence veřejné kanalizace a systémů na likvidaci a odstraňování odpadních vod v malých sídlech </w:t>
            </w:r>
          </w:p>
        </w:tc>
        <w:tc>
          <w:tcPr>
            <w:tcW w:w="4427" w:type="dxa"/>
            <w:vAlign w:val="center"/>
          </w:tcPr>
          <w:p w14:paraId="55C6994D" w14:textId="77777777" w:rsidR="00F62C4F" w:rsidRPr="006070EA" w:rsidRDefault="00F62C4F" w:rsidP="00765F24">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 xml:space="preserve">Rozkoš, Vápensko </w:t>
            </w:r>
          </w:p>
        </w:tc>
      </w:tr>
      <w:tr w:rsidR="00F62C4F" w:rsidRPr="006070EA" w14:paraId="6AF9B672" w14:textId="77777777" w:rsidTr="00752A9E">
        <w:trPr>
          <w:jc w:val="center"/>
        </w:trPr>
        <w:tc>
          <w:tcPr>
            <w:tcW w:w="4427" w:type="dxa"/>
            <w:vAlign w:val="center"/>
          </w:tcPr>
          <w:p w14:paraId="308BD603" w14:textId="77777777" w:rsidR="00F62C4F" w:rsidRPr="006070EA" w:rsidRDefault="00F62C4F" w:rsidP="00765F24">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 xml:space="preserve">absence plynovodu v malých sídlech </w:t>
            </w:r>
          </w:p>
        </w:tc>
        <w:tc>
          <w:tcPr>
            <w:tcW w:w="4427" w:type="dxa"/>
            <w:vAlign w:val="center"/>
          </w:tcPr>
          <w:p w14:paraId="7F9DFCD7" w14:textId="77777777" w:rsidR="00F62C4F" w:rsidRPr="006070EA" w:rsidRDefault="00F62C4F" w:rsidP="00765F24">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 xml:space="preserve">celé území vyjma Kostomlat nad Labem </w:t>
            </w:r>
          </w:p>
        </w:tc>
      </w:tr>
      <w:tr w:rsidR="00F62C4F" w:rsidRPr="006070EA" w14:paraId="09F28749" w14:textId="77777777" w:rsidTr="00752A9E">
        <w:trPr>
          <w:jc w:val="center"/>
        </w:trPr>
        <w:tc>
          <w:tcPr>
            <w:tcW w:w="4427" w:type="dxa"/>
            <w:vAlign w:val="center"/>
          </w:tcPr>
          <w:p w14:paraId="08D91473" w14:textId="77777777" w:rsidR="00F62C4F" w:rsidRPr="006070EA" w:rsidRDefault="00F62C4F" w:rsidP="00765F24">
            <w:pPr>
              <w:autoSpaceDE w:val="0"/>
              <w:autoSpaceDN w:val="0"/>
              <w:adjustRightInd w:val="0"/>
              <w:spacing w:after="0" w:line="240" w:lineRule="auto"/>
              <w:rPr>
                <w:rFonts w:asciiTheme="majorHAnsi" w:hAnsiTheme="majorHAnsi" w:cstheme="majorHAnsi"/>
                <w:b/>
                <w:bCs/>
                <w:color w:val="000000"/>
                <w:sz w:val="18"/>
                <w:szCs w:val="18"/>
              </w:rPr>
            </w:pPr>
            <w:r w:rsidRPr="006070EA">
              <w:rPr>
                <w:rFonts w:asciiTheme="majorHAnsi" w:hAnsiTheme="majorHAnsi" w:cstheme="majorHAnsi"/>
                <w:b/>
                <w:bCs/>
                <w:color w:val="000000"/>
                <w:sz w:val="18"/>
                <w:szCs w:val="18"/>
              </w:rPr>
              <w:t xml:space="preserve">přírodní a krajinná závada k řešení v ÚP </w:t>
            </w:r>
          </w:p>
        </w:tc>
        <w:tc>
          <w:tcPr>
            <w:tcW w:w="4427" w:type="dxa"/>
            <w:vAlign w:val="center"/>
          </w:tcPr>
          <w:p w14:paraId="0AF23BF3" w14:textId="77777777" w:rsidR="00F62C4F" w:rsidRPr="006070EA" w:rsidRDefault="00F62C4F" w:rsidP="00765F24">
            <w:pPr>
              <w:autoSpaceDE w:val="0"/>
              <w:autoSpaceDN w:val="0"/>
              <w:adjustRightInd w:val="0"/>
              <w:spacing w:after="0" w:line="240" w:lineRule="auto"/>
              <w:rPr>
                <w:rFonts w:asciiTheme="majorHAnsi" w:hAnsiTheme="majorHAnsi" w:cstheme="majorHAnsi"/>
                <w:b/>
                <w:bCs/>
                <w:color w:val="000000"/>
                <w:sz w:val="18"/>
                <w:szCs w:val="18"/>
              </w:rPr>
            </w:pPr>
            <w:r w:rsidRPr="006070EA">
              <w:rPr>
                <w:rFonts w:asciiTheme="majorHAnsi" w:hAnsiTheme="majorHAnsi" w:cstheme="majorHAnsi"/>
                <w:b/>
                <w:bCs/>
                <w:color w:val="000000"/>
                <w:sz w:val="18"/>
                <w:szCs w:val="18"/>
              </w:rPr>
              <w:t xml:space="preserve">lokalizace </w:t>
            </w:r>
          </w:p>
        </w:tc>
      </w:tr>
      <w:tr w:rsidR="00F62C4F" w:rsidRPr="006070EA" w14:paraId="2430E492" w14:textId="77777777" w:rsidTr="00752A9E">
        <w:trPr>
          <w:jc w:val="center"/>
        </w:trPr>
        <w:tc>
          <w:tcPr>
            <w:tcW w:w="4427" w:type="dxa"/>
            <w:vAlign w:val="center"/>
          </w:tcPr>
          <w:p w14:paraId="383CC33A" w14:textId="77777777" w:rsidR="00F62C4F" w:rsidRPr="006070EA" w:rsidRDefault="00F62C4F" w:rsidP="00765F24">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 xml:space="preserve">zaměření na intenzivní zemědělské hospodaření v krajině a nízký podíl ekologicky stabilních ploch </w:t>
            </w:r>
          </w:p>
        </w:tc>
        <w:tc>
          <w:tcPr>
            <w:tcW w:w="4427" w:type="dxa"/>
            <w:vAlign w:val="center"/>
          </w:tcPr>
          <w:p w14:paraId="0E1A5B65" w14:textId="77777777" w:rsidR="00F62C4F" w:rsidRPr="006070EA" w:rsidRDefault="00F62C4F" w:rsidP="00765F24">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 xml:space="preserve">celé území </w:t>
            </w:r>
          </w:p>
        </w:tc>
      </w:tr>
      <w:tr w:rsidR="00F62C4F" w:rsidRPr="006070EA" w14:paraId="0A39CBD3" w14:textId="77777777" w:rsidTr="00752A9E">
        <w:trPr>
          <w:jc w:val="center"/>
        </w:trPr>
        <w:tc>
          <w:tcPr>
            <w:tcW w:w="4427" w:type="dxa"/>
            <w:vAlign w:val="center"/>
          </w:tcPr>
          <w:p w14:paraId="02BD7555" w14:textId="77777777" w:rsidR="00F62C4F" w:rsidRPr="006070EA" w:rsidRDefault="00F62C4F" w:rsidP="00765F24">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 xml:space="preserve">nezbytnost koordinace vymezení prvků ÚSES se sousedními obcemi </w:t>
            </w:r>
          </w:p>
        </w:tc>
        <w:tc>
          <w:tcPr>
            <w:tcW w:w="4427" w:type="dxa"/>
            <w:vAlign w:val="center"/>
          </w:tcPr>
          <w:p w14:paraId="394AEB83" w14:textId="77777777" w:rsidR="00F62C4F" w:rsidRPr="006070EA" w:rsidRDefault="00F62C4F" w:rsidP="00765F24">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 xml:space="preserve">celé území </w:t>
            </w:r>
          </w:p>
        </w:tc>
      </w:tr>
    </w:tbl>
    <w:p w14:paraId="77BE98D0" w14:textId="4ED5ADA6" w:rsidR="00706D4E" w:rsidRPr="006070EA" w:rsidRDefault="00F62C4F" w:rsidP="00F62C4F">
      <w:pPr>
        <w:pStyle w:val="Mra-Vyjden"/>
        <w:rPr>
          <w:rFonts w:asciiTheme="majorHAnsi" w:hAnsiTheme="majorHAnsi" w:cstheme="majorHAnsi"/>
          <w:color w:val="auto"/>
        </w:rPr>
      </w:pPr>
      <w:r w:rsidRPr="006070EA">
        <w:rPr>
          <w:rFonts w:asciiTheme="majorHAnsi" w:hAnsiTheme="majorHAnsi" w:cstheme="majorHAnsi"/>
          <w:color w:val="auto"/>
        </w:rPr>
        <w:t>Všechny výše uvedené závady byly řešeny v rámci příslušných koncepcí ÚP Kostomlaty nad Labem. Pro jejich odstranění byla navržena konkrétní opatření (např. formou koridorů dopravní infrastruktury, v rámci stanoveného plošného uspořádání území</w:t>
      </w:r>
      <w:r w:rsidR="008B684A" w:rsidRPr="006070EA">
        <w:rPr>
          <w:rFonts w:asciiTheme="majorHAnsi" w:hAnsiTheme="majorHAnsi" w:cstheme="majorHAnsi"/>
          <w:color w:val="auto"/>
        </w:rPr>
        <w:t xml:space="preserve"> atp.) případně obecné zásady, podmínky a požadavky pro uplatňování ÚP.</w:t>
      </w:r>
    </w:p>
    <w:p w14:paraId="30CE27F9" w14:textId="1F339574" w:rsidR="00706D4E" w:rsidRPr="006070EA" w:rsidRDefault="00706D4E" w:rsidP="00706D4E">
      <w:pPr>
        <w:keepNext/>
        <w:spacing w:before="120" w:after="120" w:line="240" w:lineRule="auto"/>
        <w:rPr>
          <w:rFonts w:asciiTheme="majorHAnsi" w:hAnsiTheme="majorHAnsi" w:cstheme="majorHAnsi"/>
          <w:b/>
          <w:i/>
          <w:sz w:val="20"/>
          <w:szCs w:val="20"/>
          <w:lang w:eastAsia="ar-SA"/>
        </w:rPr>
      </w:pPr>
      <w:r w:rsidRPr="006070EA">
        <w:rPr>
          <w:rFonts w:asciiTheme="majorHAnsi" w:hAnsiTheme="majorHAnsi" w:cstheme="majorHAnsi"/>
          <w:b/>
          <w:i/>
          <w:sz w:val="20"/>
          <w:szCs w:val="20"/>
          <w:lang w:eastAsia="ar-SA"/>
        </w:rPr>
        <w:t>Střety v</w:t>
      </w:r>
      <w:r w:rsidR="008B684A" w:rsidRPr="006070EA">
        <w:rPr>
          <w:rFonts w:asciiTheme="majorHAnsi" w:hAnsiTheme="majorHAnsi" w:cstheme="majorHAnsi"/>
          <w:b/>
          <w:i/>
          <w:sz w:val="20"/>
          <w:szCs w:val="20"/>
          <w:lang w:eastAsia="ar-SA"/>
        </w:rPr>
        <w:t> </w:t>
      </w:r>
      <w:r w:rsidRPr="006070EA">
        <w:rPr>
          <w:rFonts w:asciiTheme="majorHAnsi" w:hAnsiTheme="majorHAnsi" w:cstheme="majorHAnsi"/>
          <w:b/>
          <w:i/>
          <w:sz w:val="20"/>
          <w:szCs w:val="20"/>
          <w:lang w:eastAsia="ar-SA"/>
        </w:rPr>
        <w:t>území</w:t>
      </w:r>
    </w:p>
    <w:tbl>
      <w:tblPr>
        <w:tblW w:w="0" w:type="auto"/>
        <w:jc w:val="center"/>
        <w:tblBorders>
          <w:insideH w:val="single" w:sz="4" w:space="0" w:color="auto"/>
          <w:insideV w:val="single" w:sz="4" w:space="0" w:color="auto"/>
        </w:tblBorders>
        <w:tblLayout w:type="fixed"/>
        <w:tblLook w:val="0000" w:firstRow="0" w:lastRow="0" w:firstColumn="0" w:lastColumn="0" w:noHBand="0" w:noVBand="0"/>
      </w:tblPr>
      <w:tblGrid>
        <w:gridCol w:w="5500"/>
        <w:gridCol w:w="3230"/>
      </w:tblGrid>
      <w:tr w:rsidR="008B684A" w:rsidRPr="006070EA" w14:paraId="0A8EF8AF" w14:textId="77777777" w:rsidTr="00752A9E">
        <w:trPr>
          <w:trHeight w:val="110"/>
          <w:jc w:val="center"/>
        </w:trPr>
        <w:tc>
          <w:tcPr>
            <w:tcW w:w="5500" w:type="dxa"/>
          </w:tcPr>
          <w:p w14:paraId="0A77D096" w14:textId="77777777" w:rsidR="008B684A" w:rsidRPr="006070EA" w:rsidRDefault="008B684A" w:rsidP="00765F24">
            <w:pPr>
              <w:autoSpaceDE w:val="0"/>
              <w:autoSpaceDN w:val="0"/>
              <w:adjustRightInd w:val="0"/>
              <w:spacing w:after="0" w:line="240" w:lineRule="auto"/>
              <w:rPr>
                <w:rFonts w:asciiTheme="majorHAnsi" w:hAnsiTheme="majorHAnsi" w:cstheme="majorHAnsi"/>
                <w:b/>
                <w:bCs/>
                <w:color w:val="000000"/>
                <w:sz w:val="18"/>
                <w:szCs w:val="18"/>
              </w:rPr>
            </w:pPr>
            <w:r w:rsidRPr="006070EA">
              <w:rPr>
                <w:rFonts w:asciiTheme="majorHAnsi" w:hAnsiTheme="majorHAnsi" w:cstheme="majorHAnsi"/>
                <w:b/>
                <w:bCs/>
                <w:color w:val="000000"/>
                <w:sz w:val="18"/>
                <w:szCs w:val="18"/>
              </w:rPr>
              <w:t xml:space="preserve">střet záměru s limitem využití území k řešení v ÚP </w:t>
            </w:r>
          </w:p>
        </w:tc>
        <w:tc>
          <w:tcPr>
            <w:tcW w:w="3230" w:type="dxa"/>
          </w:tcPr>
          <w:p w14:paraId="3189B26E" w14:textId="77777777" w:rsidR="008B684A" w:rsidRPr="006070EA" w:rsidRDefault="008B684A" w:rsidP="00765F24">
            <w:pPr>
              <w:autoSpaceDE w:val="0"/>
              <w:autoSpaceDN w:val="0"/>
              <w:adjustRightInd w:val="0"/>
              <w:spacing w:after="0" w:line="240" w:lineRule="auto"/>
              <w:rPr>
                <w:rFonts w:asciiTheme="majorHAnsi" w:hAnsiTheme="majorHAnsi" w:cstheme="majorHAnsi"/>
                <w:b/>
                <w:bCs/>
                <w:color w:val="000000"/>
                <w:sz w:val="18"/>
                <w:szCs w:val="18"/>
              </w:rPr>
            </w:pPr>
            <w:r w:rsidRPr="006070EA">
              <w:rPr>
                <w:rFonts w:asciiTheme="majorHAnsi" w:hAnsiTheme="majorHAnsi" w:cstheme="majorHAnsi"/>
                <w:b/>
                <w:bCs/>
                <w:color w:val="000000"/>
                <w:sz w:val="18"/>
                <w:szCs w:val="18"/>
              </w:rPr>
              <w:t xml:space="preserve">lokalizace </w:t>
            </w:r>
          </w:p>
        </w:tc>
      </w:tr>
      <w:tr w:rsidR="008B684A" w:rsidRPr="006070EA" w14:paraId="7B759F57" w14:textId="77777777" w:rsidTr="00752A9E">
        <w:trPr>
          <w:trHeight w:val="110"/>
          <w:jc w:val="center"/>
        </w:trPr>
        <w:tc>
          <w:tcPr>
            <w:tcW w:w="5500" w:type="dxa"/>
          </w:tcPr>
          <w:p w14:paraId="29E7196F" w14:textId="77777777" w:rsidR="008B684A" w:rsidRPr="006070EA" w:rsidRDefault="008B684A" w:rsidP="00765F24">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 xml:space="preserve">střet vymezení zastavitelné plochy v záplavovém území </w:t>
            </w:r>
          </w:p>
        </w:tc>
        <w:tc>
          <w:tcPr>
            <w:tcW w:w="3230" w:type="dxa"/>
          </w:tcPr>
          <w:p w14:paraId="21C77238" w14:textId="77777777" w:rsidR="008B684A" w:rsidRPr="006070EA" w:rsidRDefault="008B684A" w:rsidP="00765F24">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 xml:space="preserve">Kostomlaty nad Labem </w:t>
            </w:r>
          </w:p>
        </w:tc>
      </w:tr>
      <w:tr w:rsidR="008B684A" w:rsidRPr="006070EA" w14:paraId="786E4497" w14:textId="77777777" w:rsidTr="00752A9E">
        <w:trPr>
          <w:trHeight w:val="265"/>
          <w:jc w:val="center"/>
        </w:trPr>
        <w:tc>
          <w:tcPr>
            <w:tcW w:w="5500" w:type="dxa"/>
          </w:tcPr>
          <w:p w14:paraId="6A6EB401" w14:textId="77777777" w:rsidR="008B684A" w:rsidRPr="006070EA" w:rsidRDefault="008B684A" w:rsidP="00765F24">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 xml:space="preserve">střet záměru územní zastavovací studie s půdami I. a II. třídy ochrany ZPF </w:t>
            </w:r>
          </w:p>
        </w:tc>
        <w:tc>
          <w:tcPr>
            <w:tcW w:w="3230" w:type="dxa"/>
          </w:tcPr>
          <w:p w14:paraId="33FC7DAE" w14:textId="77777777" w:rsidR="008B684A" w:rsidRPr="006070EA" w:rsidRDefault="008B684A" w:rsidP="00765F24">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 xml:space="preserve">Kostomlaty nad Labem </w:t>
            </w:r>
          </w:p>
        </w:tc>
      </w:tr>
      <w:tr w:rsidR="008B684A" w:rsidRPr="006070EA" w14:paraId="6BD3F27A" w14:textId="77777777" w:rsidTr="00752A9E">
        <w:trPr>
          <w:trHeight w:val="110"/>
          <w:jc w:val="center"/>
        </w:trPr>
        <w:tc>
          <w:tcPr>
            <w:tcW w:w="5500" w:type="dxa"/>
          </w:tcPr>
          <w:p w14:paraId="394A4087" w14:textId="77777777" w:rsidR="008B684A" w:rsidRPr="006070EA" w:rsidRDefault="008B684A" w:rsidP="00765F24">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lastRenderedPageBreak/>
              <w:t xml:space="preserve">střet záměru s jiným záměrem k řešení v ÚP </w:t>
            </w:r>
          </w:p>
        </w:tc>
        <w:tc>
          <w:tcPr>
            <w:tcW w:w="3230" w:type="dxa"/>
          </w:tcPr>
          <w:p w14:paraId="709A55A1" w14:textId="77777777" w:rsidR="008B684A" w:rsidRPr="006070EA" w:rsidRDefault="008B684A" w:rsidP="00765F24">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 xml:space="preserve">lokalizace </w:t>
            </w:r>
          </w:p>
        </w:tc>
      </w:tr>
      <w:tr w:rsidR="008B684A" w:rsidRPr="006070EA" w14:paraId="2605D2C5" w14:textId="77777777" w:rsidTr="00752A9E">
        <w:trPr>
          <w:trHeight w:val="110"/>
          <w:jc w:val="center"/>
        </w:trPr>
        <w:tc>
          <w:tcPr>
            <w:tcW w:w="5500" w:type="dxa"/>
          </w:tcPr>
          <w:p w14:paraId="3D0A2F3A" w14:textId="77777777" w:rsidR="008B684A" w:rsidRPr="006070EA" w:rsidRDefault="008B684A" w:rsidP="00765F24">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 xml:space="preserve">střet zastavitelné plochy s lokálním skladebním prvkem ÚSES </w:t>
            </w:r>
          </w:p>
        </w:tc>
        <w:tc>
          <w:tcPr>
            <w:tcW w:w="3230" w:type="dxa"/>
          </w:tcPr>
          <w:p w14:paraId="4AC2961E" w14:textId="77777777" w:rsidR="008B684A" w:rsidRPr="006070EA" w:rsidRDefault="008B684A" w:rsidP="00765F24">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 xml:space="preserve">Kostomlaty nad Labem </w:t>
            </w:r>
          </w:p>
        </w:tc>
      </w:tr>
    </w:tbl>
    <w:p w14:paraId="2B063890" w14:textId="6863B383" w:rsidR="008B684A" w:rsidRPr="006070EA" w:rsidRDefault="008B684A" w:rsidP="008B684A">
      <w:pPr>
        <w:pStyle w:val="Mra-Vyjden"/>
        <w:rPr>
          <w:rFonts w:asciiTheme="majorHAnsi" w:hAnsiTheme="majorHAnsi" w:cstheme="majorHAnsi"/>
          <w:color w:val="auto"/>
        </w:rPr>
      </w:pPr>
      <w:r w:rsidRPr="006070EA">
        <w:rPr>
          <w:rFonts w:asciiTheme="majorHAnsi" w:hAnsiTheme="majorHAnsi" w:cstheme="majorHAnsi"/>
          <w:color w:val="auto"/>
        </w:rPr>
        <w:t xml:space="preserve">Všechny výše uvedené střety byly řešeny v rámci ÚP Kostomlaty nad Labem. Nové zastavitelné plochy jsou vymezeny </w:t>
      </w:r>
      <w:r w:rsidR="00A13D9A" w:rsidRPr="006070EA">
        <w:rPr>
          <w:rFonts w:asciiTheme="majorHAnsi" w:hAnsiTheme="majorHAnsi" w:cstheme="majorHAnsi"/>
          <w:color w:val="auto"/>
        </w:rPr>
        <w:t>výhradně</w:t>
      </w:r>
      <w:r w:rsidRPr="006070EA">
        <w:rPr>
          <w:rFonts w:asciiTheme="majorHAnsi" w:hAnsiTheme="majorHAnsi" w:cstheme="majorHAnsi"/>
          <w:color w:val="auto"/>
        </w:rPr>
        <w:t xml:space="preserve"> mimo kontakt se stanoveným záplavovým územím a jeho aktivní zónou. </w:t>
      </w:r>
      <w:r w:rsidR="00F90B15" w:rsidRPr="006070EA">
        <w:rPr>
          <w:rFonts w:asciiTheme="majorHAnsi" w:hAnsiTheme="majorHAnsi" w:cstheme="majorHAnsi"/>
          <w:color w:val="auto"/>
        </w:rPr>
        <w:t xml:space="preserve">Vzhledem k dominantnímu zastoupení </w:t>
      </w:r>
      <w:r w:rsidRPr="006070EA">
        <w:rPr>
          <w:rFonts w:asciiTheme="majorHAnsi" w:hAnsiTheme="majorHAnsi" w:cstheme="majorHAnsi"/>
          <w:color w:val="auto"/>
        </w:rPr>
        <w:t>pozemky ZPF, zařazen</w:t>
      </w:r>
      <w:r w:rsidR="00F90B15" w:rsidRPr="006070EA">
        <w:rPr>
          <w:rFonts w:asciiTheme="majorHAnsi" w:hAnsiTheme="majorHAnsi" w:cstheme="majorHAnsi"/>
          <w:color w:val="auto"/>
        </w:rPr>
        <w:t>ých</w:t>
      </w:r>
      <w:r w:rsidRPr="006070EA">
        <w:rPr>
          <w:rFonts w:asciiTheme="majorHAnsi" w:hAnsiTheme="majorHAnsi" w:cstheme="majorHAnsi"/>
          <w:color w:val="auto"/>
        </w:rPr>
        <w:t xml:space="preserve"> do I. a II. třídy ochrany ZPF</w:t>
      </w:r>
      <w:r w:rsidR="00F90B15" w:rsidRPr="006070EA">
        <w:rPr>
          <w:rFonts w:asciiTheme="majorHAnsi" w:hAnsiTheme="majorHAnsi" w:cstheme="majorHAnsi"/>
          <w:color w:val="auto"/>
        </w:rPr>
        <w:t>, v přímé vazbě na zastavěné území sídel nebylo možné vymezit zastavitelné plochy bez dotčení zvláště chráněné zemědělské půdy</w:t>
      </w:r>
      <w:r w:rsidRPr="006070EA">
        <w:rPr>
          <w:rFonts w:asciiTheme="majorHAnsi" w:hAnsiTheme="majorHAnsi" w:cstheme="majorHAnsi"/>
          <w:color w:val="auto"/>
        </w:rPr>
        <w:t xml:space="preserve">, podrobněji viz kapitola 12.1 tohoto Odůvodnění. </w:t>
      </w:r>
      <w:r w:rsidR="00752A9E" w:rsidRPr="006070EA">
        <w:rPr>
          <w:rFonts w:asciiTheme="majorHAnsi" w:hAnsiTheme="majorHAnsi" w:cstheme="majorHAnsi"/>
          <w:color w:val="auto"/>
        </w:rPr>
        <w:t>Zastavitelné plochy jsou vymezeny výhradně mimo vymezené skladebné části ÚSES.</w:t>
      </w:r>
    </w:p>
    <w:p w14:paraId="02624D5D" w14:textId="0C77B9C7" w:rsidR="00706D4E" w:rsidRPr="006070EA" w:rsidRDefault="00706D4E" w:rsidP="00B64E3A">
      <w:pPr>
        <w:keepNext/>
        <w:spacing w:before="120" w:after="120" w:line="240" w:lineRule="auto"/>
        <w:rPr>
          <w:rFonts w:asciiTheme="majorHAnsi" w:hAnsiTheme="majorHAnsi" w:cstheme="majorHAnsi"/>
          <w:b/>
          <w:i/>
          <w:sz w:val="20"/>
          <w:szCs w:val="20"/>
          <w:lang w:eastAsia="ar-SA"/>
        </w:rPr>
      </w:pPr>
      <w:r w:rsidRPr="006070EA">
        <w:rPr>
          <w:rFonts w:asciiTheme="majorHAnsi" w:hAnsiTheme="majorHAnsi" w:cstheme="majorHAnsi"/>
          <w:b/>
          <w:i/>
          <w:sz w:val="20"/>
          <w:szCs w:val="20"/>
          <w:lang w:eastAsia="ar-SA"/>
        </w:rPr>
        <w:t>Rizika a ohrožení</w:t>
      </w:r>
    </w:p>
    <w:tbl>
      <w:tblPr>
        <w:tblW w:w="0" w:type="auto"/>
        <w:jc w:val="center"/>
        <w:tblBorders>
          <w:insideH w:val="single" w:sz="4" w:space="0" w:color="auto"/>
          <w:insideV w:val="single" w:sz="4" w:space="0" w:color="auto"/>
        </w:tblBorders>
        <w:tblLayout w:type="fixed"/>
        <w:tblLook w:val="0000" w:firstRow="0" w:lastRow="0" w:firstColumn="0" w:lastColumn="0" w:noHBand="0" w:noVBand="0"/>
      </w:tblPr>
      <w:tblGrid>
        <w:gridCol w:w="5771"/>
        <w:gridCol w:w="2367"/>
      </w:tblGrid>
      <w:tr w:rsidR="00706D4E" w:rsidRPr="006070EA" w14:paraId="10611A29" w14:textId="77777777" w:rsidTr="00752A9E">
        <w:trPr>
          <w:trHeight w:val="110"/>
          <w:jc w:val="center"/>
        </w:trPr>
        <w:tc>
          <w:tcPr>
            <w:tcW w:w="5771" w:type="dxa"/>
          </w:tcPr>
          <w:p w14:paraId="615FE731" w14:textId="77777777" w:rsidR="00706D4E" w:rsidRPr="006070EA" w:rsidRDefault="00706D4E" w:rsidP="00B64E3A">
            <w:pPr>
              <w:keepNext/>
              <w:autoSpaceDE w:val="0"/>
              <w:autoSpaceDN w:val="0"/>
              <w:adjustRightInd w:val="0"/>
              <w:spacing w:after="0" w:line="240" w:lineRule="auto"/>
              <w:rPr>
                <w:rFonts w:asciiTheme="majorHAnsi" w:hAnsiTheme="majorHAnsi" w:cstheme="majorHAnsi"/>
                <w:b/>
                <w:bCs/>
                <w:color w:val="000000"/>
                <w:sz w:val="18"/>
                <w:szCs w:val="18"/>
              </w:rPr>
            </w:pPr>
            <w:r w:rsidRPr="006070EA">
              <w:rPr>
                <w:rFonts w:asciiTheme="majorHAnsi" w:hAnsiTheme="majorHAnsi" w:cstheme="majorHAnsi"/>
                <w:b/>
                <w:bCs/>
                <w:color w:val="000000"/>
                <w:sz w:val="18"/>
                <w:szCs w:val="18"/>
              </w:rPr>
              <w:t xml:space="preserve">rizika a ohrožení k řešení v ÚP </w:t>
            </w:r>
          </w:p>
        </w:tc>
        <w:tc>
          <w:tcPr>
            <w:tcW w:w="2367" w:type="dxa"/>
          </w:tcPr>
          <w:p w14:paraId="37353C8F" w14:textId="77777777" w:rsidR="00706D4E" w:rsidRPr="006070EA" w:rsidRDefault="00706D4E" w:rsidP="00B64E3A">
            <w:pPr>
              <w:keepNext/>
              <w:autoSpaceDE w:val="0"/>
              <w:autoSpaceDN w:val="0"/>
              <w:adjustRightInd w:val="0"/>
              <w:spacing w:after="0" w:line="240" w:lineRule="auto"/>
              <w:rPr>
                <w:rFonts w:asciiTheme="majorHAnsi" w:hAnsiTheme="majorHAnsi" w:cstheme="majorHAnsi"/>
                <w:b/>
                <w:bCs/>
                <w:color w:val="000000"/>
                <w:sz w:val="18"/>
                <w:szCs w:val="18"/>
              </w:rPr>
            </w:pPr>
            <w:r w:rsidRPr="006070EA">
              <w:rPr>
                <w:rFonts w:asciiTheme="majorHAnsi" w:hAnsiTheme="majorHAnsi" w:cstheme="majorHAnsi"/>
                <w:b/>
                <w:bCs/>
                <w:color w:val="000000"/>
                <w:sz w:val="18"/>
                <w:szCs w:val="18"/>
              </w:rPr>
              <w:t xml:space="preserve">lokalizace </w:t>
            </w:r>
          </w:p>
        </w:tc>
      </w:tr>
      <w:tr w:rsidR="00706D4E" w:rsidRPr="006070EA" w14:paraId="5F5D0FEE" w14:textId="77777777" w:rsidTr="00752A9E">
        <w:trPr>
          <w:trHeight w:val="265"/>
          <w:jc w:val="center"/>
        </w:trPr>
        <w:tc>
          <w:tcPr>
            <w:tcW w:w="5771" w:type="dxa"/>
          </w:tcPr>
          <w:p w14:paraId="7835530F" w14:textId="77777777" w:rsidR="00706D4E" w:rsidRPr="006070EA" w:rsidRDefault="00706D4E" w:rsidP="00706D4E">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 xml:space="preserve">zastavěné území a objekty k bydlení dotčené záplavovým územím a aktivní zónou (Labe, Vlkava) </w:t>
            </w:r>
          </w:p>
        </w:tc>
        <w:tc>
          <w:tcPr>
            <w:tcW w:w="2367" w:type="dxa"/>
          </w:tcPr>
          <w:p w14:paraId="30C0612F" w14:textId="77777777" w:rsidR="00706D4E" w:rsidRPr="006070EA" w:rsidRDefault="00706D4E" w:rsidP="00706D4E">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 xml:space="preserve">Kostomlaty nad Labem </w:t>
            </w:r>
          </w:p>
        </w:tc>
      </w:tr>
    </w:tbl>
    <w:p w14:paraId="4D49E82E" w14:textId="00EDADF9" w:rsidR="00706D4E" w:rsidRPr="006070EA" w:rsidRDefault="00752A9E" w:rsidP="00752A9E">
      <w:pPr>
        <w:pStyle w:val="Mra-Vyjden"/>
        <w:rPr>
          <w:rFonts w:asciiTheme="majorHAnsi" w:hAnsiTheme="majorHAnsi" w:cstheme="majorHAnsi"/>
          <w:color w:val="auto"/>
        </w:rPr>
      </w:pPr>
      <w:r w:rsidRPr="006070EA">
        <w:rPr>
          <w:rFonts w:asciiTheme="majorHAnsi" w:hAnsiTheme="majorHAnsi" w:cstheme="majorHAnsi"/>
          <w:color w:val="auto"/>
        </w:rPr>
        <w:t>Územní plán vytváří podmínky pro eliminaci ohrožení zastavěného území záplavami, a to zejména v rámci stanovených podmínek pro využití jednotlivých ploch s rozdílným způsobem využití, vymezených v rozsahu záplavového území Q</w:t>
      </w:r>
      <w:r w:rsidRPr="006070EA">
        <w:rPr>
          <w:rFonts w:asciiTheme="majorHAnsi" w:hAnsiTheme="majorHAnsi" w:cstheme="majorHAnsi"/>
          <w:color w:val="auto"/>
          <w:vertAlign w:val="subscript"/>
        </w:rPr>
        <w:t>100</w:t>
      </w:r>
      <w:r w:rsidRPr="006070EA">
        <w:rPr>
          <w:rFonts w:asciiTheme="majorHAnsi" w:hAnsiTheme="majorHAnsi" w:cstheme="majorHAnsi"/>
          <w:color w:val="auto"/>
        </w:rPr>
        <w:t xml:space="preserve"> a jeho aktivní zóny, přičemž jako podmíněně přípustné využití těchto ploch jsou umožněny „stavby a opatření nestavební povahy ke snižování ohrožení území živelnými nebo jinými pohromami za podmínky, že nebude narušeno a omezeno hlavní využití (zejm. protipovodňová ochrana území).“</w:t>
      </w:r>
    </w:p>
    <w:p w14:paraId="004E6DF4" w14:textId="784E95CF" w:rsidR="00706D4E" w:rsidRPr="006070EA" w:rsidRDefault="00706D4E" w:rsidP="00706D4E">
      <w:pPr>
        <w:keepNext/>
        <w:spacing w:before="120" w:after="120" w:line="240" w:lineRule="auto"/>
        <w:rPr>
          <w:rFonts w:asciiTheme="majorHAnsi" w:hAnsiTheme="majorHAnsi" w:cstheme="majorHAnsi"/>
          <w:b/>
          <w:i/>
          <w:sz w:val="20"/>
          <w:szCs w:val="20"/>
          <w:lang w:eastAsia="ar-SA"/>
        </w:rPr>
      </w:pPr>
      <w:r w:rsidRPr="006070EA">
        <w:rPr>
          <w:rFonts w:asciiTheme="majorHAnsi" w:hAnsiTheme="majorHAnsi" w:cstheme="majorHAnsi"/>
          <w:b/>
          <w:i/>
          <w:sz w:val="20"/>
          <w:szCs w:val="20"/>
          <w:lang w:eastAsia="ar-SA"/>
        </w:rPr>
        <w:t>Záměry k prověření v územním plánu</w:t>
      </w:r>
    </w:p>
    <w:tbl>
      <w:tblPr>
        <w:tblW w:w="0" w:type="auto"/>
        <w:jc w:val="center"/>
        <w:tblBorders>
          <w:insideH w:val="single" w:sz="4" w:space="0" w:color="auto"/>
          <w:insideV w:val="single" w:sz="4" w:space="0" w:color="auto"/>
        </w:tblBorders>
        <w:tblLayout w:type="fixed"/>
        <w:tblLook w:val="0000" w:firstRow="0" w:lastRow="0" w:firstColumn="0" w:lastColumn="0" w:noHBand="0" w:noVBand="0"/>
      </w:tblPr>
      <w:tblGrid>
        <w:gridCol w:w="8233"/>
      </w:tblGrid>
      <w:tr w:rsidR="00706D4E" w:rsidRPr="006070EA" w14:paraId="3CB8764E" w14:textId="77777777" w:rsidTr="004F1641">
        <w:trPr>
          <w:trHeight w:val="110"/>
          <w:jc w:val="center"/>
        </w:trPr>
        <w:tc>
          <w:tcPr>
            <w:tcW w:w="8233" w:type="dxa"/>
          </w:tcPr>
          <w:p w14:paraId="7B851D0D" w14:textId="77777777" w:rsidR="00706D4E" w:rsidRPr="006070EA" w:rsidRDefault="00706D4E" w:rsidP="00706D4E">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 xml:space="preserve">Lávka pro pěší a cyklisty přes Labe mezi Kostomlaty nad Labem a Hradištkem </w:t>
            </w:r>
          </w:p>
        </w:tc>
      </w:tr>
      <w:tr w:rsidR="00706D4E" w:rsidRPr="006070EA" w14:paraId="7E5DCD27" w14:textId="77777777" w:rsidTr="004F1641">
        <w:trPr>
          <w:trHeight w:val="110"/>
          <w:jc w:val="center"/>
        </w:trPr>
        <w:tc>
          <w:tcPr>
            <w:tcW w:w="8233" w:type="dxa"/>
          </w:tcPr>
          <w:p w14:paraId="0B9F6E79" w14:textId="77777777" w:rsidR="00706D4E" w:rsidRPr="006070EA" w:rsidRDefault="00706D4E" w:rsidP="00706D4E">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 xml:space="preserve">Síť cyklostezek v návaznosti na koncepci cyklodopravy Středočeského kraje </w:t>
            </w:r>
          </w:p>
        </w:tc>
      </w:tr>
      <w:tr w:rsidR="00706D4E" w:rsidRPr="006070EA" w14:paraId="27CEBD97" w14:textId="77777777" w:rsidTr="004F1641">
        <w:trPr>
          <w:trHeight w:val="110"/>
          <w:jc w:val="center"/>
        </w:trPr>
        <w:tc>
          <w:tcPr>
            <w:tcW w:w="8233" w:type="dxa"/>
          </w:tcPr>
          <w:p w14:paraId="6F945005" w14:textId="77777777" w:rsidR="00706D4E" w:rsidRPr="006070EA" w:rsidRDefault="00706D4E" w:rsidP="00706D4E">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 xml:space="preserve">Regulační a zastavovací studie na rodinnou bytovou zástavbu </w:t>
            </w:r>
          </w:p>
        </w:tc>
      </w:tr>
      <w:tr w:rsidR="00706D4E" w:rsidRPr="006070EA" w14:paraId="1BDDB092" w14:textId="77777777" w:rsidTr="004F1641">
        <w:trPr>
          <w:trHeight w:val="110"/>
          <w:jc w:val="center"/>
        </w:trPr>
        <w:tc>
          <w:tcPr>
            <w:tcW w:w="8233" w:type="dxa"/>
          </w:tcPr>
          <w:p w14:paraId="414C0161" w14:textId="77777777" w:rsidR="00706D4E" w:rsidRPr="006070EA" w:rsidRDefault="00706D4E" w:rsidP="00706D4E">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 xml:space="preserve">Rekonstrukce lávky přes potok Vlkava v Kostomlatech </w:t>
            </w:r>
          </w:p>
        </w:tc>
      </w:tr>
      <w:tr w:rsidR="00706D4E" w:rsidRPr="006070EA" w14:paraId="75BB8135" w14:textId="77777777" w:rsidTr="004F1641">
        <w:trPr>
          <w:trHeight w:val="110"/>
          <w:jc w:val="center"/>
        </w:trPr>
        <w:tc>
          <w:tcPr>
            <w:tcW w:w="8233" w:type="dxa"/>
          </w:tcPr>
          <w:p w14:paraId="22CB8BB6" w14:textId="77777777" w:rsidR="00706D4E" w:rsidRPr="006070EA" w:rsidRDefault="00706D4E" w:rsidP="00706D4E">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 xml:space="preserve">Rekonstrukce areálu školního hřiště Kostomlaty nad Labem </w:t>
            </w:r>
          </w:p>
        </w:tc>
      </w:tr>
      <w:tr w:rsidR="00706D4E" w:rsidRPr="006070EA" w14:paraId="291805B8" w14:textId="77777777" w:rsidTr="004F1641">
        <w:trPr>
          <w:trHeight w:val="110"/>
          <w:jc w:val="center"/>
        </w:trPr>
        <w:tc>
          <w:tcPr>
            <w:tcW w:w="8233" w:type="dxa"/>
          </w:tcPr>
          <w:p w14:paraId="3558C205" w14:textId="77777777" w:rsidR="00706D4E" w:rsidRPr="006070EA" w:rsidRDefault="00706D4E" w:rsidP="00706D4E">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 xml:space="preserve">Splašková kanalizace Vápensko a Rozkoš </w:t>
            </w:r>
          </w:p>
        </w:tc>
      </w:tr>
      <w:tr w:rsidR="00706D4E" w:rsidRPr="006070EA" w14:paraId="4C9E3EF3" w14:textId="77777777" w:rsidTr="004F1641">
        <w:trPr>
          <w:trHeight w:val="110"/>
          <w:jc w:val="center"/>
        </w:trPr>
        <w:tc>
          <w:tcPr>
            <w:tcW w:w="8233" w:type="dxa"/>
          </w:tcPr>
          <w:p w14:paraId="18C159C9" w14:textId="77777777" w:rsidR="00706D4E" w:rsidRPr="006070EA" w:rsidRDefault="00706D4E" w:rsidP="00706D4E">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 xml:space="preserve">Vodovod pro veřejnou potřebu Lány, Hronětice </w:t>
            </w:r>
          </w:p>
        </w:tc>
      </w:tr>
      <w:tr w:rsidR="00706D4E" w:rsidRPr="006070EA" w14:paraId="0802CA5F" w14:textId="77777777" w:rsidTr="004F1641">
        <w:trPr>
          <w:trHeight w:val="110"/>
          <w:jc w:val="center"/>
        </w:trPr>
        <w:tc>
          <w:tcPr>
            <w:tcW w:w="8233" w:type="dxa"/>
          </w:tcPr>
          <w:p w14:paraId="6DE1BC54" w14:textId="77777777" w:rsidR="00706D4E" w:rsidRPr="006070EA" w:rsidRDefault="00706D4E" w:rsidP="00706D4E">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 xml:space="preserve">Plynofikace území obce </w:t>
            </w:r>
          </w:p>
        </w:tc>
      </w:tr>
      <w:tr w:rsidR="00706D4E" w:rsidRPr="006070EA" w14:paraId="0163B89F" w14:textId="77777777" w:rsidTr="004F1641">
        <w:trPr>
          <w:trHeight w:val="110"/>
          <w:jc w:val="center"/>
        </w:trPr>
        <w:tc>
          <w:tcPr>
            <w:tcW w:w="8233" w:type="dxa"/>
          </w:tcPr>
          <w:p w14:paraId="6E1A48B2" w14:textId="77777777" w:rsidR="00706D4E" w:rsidRPr="006070EA" w:rsidRDefault="00706D4E" w:rsidP="00706D4E">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 xml:space="preserve">Pěší propojení ulic 9. května a stávající trasy mezi nádražím a obecním úřadem </w:t>
            </w:r>
          </w:p>
        </w:tc>
      </w:tr>
      <w:tr w:rsidR="00706D4E" w:rsidRPr="006070EA" w14:paraId="63546424" w14:textId="77777777" w:rsidTr="004F1641">
        <w:trPr>
          <w:trHeight w:val="110"/>
          <w:jc w:val="center"/>
        </w:trPr>
        <w:tc>
          <w:tcPr>
            <w:tcW w:w="8233" w:type="dxa"/>
          </w:tcPr>
          <w:p w14:paraId="69AE6B39" w14:textId="77777777" w:rsidR="00706D4E" w:rsidRPr="006070EA" w:rsidRDefault="00706D4E" w:rsidP="00706D4E">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 xml:space="preserve">Řešení veřejných prostranství a dopravy v souvislosti s modernizací traťového úseku Nymburk Lysá nad Labem </w:t>
            </w:r>
          </w:p>
        </w:tc>
      </w:tr>
    </w:tbl>
    <w:p w14:paraId="07E9BDD6" w14:textId="66719C86" w:rsidR="00F62C4F" w:rsidRPr="006070EA" w:rsidRDefault="00F62C4F" w:rsidP="00752A9E">
      <w:pPr>
        <w:pStyle w:val="Mra-Vyjden"/>
        <w:rPr>
          <w:rFonts w:asciiTheme="majorHAnsi" w:hAnsiTheme="majorHAnsi" w:cstheme="majorHAnsi"/>
          <w:color w:val="auto"/>
        </w:rPr>
      </w:pPr>
      <w:r w:rsidRPr="006070EA">
        <w:rPr>
          <w:rFonts w:asciiTheme="majorHAnsi" w:hAnsiTheme="majorHAnsi" w:cstheme="majorHAnsi"/>
          <w:color w:val="auto"/>
        </w:rPr>
        <w:t xml:space="preserve">Územní plán </w:t>
      </w:r>
      <w:r w:rsidR="00752A9E" w:rsidRPr="006070EA">
        <w:rPr>
          <w:rFonts w:asciiTheme="majorHAnsi" w:hAnsiTheme="majorHAnsi" w:cstheme="majorHAnsi"/>
          <w:color w:val="auto"/>
        </w:rPr>
        <w:t>Kostomlaty nad Labem prověřil všechny výše uvedené záměry</w:t>
      </w:r>
      <w:r w:rsidR="003F2A98" w:rsidRPr="006070EA">
        <w:rPr>
          <w:rFonts w:asciiTheme="majorHAnsi" w:hAnsiTheme="majorHAnsi" w:cstheme="majorHAnsi"/>
          <w:color w:val="auto"/>
        </w:rPr>
        <w:t xml:space="preserve"> a vytváří podmínky pro jejich realizaci. Pro realizaci lávky pro pěší a cyklisty přes Labe je vymezen koridor nemotorové dopravy </w:t>
      </w:r>
      <w:r w:rsidR="004F5B3B" w:rsidRPr="006070EA">
        <w:rPr>
          <w:rFonts w:asciiTheme="majorHAnsi" w:hAnsiTheme="majorHAnsi" w:cstheme="majorHAnsi"/>
          <w:color w:val="auto"/>
        </w:rPr>
        <w:t>CNU.</w:t>
      </w:r>
      <w:r w:rsidR="003F2A98" w:rsidRPr="006070EA">
        <w:rPr>
          <w:rFonts w:asciiTheme="majorHAnsi" w:hAnsiTheme="majorHAnsi" w:cstheme="majorHAnsi"/>
          <w:color w:val="auto"/>
        </w:rPr>
        <w:t xml:space="preserve">KDN1 a dále navržená trasa cyklotrasy s vazbou na stávající vymezenou a stabilizovanou cyklotrasu. </w:t>
      </w:r>
    </w:p>
    <w:p w14:paraId="49FE3311" w14:textId="625D744C" w:rsidR="003F2A98" w:rsidRPr="006070EA" w:rsidRDefault="003F2A98" w:rsidP="004F1641">
      <w:pPr>
        <w:pStyle w:val="Mra-Vyjden"/>
        <w:spacing w:before="0"/>
        <w:rPr>
          <w:rFonts w:asciiTheme="majorHAnsi" w:hAnsiTheme="majorHAnsi" w:cstheme="majorHAnsi"/>
          <w:color w:val="auto"/>
        </w:rPr>
      </w:pPr>
      <w:r w:rsidRPr="006070EA">
        <w:rPr>
          <w:rFonts w:asciiTheme="majorHAnsi" w:hAnsiTheme="majorHAnsi" w:cstheme="majorHAnsi"/>
          <w:color w:val="auto"/>
        </w:rPr>
        <w:tab/>
        <w:t xml:space="preserve">Využití plošně rozsáhlých a komplikovaných zastavitelných ploch, vymezených v ÚP Kostomlaty nad Labem, je podmíněno zpracováním územní studie, čímž je naplněn další z požadavků. Rekonstrukce lávky přes potok Vlkava a rekonstrukce areálu školního hřiště jsou umožněny v rámci podmínek využití, stanovených pro dotčené plochy s rozdílným způsobem využití v předmětných lokalitách. Rozvoj kanalizačního a vodovodního systému je v ÚP Kostomlaty nad Labem zajištěn mimo stanovení obecných zásad v rámci koncepce rozvoje technické infrastruktury také konkrétním opatřením, kterým je vymezený koridor technické infrastruktury </w:t>
      </w:r>
      <w:r w:rsidR="004F5B3B" w:rsidRPr="006070EA">
        <w:rPr>
          <w:rFonts w:asciiTheme="majorHAnsi" w:hAnsiTheme="majorHAnsi" w:cstheme="majorHAnsi"/>
          <w:color w:val="auto"/>
        </w:rPr>
        <w:t>CNU.</w:t>
      </w:r>
      <w:r w:rsidRPr="006070EA">
        <w:rPr>
          <w:rFonts w:asciiTheme="majorHAnsi" w:hAnsiTheme="majorHAnsi" w:cstheme="majorHAnsi"/>
          <w:color w:val="auto"/>
        </w:rPr>
        <w:t>KTI1 pro vodovod a kanalizaci včetně souvisejících staveb a zařízení. Plynofikace obce je podpořena v rámci obecných požadavků pro ochranu a</w:t>
      </w:r>
      <w:r w:rsidR="004F5B3B" w:rsidRPr="006070EA">
        <w:rPr>
          <w:rFonts w:asciiTheme="majorHAnsi" w:hAnsiTheme="majorHAnsi" w:cstheme="majorHAnsi"/>
          <w:color w:val="auto"/>
        </w:rPr>
        <w:t> </w:t>
      </w:r>
      <w:r w:rsidRPr="006070EA">
        <w:rPr>
          <w:rFonts w:asciiTheme="majorHAnsi" w:hAnsiTheme="majorHAnsi" w:cstheme="majorHAnsi"/>
          <w:color w:val="auto"/>
        </w:rPr>
        <w:t>rozvoj systémů zásobování teplem a plynem v</w:t>
      </w:r>
      <w:r w:rsidR="004F5B3B" w:rsidRPr="006070EA">
        <w:rPr>
          <w:rFonts w:asciiTheme="majorHAnsi" w:hAnsiTheme="majorHAnsi" w:cstheme="majorHAnsi"/>
          <w:color w:val="auto"/>
        </w:rPr>
        <w:t> </w:t>
      </w:r>
      <w:r w:rsidRPr="006070EA">
        <w:rPr>
          <w:rFonts w:asciiTheme="majorHAnsi" w:hAnsiTheme="majorHAnsi" w:cstheme="majorHAnsi"/>
          <w:color w:val="auto"/>
        </w:rPr>
        <w:t>rámci</w:t>
      </w:r>
      <w:r w:rsidR="004F5B3B" w:rsidRPr="006070EA">
        <w:rPr>
          <w:rFonts w:asciiTheme="majorHAnsi" w:hAnsiTheme="majorHAnsi" w:cstheme="majorHAnsi"/>
          <w:color w:val="auto"/>
        </w:rPr>
        <w:t xml:space="preserve"> </w:t>
      </w:r>
      <w:r w:rsidRPr="006070EA">
        <w:rPr>
          <w:rFonts w:asciiTheme="majorHAnsi" w:hAnsiTheme="majorHAnsi" w:cstheme="majorHAnsi"/>
          <w:color w:val="auto"/>
        </w:rPr>
        <w:t xml:space="preserve">koncepce technické infrastruktury. </w:t>
      </w:r>
    </w:p>
    <w:p w14:paraId="79D62114" w14:textId="40B7364C" w:rsidR="00706D4E" w:rsidRPr="006070EA" w:rsidRDefault="004F1641" w:rsidP="004F1641">
      <w:pPr>
        <w:pStyle w:val="Mra-Vyjden"/>
        <w:spacing w:before="0"/>
        <w:rPr>
          <w:rFonts w:asciiTheme="majorHAnsi" w:hAnsiTheme="majorHAnsi" w:cstheme="majorHAnsi"/>
          <w:color w:val="auto"/>
        </w:rPr>
      </w:pPr>
      <w:r w:rsidRPr="006070EA">
        <w:rPr>
          <w:rFonts w:asciiTheme="majorHAnsi" w:hAnsiTheme="majorHAnsi" w:cstheme="majorHAnsi"/>
          <w:color w:val="auto"/>
        </w:rPr>
        <w:tab/>
        <w:t xml:space="preserve">Dopravní záměry jsou řešeny a konkrétně vyhodnoceny, a to jak v rámci dopravy silniční, </w:t>
      </w:r>
      <w:r w:rsidR="004F5B3B" w:rsidRPr="006070EA">
        <w:rPr>
          <w:rFonts w:asciiTheme="majorHAnsi" w:hAnsiTheme="majorHAnsi" w:cstheme="majorHAnsi"/>
          <w:color w:val="auto"/>
        </w:rPr>
        <w:t>drážní (</w:t>
      </w:r>
      <w:r w:rsidRPr="006070EA">
        <w:rPr>
          <w:rFonts w:asciiTheme="majorHAnsi" w:hAnsiTheme="majorHAnsi" w:cstheme="majorHAnsi"/>
          <w:color w:val="auto"/>
        </w:rPr>
        <w:t>železniční</w:t>
      </w:r>
      <w:r w:rsidR="004F5B3B" w:rsidRPr="006070EA">
        <w:rPr>
          <w:rFonts w:asciiTheme="majorHAnsi" w:hAnsiTheme="majorHAnsi" w:cstheme="majorHAnsi"/>
          <w:color w:val="auto"/>
        </w:rPr>
        <w:t>)</w:t>
      </w:r>
      <w:r w:rsidRPr="006070EA">
        <w:rPr>
          <w:rFonts w:asciiTheme="majorHAnsi" w:hAnsiTheme="majorHAnsi" w:cstheme="majorHAnsi"/>
          <w:color w:val="auto"/>
        </w:rPr>
        <w:t>, veřejné hromadné či pěší, tak i v případě dopravy vodní a dopravy v klidu. Pro rozvoj veřejných prostranství jsou vytvořeny podmínky a stanoveny obecné zásady a požadavky.</w:t>
      </w:r>
    </w:p>
    <w:p w14:paraId="04554B21" w14:textId="77777777" w:rsidR="0064030C" w:rsidRPr="006070EA" w:rsidRDefault="0064030C" w:rsidP="00B64E3A">
      <w:pPr>
        <w:pStyle w:val="Odstavecseseznamem"/>
        <w:keepNext/>
        <w:pageBreakBefore/>
        <w:numPr>
          <w:ilvl w:val="0"/>
          <w:numId w:val="1"/>
        </w:numPr>
        <w:pBdr>
          <w:top w:val="single" w:sz="8" w:space="1" w:color="auto"/>
          <w:left w:val="single" w:sz="8" w:space="4" w:color="auto"/>
          <w:bottom w:val="single" w:sz="8" w:space="1" w:color="auto"/>
          <w:right w:val="single" w:sz="8" w:space="4" w:color="auto"/>
        </w:pBdr>
        <w:shd w:val="clear" w:color="auto" w:fill="F2F2F2" w:themeFill="background1" w:themeFillShade="F2"/>
        <w:spacing w:before="200" w:after="200" w:line="240" w:lineRule="auto"/>
        <w:ind w:left="709" w:hanging="709"/>
        <w:contextualSpacing w:val="0"/>
        <w:jc w:val="both"/>
        <w:outlineLvl w:val="0"/>
        <w:rPr>
          <w:rFonts w:asciiTheme="majorHAnsi" w:hAnsiTheme="majorHAnsi" w:cstheme="majorHAnsi"/>
          <w:b/>
          <w:sz w:val="24"/>
          <w:szCs w:val="28"/>
        </w:rPr>
      </w:pPr>
      <w:bookmarkStart w:id="134" w:name="_Toc204678178"/>
      <w:r w:rsidRPr="006070EA">
        <w:rPr>
          <w:rFonts w:asciiTheme="majorHAnsi" w:hAnsiTheme="majorHAnsi" w:cstheme="majorHAnsi"/>
          <w:b/>
          <w:sz w:val="24"/>
          <w:szCs w:val="28"/>
        </w:rPr>
        <w:lastRenderedPageBreak/>
        <w:t>VYHODNOCENÍ ÚČELNÉHO VYUŽITÍ ZASTAVĚNÉHO ÚZEMÍ A VYHODNOCENÍ POTŘEBY VYMEZENÍ ZASTAVITELNÝCH PLOCH</w:t>
      </w:r>
      <w:bookmarkEnd w:id="134"/>
    </w:p>
    <w:p w14:paraId="572FE789" w14:textId="77777777" w:rsidR="002D0BFB" w:rsidRPr="006070EA" w:rsidRDefault="002D0BFB" w:rsidP="00B93C7C">
      <w:pPr>
        <w:pStyle w:val="Mra2-reakceern"/>
        <w:keepNext/>
        <w:pBdr>
          <w:left w:val="none" w:sz="0" w:space="0" w:color="auto"/>
        </w:pBdr>
        <w:spacing w:after="120"/>
        <w:ind w:left="0" w:firstLine="709"/>
        <w:rPr>
          <w:rFonts w:asciiTheme="majorHAnsi" w:hAnsiTheme="majorHAnsi" w:cstheme="majorHAnsi"/>
          <w:i/>
          <w:color w:val="auto"/>
        </w:rPr>
      </w:pPr>
      <w:r w:rsidRPr="006070EA">
        <w:rPr>
          <w:rFonts w:asciiTheme="majorHAnsi" w:hAnsiTheme="majorHAnsi" w:cstheme="majorHAnsi"/>
          <w:i/>
          <w:color w:val="auto"/>
        </w:rPr>
        <w:t>Zákon č. 183/2006 Sb., § 53, odst. 5 f)</w:t>
      </w:r>
    </w:p>
    <w:p w14:paraId="63D25599" w14:textId="77777777" w:rsidR="002D0BFB" w:rsidRPr="006070EA" w:rsidRDefault="002D0BFB" w:rsidP="00B93C7C">
      <w:pPr>
        <w:pStyle w:val="Mra2-reakceern"/>
        <w:keepNext/>
        <w:pBdr>
          <w:left w:val="none" w:sz="0" w:space="0" w:color="auto"/>
        </w:pBdr>
        <w:spacing w:after="120"/>
        <w:ind w:left="0" w:firstLine="709"/>
        <w:rPr>
          <w:rFonts w:asciiTheme="majorHAnsi" w:hAnsiTheme="majorHAnsi" w:cstheme="majorHAnsi"/>
          <w:b/>
          <w:i/>
          <w:color w:val="auto"/>
        </w:rPr>
      </w:pPr>
      <w:r w:rsidRPr="006070EA">
        <w:rPr>
          <w:rFonts w:asciiTheme="majorHAnsi" w:hAnsiTheme="majorHAnsi" w:cstheme="majorHAnsi"/>
          <w:b/>
          <w:i/>
          <w:color w:val="auto"/>
        </w:rPr>
        <w:t>Zpracovává projektant.</w:t>
      </w:r>
    </w:p>
    <w:p w14:paraId="172ABED4" w14:textId="77777777" w:rsidR="002D0BFB" w:rsidRPr="006070EA" w:rsidRDefault="002D0BFB" w:rsidP="00B93C7C">
      <w:pPr>
        <w:pStyle w:val="Mra2-reakceern"/>
        <w:keepNext/>
        <w:pBdr>
          <w:left w:val="none" w:sz="0" w:space="0" w:color="auto"/>
        </w:pBdr>
        <w:spacing w:after="60"/>
        <w:ind w:left="0" w:firstLine="709"/>
        <w:rPr>
          <w:rFonts w:asciiTheme="majorHAnsi" w:hAnsiTheme="majorHAnsi" w:cstheme="majorHAnsi"/>
          <w:color w:val="auto"/>
        </w:rPr>
      </w:pPr>
      <w:r w:rsidRPr="006070EA">
        <w:rPr>
          <w:rFonts w:asciiTheme="majorHAnsi" w:hAnsiTheme="majorHAnsi" w:cstheme="majorHAnsi"/>
          <w:color w:val="auto"/>
        </w:rPr>
        <w:t xml:space="preserve">S ohledem na ochranu </w:t>
      </w:r>
      <w:r w:rsidR="002A7F82" w:rsidRPr="006070EA">
        <w:rPr>
          <w:rFonts w:asciiTheme="majorHAnsi" w:hAnsiTheme="majorHAnsi" w:cstheme="majorHAnsi"/>
          <w:color w:val="auto"/>
        </w:rPr>
        <w:t xml:space="preserve">přírody a krajiny, jakožto podstatné složky prostředí života obyvatel, </w:t>
      </w:r>
      <w:r w:rsidR="00C46C0E" w:rsidRPr="006070EA">
        <w:rPr>
          <w:rFonts w:asciiTheme="majorHAnsi" w:hAnsiTheme="majorHAnsi" w:cstheme="majorHAnsi"/>
          <w:color w:val="auto"/>
        </w:rPr>
        <w:t>zajišťuje</w:t>
      </w:r>
      <w:r w:rsidR="002A7F82" w:rsidRPr="006070EA">
        <w:rPr>
          <w:rFonts w:asciiTheme="majorHAnsi" w:hAnsiTheme="majorHAnsi" w:cstheme="majorHAnsi"/>
          <w:color w:val="auto"/>
        </w:rPr>
        <w:t xml:space="preserve"> územní plán účelné využívání zastavěného území a </w:t>
      </w:r>
      <w:r w:rsidR="00C46C0E" w:rsidRPr="006070EA">
        <w:rPr>
          <w:rFonts w:asciiTheme="majorHAnsi" w:hAnsiTheme="majorHAnsi" w:cstheme="majorHAnsi"/>
          <w:color w:val="auto"/>
        </w:rPr>
        <w:t xml:space="preserve">v souvislosti s předpokládaným vývojem počtu obyvatel a domů vytváří podmínky pro rozvoj sídel v zastavitelných plochách. </w:t>
      </w:r>
    </w:p>
    <w:p w14:paraId="5DE7823C" w14:textId="77777777" w:rsidR="00C46C0E" w:rsidRPr="006070EA" w:rsidRDefault="00C46C0E" w:rsidP="009E07E1">
      <w:pPr>
        <w:pStyle w:val="Mra2-reakceern"/>
        <w:pBdr>
          <w:left w:val="none" w:sz="0" w:space="0" w:color="auto"/>
        </w:pBdr>
        <w:spacing w:after="60"/>
        <w:ind w:left="0" w:firstLine="709"/>
        <w:rPr>
          <w:rFonts w:asciiTheme="majorHAnsi" w:hAnsiTheme="majorHAnsi" w:cstheme="majorHAnsi"/>
          <w:color w:val="auto"/>
        </w:rPr>
      </w:pPr>
      <w:r w:rsidRPr="006070EA">
        <w:rPr>
          <w:rFonts w:asciiTheme="majorHAnsi" w:hAnsiTheme="majorHAnsi" w:cstheme="majorHAnsi"/>
          <w:color w:val="auto"/>
        </w:rPr>
        <w:t>Součástí této kapitoly jsou tematická vyhodnocení dosavadního vývoje a rozvojových předpokladů území. Každé z dílčích vyhodnocení bylo mimo jiné využito také jako podklad pro komplexní řešení územního plánu, zejména ve vztahu k stanovení rozvoje území obce a usměrnění urbanistického vývoje, vymezení zastavitelných ploch.</w:t>
      </w:r>
    </w:p>
    <w:p w14:paraId="157C32FB" w14:textId="77777777" w:rsidR="00C46C0E" w:rsidRPr="006070EA" w:rsidRDefault="00C46C0E" w:rsidP="003A4B1E">
      <w:pPr>
        <w:pStyle w:val="Odstavecseseznamem"/>
        <w:keepNext/>
        <w:numPr>
          <w:ilvl w:val="1"/>
          <w:numId w:val="29"/>
        </w:numPr>
        <w:spacing w:before="160" w:after="120" w:line="240" w:lineRule="auto"/>
        <w:ind w:left="709" w:hanging="709"/>
        <w:contextualSpacing w:val="0"/>
        <w:outlineLvl w:val="1"/>
        <w:rPr>
          <w:rFonts w:asciiTheme="majorHAnsi" w:hAnsiTheme="majorHAnsi" w:cstheme="majorHAnsi"/>
          <w:b/>
          <w:sz w:val="24"/>
          <w:szCs w:val="20"/>
        </w:rPr>
      </w:pPr>
      <w:bookmarkStart w:id="135" w:name="_Toc485214892"/>
      <w:bookmarkStart w:id="136" w:name="_Toc485378045"/>
      <w:bookmarkStart w:id="137" w:name="_Toc485378168"/>
      <w:bookmarkStart w:id="138" w:name="_Toc485214893"/>
      <w:bookmarkStart w:id="139" w:name="_Toc485378046"/>
      <w:bookmarkStart w:id="140" w:name="_Toc485378169"/>
      <w:bookmarkStart w:id="141" w:name="_Toc485214894"/>
      <w:bookmarkStart w:id="142" w:name="_Toc485378047"/>
      <w:bookmarkStart w:id="143" w:name="_Toc485378170"/>
      <w:bookmarkStart w:id="144" w:name="_Toc485214895"/>
      <w:bookmarkStart w:id="145" w:name="_Toc485378048"/>
      <w:bookmarkStart w:id="146" w:name="_Toc485378171"/>
      <w:bookmarkStart w:id="147" w:name="_Toc485214896"/>
      <w:bookmarkStart w:id="148" w:name="_Toc485378049"/>
      <w:bookmarkStart w:id="149" w:name="_Toc485378172"/>
      <w:bookmarkStart w:id="150" w:name="_Toc485214897"/>
      <w:bookmarkStart w:id="151" w:name="_Toc485378050"/>
      <w:bookmarkStart w:id="152" w:name="_Toc485378173"/>
      <w:bookmarkStart w:id="153" w:name="_Toc485214898"/>
      <w:bookmarkStart w:id="154" w:name="_Toc485378051"/>
      <w:bookmarkStart w:id="155" w:name="_Toc485378174"/>
      <w:bookmarkStart w:id="156" w:name="_Toc485214899"/>
      <w:bookmarkStart w:id="157" w:name="_Toc485378052"/>
      <w:bookmarkStart w:id="158" w:name="_Toc485378175"/>
      <w:bookmarkStart w:id="159" w:name="_Toc204678179"/>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r w:rsidRPr="006070EA">
        <w:rPr>
          <w:rFonts w:asciiTheme="majorHAnsi" w:hAnsiTheme="majorHAnsi" w:cstheme="majorHAnsi"/>
          <w:b/>
          <w:sz w:val="24"/>
          <w:szCs w:val="20"/>
        </w:rPr>
        <w:t>Vyhodnocení účelného využití zastavěného území</w:t>
      </w:r>
      <w:bookmarkEnd w:id="159"/>
    </w:p>
    <w:p w14:paraId="58BC9256" w14:textId="47A7A40C" w:rsidR="006A734D" w:rsidRPr="006070EA" w:rsidRDefault="00B651C8" w:rsidP="00D814A9">
      <w:pPr>
        <w:pStyle w:val="Mra2-reakceern"/>
        <w:pBdr>
          <w:left w:val="none" w:sz="0" w:space="0" w:color="auto"/>
        </w:pBdr>
        <w:spacing w:after="60"/>
        <w:ind w:left="0" w:firstLine="709"/>
        <w:rPr>
          <w:rFonts w:asciiTheme="majorHAnsi" w:hAnsiTheme="majorHAnsi" w:cstheme="majorHAnsi"/>
          <w:color w:val="auto"/>
        </w:rPr>
      </w:pPr>
      <w:r w:rsidRPr="00A76411">
        <w:rPr>
          <w:rFonts w:asciiTheme="majorHAnsi" w:hAnsiTheme="majorHAnsi" w:cstheme="majorHAnsi"/>
          <w:color w:val="auto"/>
        </w:rPr>
        <w:t xml:space="preserve">Zastavěné území bylo vymezeno k datu </w:t>
      </w:r>
      <w:r w:rsidR="00C2266C" w:rsidRPr="00A76411">
        <w:rPr>
          <w:rFonts w:asciiTheme="majorHAnsi" w:hAnsiTheme="majorHAnsi" w:cstheme="majorHAnsi"/>
          <w:color w:val="auto"/>
        </w:rPr>
        <w:t>5. 8. 2024</w:t>
      </w:r>
      <w:r w:rsidRPr="00A76411">
        <w:rPr>
          <w:rFonts w:asciiTheme="majorHAnsi" w:hAnsiTheme="majorHAnsi" w:cstheme="majorHAnsi"/>
          <w:color w:val="auto"/>
        </w:rPr>
        <w:t xml:space="preserve"> </w:t>
      </w:r>
      <w:r w:rsidR="006A734D" w:rsidRPr="00A76411">
        <w:rPr>
          <w:rFonts w:asciiTheme="majorHAnsi" w:hAnsiTheme="majorHAnsi" w:cstheme="majorHAnsi"/>
          <w:color w:val="auto"/>
        </w:rPr>
        <w:t xml:space="preserve">dle aktuálního stavu území a v souladu s ustanovením </w:t>
      </w:r>
      <w:r w:rsidRPr="00A76411">
        <w:rPr>
          <w:rFonts w:asciiTheme="majorHAnsi" w:hAnsiTheme="majorHAnsi" w:cstheme="majorHAnsi"/>
          <w:color w:val="auto"/>
        </w:rPr>
        <w:t xml:space="preserve">§ 58 </w:t>
      </w:r>
      <w:r w:rsidR="006A734D" w:rsidRPr="00A76411">
        <w:rPr>
          <w:rFonts w:asciiTheme="majorHAnsi" w:hAnsiTheme="majorHAnsi" w:cstheme="majorHAnsi"/>
          <w:color w:val="auto"/>
        </w:rPr>
        <w:t>z</w:t>
      </w:r>
      <w:r w:rsidRPr="00A76411">
        <w:rPr>
          <w:rFonts w:asciiTheme="majorHAnsi" w:hAnsiTheme="majorHAnsi" w:cstheme="majorHAnsi"/>
          <w:color w:val="auto"/>
        </w:rPr>
        <w:t>ákona č. 183/2006 Sb.</w:t>
      </w:r>
      <w:r w:rsidR="006A734D" w:rsidRPr="00A76411">
        <w:rPr>
          <w:rFonts w:asciiTheme="majorHAnsi" w:hAnsiTheme="majorHAnsi" w:cstheme="majorHAnsi"/>
          <w:color w:val="auto"/>
        </w:rPr>
        <w:t xml:space="preserve">, ve znění pozdějších předpisů (stavební zákon), podrobněji viz kapitola </w:t>
      </w:r>
      <w:r w:rsidR="00D814A9" w:rsidRPr="00A76411">
        <w:rPr>
          <w:rFonts w:asciiTheme="majorHAnsi" w:hAnsiTheme="majorHAnsi" w:cstheme="majorHAnsi"/>
          <w:i/>
          <w:color w:val="auto"/>
        </w:rPr>
        <w:t>11</w:t>
      </w:r>
      <w:r w:rsidR="006A734D" w:rsidRPr="00A76411">
        <w:rPr>
          <w:rFonts w:asciiTheme="majorHAnsi" w:hAnsiTheme="majorHAnsi" w:cstheme="majorHAnsi"/>
          <w:i/>
          <w:color w:val="auto"/>
        </w:rPr>
        <w:t>.</w:t>
      </w:r>
      <w:r w:rsidR="00D814A9" w:rsidRPr="00A76411">
        <w:rPr>
          <w:rFonts w:asciiTheme="majorHAnsi" w:hAnsiTheme="majorHAnsi" w:cstheme="majorHAnsi"/>
          <w:i/>
          <w:color w:val="auto"/>
        </w:rPr>
        <w:t>1</w:t>
      </w:r>
      <w:r w:rsidR="006A734D" w:rsidRPr="00A76411">
        <w:rPr>
          <w:rFonts w:asciiTheme="majorHAnsi" w:hAnsiTheme="majorHAnsi" w:cstheme="majorHAnsi"/>
          <w:i/>
          <w:color w:val="auto"/>
        </w:rPr>
        <w:t xml:space="preserve"> Odůvodnění vymezení zastavěného území</w:t>
      </w:r>
      <w:r w:rsidR="006A734D" w:rsidRPr="00A76411">
        <w:rPr>
          <w:rFonts w:asciiTheme="majorHAnsi" w:hAnsiTheme="majorHAnsi" w:cstheme="majorHAnsi"/>
          <w:color w:val="auto"/>
        </w:rPr>
        <w:t>.</w:t>
      </w:r>
      <w:r w:rsidRPr="006070EA">
        <w:rPr>
          <w:rFonts w:asciiTheme="majorHAnsi" w:hAnsiTheme="majorHAnsi" w:cstheme="majorHAnsi"/>
          <w:color w:val="auto"/>
        </w:rPr>
        <w:t xml:space="preserve"> </w:t>
      </w:r>
    </w:p>
    <w:p w14:paraId="5546CE33" w14:textId="4B052D3D" w:rsidR="009B6C1E" w:rsidRPr="006070EA" w:rsidRDefault="00462230" w:rsidP="00D814A9">
      <w:pPr>
        <w:pStyle w:val="Mra2-reakceern"/>
        <w:pBdr>
          <w:left w:val="none" w:sz="0" w:space="0" w:color="auto"/>
        </w:pBdr>
        <w:spacing w:before="60" w:after="120"/>
        <w:ind w:left="0" w:firstLine="709"/>
        <w:rPr>
          <w:rFonts w:asciiTheme="majorHAnsi" w:hAnsiTheme="majorHAnsi" w:cstheme="majorHAnsi"/>
          <w:color w:val="auto"/>
        </w:rPr>
      </w:pPr>
      <w:r w:rsidRPr="006070EA">
        <w:rPr>
          <w:rFonts w:asciiTheme="majorHAnsi" w:hAnsiTheme="majorHAnsi" w:cstheme="majorHAnsi"/>
          <w:color w:val="auto"/>
        </w:rPr>
        <w:t>Níže uvedené obráz</w:t>
      </w:r>
      <w:r w:rsidR="00515649" w:rsidRPr="006070EA">
        <w:rPr>
          <w:rFonts w:asciiTheme="majorHAnsi" w:hAnsiTheme="majorHAnsi" w:cstheme="majorHAnsi"/>
          <w:color w:val="auto"/>
        </w:rPr>
        <w:t>k</w:t>
      </w:r>
      <w:r w:rsidRPr="006070EA">
        <w:rPr>
          <w:rFonts w:asciiTheme="majorHAnsi" w:hAnsiTheme="majorHAnsi" w:cstheme="majorHAnsi"/>
          <w:color w:val="auto"/>
        </w:rPr>
        <w:t>y</w:t>
      </w:r>
      <w:r w:rsidR="00515649" w:rsidRPr="006070EA">
        <w:rPr>
          <w:rFonts w:asciiTheme="majorHAnsi" w:hAnsiTheme="majorHAnsi" w:cstheme="majorHAnsi"/>
          <w:color w:val="auto"/>
        </w:rPr>
        <w:t xml:space="preserve"> zobrazuj</w:t>
      </w:r>
      <w:r w:rsidRPr="006070EA">
        <w:rPr>
          <w:rFonts w:asciiTheme="majorHAnsi" w:hAnsiTheme="majorHAnsi" w:cstheme="majorHAnsi"/>
          <w:color w:val="auto"/>
        </w:rPr>
        <w:t>í</w:t>
      </w:r>
      <w:r w:rsidR="00515649" w:rsidRPr="006070EA">
        <w:rPr>
          <w:rFonts w:asciiTheme="majorHAnsi" w:hAnsiTheme="majorHAnsi" w:cstheme="majorHAnsi"/>
          <w:color w:val="auto"/>
        </w:rPr>
        <w:t xml:space="preserve"> na podkladu katastrální mapy</w:t>
      </w:r>
      <w:r w:rsidR="002D61BA" w:rsidRPr="006070EA">
        <w:rPr>
          <w:rFonts w:asciiTheme="majorHAnsi" w:hAnsiTheme="majorHAnsi" w:cstheme="majorHAnsi"/>
          <w:color w:val="auto"/>
        </w:rPr>
        <w:t xml:space="preserve"> a ortofotosnímku řešeného území</w:t>
      </w:r>
      <w:r w:rsidR="00515649" w:rsidRPr="006070EA">
        <w:rPr>
          <w:rFonts w:asciiTheme="majorHAnsi" w:hAnsiTheme="majorHAnsi" w:cstheme="majorHAnsi"/>
          <w:color w:val="auto"/>
        </w:rPr>
        <w:t xml:space="preserve"> zastavěné plochy a</w:t>
      </w:r>
      <w:r w:rsidR="002D61BA" w:rsidRPr="006070EA">
        <w:rPr>
          <w:rFonts w:asciiTheme="majorHAnsi" w:hAnsiTheme="majorHAnsi" w:cstheme="majorHAnsi"/>
          <w:color w:val="auto"/>
        </w:rPr>
        <w:t> </w:t>
      </w:r>
      <w:r w:rsidR="00515649" w:rsidRPr="006070EA">
        <w:rPr>
          <w:rFonts w:asciiTheme="majorHAnsi" w:hAnsiTheme="majorHAnsi" w:cstheme="majorHAnsi"/>
          <w:color w:val="auto"/>
        </w:rPr>
        <w:t>nádvoří</w:t>
      </w:r>
      <w:r w:rsidR="002D61BA" w:rsidRPr="006070EA">
        <w:rPr>
          <w:rFonts w:asciiTheme="majorHAnsi" w:hAnsiTheme="majorHAnsi" w:cstheme="majorHAnsi"/>
          <w:color w:val="auto"/>
        </w:rPr>
        <w:t xml:space="preserve"> (černě)</w:t>
      </w:r>
      <w:r w:rsidR="00515649" w:rsidRPr="006070EA">
        <w:rPr>
          <w:rFonts w:asciiTheme="majorHAnsi" w:hAnsiTheme="majorHAnsi" w:cstheme="majorHAnsi"/>
          <w:color w:val="auto"/>
        </w:rPr>
        <w:t xml:space="preserve"> ve vymezeném zastavěném území</w:t>
      </w:r>
      <w:r w:rsidR="002D61BA" w:rsidRPr="006070EA">
        <w:rPr>
          <w:rFonts w:asciiTheme="majorHAnsi" w:hAnsiTheme="majorHAnsi" w:cstheme="majorHAnsi"/>
          <w:color w:val="auto"/>
        </w:rPr>
        <w:t xml:space="preserve"> (světle modrá plocha)</w:t>
      </w:r>
      <w:r w:rsidR="00515649" w:rsidRPr="006070EA">
        <w:rPr>
          <w:rFonts w:asciiTheme="majorHAnsi" w:hAnsiTheme="majorHAnsi" w:cstheme="majorHAnsi"/>
          <w:color w:val="auto"/>
        </w:rPr>
        <w:t>, čímž poukazuj</w:t>
      </w:r>
      <w:r w:rsidRPr="006070EA">
        <w:rPr>
          <w:rFonts w:asciiTheme="majorHAnsi" w:hAnsiTheme="majorHAnsi" w:cstheme="majorHAnsi"/>
          <w:color w:val="auto"/>
        </w:rPr>
        <w:t>í</w:t>
      </w:r>
      <w:r w:rsidR="00515649" w:rsidRPr="006070EA">
        <w:rPr>
          <w:rFonts w:asciiTheme="majorHAnsi" w:hAnsiTheme="majorHAnsi" w:cstheme="majorHAnsi"/>
          <w:color w:val="auto"/>
        </w:rPr>
        <w:t xml:space="preserve"> na intenzitu využití souvislého sídla.</w:t>
      </w:r>
      <w:r w:rsidR="009B6C1E" w:rsidRPr="006070EA">
        <w:rPr>
          <w:rFonts w:asciiTheme="majorHAnsi" w:hAnsiTheme="majorHAnsi" w:cstheme="majorHAnsi"/>
          <w:color w:val="auto"/>
        </w:rPr>
        <w:t xml:space="preserve"> Současně jsou zvýrazněny nevyužité pozemky v zastavěném území s charakterem proluk</w:t>
      </w:r>
      <w:r w:rsidR="00813865" w:rsidRPr="006070EA">
        <w:rPr>
          <w:rFonts w:asciiTheme="majorHAnsi" w:hAnsiTheme="majorHAnsi" w:cstheme="majorHAnsi"/>
          <w:color w:val="auto"/>
        </w:rPr>
        <w:t xml:space="preserve"> (červený obrys)</w:t>
      </w:r>
      <w:r w:rsidR="009B6C1E" w:rsidRPr="006070EA">
        <w:rPr>
          <w:rFonts w:asciiTheme="majorHAnsi" w:hAnsiTheme="majorHAnsi" w:cstheme="majorHAnsi"/>
          <w:color w:val="auto"/>
        </w:rPr>
        <w:t>, na kterých jsou v souladu s podmínkami využití příslušných ploch s RZV, stanovených územním plánem, vytvořeny podmínky pro potenciální umístění stavby pro bydlení (rodinného domu)</w:t>
      </w:r>
      <w:r w:rsidR="002D61BA" w:rsidRPr="006070EA">
        <w:rPr>
          <w:rFonts w:asciiTheme="majorHAnsi" w:hAnsiTheme="majorHAnsi" w:cstheme="majorHAnsi"/>
          <w:color w:val="auto"/>
        </w:rPr>
        <w:t>, vytvářející</w:t>
      </w:r>
      <w:r w:rsidR="009B6C1E" w:rsidRPr="006070EA">
        <w:rPr>
          <w:rFonts w:asciiTheme="majorHAnsi" w:hAnsiTheme="majorHAnsi" w:cstheme="majorHAnsi"/>
          <w:color w:val="auto"/>
        </w:rPr>
        <w:t xml:space="preserve"> rezerv</w:t>
      </w:r>
      <w:r w:rsidR="002D61BA" w:rsidRPr="006070EA">
        <w:rPr>
          <w:rFonts w:asciiTheme="majorHAnsi" w:hAnsiTheme="majorHAnsi" w:cstheme="majorHAnsi"/>
          <w:color w:val="auto"/>
        </w:rPr>
        <w:t>u</w:t>
      </w:r>
      <w:r w:rsidR="009B6C1E" w:rsidRPr="006070EA">
        <w:rPr>
          <w:rFonts w:asciiTheme="majorHAnsi" w:hAnsiTheme="majorHAnsi" w:cstheme="majorHAnsi"/>
          <w:color w:val="auto"/>
        </w:rPr>
        <w:t xml:space="preserve"> pro bydlení v zastavěném území</w:t>
      </w:r>
      <w:r w:rsidR="0034420E" w:rsidRPr="006070EA">
        <w:rPr>
          <w:rFonts w:asciiTheme="majorHAnsi" w:hAnsiTheme="majorHAnsi" w:cstheme="majorHAnsi"/>
          <w:color w:val="auto"/>
        </w:rPr>
        <w:t xml:space="preserve"> (zahrnuty jsou pouze pozemky s vyhodnocenou optimální dostupností veřejné infrastruktury, na kterých dle dostupných podkladů a terénního šetření v době zpracování návrhu územního plánu pro společné jednání nebyla zahájena výstavba; počet disponibilních pozemků pro výstavbu rodinných domů je stanoven odborným odhadem)</w:t>
      </w:r>
      <w:r w:rsidR="009B6C1E" w:rsidRPr="006070EA">
        <w:rPr>
          <w:rFonts w:asciiTheme="majorHAnsi" w:hAnsiTheme="majorHAnsi" w:cstheme="majorHAnsi"/>
          <w:color w:val="auto"/>
        </w:rPr>
        <w:t xml:space="preserve">. </w:t>
      </w:r>
    </w:p>
    <w:p w14:paraId="17B84A47" w14:textId="754F497D" w:rsidR="009B6C1E" w:rsidRPr="006070EA" w:rsidRDefault="00C20FC8" w:rsidP="009B6C1E">
      <w:pPr>
        <w:pStyle w:val="Mra2-reakceern"/>
        <w:pBdr>
          <w:left w:val="none" w:sz="0" w:space="0" w:color="auto"/>
        </w:pBdr>
        <w:spacing w:before="60" w:after="120"/>
        <w:ind w:left="0"/>
        <w:rPr>
          <w:rFonts w:asciiTheme="majorHAnsi" w:hAnsiTheme="majorHAnsi" w:cstheme="majorHAnsi"/>
          <w:color w:val="FF0000"/>
        </w:rPr>
      </w:pPr>
      <w:r w:rsidRPr="006070EA">
        <w:rPr>
          <w:rFonts w:asciiTheme="majorHAnsi" w:hAnsiTheme="majorHAnsi" w:cstheme="majorHAnsi"/>
          <w:noProof/>
          <w:color w:val="FF0000"/>
        </w:rPr>
        <w:drawing>
          <wp:inline distT="0" distB="0" distL="0" distR="0" wp14:anchorId="5663D751" wp14:editId="68B7DBEA">
            <wp:extent cx="5759450" cy="3074670"/>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59450" cy="3074670"/>
                    </a:xfrm>
                    <a:prstGeom prst="rect">
                      <a:avLst/>
                    </a:prstGeom>
                    <a:noFill/>
                    <a:ln>
                      <a:noFill/>
                    </a:ln>
                  </pic:spPr>
                </pic:pic>
              </a:graphicData>
            </a:graphic>
          </wp:inline>
        </w:drawing>
      </w:r>
    </w:p>
    <w:p w14:paraId="7DC33692" w14:textId="29401627" w:rsidR="00C20FC8" w:rsidRPr="006070EA" w:rsidRDefault="00C20FC8" w:rsidP="009B6C1E">
      <w:pPr>
        <w:pStyle w:val="Mra2-reakceern"/>
        <w:pBdr>
          <w:left w:val="none" w:sz="0" w:space="0" w:color="auto"/>
        </w:pBdr>
        <w:spacing w:before="60" w:after="120"/>
        <w:ind w:left="0"/>
        <w:rPr>
          <w:rFonts w:asciiTheme="majorHAnsi" w:hAnsiTheme="majorHAnsi" w:cstheme="majorHAnsi"/>
          <w:i/>
          <w:iCs w:val="0"/>
          <w:color w:val="auto"/>
        </w:rPr>
      </w:pPr>
      <w:r w:rsidRPr="006070EA">
        <w:rPr>
          <w:rFonts w:asciiTheme="majorHAnsi" w:hAnsiTheme="majorHAnsi" w:cstheme="majorHAnsi"/>
          <w:i/>
          <w:iCs w:val="0"/>
          <w:color w:val="auto"/>
        </w:rPr>
        <w:t xml:space="preserve">Počet potenciálních </w:t>
      </w:r>
      <w:r w:rsidR="00815B63" w:rsidRPr="006070EA">
        <w:rPr>
          <w:rFonts w:asciiTheme="majorHAnsi" w:hAnsiTheme="majorHAnsi" w:cstheme="majorHAnsi"/>
          <w:i/>
          <w:iCs w:val="0"/>
          <w:color w:val="auto"/>
        </w:rPr>
        <w:t xml:space="preserve">disponibilních </w:t>
      </w:r>
      <w:r w:rsidRPr="006070EA">
        <w:rPr>
          <w:rFonts w:asciiTheme="majorHAnsi" w:hAnsiTheme="majorHAnsi" w:cstheme="majorHAnsi"/>
          <w:i/>
          <w:iCs w:val="0"/>
          <w:color w:val="auto"/>
        </w:rPr>
        <w:t>stavebních parcel pro realizaci RD v zastavěném území sídla Kostomlaty nad Labem = 18</w:t>
      </w:r>
    </w:p>
    <w:p w14:paraId="3E5D1ED3" w14:textId="5F2C7C89" w:rsidR="00815B63" w:rsidRPr="006070EA" w:rsidRDefault="00815B63" w:rsidP="009B6C1E">
      <w:pPr>
        <w:pStyle w:val="Mra2-reakceern"/>
        <w:pBdr>
          <w:left w:val="none" w:sz="0" w:space="0" w:color="auto"/>
        </w:pBdr>
        <w:spacing w:before="60" w:after="120"/>
        <w:ind w:left="0"/>
        <w:rPr>
          <w:rFonts w:asciiTheme="majorHAnsi" w:hAnsiTheme="majorHAnsi" w:cstheme="majorHAnsi"/>
          <w:i/>
          <w:iCs w:val="0"/>
          <w:color w:val="auto"/>
        </w:rPr>
      </w:pPr>
      <w:r w:rsidRPr="006070EA">
        <w:rPr>
          <w:rFonts w:asciiTheme="majorHAnsi" w:hAnsiTheme="majorHAnsi" w:cstheme="majorHAnsi"/>
          <w:i/>
          <w:iCs w:val="0"/>
          <w:noProof/>
          <w:color w:val="auto"/>
        </w:rPr>
        <w:lastRenderedPageBreak/>
        <w:drawing>
          <wp:inline distT="0" distB="0" distL="0" distR="0" wp14:anchorId="211A5184" wp14:editId="6C7D35D3">
            <wp:extent cx="5759450" cy="3227070"/>
            <wp:effectExtent l="0" t="0" r="0" b="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59450" cy="3227070"/>
                    </a:xfrm>
                    <a:prstGeom prst="rect">
                      <a:avLst/>
                    </a:prstGeom>
                    <a:noFill/>
                    <a:ln>
                      <a:noFill/>
                    </a:ln>
                  </pic:spPr>
                </pic:pic>
              </a:graphicData>
            </a:graphic>
          </wp:inline>
        </w:drawing>
      </w:r>
    </w:p>
    <w:p w14:paraId="53CD7A2B" w14:textId="78D46E28" w:rsidR="00815B63" w:rsidRPr="006070EA" w:rsidRDefault="00815B63" w:rsidP="00815B63">
      <w:pPr>
        <w:pStyle w:val="Mra2-reakceern"/>
        <w:pBdr>
          <w:left w:val="none" w:sz="0" w:space="0" w:color="auto"/>
        </w:pBdr>
        <w:spacing w:before="60" w:after="120"/>
        <w:ind w:left="0"/>
        <w:rPr>
          <w:rFonts w:asciiTheme="majorHAnsi" w:hAnsiTheme="majorHAnsi" w:cstheme="majorHAnsi"/>
          <w:i/>
          <w:iCs w:val="0"/>
          <w:color w:val="auto"/>
        </w:rPr>
      </w:pPr>
      <w:r w:rsidRPr="006070EA">
        <w:rPr>
          <w:rFonts w:asciiTheme="majorHAnsi" w:hAnsiTheme="majorHAnsi" w:cstheme="majorHAnsi"/>
          <w:i/>
          <w:iCs w:val="0"/>
          <w:color w:val="auto"/>
        </w:rPr>
        <w:t>Počet potenciálních disponibilních stavebních parcel pro realizaci RD v zastavěném území sídla Rozkoš = 4</w:t>
      </w:r>
    </w:p>
    <w:p w14:paraId="1A864ADD" w14:textId="77777777" w:rsidR="00F90B15" w:rsidRPr="006070EA" w:rsidRDefault="00F90B15" w:rsidP="00F90B15">
      <w:pPr>
        <w:pStyle w:val="Mra2-reakceern"/>
        <w:pBdr>
          <w:left w:val="none" w:sz="0" w:space="0" w:color="auto"/>
        </w:pBdr>
        <w:spacing w:before="60" w:after="120"/>
        <w:ind w:left="0"/>
        <w:rPr>
          <w:rFonts w:asciiTheme="majorHAnsi" w:hAnsiTheme="majorHAnsi" w:cstheme="majorHAnsi"/>
          <w:i/>
          <w:iCs w:val="0"/>
          <w:color w:val="auto"/>
        </w:rPr>
      </w:pPr>
      <w:r w:rsidRPr="006070EA">
        <w:rPr>
          <w:rFonts w:asciiTheme="majorHAnsi" w:hAnsiTheme="majorHAnsi" w:cstheme="majorHAnsi"/>
          <w:i/>
          <w:iCs w:val="0"/>
          <w:noProof/>
          <w:color w:val="auto"/>
        </w:rPr>
        <w:drawing>
          <wp:inline distT="0" distB="0" distL="0" distR="0" wp14:anchorId="77907E5E" wp14:editId="7D4CDFCB">
            <wp:extent cx="4320000" cy="5071514"/>
            <wp:effectExtent l="0" t="0" r="0" b="0"/>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320000" cy="5071514"/>
                    </a:xfrm>
                    <a:prstGeom prst="rect">
                      <a:avLst/>
                    </a:prstGeom>
                    <a:noFill/>
                    <a:ln>
                      <a:noFill/>
                    </a:ln>
                  </pic:spPr>
                </pic:pic>
              </a:graphicData>
            </a:graphic>
          </wp:inline>
        </w:drawing>
      </w:r>
    </w:p>
    <w:p w14:paraId="2CF2BEDA" w14:textId="77777777" w:rsidR="00F90B15" w:rsidRPr="006070EA" w:rsidRDefault="00F90B15" w:rsidP="00F90B15">
      <w:pPr>
        <w:pStyle w:val="Mra2-reakceern"/>
        <w:pBdr>
          <w:left w:val="none" w:sz="0" w:space="0" w:color="auto"/>
        </w:pBdr>
        <w:spacing w:before="60" w:after="120"/>
        <w:ind w:left="0"/>
        <w:rPr>
          <w:rFonts w:asciiTheme="majorHAnsi" w:hAnsiTheme="majorHAnsi" w:cstheme="majorHAnsi"/>
          <w:i/>
          <w:iCs w:val="0"/>
          <w:color w:val="auto"/>
        </w:rPr>
      </w:pPr>
      <w:r w:rsidRPr="006070EA">
        <w:rPr>
          <w:rFonts w:asciiTheme="majorHAnsi" w:hAnsiTheme="majorHAnsi" w:cstheme="majorHAnsi"/>
          <w:i/>
          <w:iCs w:val="0"/>
          <w:color w:val="auto"/>
        </w:rPr>
        <w:t>Počet potenciálních disponibilních stavebních parcel pro realizaci RD v zastavěném území sídla Vápensko = 4</w:t>
      </w:r>
    </w:p>
    <w:p w14:paraId="59872DAC" w14:textId="4C418B6F" w:rsidR="00815B63" w:rsidRPr="006070EA" w:rsidRDefault="006853C1" w:rsidP="00815B63">
      <w:pPr>
        <w:pStyle w:val="Mra2-reakceern"/>
        <w:pBdr>
          <w:left w:val="none" w:sz="0" w:space="0" w:color="auto"/>
        </w:pBdr>
        <w:spacing w:before="60" w:after="120"/>
        <w:ind w:left="0"/>
        <w:rPr>
          <w:rFonts w:asciiTheme="majorHAnsi" w:hAnsiTheme="majorHAnsi" w:cstheme="majorHAnsi"/>
          <w:i/>
          <w:iCs w:val="0"/>
          <w:color w:val="auto"/>
        </w:rPr>
      </w:pPr>
      <w:r w:rsidRPr="006070EA">
        <w:rPr>
          <w:rFonts w:asciiTheme="majorHAnsi" w:hAnsiTheme="majorHAnsi" w:cstheme="majorHAnsi"/>
          <w:i/>
          <w:iCs w:val="0"/>
          <w:noProof/>
          <w:color w:val="auto"/>
        </w:rPr>
        <w:lastRenderedPageBreak/>
        <w:drawing>
          <wp:inline distT="0" distB="0" distL="0" distR="0" wp14:anchorId="5A350C4D" wp14:editId="2C8DDDF3">
            <wp:extent cx="4392000" cy="8626811"/>
            <wp:effectExtent l="0" t="0" r="0" b="0"/>
            <wp:docPr id="21"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392000" cy="8626811"/>
                    </a:xfrm>
                    <a:prstGeom prst="rect">
                      <a:avLst/>
                    </a:prstGeom>
                    <a:noFill/>
                    <a:ln>
                      <a:noFill/>
                    </a:ln>
                  </pic:spPr>
                </pic:pic>
              </a:graphicData>
            </a:graphic>
          </wp:inline>
        </w:drawing>
      </w:r>
    </w:p>
    <w:p w14:paraId="4F79B295" w14:textId="7790CDC4" w:rsidR="006853C1" w:rsidRPr="006070EA" w:rsidRDefault="006853C1" w:rsidP="006853C1">
      <w:pPr>
        <w:pStyle w:val="Mra2-reakceern"/>
        <w:pBdr>
          <w:left w:val="none" w:sz="0" w:space="0" w:color="auto"/>
        </w:pBdr>
        <w:spacing w:before="60" w:after="120"/>
        <w:ind w:left="0"/>
        <w:rPr>
          <w:rFonts w:asciiTheme="majorHAnsi" w:hAnsiTheme="majorHAnsi" w:cstheme="majorHAnsi"/>
          <w:i/>
          <w:iCs w:val="0"/>
          <w:color w:val="auto"/>
        </w:rPr>
      </w:pPr>
      <w:r w:rsidRPr="006070EA">
        <w:rPr>
          <w:rFonts w:asciiTheme="majorHAnsi" w:hAnsiTheme="majorHAnsi" w:cstheme="majorHAnsi"/>
          <w:i/>
          <w:iCs w:val="0"/>
          <w:color w:val="auto"/>
        </w:rPr>
        <w:t>Počet potenciálních disponibilních stavebních parcel pro realizaci RD v zastavěném území sídla Lány = 4</w:t>
      </w:r>
    </w:p>
    <w:p w14:paraId="7ACF3997" w14:textId="77777777" w:rsidR="00F90B15" w:rsidRPr="006070EA" w:rsidRDefault="00F90B15" w:rsidP="00F90B15">
      <w:pPr>
        <w:pStyle w:val="Mra2-reakceern"/>
        <w:pBdr>
          <w:left w:val="none" w:sz="0" w:space="0" w:color="auto"/>
        </w:pBdr>
        <w:spacing w:before="60" w:after="120"/>
        <w:ind w:left="0"/>
        <w:rPr>
          <w:rFonts w:asciiTheme="majorHAnsi" w:hAnsiTheme="majorHAnsi" w:cstheme="majorHAnsi"/>
          <w:i/>
          <w:iCs w:val="0"/>
          <w:color w:val="auto"/>
        </w:rPr>
      </w:pPr>
      <w:r w:rsidRPr="006070EA">
        <w:rPr>
          <w:rFonts w:asciiTheme="majorHAnsi" w:hAnsiTheme="majorHAnsi" w:cstheme="majorHAnsi"/>
          <w:i/>
          <w:iCs w:val="0"/>
          <w:noProof/>
          <w:color w:val="auto"/>
        </w:rPr>
        <w:lastRenderedPageBreak/>
        <w:drawing>
          <wp:inline distT="0" distB="0" distL="0" distR="0" wp14:anchorId="308A1C63" wp14:editId="3D6FE0C0">
            <wp:extent cx="5753100" cy="3295650"/>
            <wp:effectExtent l="0" t="0" r="0" b="0"/>
            <wp:docPr id="23" name="Obrázek 23" descr="Obsah obrázku map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Obrázek 23" descr="Obsah obrázku mapa&#10;&#10;Popis byl vytvořen automaticky"/>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53100" cy="3295650"/>
                    </a:xfrm>
                    <a:prstGeom prst="rect">
                      <a:avLst/>
                    </a:prstGeom>
                    <a:noFill/>
                    <a:ln>
                      <a:noFill/>
                    </a:ln>
                  </pic:spPr>
                </pic:pic>
              </a:graphicData>
            </a:graphic>
          </wp:inline>
        </w:drawing>
      </w:r>
    </w:p>
    <w:p w14:paraId="7AE14E69" w14:textId="77777777" w:rsidR="00F90B15" w:rsidRPr="006070EA" w:rsidRDefault="00F90B15" w:rsidP="00F90B15">
      <w:pPr>
        <w:pStyle w:val="Mra2-reakceern"/>
        <w:pBdr>
          <w:left w:val="none" w:sz="0" w:space="0" w:color="auto"/>
        </w:pBdr>
        <w:spacing w:before="60" w:after="120"/>
        <w:ind w:left="0"/>
        <w:rPr>
          <w:rFonts w:asciiTheme="majorHAnsi" w:hAnsiTheme="majorHAnsi" w:cstheme="majorHAnsi"/>
          <w:i/>
          <w:iCs w:val="0"/>
          <w:color w:val="auto"/>
        </w:rPr>
      </w:pPr>
      <w:r w:rsidRPr="006070EA">
        <w:rPr>
          <w:rFonts w:asciiTheme="majorHAnsi" w:hAnsiTheme="majorHAnsi" w:cstheme="majorHAnsi"/>
          <w:i/>
          <w:iCs w:val="0"/>
          <w:color w:val="auto"/>
        </w:rPr>
        <w:t>Počet potenciálních disponibilních stavebních parcel pro realizaci RD v zastavěném území sídla Hronětice = 9</w:t>
      </w:r>
    </w:p>
    <w:p w14:paraId="5819D7F8" w14:textId="56F8DA65" w:rsidR="00CF454D" w:rsidRPr="006070EA" w:rsidRDefault="00CF454D" w:rsidP="00350AB5">
      <w:pPr>
        <w:pStyle w:val="Mra2-reakceern"/>
        <w:pBdr>
          <w:left w:val="none" w:sz="0" w:space="0" w:color="auto"/>
        </w:pBdr>
        <w:spacing w:before="60" w:after="120"/>
        <w:ind w:left="0" w:firstLine="709"/>
        <w:rPr>
          <w:rFonts w:asciiTheme="majorHAnsi" w:hAnsiTheme="majorHAnsi" w:cstheme="majorHAnsi"/>
          <w:color w:val="auto"/>
        </w:rPr>
      </w:pPr>
      <w:r w:rsidRPr="006070EA">
        <w:rPr>
          <w:rFonts w:asciiTheme="majorHAnsi" w:hAnsiTheme="majorHAnsi" w:cstheme="majorHAnsi"/>
          <w:color w:val="auto"/>
        </w:rPr>
        <w:t>Zasta</w:t>
      </w:r>
      <w:r w:rsidR="00350AB5" w:rsidRPr="006070EA">
        <w:rPr>
          <w:rFonts w:asciiTheme="majorHAnsi" w:hAnsiTheme="majorHAnsi" w:cstheme="majorHAnsi"/>
          <w:color w:val="auto"/>
        </w:rPr>
        <w:t>věné území j</w:t>
      </w:r>
      <w:r w:rsidR="00933CD2" w:rsidRPr="006070EA">
        <w:rPr>
          <w:rFonts w:asciiTheme="majorHAnsi" w:hAnsiTheme="majorHAnsi" w:cstheme="majorHAnsi"/>
          <w:color w:val="auto"/>
        </w:rPr>
        <w:t>ednotlivých sídel v řešeném území je</w:t>
      </w:r>
      <w:r w:rsidR="00350AB5" w:rsidRPr="006070EA">
        <w:rPr>
          <w:rFonts w:asciiTheme="majorHAnsi" w:hAnsiTheme="majorHAnsi" w:cstheme="majorHAnsi"/>
          <w:color w:val="auto"/>
        </w:rPr>
        <w:t xml:space="preserve"> převážně využito. V</w:t>
      </w:r>
      <w:r w:rsidRPr="006070EA">
        <w:rPr>
          <w:rFonts w:asciiTheme="majorHAnsi" w:hAnsiTheme="majorHAnsi" w:cstheme="majorHAnsi"/>
          <w:color w:val="auto"/>
        </w:rPr>
        <w:t> sídle</w:t>
      </w:r>
      <w:r w:rsidR="00933CD2" w:rsidRPr="006070EA">
        <w:rPr>
          <w:rFonts w:asciiTheme="majorHAnsi" w:hAnsiTheme="majorHAnsi" w:cstheme="majorHAnsi"/>
          <w:color w:val="auto"/>
        </w:rPr>
        <w:t>ch</w:t>
      </w:r>
      <w:r w:rsidRPr="006070EA">
        <w:rPr>
          <w:rFonts w:asciiTheme="majorHAnsi" w:hAnsiTheme="majorHAnsi" w:cstheme="majorHAnsi"/>
          <w:color w:val="auto"/>
        </w:rPr>
        <w:t xml:space="preserve"> lze identifikovat </w:t>
      </w:r>
      <w:r w:rsidR="00350AB5" w:rsidRPr="006070EA">
        <w:rPr>
          <w:rFonts w:asciiTheme="majorHAnsi" w:hAnsiTheme="majorHAnsi" w:cstheme="majorHAnsi"/>
          <w:color w:val="auto"/>
        </w:rPr>
        <w:t>volné plochy</w:t>
      </w:r>
      <w:r w:rsidRPr="006070EA">
        <w:rPr>
          <w:rFonts w:asciiTheme="majorHAnsi" w:hAnsiTheme="majorHAnsi" w:cstheme="majorHAnsi"/>
          <w:color w:val="auto"/>
        </w:rPr>
        <w:t xml:space="preserve"> </w:t>
      </w:r>
      <w:r w:rsidR="00933CD2" w:rsidRPr="006070EA">
        <w:rPr>
          <w:rFonts w:asciiTheme="majorHAnsi" w:hAnsiTheme="majorHAnsi" w:cstheme="majorHAnsi"/>
          <w:color w:val="auto"/>
        </w:rPr>
        <w:t xml:space="preserve">zejména </w:t>
      </w:r>
      <w:r w:rsidRPr="006070EA">
        <w:rPr>
          <w:rFonts w:asciiTheme="majorHAnsi" w:hAnsiTheme="majorHAnsi" w:cstheme="majorHAnsi"/>
          <w:color w:val="auto"/>
        </w:rPr>
        <w:t xml:space="preserve">v plochách větších zahrad. </w:t>
      </w:r>
      <w:r w:rsidR="00350AB5" w:rsidRPr="006070EA">
        <w:rPr>
          <w:rFonts w:asciiTheme="majorHAnsi" w:hAnsiTheme="majorHAnsi" w:cstheme="majorHAnsi"/>
          <w:color w:val="auto"/>
        </w:rPr>
        <w:t xml:space="preserve">S těmito </w:t>
      </w:r>
      <w:r w:rsidR="00820EE7" w:rsidRPr="006070EA">
        <w:rPr>
          <w:rFonts w:asciiTheme="majorHAnsi" w:hAnsiTheme="majorHAnsi" w:cstheme="majorHAnsi"/>
          <w:color w:val="auto"/>
        </w:rPr>
        <w:t xml:space="preserve">pozemky </w:t>
      </w:r>
      <w:r w:rsidRPr="006070EA">
        <w:rPr>
          <w:rFonts w:asciiTheme="majorHAnsi" w:hAnsiTheme="majorHAnsi" w:cstheme="majorHAnsi"/>
          <w:color w:val="auto"/>
        </w:rPr>
        <w:t xml:space="preserve">však nelze </w:t>
      </w:r>
      <w:r w:rsidR="00820EE7" w:rsidRPr="006070EA">
        <w:rPr>
          <w:rFonts w:asciiTheme="majorHAnsi" w:hAnsiTheme="majorHAnsi" w:cstheme="majorHAnsi"/>
          <w:color w:val="auto"/>
        </w:rPr>
        <w:t xml:space="preserve">automaticky </w:t>
      </w:r>
      <w:r w:rsidRPr="006070EA">
        <w:rPr>
          <w:rFonts w:asciiTheme="majorHAnsi" w:hAnsiTheme="majorHAnsi" w:cstheme="majorHAnsi"/>
          <w:color w:val="auto"/>
        </w:rPr>
        <w:t xml:space="preserve">s ohledem na vlastnické vztahy počítat jako s dostupnými plochami pro rozvoj bydlení. </w:t>
      </w:r>
      <w:r w:rsidR="00350AB5" w:rsidRPr="006070EA">
        <w:rPr>
          <w:rFonts w:asciiTheme="majorHAnsi" w:hAnsiTheme="majorHAnsi" w:cstheme="majorHAnsi"/>
          <w:color w:val="auto"/>
        </w:rPr>
        <w:t>Rezervu zastavěného území vytvářejí v</w:t>
      </w:r>
      <w:r w:rsidRPr="006070EA">
        <w:rPr>
          <w:rFonts w:asciiTheme="majorHAnsi" w:hAnsiTheme="majorHAnsi" w:cstheme="majorHAnsi"/>
          <w:color w:val="auto"/>
        </w:rPr>
        <w:t>olné</w:t>
      </w:r>
      <w:r w:rsidR="00350AB5" w:rsidRPr="006070EA">
        <w:rPr>
          <w:rFonts w:asciiTheme="majorHAnsi" w:hAnsiTheme="majorHAnsi" w:cstheme="majorHAnsi"/>
          <w:color w:val="auto"/>
        </w:rPr>
        <w:t> </w:t>
      </w:r>
      <w:r w:rsidRPr="006070EA">
        <w:rPr>
          <w:rFonts w:asciiTheme="majorHAnsi" w:hAnsiTheme="majorHAnsi" w:cstheme="majorHAnsi"/>
          <w:color w:val="auto"/>
        </w:rPr>
        <w:t>pozemky v zastavěném území nedotčené výstavbou (zejména proluky mezi stavbami)</w:t>
      </w:r>
      <w:r w:rsidR="00642942" w:rsidRPr="006070EA">
        <w:rPr>
          <w:rFonts w:asciiTheme="majorHAnsi" w:hAnsiTheme="majorHAnsi" w:cstheme="majorHAnsi"/>
          <w:color w:val="auto"/>
        </w:rPr>
        <w:t>, které</w:t>
      </w:r>
      <w:r w:rsidRPr="006070EA">
        <w:rPr>
          <w:rFonts w:asciiTheme="majorHAnsi" w:hAnsiTheme="majorHAnsi" w:cstheme="majorHAnsi"/>
          <w:color w:val="auto"/>
        </w:rPr>
        <w:t xml:space="preserve"> mohou být v budoucnu využity pro výstavbu. </w:t>
      </w:r>
    </w:p>
    <w:p w14:paraId="727F28D2" w14:textId="456C1D6D" w:rsidR="00CF454D" w:rsidRPr="006070EA" w:rsidRDefault="00CF454D" w:rsidP="00820EE7">
      <w:pPr>
        <w:pStyle w:val="Mra2-reakceern"/>
        <w:pBdr>
          <w:left w:val="none" w:sz="0" w:space="0" w:color="auto"/>
        </w:pBdr>
        <w:spacing w:before="60" w:after="120"/>
        <w:ind w:left="0" w:firstLine="709"/>
        <w:rPr>
          <w:rFonts w:asciiTheme="majorHAnsi" w:hAnsiTheme="majorHAnsi" w:cstheme="majorHAnsi"/>
          <w:color w:val="auto"/>
        </w:rPr>
      </w:pPr>
      <w:r w:rsidRPr="006070EA">
        <w:rPr>
          <w:rFonts w:asciiTheme="majorHAnsi" w:hAnsiTheme="majorHAnsi" w:cstheme="majorHAnsi"/>
          <w:color w:val="auto"/>
        </w:rPr>
        <w:t xml:space="preserve">Z analýzy využití zastavěného území provedené v úvodní fázi zpracování návrhu ÚP </w:t>
      </w:r>
      <w:r w:rsidR="00820EE7" w:rsidRPr="006070EA">
        <w:rPr>
          <w:rFonts w:asciiTheme="majorHAnsi" w:hAnsiTheme="majorHAnsi" w:cstheme="majorHAnsi"/>
          <w:color w:val="auto"/>
        </w:rPr>
        <w:t>Kostomlaty nad Labem</w:t>
      </w:r>
      <w:r w:rsidRPr="006070EA">
        <w:rPr>
          <w:rFonts w:asciiTheme="majorHAnsi" w:hAnsiTheme="majorHAnsi" w:cstheme="majorHAnsi"/>
          <w:color w:val="auto"/>
        </w:rPr>
        <w:t xml:space="preserve"> vyplývá, že </w:t>
      </w:r>
      <w:r w:rsidRPr="006070EA">
        <w:rPr>
          <w:rFonts w:asciiTheme="majorHAnsi" w:hAnsiTheme="majorHAnsi" w:cstheme="majorHAnsi"/>
          <w:color w:val="auto"/>
          <w:u w:val="single"/>
        </w:rPr>
        <w:t xml:space="preserve">v zastavěném území </w:t>
      </w:r>
      <w:r w:rsidR="00642942" w:rsidRPr="006070EA">
        <w:rPr>
          <w:rFonts w:asciiTheme="majorHAnsi" w:hAnsiTheme="majorHAnsi" w:cstheme="majorHAnsi"/>
          <w:color w:val="auto"/>
          <w:u w:val="single"/>
        </w:rPr>
        <w:t>se nachází</w:t>
      </w:r>
      <w:r w:rsidRPr="006070EA">
        <w:rPr>
          <w:rFonts w:asciiTheme="majorHAnsi" w:hAnsiTheme="majorHAnsi" w:cstheme="majorHAnsi"/>
          <w:color w:val="auto"/>
          <w:u w:val="single"/>
        </w:rPr>
        <w:t xml:space="preserve"> rezervy pro novou výstavbu </w:t>
      </w:r>
      <w:r w:rsidR="00820EE7" w:rsidRPr="006070EA">
        <w:rPr>
          <w:rFonts w:asciiTheme="majorHAnsi" w:hAnsiTheme="majorHAnsi" w:cstheme="majorHAnsi"/>
          <w:color w:val="auto"/>
          <w:u w:val="single"/>
        </w:rPr>
        <w:t>cca 40</w:t>
      </w:r>
      <w:r w:rsidRPr="006070EA">
        <w:rPr>
          <w:rFonts w:asciiTheme="majorHAnsi" w:hAnsiTheme="majorHAnsi" w:cstheme="majorHAnsi"/>
          <w:color w:val="auto"/>
          <w:u w:val="single"/>
        </w:rPr>
        <w:t xml:space="preserve"> RD</w:t>
      </w:r>
      <w:r w:rsidRPr="006070EA">
        <w:rPr>
          <w:rFonts w:asciiTheme="majorHAnsi" w:hAnsiTheme="majorHAnsi" w:cstheme="majorHAnsi"/>
          <w:color w:val="auto"/>
        </w:rPr>
        <w:t xml:space="preserve">, a to především na pozemcích, které nevytvářejí společný celek s žádnou stavbou pro bydlení, jsou dostupné ze stávajících dopravních komunikací a mají charakter nevyužívaných proluk v zástavbě. </w:t>
      </w:r>
      <w:r w:rsidR="00820EE7" w:rsidRPr="006070EA">
        <w:rPr>
          <w:rFonts w:asciiTheme="majorHAnsi" w:hAnsiTheme="majorHAnsi" w:cstheme="majorHAnsi"/>
          <w:color w:val="auto"/>
        </w:rPr>
        <w:t>Distribuci těchto ploch dle jednotlivých sídel interpretuje níže uvedená tabulka:</w:t>
      </w:r>
    </w:p>
    <w:tbl>
      <w:tblPr>
        <w:tblStyle w:val="Mkatabulky"/>
        <w:tblW w:w="0" w:type="auto"/>
        <w:jc w:val="center"/>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4533"/>
        <w:gridCol w:w="4537"/>
      </w:tblGrid>
      <w:tr w:rsidR="00D204CA" w:rsidRPr="006070EA" w14:paraId="4B61E93F" w14:textId="77777777" w:rsidTr="00820EE7">
        <w:trPr>
          <w:jc w:val="center"/>
        </w:trPr>
        <w:tc>
          <w:tcPr>
            <w:tcW w:w="4605" w:type="dxa"/>
            <w:vAlign w:val="center"/>
          </w:tcPr>
          <w:p w14:paraId="75E4BFF4" w14:textId="2DEC7D2D" w:rsidR="00820EE7" w:rsidRPr="006070EA" w:rsidRDefault="00820EE7" w:rsidP="00820EE7">
            <w:pPr>
              <w:pStyle w:val="Mra2-reakceern"/>
              <w:pBdr>
                <w:left w:val="none" w:sz="0" w:space="0" w:color="auto"/>
              </w:pBdr>
              <w:ind w:left="0"/>
              <w:jc w:val="center"/>
              <w:rPr>
                <w:rFonts w:asciiTheme="majorHAnsi" w:hAnsiTheme="majorHAnsi" w:cstheme="majorHAnsi"/>
                <w:b/>
                <w:bCs w:val="0"/>
                <w:color w:val="auto"/>
              </w:rPr>
            </w:pPr>
            <w:r w:rsidRPr="006070EA">
              <w:rPr>
                <w:rFonts w:asciiTheme="majorHAnsi" w:hAnsiTheme="majorHAnsi" w:cstheme="majorHAnsi"/>
                <w:b/>
                <w:bCs w:val="0"/>
                <w:color w:val="auto"/>
              </w:rPr>
              <w:t>Sídlo</w:t>
            </w:r>
          </w:p>
        </w:tc>
        <w:tc>
          <w:tcPr>
            <w:tcW w:w="4605" w:type="dxa"/>
            <w:vAlign w:val="center"/>
          </w:tcPr>
          <w:p w14:paraId="63A4FBEF" w14:textId="05746935" w:rsidR="00820EE7" w:rsidRPr="006070EA" w:rsidRDefault="00820EE7" w:rsidP="00820EE7">
            <w:pPr>
              <w:pStyle w:val="Mra2-reakceern"/>
              <w:pBdr>
                <w:left w:val="none" w:sz="0" w:space="0" w:color="auto"/>
              </w:pBdr>
              <w:ind w:left="0"/>
              <w:jc w:val="center"/>
              <w:rPr>
                <w:rFonts w:asciiTheme="majorHAnsi" w:hAnsiTheme="majorHAnsi" w:cstheme="majorHAnsi"/>
                <w:b/>
                <w:bCs w:val="0"/>
                <w:color w:val="auto"/>
              </w:rPr>
            </w:pPr>
            <w:r w:rsidRPr="006070EA">
              <w:rPr>
                <w:rFonts w:asciiTheme="majorHAnsi" w:hAnsiTheme="majorHAnsi" w:cstheme="majorHAnsi"/>
                <w:b/>
                <w:bCs w:val="0"/>
                <w:color w:val="auto"/>
              </w:rPr>
              <w:t>Počet parcel pro RD v zastavěném území*</w:t>
            </w:r>
          </w:p>
        </w:tc>
      </w:tr>
      <w:tr w:rsidR="00D204CA" w:rsidRPr="006070EA" w14:paraId="4E427618" w14:textId="77777777" w:rsidTr="00820EE7">
        <w:trPr>
          <w:jc w:val="center"/>
        </w:trPr>
        <w:tc>
          <w:tcPr>
            <w:tcW w:w="4605" w:type="dxa"/>
            <w:vAlign w:val="center"/>
          </w:tcPr>
          <w:p w14:paraId="063E0589" w14:textId="35A5DD40" w:rsidR="00820EE7" w:rsidRPr="006070EA" w:rsidRDefault="00820EE7" w:rsidP="00820EE7">
            <w:pPr>
              <w:pStyle w:val="Mra2-reakceern"/>
              <w:pBdr>
                <w:left w:val="none" w:sz="0" w:space="0" w:color="auto"/>
              </w:pBdr>
              <w:ind w:left="0"/>
              <w:jc w:val="center"/>
              <w:rPr>
                <w:rFonts w:asciiTheme="majorHAnsi" w:hAnsiTheme="majorHAnsi" w:cstheme="majorHAnsi"/>
                <w:color w:val="auto"/>
              </w:rPr>
            </w:pPr>
            <w:r w:rsidRPr="006070EA">
              <w:rPr>
                <w:rFonts w:asciiTheme="majorHAnsi" w:hAnsiTheme="majorHAnsi" w:cstheme="majorHAnsi"/>
                <w:color w:val="auto"/>
              </w:rPr>
              <w:t>Kostomlaty nad Labem</w:t>
            </w:r>
          </w:p>
        </w:tc>
        <w:tc>
          <w:tcPr>
            <w:tcW w:w="4605" w:type="dxa"/>
            <w:vAlign w:val="center"/>
          </w:tcPr>
          <w:p w14:paraId="1466FE9C" w14:textId="399541BD" w:rsidR="00820EE7" w:rsidRPr="006070EA" w:rsidRDefault="00820EE7" w:rsidP="00820EE7">
            <w:pPr>
              <w:pStyle w:val="Mra2-reakceern"/>
              <w:pBdr>
                <w:left w:val="none" w:sz="0" w:space="0" w:color="auto"/>
              </w:pBdr>
              <w:ind w:left="0"/>
              <w:jc w:val="center"/>
              <w:rPr>
                <w:rFonts w:asciiTheme="majorHAnsi" w:hAnsiTheme="majorHAnsi" w:cstheme="majorHAnsi"/>
                <w:color w:val="auto"/>
              </w:rPr>
            </w:pPr>
            <w:r w:rsidRPr="006070EA">
              <w:rPr>
                <w:rFonts w:asciiTheme="majorHAnsi" w:hAnsiTheme="majorHAnsi" w:cstheme="majorHAnsi"/>
                <w:color w:val="auto"/>
              </w:rPr>
              <w:t>18</w:t>
            </w:r>
          </w:p>
        </w:tc>
      </w:tr>
      <w:tr w:rsidR="00D204CA" w:rsidRPr="006070EA" w14:paraId="176989FA" w14:textId="77777777" w:rsidTr="00820EE7">
        <w:trPr>
          <w:jc w:val="center"/>
        </w:trPr>
        <w:tc>
          <w:tcPr>
            <w:tcW w:w="4605" w:type="dxa"/>
            <w:vAlign w:val="center"/>
          </w:tcPr>
          <w:p w14:paraId="66B9653C" w14:textId="55427A81" w:rsidR="00820EE7" w:rsidRPr="006070EA" w:rsidRDefault="00820EE7" w:rsidP="00820EE7">
            <w:pPr>
              <w:pStyle w:val="Mra2-reakceern"/>
              <w:pBdr>
                <w:left w:val="none" w:sz="0" w:space="0" w:color="auto"/>
              </w:pBdr>
              <w:ind w:left="0"/>
              <w:jc w:val="center"/>
              <w:rPr>
                <w:rFonts w:asciiTheme="majorHAnsi" w:hAnsiTheme="majorHAnsi" w:cstheme="majorHAnsi"/>
                <w:color w:val="auto"/>
              </w:rPr>
            </w:pPr>
            <w:r w:rsidRPr="006070EA">
              <w:rPr>
                <w:rFonts w:asciiTheme="majorHAnsi" w:hAnsiTheme="majorHAnsi" w:cstheme="majorHAnsi"/>
                <w:color w:val="auto"/>
              </w:rPr>
              <w:t>Rozkoš</w:t>
            </w:r>
          </w:p>
        </w:tc>
        <w:tc>
          <w:tcPr>
            <w:tcW w:w="4605" w:type="dxa"/>
            <w:vAlign w:val="center"/>
          </w:tcPr>
          <w:p w14:paraId="716DABED" w14:textId="72628B7D" w:rsidR="00820EE7" w:rsidRPr="006070EA" w:rsidRDefault="00820EE7" w:rsidP="00820EE7">
            <w:pPr>
              <w:pStyle w:val="Mra2-reakceern"/>
              <w:pBdr>
                <w:left w:val="none" w:sz="0" w:space="0" w:color="auto"/>
              </w:pBdr>
              <w:ind w:left="0"/>
              <w:jc w:val="center"/>
              <w:rPr>
                <w:rFonts w:asciiTheme="majorHAnsi" w:hAnsiTheme="majorHAnsi" w:cstheme="majorHAnsi"/>
                <w:color w:val="auto"/>
              </w:rPr>
            </w:pPr>
            <w:r w:rsidRPr="006070EA">
              <w:rPr>
                <w:rFonts w:asciiTheme="majorHAnsi" w:hAnsiTheme="majorHAnsi" w:cstheme="majorHAnsi"/>
                <w:color w:val="auto"/>
              </w:rPr>
              <w:t>4</w:t>
            </w:r>
          </w:p>
        </w:tc>
      </w:tr>
      <w:tr w:rsidR="00D204CA" w:rsidRPr="006070EA" w14:paraId="1ACD1976" w14:textId="77777777" w:rsidTr="00820EE7">
        <w:trPr>
          <w:jc w:val="center"/>
        </w:trPr>
        <w:tc>
          <w:tcPr>
            <w:tcW w:w="4605" w:type="dxa"/>
            <w:vAlign w:val="center"/>
          </w:tcPr>
          <w:p w14:paraId="46DEFE6E" w14:textId="0C0DC6B9" w:rsidR="00820EE7" w:rsidRPr="006070EA" w:rsidRDefault="00820EE7" w:rsidP="00820EE7">
            <w:pPr>
              <w:pStyle w:val="Mra2-reakceern"/>
              <w:pBdr>
                <w:left w:val="none" w:sz="0" w:space="0" w:color="auto"/>
              </w:pBdr>
              <w:ind w:left="0"/>
              <w:jc w:val="center"/>
              <w:rPr>
                <w:rFonts w:asciiTheme="majorHAnsi" w:hAnsiTheme="majorHAnsi" w:cstheme="majorHAnsi"/>
                <w:color w:val="auto"/>
              </w:rPr>
            </w:pPr>
            <w:r w:rsidRPr="006070EA">
              <w:rPr>
                <w:rFonts w:asciiTheme="majorHAnsi" w:hAnsiTheme="majorHAnsi" w:cstheme="majorHAnsi"/>
                <w:color w:val="auto"/>
              </w:rPr>
              <w:t>Lány</w:t>
            </w:r>
          </w:p>
        </w:tc>
        <w:tc>
          <w:tcPr>
            <w:tcW w:w="4605" w:type="dxa"/>
            <w:vAlign w:val="center"/>
          </w:tcPr>
          <w:p w14:paraId="73D3AE28" w14:textId="68B6B173" w:rsidR="00820EE7" w:rsidRPr="006070EA" w:rsidRDefault="00D204CA" w:rsidP="00820EE7">
            <w:pPr>
              <w:pStyle w:val="Mra2-reakceern"/>
              <w:pBdr>
                <w:left w:val="none" w:sz="0" w:space="0" w:color="auto"/>
              </w:pBdr>
              <w:ind w:left="0"/>
              <w:jc w:val="center"/>
              <w:rPr>
                <w:rFonts w:asciiTheme="majorHAnsi" w:hAnsiTheme="majorHAnsi" w:cstheme="majorHAnsi"/>
                <w:color w:val="auto"/>
              </w:rPr>
            </w:pPr>
            <w:r w:rsidRPr="006070EA">
              <w:rPr>
                <w:rFonts w:asciiTheme="majorHAnsi" w:hAnsiTheme="majorHAnsi" w:cstheme="majorHAnsi"/>
                <w:color w:val="auto"/>
              </w:rPr>
              <w:t>4</w:t>
            </w:r>
          </w:p>
        </w:tc>
      </w:tr>
      <w:tr w:rsidR="00D204CA" w:rsidRPr="006070EA" w14:paraId="321A835B" w14:textId="77777777" w:rsidTr="00820EE7">
        <w:trPr>
          <w:jc w:val="center"/>
        </w:trPr>
        <w:tc>
          <w:tcPr>
            <w:tcW w:w="4605" w:type="dxa"/>
            <w:vAlign w:val="center"/>
          </w:tcPr>
          <w:p w14:paraId="4956911E" w14:textId="65D93D1B" w:rsidR="00820EE7" w:rsidRPr="006070EA" w:rsidRDefault="00D204CA" w:rsidP="00820EE7">
            <w:pPr>
              <w:pStyle w:val="Mra2-reakceern"/>
              <w:pBdr>
                <w:left w:val="none" w:sz="0" w:space="0" w:color="auto"/>
              </w:pBdr>
              <w:ind w:left="0"/>
              <w:jc w:val="center"/>
              <w:rPr>
                <w:rFonts w:asciiTheme="majorHAnsi" w:hAnsiTheme="majorHAnsi" w:cstheme="majorHAnsi"/>
                <w:color w:val="auto"/>
              </w:rPr>
            </w:pPr>
            <w:r w:rsidRPr="006070EA">
              <w:rPr>
                <w:rFonts w:asciiTheme="majorHAnsi" w:hAnsiTheme="majorHAnsi" w:cstheme="majorHAnsi"/>
                <w:color w:val="auto"/>
              </w:rPr>
              <w:t>Hronětice</w:t>
            </w:r>
          </w:p>
        </w:tc>
        <w:tc>
          <w:tcPr>
            <w:tcW w:w="4605" w:type="dxa"/>
            <w:vAlign w:val="center"/>
          </w:tcPr>
          <w:p w14:paraId="190A1028" w14:textId="5A0A1158" w:rsidR="00820EE7" w:rsidRPr="006070EA" w:rsidRDefault="00D204CA" w:rsidP="00820EE7">
            <w:pPr>
              <w:pStyle w:val="Mra2-reakceern"/>
              <w:pBdr>
                <w:left w:val="none" w:sz="0" w:space="0" w:color="auto"/>
              </w:pBdr>
              <w:ind w:left="0"/>
              <w:jc w:val="center"/>
              <w:rPr>
                <w:rFonts w:asciiTheme="majorHAnsi" w:hAnsiTheme="majorHAnsi" w:cstheme="majorHAnsi"/>
                <w:color w:val="auto"/>
              </w:rPr>
            </w:pPr>
            <w:r w:rsidRPr="006070EA">
              <w:rPr>
                <w:rFonts w:asciiTheme="majorHAnsi" w:hAnsiTheme="majorHAnsi" w:cstheme="majorHAnsi"/>
                <w:color w:val="auto"/>
              </w:rPr>
              <w:t>9</w:t>
            </w:r>
          </w:p>
        </w:tc>
      </w:tr>
      <w:tr w:rsidR="00D204CA" w:rsidRPr="006070EA" w14:paraId="64A2D550" w14:textId="77777777" w:rsidTr="00820EE7">
        <w:trPr>
          <w:jc w:val="center"/>
        </w:trPr>
        <w:tc>
          <w:tcPr>
            <w:tcW w:w="4605" w:type="dxa"/>
            <w:vAlign w:val="center"/>
          </w:tcPr>
          <w:p w14:paraId="455E7C24" w14:textId="3E6EA14B" w:rsidR="00D204CA" w:rsidRPr="006070EA" w:rsidRDefault="00D204CA" w:rsidP="00820EE7">
            <w:pPr>
              <w:pStyle w:val="Mra2-reakceern"/>
              <w:pBdr>
                <w:left w:val="none" w:sz="0" w:space="0" w:color="auto"/>
              </w:pBdr>
              <w:ind w:left="0"/>
              <w:jc w:val="center"/>
              <w:rPr>
                <w:rFonts w:asciiTheme="majorHAnsi" w:hAnsiTheme="majorHAnsi" w:cstheme="majorHAnsi"/>
                <w:color w:val="auto"/>
              </w:rPr>
            </w:pPr>
            <w:r w:rsidRPr="006070EA">
              <w:rPr>
                <w:rFonts w:asciiTheme="majorHAnsi" w:hAnsiTheme="majorHAnsi" w:cstheme="majorHAnsi"/>
                <w:color w:val="auto"/>
              </w:rPr>
              <w:t>Vápensko</w:t>
            </w:r>
          </w:p>
        </w:tc>
        <w:tc>
          <w:tcPr>
            <w:tcW w:w="4605" w:type="dxa"/>
            <w:vAlign w:val="center"/>
          </w:tcPr>
          <w:p w14:paraId="54CD5781" w14:textId="352E7F68" w:rsidR="00D204CA" w:rsidRPr="006070EA" w:rsidRDefault="00D204CA" w:rsidP="00820EE7">
            <w:pPr>
              <w:pStyle w:val="Mra2-reakceern"/>
              <w:pBdr>
                <w:left w:val="none" w:sz="0" w:space="0" w:color="auto"/>
              </w:pBdr>
              <w:ind w:left="0"/>
              <w:jc w:val="center"/>
              <w:rPr>
                <w:rFonts w:asciiTheme="majorHAnsi" w:hAnsiTheme="majorHAnsi" w:cstheme="majorHAnsi"/>
                <w:color w:val="auto"/>
              </w:rPr>
            </w:pPr>
            <w:r w:rsidRPr="006070EA">
              <w:rPr>
                <w:rFonts w:asciiTheme="majorHAnsi" w:hAnsiTheme="majorHAnsi" w:cstheme="majorHAnsi"/>
                <w:color w:val="auto"/>
              </w:rPr>
              <w:t>4</w:t>
            </w:r>
          </w:p>
        </w:tc>
      </w:tr>
    </w:tbl>
    <w:p w14:paraId="114B16FA" w14:textId="2DA687DB" w:rsidR="00820EE7" w:rsidRPr="006070EA" w:rsidRDefault="00820EE7" w:rsidP="00D204CA">
      <w:pPr>
        <w:pStyle w:val="Mra2-reakceern"/>
        <w:pBdr>
          <w:left w:val="none" w:sz="0" w:space="0" w:color="auto"/>
        </w:pBdr>
        <w:spacing w:before="60" w:after="120"/>
        <w:ind w:left="0"/>
        <w:rPr>
          <w:rFonts w:asciiTheme="majorHAnsi" w:hAnsiTheme="majorHAnsi" w:cstheme="majorHAnsi"/>
          <w:i/>
          <w:iCs w:val="0"/>
          <w:color w:val="auto"/>
        </w:rPr>
      </w:pPr>
      <w:r w:rsidRPr="006070EA">
        <w:rPr>
          <w:rFonts w:asciiTheme="majorHAnsi" w:hAnsiTheme="majorHAnsi" w:cstheme="majorHAnsi"/>
          <w:i/>
          <w:iCs w:val="0"/>
          <w:color w:val="auto"/>
        </w:rPr>
        <w:t xml:space="preserve">* Představuje počet potenciálních disponibilních parcel pro umístění RD s přihlédnutím ke stanovené regulaci příslušných ploch s rozdílným způsobem využití dle návrhu ÚP Kostomlaty nad Labem a bez zohlednění vlastnických vztahů a dalších podmíněností území. Počet je stanoven odborným odhadem a </w:t>
      </w:r>
      <w:r w:rsidR="00D204CA" w:rsidRPr="006070EA">
        <w:rPr>
          <w:rFonts w:asciiTheme="majorHAnsi" w:hAnsiTheme="majorHAnsi" w:cstheme="majorHAnsi"/>
          <w:i/>
          <w:iCs w:val="0"/>
          <w:color w:val="auto"/>
        </w:rPr>
        <w:t>v reálné situaci se může lišit.</w:t>
      </w:r>
    </w:p>
    <w:p w14:paraId="3B635E73" w14:textId="77777777" w:rsidR="00BB50A7" w:rsidRPr="006070EA" w:rsidRDefault="00B9741F" w:rsidP="003A4B1E">
      <w:pPr>
        <w:pStyle w:val="Odstavecseseznamem"/>
        <w:keepNext/>
        <w:numPr>
          <w:ilvl w:val="1"/>
          <w:numId w:val="29"/>
        </w:numPr>
        <w:spacing w:before="160" w:after="120" w:line="240" w:lineRule="auto"/>
        <w:ind w:left="709" w:hanging="709"/>
        <w:contextualSpacing w:val="0"/>
        <w:outlineLvl w:val="1"/>
        <w:rPr>
          <w:rFonts w:asciiTheme="majorHAnsi" w:hAnsiTheme="majorHAnsi" w:cstheme="majorHAnsi"/>
          <w:b/>
          <w:sz w:val="24"/>
          <w:szCs w:val="20"/>
        </w:rPr>
      </w:pPr>
      <w:bookmarkStart w:id="160" w:name="_Toc415755958"/>
      <w:bookmarkStart w:id="161" w:name="_Toc415756324"/>
      <w:bookmarkStart w:id="162" w:name="_Toc415756683"/>
      <w:bookmarkStart w:id="163" w:name="_Toc415756933"/>
      <w:bookmarkStart w:id="164" w:name="_Toc415757183"/>
      <w:bookmarkStart w:id="165" w:name="_Toc415757432"/>
      <w:bookmarkStart w:id="166" w:name="_Toc415757590"/>
      <w:bookmarkStart w:id="167" w:name="_Toc424050116"/>
      <w:bookmarkStart w:id="168" w:name="_Toc424050290"/>
      <w:bookmarkStart w:id="169" w:name="_Toc424050448"/>
      <w:bookmarkStart w:id="170" w:name="_Toc424112310"/>
      <w:bookmarkStart w:id="171" w:name="_Toc424119334"/>
      <w:bookmarkStart w:id="172" w:name="_Toc424119814"/>
      <w:bookmarkStart w:id="173" w:name="_Toc424120070"/>
      <w:bookmarkStart w:id="174" w:name="_Toc424120496"/>
      <w:bookmarkStart w:id="175" w:name="_Toc424126202"/>
      <w:bookmarkStart w:id="176" w:name="_Toc424138783"/>
      <w:bookmarkStart w:id="177" w:name="_Toc445291897"/>
      <w:bookmarkStart w:id="178" w:name="_Toc445910410"/>
      <w:bookmarkStart w:id="179" w:name="_Toc448831889"/>
      <w:bookmarkStart w:id="180" w:name="_Toc448832079"/>
      <w:bookmarkStart w:id="181" w:name="_Toc450037739"/>
      <w:bookmarkStart w:id="182" w:name="_Toc450223033"/>
      <w:bookmarkStart w:id="183" w:name="_Toc472325683"/>
      <w:bookmarkStart w:id="184" w:name="_Toc204678180"/>
      <w:bookmarkStart w:id="185" w:name="_Toc424119816"/>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r w:rsidRPr="006070EA">
        <w:rPr>
          <w:rFonts w:asciiTheme="majorHAnsi" w:hAnsiTheme="majorHAnsi" w:cstheme="majorHAnsi"/>
          <w:b/>
          <w:sz w:val="24"/>
          <w:szCs w:val="20"/>
        </w:rPr>
        <w:t>Sociodemografický vývoj území</w:t>
      </w:r>
      <w:bookmarkEnd w:id="184"/>
    </w:p>
    <w:p w14:paraId="6E2B3D7D" w14:textId="77777777" w:rsidR="007266DF" w:rsidRPr="006070EA" w:rsidRDefault="007266DF" w:rsidP="0096622F">
      <w:pPr>
        <w:pStyle w:val="Mra2-reakceern"/>
        <w:pBdr>
          <w:left w:val="none" w:sz="0" w:space="0" w:color="auto"/>
        </w:pBdr>
        <w:shd w:val="clear" w:color="auto" w:fill="F2F2F2" w:themeFill="background1" w:themeFillShade="F2"/>
        <w:spacing w:before="120" w:after="120"/>
        <w:ind w:left="0"/>
        <w:rPr>
          <w:rFonts w:asciiTheme="majorHAnsi" w:hAnsiTheme="majorHAnsi" w:cstheme="majorHAnsi"/>
          <w:b/>
          <w:color w:val="auto"/>
          <w:sz w:val="20"/>
        </w:rPr>
      </w:pPr>
      <w:r w:rsidRPr="006070EA">
        <w:rPr>
          <w:rFonts w:asciiTheme="majorHAnsi" w:hAnsiTheme="majorHAnsi" w:cstheme="majorHAnsi"/>
          <w:b/>
          <w:color w:val="auto"/>
          <w:sz w:val="20"/>
        </w:rPr>
        <w:t>Vývoj počtu obyvatel</w:t>
      </w:r>
    </w:p>
    <w:p w14:paraId="2A0098CF" w14:textId="463F416C" w:rsidR="009E5E88" w:rsidRPr="006070EA" w:rsidRDefault="009E5E88" w:rsidP="009457CF">
      <w:pPr>
        <w:pStyle w:val="Atext"/>
        <w:rPr>
          <w:rFonts w:asciiTheme="majorHAnsi" w:hAnsiTheme="majorHAnsi" w:cstheme="majorHAnsi"/>
          <w:color w:val="000000"/>
          <w:szCs w:val="18"/>
        </w:rPr>
      </w:pPr>
      <w:r w:rsidRPr="006070EA">
        <w:rPr>
          <w:rFonts w:asciiTheme="majorHAnsi" w:hAnsiTheme="majorHAnsi" w:cstheme="majorHAnsi"/>
          <w:color w:val="000000"/>
          <w:szCs w:val="18"/>
        </w:rPr>
        <w:t xml:space="preserve">V roce </w:t>
      </w:r>
      <w:r w:rsidR="009457CF" w:rsidRPr="006070EA">
        <w:rPr>
          <w:rFonts w:asciiTheme="majorHAnsi" w:hAnsiTheme="majorHAnsi" w:cstheme="majorHAnsi"/>
          <w:color w:val="000000"/>
          <w:szCs w:val="18"/>
        </w:rPr>
        <w:t>2022</w:t>
      </w:r>
      <w:r w:rsidRPr="006070EA">
        <w:rPr>
          <w:rFonts w:asciiTheme="majorHAnsi" w:hAnsiTheme="majorHAnsi" w:cstheme="majorHAnsi"/>
          <w:color w:val="000000"/>
          <w:szCs w:val="18"/>
        </w:rPr>
        <w:t xml:space="preserve"> bylo v rámci správního území </w:t>
      </w:r>
      <w:r w:rsidR="009457CF" w:rsidRPr="006070EA">
        <w:rPr>
          <w:rFonts w:asciiTheme="majorHAnsi" w:hAnsiTheme="majorHAnsi" w:cstheme="majorHAnsi"/>
          <w:color w:val="000000"/>
          <w:szCs w:val="18"/>
        </w:rPr>
        <w:t xml:space="preserve">obce </w:t>
      </w:r>
      <w:r w:rsidRPr="006070EA">
        <w:rPr>
          <w:rFonts w:asciiTheme="majorHAnsi" w:hAnsiTheme="majorHAnsi" w:cstheme="majorHAnsi"/>
          <w:color w:val="000000"/>
          <w:szCs w:val="18"/>
        </w:rPr>
        <w:t>Kostomlaty nad Labem evidováno 1</w:t>
      </w:r>
      <w:r w:rsidR="009457CF" w:rsidRPr="006070EA">
        <w:rPr>
          <w:rFonts w:asciiTheme="majorHAnsi" w:hAnsiTheme="majorHAnsi" w:cstheme="majorHAnsi"/>
          <w:color w:val="000000"/>
          <w:szCs w:val="18"/>
        </w:rPr>
        <w:t>885</w:t>
      </w:r>
      <w:r w:rsidRPr="006070EA">
        <w:rPr>
          <w:rFonts w:asciiTheme="majorHAnsi" w:hAnsiTheme="majorHAnsi" w:cstheme="majorHAnsi"/>
          <w:color w:val="000000"/>
          <w:szCs w:val="18"/>
        </w:rPr>
        <w:t xml:space="preserve"> obyvatel (k 1. 1., dle ČSÚ). Při výměře řešeného správního území 1805 ha je hustota osídlení v řešeném území cca 10</w:t>
      </w:r>
      <w:r w:rsidR="009457CF" w:rsidRPr="006070EA">
        <w:rPr>
          <w:rFonts w:asciiTheme="majorHAnsi" w:hAnsiTheme="majorHAnsi" w:cstheme="majorHAnsi"/>
          <w:color w:val="000000"/>
          <w:szCs w:val="18"/>
        </w:rPr>
        <w:t>4</w:t>
      </w:r>
      <w:r w:rsidRPr="006070EA">
        <w:rPr>
          <w:rFonts w:asciiTheme="majorHAnsi" w:hAnsiTheme="majorHAnsi" w:cstheme="majorHAnsi"/>
          <w:color w:val="000000"/>
          <w:szCs w:val="18"/>
        </w:rPr>
        <w:t>,4 obyv./km</w:t>
      </w:r>
      <w:r w:rsidRPr="006070EA">
        <w:rPr>
          <w:rFonts w:asciiTheme="majorHAnsi" w:hAnsiTheme="majorHAnsi" w:cstheme="majorHAnsi"/>
          <w:color w:val="000000"/>
          <w:szCs w:val="18"/>
          <w:vertAlign w:val="superscript"/>
        </w:rPr>
        <w:t>2</w:t>
      </w:r>
      <w:r w:rsidRPr="006070EA">
        <w:rPr>
          <w:rFonts w:asciiTheme="majorHAnsi" w:hAnsiTheme="majorHAnsi" w:cstheme="majorHAnsi"/>
          <w:color w:val="000000"/>
          <w:szCs w:val="18"/>
        </w:rPr>
        <w:t>, což je hodnota menší, než kolik činí celorepublikový průměr (133,5 obyv./km</w:t>
      </w:r>
      <w:r w:rsidRPr="006070EA">
        <w:rPr>
          <w:rFonts w:asciiTheme="majorHAnsi" w:hAnsiTheme="majorHAnsi" w:cstheme="majorHAnsi"/>
          <w:color w:val="000000"/>
          <w:szCs w:val="18"/>
          <w:vertAlign w:val="superscript"/>
        </w:rPr>
        <w:t>2</w:t>
      </w:r>
      <w:r w:rsidRPr="006070EA">
        <w:rPr>
          <w:rFonts w:asciiTheme="majorHAnsi" w:hAnsiTheme="majorHAnsi" w:cstheme="majorHAnsi"/>
          <w:color w:val="000000"/>
          <w:szCs w:val="18"/>
        </w:rPr>
        <w:t>).</w:t>
      </w:r>
    </w:p>
    <w:p w14:paraId="4C2D19CC" w14:textId="211ADDE2" w:rsidR="0017066B" w:rsidRPr="006070EA" w:rsidRDefault="009E5E88" w:rsidP="0017066B">
      <w:pPr>
        <w:pStyle w:val="Atext"/>
        <w:rPr>
          <w:rFonts w:asciiTheme="majorHAnsi" w:hAnsiTheme="majorHAnsi" w:cstheme="majorHAnsi"/>
          <w:color w:val="000000"/>
          <w:szCs w:val="18"/>
        </w:rPr>
      </w:pPr>
      <w:r w:rsidRPr="006070EA">
        <w:rPr>
          <w:rFonts w:asciiTheme="majorHAnsi" w:hAnsiTheme="majorHAnsi" w:cstheme="majorHAnsi"/>
          <w:color w:val="000000"/>
          <w:szCs w:val="18"/>
        </w:rPr>
        <w:t xml:space="preserve">Základní údaje o historickém vývoji počtu obyvatel v řešeném území jsou shrnuty v následujících tabulkách popisujících stavy obyvatelstva v rámci správního území Kostomlat nad Labem za období 1869 </w:t>
      </w:r>
      <w:r w:rsidR="009457CF" w:rsidRPr="006070EA">
        <w:rPr>
          <w:rFonts w:asciiTheme="majorHAnsi" w:hAnsiTheme="majorHAnsi" w:cstheme="majorHAnsi"/>
          <w:color w:val="000000"/>
          <w:szCs w:val="18"/>
        </w:rPr>
        <w:t>–</w:t>
      </w:r>
      <w:r w:rsidRPr="006070EA">
        <w:rPr>
          <w:rFonts w:asciiTheme="majorHAnsi" w:hAnsiTheme="majorHAnsi" w:cstheme="majorHAnsi"/>
          <w:color w:val="000000"/>
          <w:szCs w:val="18"/>
        </w:rPr>
        <w:t xml:space="preserve"> 2011 </w:t>
      </w:r>
      <w:r w:rsidR="009457CF" w:rsidRPr="006070EA">
        <w:rPr>
          <w:rFonts w:asciiTheme="majorHAnsi" w:hAnsiTheme="majorHAnsi" w:cstheme="majorHAnsi"/>
          <w:color w:val="000000"/>
          <w:szCs w:val="18"/>
        </w:rPr>
        <w:t xml:space="preserve">(historický vývoj počtu obyvatel) </w:t>
      </w:r>
      <w:r w:rsidRPr="006070EA">
        <w:rPr>
          <w:rFonts w:asciiTheme="majorHAnsi" w:hAnsiTheme="majorHAnsi" w:cstheme="majorHAnsi"/>
          <w:color w:val="000000"/>
          <w:szCs w:val="18"/>
        </w:rPr>
        <w:t>a v letech 200</w:t>
      </w:r>
      <w:r w:rsidR="009457CF" w:rsidRPr="006070EA">
        <w:rPr>
          <w:rFonts w:asciiTheme="majorHAnsi" w:hAnsiTheme="majorHAnsi" w:cstheme="majorHAnsi"/>
          <w:color w:val="000000"/>
          <w:szCs w:val="18"/>
        </w:rPr>
        <w:t>6</w:t>
      </w:r>
      <w:r w:rsidRPr="006070EA">
        <w:rPr>
          <w:rFonts w:asciiTheme="majorHAnsi" w:hAnsiTheme="majorHAnsi" w:cstheme="majorHAnsi"/>
          <w:color w:val="000000"/>
          <w:szCs w:val="18"/>
        </w:rPr>
        <w:t xml:space="preserve"> </w:t>
      </w:r>
      <w:r w:rsidR="009457CF" w:rsidRPr="006070EA">
        <w:rPr>
          <w:rFonts w:asciiTheme="majorHAnsi" w:hAnsiTheme="majorHAnsi" w:cstheme="majorHAnsi"/>
          <w:color w:val="000000"/>
          <w:szCs w:val="18"/>
        </w:rPr>
        <w:t>–</w:t>
      </w:r>
      <w:r w:rsidRPr="006070EA">
        <w:rPr>
          <w:rFonts w:asciiTheme="majorHAnsi" w:hAnsiTheme="majorHAnsi" w:cstheme="majorHAnsi"/>
          <w:color w:val="000000"/>
          <w:szCs w:val="18"/>
        </w:rPr>
        <w:t xml:space="preserve"> 20</w:t>
      </w:r>
      <w:r w:rsidR="009457CF" w:rsidRPr="006070EA">
        <w:rPr>
          <w:rFonts w:asciiTheme="majorHAnsi" w:hAnsiTheme="majorHAnsi" w:cstheme="majorHAnsi"/>
          <w:color w:val="000000"/>
          <w:szCs w:val="18"/>
        </w:rPr>
        <w:t>21 (vývoj uplynulých 20 let)</w:t>
      </w:r>
      <w:r w:rsidRPr="006070EA">
        <w:rPr>
          <w:rFonts w:asciiTheme="majorHAnsi" w:hAnsiTheme="majorHAnsi" w:cstheme="majorHAnsi"/>
          <w:color w:val="000000"/>
          <w:szCs w:val="18"/>
        </w:rPr>
        <w:t>.</w:t>
      </w:r>
      <w:r w:rsidR="0017066B" w:rsidRPr="006070EA">
        <w:rPr>
          <w:rFonts w:asciiTheme="majorHAnsi" w:hAnsiTheme="majorHAnsi" w:cstheme="majorHAnsi"/>
          <w:color w:val="000000"/>
          <w:szCs w:val="18"/>
        </w:rPr>
        <w:t xml:space="preserve"> </w:t>
      </w:r>
    </w:p>
    <w:p w14:paraId="4BA8BBC4" w14:textId="587212AA" w:rsidR="009E5E88" w:rsidRPr="006070EA" w:rsidRDefault="009E5E88" w:rsidP="009457CF">
      <w:pPr>
        <w:pStyle w:val="Atext"/>
        <w:rPr>
          <w:rFonts w:asciiTheme="majorHAnsi" w:hAnsiTheme="majorHAnsi" w:cstheme="majorHAnsi"/>
          <w:color w:val="000000"/>
          <w:szCs w:val="18"/>
        </w:rPr>
      </w:pPr>
      <w:r w:rsidRPr="006070EA">
        <w:rPr>
          <w:rFonts w:asciiTheme="majorHAnsi" w:hAnsiTheme="majorHAnsi" w:cstheme="majorHAnsi"/>
          <w:color w:val="000000"/>
          <w:szCs w:val="18"/>
        </w:rPr>
        <w:t xml:space="preserve">Vývoj počtu obyvatel žijících ve správním území Kostomlat nad Labem se od počátku důvěryhodných záznamů až do 90. let 20. století z dlouhodobého hlediska pohybuje </w:t>
      </w:r>
      <w:r w:rsidR="009457CF" w:rsidRPr="006070EA">
        <w:rPr>
          <w:rFonts w:asciiTheme="majorHAnsi" w:hAnsiTheme="majorHAnsi" w:cstheme="majorHAnsi"/>
          <w:color w:val="000000"/>
          <w:szCs w:val="18"/>
        </w:rPr>
        <w:t>mezi</w:t>
      </w:r>
      <w:r w:rsidRPr="006070EA">
        <w:rPr>
          <w:rFonts w:asciiTheme="majorHAnsi" w:hAnsiTheme="majorHAnsi" w:cstheme="majorHAnsi"/>
          <w:color w:val="000000"/>
          <w:szCs w:val="18"/>
        </w:rPr>
        <w:t xml:space="preserve"> 1</w:t>
      </w:r>
      <w:r w:rsidR="009457CF" w:rsidRPr="006070EA">
        <w:rPr>
          <w:rFonts w:asciiTheme="majorHAnsi" w:hAnsiTheme="majorHAnsi" w:cstheme="majorHAnsi"/>
          <w:color w:val="000000"/>
          <w:szCs w:val="18"/>
        </w:rPr>
        <w:t xml:space="preserve"> </w:t>
      </w:r>
      <w:r w:rsidRPr="006070EA">
        <w:rPr>
          <w:rFonts w:asciiTheme="majorHAnsi" w:hAnsiTheme="majorHAnsi" w:cstheme="majorHAnsi"/>
          <w:color w:val="000000"/>
          <w:szCs w:val="18"/>
        </w:rPr>
        <w:t>600 – 1</w:t>
      </w:r>
      <w:r w:rsidR="009457CF" w:rsidRPr="006070EA">
        <w:rPr>
          <w:rFonts w:asciiTheme="majorHAnsi" w:hAnsiTheme="majorHAnsi" w:cstheme="majorHAnsi"/>
          <w:color w:val="000000"/>
          <w:szCs w:val="18"/>
        </w:rPr>
        <w:t> </w:t>
      </w:r>
      <w:r w:rsidRPr="006070EA">
        <w:rPr>
          <w:rFonts w:asciiTheme="majorHAnsi" w:hAnsiTheme="majorHAnsi" w:cstheme="majorHAnsi"/>
          <w:color w:val="000000"/>
          <w:szCs w:val="18"/>
        </w:rPr>
        <w:t>800</w:t>
      </w:r>
      <w:r w:rsidR="009457CF" w:rsidRPr="006070EA">
        <w:rPr>
          <w:rFonts w:asciiTheme="majorHAnsi" w:hAnsiTheme="majorHAnsi" w:cstheme="majorHAnsi"/>
          <w:color w:val="000000"/>
          <w:szCs w:val="18"/>
        </w:rPr>
        <w:t>,</w:t>
      </w:r>
      <w:r w:rsidRPr="006070EA">
        <w:rPr>
          <w:rFonts w:asciiTheme="majorHAnsi" w:hAnsiTheme="majorHAnsi" w:cstheme="majorHAnsi"/>
          <w:color w:val="000000"/>
          <w:szCs w:val="18"/>
        </w:rPr>
        <w:t xml:space="preserve"> s občasnými výkyvy. Historického maxima 2</w:t>
      </w:r>
      <w:r w:rsidR="009457CF" w:rsidRPr="006070EA">
        <w:rPr>
          <w:rFonts w:asciiTheme="majorHAnsi" w:hAnsiTheme="majorHAnsi" w:cstheme="majorHAnsi"/>
          <w:color w:val="000000"/>
          <w:szCs w:val="18"/>
        </w:rPr>
        <w:t xml:space="preserve"> </w:t>
      </w:r>
      <w:r w:rsidRPr="006070EA">
        <w:rPr>
          <w:rFonts w:asciiTheme="majorHAnsi" w:hAnsiTheme="majorHAnsi" w:cstheme="majorHAnsi"/>
          <w:color w:val="000000"/>
          <w:szCs w:val="18"/>
        </w:rPr>
        <w:t xml:space="preserve">040 obyvatel bylo dosaženo </w:t>
      </w:r>
      <w:r w:rsidR="009457CF" w:rsidRPr="006070EA">
        <w:rPr>
          <w:rFonts w:asciiTheme="majorHAnsi" w:hAnsiTheme="majorHAnsi" w:cstheme="majorHAnsi"/>
          <w:color w:val="000000"/>
          <w:szCs w:val="18"/>
        </w:rPr>
        <w:t xml:space="preserve">k </w:t>
      </w:r>
      <w:r w:rsidRPr="006070EA">
        <w:rPr>
          <w:rFonts w:asciiTheme="majorHAnsi" w:hAnsiTheme="majorHAnsi" w:cstheme="majorHAnsi"/>
          <w:color w:val="000000"/>
          <w:szCs w:val="18"/>
        </w:rPr>
        <w:t xml:space="preserve">roku 1930. Od roku 2001 má počet obyvatel správního území </w:t>
      </w:r>
      <w:r w:rsidR="009457CF" w:rsidRPr="006070EA">
        <w:rPr>
          <w:rFonts w:asciiTheme="majorHAnsi" w:hAnsiTheme="majorHAnsi" w:cstheme="majorHAnsi"/>
          <w:color w:val="000000"/>
          <w:szCs w:val="18"/>
        </w:rPr>
        <w:t xml:space="preserve">dominantně </w:t>
      </w:r>
      <w:r w:rsidRPr="006070EA">
        <w:rPr>
          <w:rFonts w:asciiTheme="majorHAnsi" w:hAnsiTheme="majorHAnsi" w:cstheme="majorHAnsi"/>
          <w:color w:val="000000"/>
          <w:szCs w:val="18"/>
        </w:rPr>
        <w:t>vzrůstají tendenci kdy za období 200</w:t>
      </w:r>
      <w:r w:rsidR="009457CF" w:rsidRPr="006070EA">
        <w:rPr>
          <w:rFonts w:asciiTheme="majorHAnsi" w:hAnsiTheme="majorHAnsi" w:cstheme="majorHAnsi"/>
          <w:color w:val="000000"/>
          <w:szCs w:val="18"/>
        </w:rPr>
        <w:t>6</w:t>
      </w:r>
      <w:r w:rsidRPr="006070EA">
        <w:rPr>
          <w:rFonts w:asciiTheme="majorHAnsi" w:hAnsiTheme="majorHAnsi" w:cstheme="majorHAnsi"/>
          <w:color w:val="000000"/>
          <w:szCs w:val="18"/>
        </w:rPr>
        <w:t xml:space="preserve"> – 20</w:t>
      </w:r>
      <w:r w:rsidR="009457CF" w:rsidRPr="006070EA">
        <w:rPr>
          <w:rFonts w:asciiTheme="majorHAnsi" w:hAnsiTheme="majorHAnsi" w:cstheme="majorHAnsi"/>
          <w:color w:val="000000"/>
          <w:szCs w:val="18"/>
        </w:rPr>
        <w:t>21</w:t>
      </w:r>
      <w:r w:rsidRPr="006070EA">
        <w:rPr>
          <w:rFonts w:asciiTheme="majorHAnsi" w:hAnsiTheme="majorHAnsi" w:cstheme="majorHAnsi"/>
          <w:color w:val="000000"/>
          <w:szCs w:val="18"/>
        </w:rPr>
        <w:t xml:space="preserve"> vzrost počet o </w:t>
      </w:r>
      <w:r w:rsidR="009457CF" w:rsidRPr="006070EA">
        <w:rPr>
          <w:rFonts w:asciiTheme="majorHAnsi" w:hAnsiTheme="majorHAnsi" w:cstheme="majorHAnsi"/>
          <w:color w:val="000000"/>
          <w:szCs w:val="18"/>
        </w:rPr>
        <w:t>233</w:t>
      </w:r>
      <w:r w:rsidRPr="006070EA">
        <w:rPr>
          <w:rFonts w:asciiTheme="majorHAnsi" w:hAnsiTheme="majorHAnsi" w:cstheme="majorHAnsi"/>
          <w:color w:val="000000"/>
          <w:szCs w:val="18"/>
        </w:rPr>
        <w:t xml:space="preserve"> obyvatel.</w:t>
      </w:r>
    </w:p>
    <w:p w14:paraId="3EC66440" w14:textId="0FC81B70" w:rsidR="009E5E88" w:rsidRPr="006070EA" w:rsidRDefault="009E5E88" w:rsidP="009457CF">
      <w:pPr>
        <w:pStyle w:val="Anadpiskurzva"/>
        <w:spacing w:after="60"/>
        <w:rPr>
          <w:rFonts w:asciiTheme="majorHAnsi" w:hAnsiTheme="majorHAnsi" w:cstheme="majorHAnsi"/>
          <w:color w:val="000000"/>
          <w:szCs w:val="18"/>
        </w:rPr>
      </w:pPr>
      <w:r w:rsidRPr="006070EA">
        <w:rPr>
          <w:rFonts w:asciiTheme="majorHAnsi" w:hAnsiTheme="majorHAnsi" w:cstheme="majorHAnsi"/>
          <w:color w:val="000000"/>
          <w:szCs w:val="18"/>
        </w:rPr>
        <w:t>Tab.: Dlouhodobý vývoj počtu obyvatel ve správním území  Kostomlat nad Labem v období 1869 – 201</w:t>
      </w:r>
      <w:r w:rsidR="00894820" w:rsidRPr="006070EA">
        <w:rPr>
          <w:rFonts w:asciiTheme="majorHAnsi" w:hAnsiTheme="majorHAnsi" w:cstheme="majorHAnsi"/>
          <w:color w:val="000000"/>
          <w:szCs w:val="18"/>
        </w:rPr>
        <w:t>1</w:t>
      </w:r>
    </w:p>
    <w:tbl>
      <w:tblPr>
        <w:tblW w:w="9267" w:type="dxa"/>
        <w:jc w:val="center"/>
        <w:tblBorders>
          <w:insideH w:val="single" w:sz="4" w:space="0" w:color="auto"/>
          <w:insideV w:val="single" w:sz="4" w:space="0" w:color="auto"/>
        </w:tblBorders>
        <w:tblLayout w:type="fixed"/>
        <w:tblLook w:val="04A0" w:firstRow="1" w:lastRow="0" w:firstColumn="1" w:lastColumn="0" w:noHBand="0" w:noVBand="1"/>
      </w:tblPr>
      <w:tblGrid>
        <w:gridCol w:w="937"/>
        <w:gridCol w:w="595"/>
        <w:gridCol w:w="595"/>
        <w:gridCol w:w="595"/>
        <w:gridCol w:w="595"/>
        <w:gridCol w:w="595"/>
        <w:gridCol w:w="595"/>
        <w:gridCol w:w="595"/>
        <w:gridCol w:w="595"/>
        <w:gridCol w:w="595"/>
        <w:gridCol w:w="595"/>
        <w:gridCol w:w="595"/>
        <w:gridCol w:w="595"/>
        <w:gridCol w:w="595"/>
        <w:gridCol w:w="595"/>
      </w:tblGrid>
      <w:tr w:rsidR="009E5E88" w:rsidRPr="006070EA" w14:paraId="001E4C16" w14:textId="77777777" w:rsidTr="00F90B15">
        <w:trPr>
          <w:trHeight w:val="20"/>
          <w:jc w:val="center"/>
        </w:trPr>
        <w:tc>
          <w:tcPr>
            <w:tcW w:w="937" w:type="dxa"/>
            <w:tcBorders>
              <w:top w:val="nil"/>
              <w:left w:val="nil"/>
              <w:bottom w:val="single" w:sz="12" w:space="0" w:color="auto"/>
              <w:right w:val="single" w:sz="12" w:space="0" w:color="auto"/>
            </w:tcBorders>
            <w:vAlign w:val="center"/>
            <w:hideMark/>
          </w:tcPr>
          <w:p w14:paraId="5C00CD54" w14:textId="77777777" w:rsidR="009E5E88" w:rsidRPr="006070EA" w:rsidRDefault="009E5E88" w:rsidP="00FE1BD3">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rok</w:t>
            </w:r>
          </w:p>
        </w:tc>
        <w:tc>
          <w:tcPr>
            <w:tcW w:w="595" w:type="dxa"/>
            <w:tcBorders>
              <w:top w:val="nil"/>
              <w:left w:val="single" w:sz="12" w:space="0" w:color="auto"/>
              <w:bottom w:val="single" w:sz="12" w:space="0" w:color="auto"/>
              <w:right w:val="single" w:sz="12" w:space="0" w:color="auto"/>
            </w:tcBorders>
            <w:vAlign w:val="center"/>
            <w:hideMark/>
          </w:tcPr>
          <w:p w14:paraId="25D206CE" w14:textId="77777777" w:rsidR="009E5E88" w:rsidRPr="006070EA" w:rsidRDefault="009E5E88" w:rsidP="00FE1BD3">
            <w:pPr>
              <w:pStyle w:val="Bezmezer"/>
              <w:keepNext/>
              <w:ind w:left="-107"/>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1869</w:t>
            </w:r>
          </w:p>
        </w:tc>
        <w:tc>
          <w:tcPr>
            <w:tcW w:w="595" w:type="dxa"/>
            <w:tcBorders>
              <w:top w:val="nil"/>
              <w:left w:val="single" w:sz="12" w:space="0" w:color="auto"/>
              <w:bottom w:val="single" w:sz="12" w:space="0" w:color="auto"/>
              <w:right w:val="single" w:sz="12" w:space="0" w:color="auto"/>
            </w:tcBorders>
            <w:vAlign w:val="center"/>
            <w:hideMark/>
          </w:tcPr>
          <w:p w14:paraId="055BC6E9" w14:textId="77777777" w:rsidR="009E5E88" w:rsidRPr="006070EA" w:rsidRDefault="009E5E88" w:rsidP="00FE1BD3">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1880</w:t>
            </w:r>
          </w:p>
        </w:tc>
        <w:tc>
          <w:tcPr>
            <w:tcW w:w="595" w:type="dxa"/>
            <w:tcBorders>
              <w:top w:val="nil"/>
              <w:left w:val="single" w:sz="12" w:space="0" w:color="auto"/>
              <w:bottom w:val="single" w:sz="12" w:space="0" w:color="auto"/>
              <w:right w:val="single" w:sz="12" w:space="0" w:color="auto"/>
            </w:tcBorders>
            <w:vAlign w:val="center"/>
            <w:hideMark/>
          </w:tcPr>
          <w:p w14:paraId="2CEA835B" w14:textId="77777777" w:rsidR="009E5E88" w:rsidRPr="006070EA" w:rsidRDefault="009E5E88" w:rsidP="00FE1BD3">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1890</w:t>
            </w:r>
          </w:p>
        </w:tc>
        <w:tc>
          <w:tcPr>
            <w:tcW w:w="595" w:type="dxa"/>
            <w:tcBorders>
              <w:top w:val="nil"/>
              <w:left w:val="single" w:sz="12" w:space="0" w:color="auto"/>
              <w:bottom w:val="single" w:sz="12" w:space="0" w:color="auto"/>
              <w:right w:val="single" w:sz="12" w:space="0" w:color="auto"/>
            </w:tcBorders>
            <w:vAlign w:val="center"/>
            <w:hideMark/>
          </w:tcPr>
          <w:p w14:paraId="3BBE0211" w14:textId="77777777" w:rsidR="009E5E88" w:rsidRPr="006070EA" w:rsidRDefault="009E5E88" w:rsidP="00FE1BD3">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1900</w:t>
            </w:r>
          </w:p>
        </w:tc>
        <w:tc>
          <w:tcPr>
            <w:tcW w:w="595" w:type="dxa"/>
            <w:tcBorders>
              <w:top w:val="nil"/>
              <w:left w:val="single" w:sz="12" w:space="0" w:color="auto"/>
              <w:bottom w:val="single" w:sz="12" w:space="0" w:color="auto"/>
              <w:right w:val="single" w:sz="12" w:space="0" w:color="auto"/>
            </w:tcBorders>
            <w:vAlign w:val="center"/>
            <w:hideMark/>
          </w:tcPr>
          <w:p w14:paraId="03620F03" w14:textId="77777777" w:rsidR="009E5E88" w:rsidRPr="006070EA" w:rsidRDefault="009E5E88" w:rsidP="00FE1BD3">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1910</w:t>
            </w:r>
          </w:p>
        </w:tc>
        <w:tc>
          <w:tcPr>
            <w:tcW w:w="595" w:type="dxa"/>
            <w:tcBorders>
              <w:top w:val="nil"/>
              <w:left w:val="single" w:sz="12" w:space="0" w:color="auto"/>
              <w:bottom w:val="single" w:sz="12" w:space="0" w:color="auto"/>
              <w:right w:val="single" w:sz="12" w:space="0" w:color="auto"/>
            </w:tcBorders>
            <w:vAlign w:val="center"/>
            <w:hideMark/>
          </w:tcPr>
          <w:p w14:paraId="63E6887B" w14:textId="77777777" w:rsidR="009E5E88" w:rsidRPr="006070EA" w:rsidRDefault="009E5E88" w:rsidP="00FE1BD3">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1921</w:t>
            </w:r>
          </w:p>
        </w:tc>
        <w:tc>
          <w:tcPr>
            <w:tcW w:w="595" w:type="dxa"/>
            <w:tcBorders>
              <w:top w:val="nil"/>
              <w:left w:val="single" w:sz="12" w:space="0" w:color="auto"/>
              <w:bottom w:val="single" w:sz="12" w:space="0" w:color="auto"/>
              <w:right w:val="single" w:sz="12" w:space="0" w:color="auto"/>
            </w:tcBorders>
            <w:vAlign w:val="center"/>
            <w:hideMark/>
          </w:tcPr>
          <w:p w14:paraId="1E0EBED6" w14:textId="77777777" w:rsidR="009E5E88" w:rsidRPr="006070EA" w:rsidRDefault="009E5E88" w:rsidP="00FE1BD3">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1930</w:t>
            </w:r>
          </w:p>
        </w:tc>
        <w:tc>
          <w:tcPr>
            <w:tcW w:w="595" w:type="dxa"/>
            <w:tcBorders>
              <w:top w:val="nil"/>
              <w:left w:val="single" w:sz="12" w:space="0" w:color="auto"/>
              <w:bottom w:val="single" w:sz="12" w:space="0" w:color="auto"/>
              <w:right w:val="single" w:sz="12" w:space="0" w:color="auto"/>
            </w:tcBorders>
            <w:vAlign w:val="center"/>
            <w:hideMark/>
          </w:tcPr>
          <w:p w14:paraId="36BBDDA7" w14:textId="77777777" w:rsidR="009E5E88" w:rsidRPr="006070EA" w:rsidRDefault="009E5E88" w:rsidP="00FE1BD3">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1950</w:t>
            </w:r>
          </w:p>
        </w:tc>
        <w:tc>
          <w:tcPr>
            <w:tcW w:w="595" w:type="dxa"/>
            <w:tcBorders>
              <w:top w:val="nil"/>
              <w:left w:val="single" w:sz="12" w:space="0" w:color="auto"/>
              <w:bottom w:val="single" w:sz="12" w:space="0" w:color="auto"/>
              <w:right w:val="single" w:sz="12" w:space="0" w:color="auto"/>
            </w:tcBorders>
            <w:vAlign w:val="center"/>
            <w:hideMark/>
          </w:tcPr>
          <w:p w14:paraId="60331533" w14:textId="77777777" w:rsidR="009E5E88" w:rsidRPr="006070EA" w:rsidRDefault="009E5E88" w:rsidP="00FE1BD3">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1961</w:t>
            </w:r>
          </w:p>
        </w:tc>
        <w:tc>
          <w:tcPr>
            <w:tcW w:w="595" w:type="dxa"/>
            <w:tcBorders>
              <w:top w:val="nil"/>
              <w:left w:val="single" w:sz="12" w:space="0" w:color="auto"/>
              <w:bottom w:val="single" w:sz="12" w:space="0" w:color="auto"/>
              <w:right w:val="single" w:sz="12" w:space="0" w:color="auto"/>
            </w:tcBorders>
            <w:vAlign w:val="center"/>
            <w:hideMark/>
          </w:tcPr>
          <w:p w14:paraId="22C134F3" w14:textId="77777777" w:rsidR="009E5E88" w:rsidRPr="006070EA" w:rsidRDefault="009E5E88" w:rsidP="00FE1BD3">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1970</w:t>
            </w:r>
          </w:p>
        </w:tc>
        <w:tc>
          <w:tcPr>
            <w:tcW w:w="595" w:type="dxa"/>
            <w:tcBorders>
              <w:top w:val="nil"/>
              <w:left w:val="single" w:sz="12" w:space="0" w:color="auto"/>
              <w:bottom w:val="single" w:sz="12" w:space="0" w:color="auto"/>
              <w:right w:val="single" w:sz="12" w:space="0" w:color="auto"/>
            </w:tcBorders>
            <w:vAlign w:val="center"/>
            <w:hideMark/>
          </w:tcPr>
          <w:p w14:paraId="69190592" w14:textId="77777777" w:rsidR="009E5E88" w:rsidRPr="006070EA" w:rsidRDefault="009E5E88" w:rsidP="00FE1BD3">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1980</w:t>
            </w:r>
          </w:p>
        </w:tc>
        <w:tc>
          <w:tcPr>
            <w:tcW w:w="595" w:type="dxa"/>
            <w:tcBorders>
              <w:top w:val="nil"/>
              <w:left w:val="single" w:sz="12" w:space="0" w:color="auto"/>
              <w:bottom w:val="single" w:sz="12" w:space="0" w:color="auto"/>
              <w:right w:val="single" w:sz="12" w:space="0" w:color="auto"/>
            </w:tcBorders>
            <w:vAlign w:val="center"/>
            <w:hideMark/>
          </w:tcPr>
          <w:p w14:paraId="7FF7B430" w14:textId="77777777" w:rsidR="009E5E88" w:rsidRPr="006070EA" w:rsidRDefault="009E5E88" w:rsidP="00FE1BD3">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1991</w:t>
            </w:r>
          </w:p>
        </w:tc>
        <w:tc>
          <w:tcPr>
            <w:tcW w:w="595" w:type="dxa"/>
            <w:tcBorders>
              <w:top w:val="nil"/>
              <w:left w:val="single" w:sz="12" w:space="0" w:color="auto"/>
              <w:bottom w:val="single" w:sz="12" w:space="0" w:color="auto"/>
              <w:right w:val="single" w:sz="4" w:space="0" w:color="auto"/>
            </w:tcBorders>
            <w:vAlign w:val="center"/>
            <w:hideMark/>
          </w:tcPr>
          <w:p w14:paraId="5CC882D5" w14:textId="77777777" w:rsidR="009E5E88" w:rsidRPr="006070EA" w:rsidRDefault="009E5E88" w:rsidP="00FE1BD3">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2001</w:t>
            </w:r>
          </w:p>
        </w:tc>
        <w:tc>
          <w:tcPr>
            <w:tcW w:w="595" w:type="dxa"/>
            <w:tcBorders>
              <w:top w:val="nil"/>
              <w:left w:val="single" w:sz="12" w:space="0" w:color="auto"/>
              <w:bottom w:val="single" w:sz="12" w:space="0" w:color="auto"/>
              <w:right w:val="nil"/>
            </w:tcBorders>
            <w:vAlign w:val="center"/>
          </w:tcPr>
          <w:p w14:paraId="135006B7" w14:textId="77777777" w:rsidR="009E5E88" w:rsidRPr="006070EA" w:rsidRDefault="009E5E88" w:rsidP="00FE1BD3">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2011</w:t>
            </w:r>
          </w:p>
        </w:tc>
      </w:tr>
      <w:tr w:rsidR="009E5E88" w:rsidRPr="006070EA" w14:paraId="39A85D10" w14:textId="77777777" w:rsidTr="00F90B15">
        <w:trPr>
          <w:trHeight w:val="20"/>
          <w:jc w:val="center"/>
        </w:trPr>
        <w:tc>
          <w:tcPr>
            <w:tcW w:w="937" w:type="dxa"/>
            <w:tcBorders>
              <w:top w:val="single" w:sz="12" w:space="0" w:color="auto"/>
              <w:left w:val="nil"/>
              <w:bottom w:val="nil"/>
              <w:right w:val="single" w:sz="4" w:space="0" w:color="auto"/>
            </w:tcBorders>
            <w:vAlign w:val="center"/>
            <w:hideMark/>
          </w:tcPr>
          <w:p w14:paraId="2559A4E9" w14:textId="1CB5EEBD" w:rsidR="009E5E88" w:rsidRPr="006070EA" w:rsidRDefault="00F90B15" w:rsidP="00FE1BD3">
            <w:pPr>
              <w:pStyle w:val="Bezmezer"/>
              <w:jc w:val="center"/>
              <w:rPr>
                <w:rFonts w:asciiTheme="majorHAnsi" w:hAnsiTheme="majorHAnsi" w:cstheme="majorHAnsi"/>
                <w:b/>
                <w:color w:val="000000"/>
                <w:szCs w:val="18"/>
                <w:lang w:val="cs-CZ"/>
              </w:rPr>
            </w:pPr>
            <w:r w:rsidRPr="006070EA">
              <w:rPr>
                <w:rFonts w:asciiTheme="majorHAnsi" w:hAnsiTheme="majorHAnsi" w:cstheme="majorHAnsi"/>
                <w:bCs/>
                <w:color w:val="000000"/>
                <w:szCs w:val="18"/>
                <w:lang w:val="cs-CZ"/>
              </w:rPr>
              <w:t>p</w:t>
            </w:r>
            <w:r w:rsidR="00894820" w:rsidRPr="006070EA">
              <w:rPr>
                <w:rFonts w:asciiTheme="majorHAnsi" w:hAnsiTheme="majorHAnsi" w:cstheme="majorHAnsi"/>
                <w:bCs/>
                <w:color w:val="000000"/>
                <w:szCs w:val="18"/>
                <w:lang w:val="cs-CZ"/>
              </w:rPr>
              <w:t>očet</w:t>
            </w:r>
            <w:r w:rsidRPr="006070EA">
              <w:rPr>
                <w:rFonts w:asciiTheme="majorHAnsi" w:hAnsiTheme="majorHAnsi" w:cstheme="majorHAnsi"/>
                <w:bCs/>
                <w:color w:val="000000"/>
                <w:szCs w:val="18"/>
                <w:lang w:val="cs-CZ"/>
              </w:rPr>
              <w:t xml:space="preserve"> </w:t>
            </w:r>
            <w:r w:rsidR="00894820" w:rsidRPr="006070EA">
              <w:rPr>
                <w:rFonts w:asciiTheme="majorHAnsi" w:hAnsiTheme="majorHAnsi" w:cstheme="majorHAnsi"/>
                <w:bCs/>
                <w:color w:val="000000"/>
                <w:szCs w:val="18"/>
                <w:lang w:val="cs-CZ"/>
              </w:rPr>
              <w:t>ob</w:t>
            </w:r>
            <w:r w:rsidRPr="006070EA">
              <w:rPr>
                <w:rFonts w:asciiTheme="majorHAnsi" w:hAnsiTheme="majorHAnsi" w:cstheme="majorHAnsi"/>
                <w:bCs/>
                <w:color w:val="000000"/>
                <w:szCs w:val="18"/>
                <w:lang w:val="cs-CZ"/>
              </w:rPr>
              <w:t>.</w:t>
            </w:r>
          </w:p>
        </w:tc>
        <w:tc>
          <w:tcPr>
            <w:tcW w:w="595" w:type="dxa"/>
            <w:tcBorders>
              <w:top w:val="single" w:sz="12" w:space="0" w:color="auto"/>
              <w:left w:val="single" w:sz="4" w:space="0" w:color="auto"/>
              <w:bottom w:val="nil"/>
              <w:right w:val="single" w:sz="4" w:space="0" w:color="auto"/>
            </w:tcBorders>
            <w:vAlign w:val="center"/>
          </w:tcPr>
          <w:p w14:paraId="780265BC" w14:textId="04A5DD25" w:rsidR="009E5E88" w:rsidRPr="006070EA" w:rsidRDefault="009E5E88" w:rsidP="00FE1BD3">
            <w:pPr>
              <w:spacing w:after="0"/>
              <w:jc w:val="center"/>
              <w:rPr>
                <w:rFonts w:asciiTheme="majorHAnsi" w:hAnsiTheme="majorHAnsi" w:cstheme="majorHAnsi"/>
                <w:color w:val="000000"/>
                <w:sz w:val="18"/>
                <w:szCs w:val="18"/>
              </w:rPr>
            </w:pPr>
            <w:r w:rsidRPr="006070EA">
              <w:rPr>
                <w:rFonts w:asciiTheme="majorHAnsi" w:hAnsiTheme="majorHAnsi" w:cstheme="majorHAnsi"/>
                <w:color w:val="000000"/>
                <w:sz w:val="18"/>
                <w:szCs w:val="18"/>
              </w:rPr>
              <w:t>1593</w:t>
            </w:r>
          </w:p>
        </w:tc>
        <w:tc>
          <w:tcPr>
            <w:tcW w:w="595" w:type="dxa"/>
            <w:tcBorders>
              <w:top w:val="single" w:sz="12" w:space="0" w:color="auto"/>
              <w:left w:val="single" w:sz="4" w:space="0" w:color="auto"/>
              <w:bottom w:val="nil"/>
              <w:right w:val="single" w:sz="4" w:space="0" w:color="auto"/>
            </w:tcBorders>
            <w:vAlign w:val="center"/>
          </w:tcPr>
          <w:p w14:paraId="0F05CF1E" w14:textId="49EF83F3" w:rsidR="009E5E88" w:rsidRPr="006070EA" w:rsidRDefault="009E5E88" w:rsidP="00FE1BD3">
            <w:pPr>
              <w:spacing w:after="0"/>
              <w:jc w:val="center"/>
              <w:rPr>
                <w:rFonts w:asciiTheme="majorHAnsi" w:hAnsiTheme="majorHAnsi" w:cstheme="majorHAnsi"/>
                <w:color w:val="000000"/>
                <w:sz w:val="18"/>
                <w:szCs w:val="18"/>
              </w:rPr>
            </w:pPr>
            <w:r w:rsidRPr="006070EA">
              <w:rPr>
                <w:rFonts w:asciiTheme="majorHAnsi" w:hAnsiTheme="majorHAnsi" w:cstheme="majorHAnsi"/>
                <w:color w:val="000000"/>
                <w:sz w:val="18"/>
                <w:szCs w:val="18"/>
              </w:rPr>
              <w:t>1812</w:t>
            </w:r>
          </w:p>
        </w:tc>
        <w:tc>
          <w:tcPr>
            <w:tcW w:w="595" w:type="dxa"/>
            <w:tcBorders>
              <w:top w:val="single" w:sz="12" w:space="0" w:color="auto"/>
              <w:left w:val="single" w:sz="4" w:space="0" w:color="auto"/>
              <w:bottom w:val="nil"/>
              <w:right w:val="single" w:sz="4" w:space="0" w:color="auto"/>
            </w:tcBorders>
            <w:vAlign w:val="center"/>
          </w:tcPr>
          <w:p w14:paraId="3BE0D236" w14:textId="50AAF7C1" w:rsidR="009E5E88" w:rsidRPr="006070EA" w:rsidRDefault="009E5E88" w:rsidP="00FE1BD3">
            <w:pPr>
              <w:spacing w:after="0"/>
              <w:jc w:val="center"/>
              <w:rPr>
                <w:rFonts w:asciiTheme="majorHAnsi" w:hAnsiTheme="majorHAnsi" w:cstheme="majorHAnsi"/>
                <w:color w:val="000000"/>
                <w:sz w:val="18"/>
                <w:szCs w:val="18"/>
              </w:rPr>
            </w:pPr>
            <w:r w:rsidRPr="006070EA">
              <w:rPr>
                <w:rFonts w:asciiTheme="majorHAnsi" w:hAnsiTheme="majorHAnsi" w:cstheme="majorHAnsi"/>
                <w:color w:val="000000"/>
                <w:sz w:val="18"/>
                <w:szCs w:val="18"/>
              </w:rPr>
              <w:t>1913</w:t>
            </w:r>
          </w:p>
        </w:tc>
        <w:tc>
          <w:tcPr>
            <w:tcW w:w="595" w:type="dxa"/>
            <w:tcBorders>
              <w:top w:val="single" w:sz="12" w:space="0" w:color="auto"/>
              <w:left w:val="single" w:sz="4" w:space="0" w:color="auto"/>
              <w:bottom w:val="nil"/>
              <w:right w:val="single" w:sz="4" w:space="0" w:color="auto"/>
            </w:tcBorders>
            <w:vAlign w:val="center"/>
          </w:tcPr>
          <w:p w14:paraId="7A4C6F66" w14:textId="7038DE09" w:rsidR="009E5E88" w:rsidRPr="006070EA" w:rsidRDefault="009E5E88" w:rsidP="00FE1BD3">
            <w:pPr>
              <w:spacing w:after="0"/>
              <w:jc w:val="center"/>
              <w:rPr>
                <w:rFonts w:asciiTheme="majorHAnsi" w:hAnsiTheme="majorHAnsi" w:cstheme="majorHAnsi"/>
                <w:color w:val="000000"/>
                <w:sz w:val="18"/>
                <w:szCs w:val="18"/>
              </w:rPr>
            </w:pPr>
            <w:r w:rsidRPr="006070EA">
              <w:rPr>
                <w:rFonts w:asciiTheme="majorHAnsi" w:hAnsiTheme="majorHAnsi" w:cstheme="majorHAnsi"/>
                <w:color w:val="000000"/>
                <w:sz w:val="18"/>
                <w:szCs w:val="18"/>
              </w:rPr>
              <w:t>1781</w:t>
            </w:r>
          </w:p>
        </w:tc>
        <w:tc>
          <w:tcPr>
            <w:tcW w:w="595" w:type="dxa"/>
            <w:tcBorders>
              <w:top w:val="single" w:sz="12" w:space="0" w:color="auto"/>
              <w:left w:val="single" w:sz="4" w:space="0" w:color="auto"/>
              <w:bottom w:val="nil"/>
              <w:right w:val="single" w:sz="4" w:space="0" w:color="auto"/>
            </w:tcBorders>
            <w:vAlign w:val="center"/>
          </w:tcPr>
          <w:p w14:paraId="4DAF66E0" w14:textId="0F8EB16A" w:rsidR="009E5E88" w:rsidRPr="006070EA" w:rsidRDefault="009E5E88" w:rsidP="00FE1BD3">
            <w:pPr>
              <w:spacing w:after="0"/>
              <w:jc w:val="center"/>
              <w:rPr>
                <w:rFonts w:asciiTheme="majorHAnsi" w:hAnsiTheme="majorHAnsi" w:cstheme="majorHAnsi"/>
                <w:color w:val="000000"/>
                <w:sz w:val="18"/>
                <w:szCs w:val="18"/>
              </w:rPr>
            </w:pPr>
            <w:r w:rsidRPr="006070EA">
              <w:rPr>
                <w:rFonts w:asciiTheme="majorHAnsi" w:hAnsiTheme="majorHAnsi" w:cstheme="majorHAnsi"/>
                <w:color w:val="000000"/>
                <w:sz w:val="18"/>
                <w:szCs w:val="18"/>
              </w:rPr>
              <w:t>1718</w:t>
            </w:r>
          </w:p>
        </w:tc>
        <w:tc>
          <w:tcPr>
            <w:tcW w:w="595" w:type="dxa"/>
            <w:tcBorders>
              <w:top w:val="single" w:sz="12" w:space="0" w:color="auto"/>
              <w:left w:val="single" w:sz="4" w:space="0" w:color="auto"/>
              <w:bottom w:val="nil"/>
              <w:right w:val="single" w:sz="4" w:space="0" w:color="auto"/>
            </w:tcBorders>
            <w:vAlign w:val="center"/>
          </w:tcPr>
          <w:p w14:paraId="64ACE45D" w14:textId="4CB9D0DE" w:rsidR="009E5E88" w:rsidRPr="006070EA" w:rsidRDefault="009E5E88" w:rsidP="00FE1BD3">
            <w:pPr>
              <w:spacing w:after="0"/>
              <w:jc w:val="center"/>
              <w:rPr>
                <w:rFonts w:asciiTheme="majorHAnsi" w:hAnsiTheme="majorHAnsi" w:cstheme="majorHAnsi"/>
                <w:color w:val="000000"/>
                <w:sz w:val="18"/>
                <w:szCs w:val="18"/>
              </w:rPr>
            </w:pPr>
            <w:r w:rsidRPr="006070EA">
              <w:rPr>
                <w:rFonts w:asciiTheme="majorHAnsi" w:hAnsiTheme="majorHAnsi" w:cstheme="majorHAnsi"/>
                <w:color w:val="000000"/>
                <w:sz w:val="18"/>
                <w:szCs w:val="18"/>
              </w:rPr>
              <w:t>1906</w:t>
            </w:r>
          </w:p>
        </w:tc>
        <w:tc>
          <w:tcPr>
            <w:tcW w:w="595" w:type="dxa"/>
            <w:tcBorders>
              <w:top w:val="single" w:sz="12" w:space="0" w:color="auto"/>
              <w:left w:val="single" w:sz="4" w:space="0" w:color="auto"/>
              <w:bottom w:val="nil"/>
              <w:right w:val="single" w:sz="4" w:space="0" w:color="auto"/>
            </w:tcBorders>
            <w:vAlign w:val="center"/>
          </w:tcPr>
          <w:p w14:paraId="7B5F1DEC" w14:textId="122FBEDD" w:rsidR="009E5E88" w:rsidRPr="006070EA" w:rsidRDefault="009E5E88" w:rsidP="00FE1BD3">
            <w:pPr>
              <w:spacing w:after="0"/>
              <w:jc w:val="center"/>
              <w:rPr>
                <w:rFonts w:asciiTheme="majorHAnsi" w:hAnsiTheme="majorHAnsi" w:cstheme="majorHAnsi"/>
                <w:color w:val="000000"/>
                <w:sz w:val="18"/>
                <w:szCs w:val="18"/>
              </w:rPr>
            </w:pPr>
            <w:r w:rsidRPr="006070EA">
              <w:rPr>
                <w:rFonts w:asciiTheme="majorHAnsi" w:hAnsiTheme="majorHAnsi" w:cstheme="majorHAnsi"/>
                <w:color w:val="000000"/>
                <w:sz w:val="18"/>
                <w:szCs w:val="18"/>
              </w:rPr>
              <w:t>2040</w:t>
            </w:r>
          </w:p>
        </w:tc>
        <w:tc>
          <w:tcPr>
            <w:tcW w:w="595" w:type="dxa"/>
            <w:tcBorders>
              <w:top w:val="single" w:sz="12" w:space="0" w:color="auto"/>
              <w:left w:val="single" w:sz="4" w:space="0" w:color="auto"/>
              <w:bottom w:val="nil"/>
              <w:right w:val="single" w:sz="4" w:space="0" w:color="auto"/>
            </w:tcBorders>
            <w:vAlign w:val="center"/>
          </w:tcPr>
          <w:p w14:paraId="21DE3207" w14:textId="62487EA7" w:rsidR="009E5E88" w:rsidRPr="006070EA" w:rsidRDefault="009E5E88" w:rsidP="00FE1BD3">
            <w:pPr>
              <w:spacing w:after="0"/>
              <w:jc w:val="center"/>
              <w:rPr>
                <w:rFonts w:asciiTheme="majorHAnsi" w:hAnsiTheme="majorHAnsi" w:cstheme="majorHAnsi"/>
                <w:color w:val="000000"/>
                <w:sz w:val="18"/>
                <w:szCs w:val="18"/>
              </w:rPr>
            </w:pPr>
            <w:r w:rsidRPr="006070EA">
              <w:rPr>
                <w:rFonts w:asciiTheme="majorHAnsi" w:hAnsiTheme="majorHAnsi" w:cstheme="majorHAnsi"/>
                <w:color w:val="000000"/>
                <w:sz w:val="18"/>
                <w:szCs w:val="18"/>
              </w:rPr>
              <w:t>1912</w:t>
            </w:r>
          </w:p>
        </w:tc>
        <w:tc>
          <w:tcPr>
            <w:tcW w:w="595" w:type="dxa"/>
            <w:tcBorders>
              <w:top w:val="single" w:sz="12" w:space="0" w:color="auto"/>
              <w:left w:val="single" w:sz="4" w:space="0" w:color="auto"/>
              <w:bottom w:val="nil"/>
              <w:right w:val="single" w:sz="4" w:space="0" w:color="auto"/>
            </w:tcBorders>
            <w:vAlign w:val="center"/>
          </w:tcPr>
          <w:p w14:paraId="577F6DB9" w14:textId="1146C035" w:rsidR="009E5E88" w:rsidRPr="006070EA" w:rsidRDefault="009E5E88" w:rsidP="00FE1BD3">
            <w:pPr>
              <w:spacing w:after="0"/>
              <w:jc w:val="center"/>
              <w:rPr>
                <w:rFonts w:asciiTheme="majorHAnsi" w:hAnsiTheme="majorHAnsi" w:cstheme="majorHAnsi"/>
                <w:color w:val="000000"/>
                <w:sz w:val="18"/>
                <w:szCs w:val="18"/>
              </w:rPr>
            </w:pPr>
            <w:r w:rsidRPr="006070EA">
              <w:rPr>
                <w:rFonts w:asciiTheme="majorHAnsi" w:hAnsiTheme="majorHAnsi" w:cstheme="majorHAnsi"/>
                <w:color w:val="000000"/>
                <w:sz w:val="18"/>
                <w:szCs w:val="18"/>
              </w:rPr>
              <w:t>1857</w:t>
            </w:r>
          </w:p>
        </w:tc>
        <w:tc>
          <w:tcPr>
            <w:tcW w:w="595" w:type="dxa"/>
            <w:tcBorders>
              <w:top w:val="single" w:sz="12" w:space="0" w:color="auto"/>
              <w:left w:val="single" w:sz="4" w:space="0" w:color="auto"/>
              <w:bottom w:val="nil"/>
              <w:right w:val="single" w:sz="4" w:space="0" w:color="auto"/>
            </w:tcBorders>
            <w:vAlign w:val="center"/>
          </w:tcPr>
          <w:p w14:paraId="110D64AD" w14:textId="3F8FF8C0" w:rsidR="009E5E88" w:rsidRPr="006070EA" w:rsidRDefault="009E5E88" w:rsidP="00FE1BD3">
            <w:pPr>
              <w:spacing w:after="0"/>
              <w:jc w:val="center"/>
              <w:rPr>
                <w:rFonts w:asciiTheme="majorHAnsi" w:hAnsiTheme="majorHAnsi" w:cstheme="majorHAnsi"/>
                <w:color w:val="000000"/>
                <w:sz w:val="18"/>
                <w:szCs w:val="18"/>
              </w:rPr>
            </w:pPr>
            <w:r w:rsidRPr="006070EA">
              <w:rPr>
                <w:rFonts w:asciiTheme="majorHAnsi" w:hAnsiTheme="majorHAnsi" w:cstheme="majorHAnsi"/>
                <w:color w:val="000000"/>
                <w:sz w:val="18"/>
                <w:szCs w:val="18"/>
              </w:rPr>
              <w:t>1764</w:t>
            </w:r>
          </w:p>
        </w:tc>
        <w:tc>
          <w:tcPr>
            <w:tcW w:w="595" w:type="dxa"/>
            <w:tcBorders>
              <w:top w:val="single" w:sz="12" w:space="0" w:color="auto"/>
              <w:left w:val="single" w:sz="4" w:space="0" w:color="auto"/>
              <w:bottom w:val="nil"/>
              <w:right w:val="single" w:sz="4" w:space="0" w:color="auto"/>
            </w:tcBorders>
            <w:vAlign w:val="center"/>
          </w:tcPr>
          <w:p w14:paraId="64398BE1" w14:textId="1DA78B19" w:rsidR="009E5E88" w:rsidRPr="006070EA" w:rsidRDefault="009E5E88" w:rsidP="00FE1BD3">
            <w:pPr>
              <w:spacing w:after="0"/>
              <w:jc w:val="center"/>
              <w:rPr>
                <w:rFonts w:asciiTheme="majorHAnsi" w:hAnsiTheme="majorHAnsi" w:cstheme="majorHAnsi"/>
                <w:color w:val="000000"/>
                <w:sz w:val="18"/>
                <w:szCs w:val="18"/>
              </w:rPr>
            </w:pPr>
            <w:r w:rsidRPr="006070EA">
              <w:rPr>
                <w:rFonts w:asciiTheme="majorHAnsi" w:hAnsiTheme="majorHAnsi" w:cstheme="majorHAnsi"/>
                <w:color w:val="000000"/>
                <w:sz w:val="18"/>
                <w:szCs w:val="18"/>
              </w:rPr>
              <w:t>1702</w:t>
            </w:r>
          </w:p>
        </w:tc>
        <w:tc>
          <w:tcPr>
            <w:tcW w:w="595" w:type="dxa"/>
            <w:tcBorders>
              <w:top w:val="single" w:sz="12" w:space="0" w:color="auto"/>
              <w:left w:val="single" w:sz="4" w:space="0" w:color="auto"/>
              <w:bottom w:val="nil"/>
              <w:right w:val="single" w:sz="4" w:space="0" w:color="auto"/>
            </w:tcBorders>
            <w:vAlign w:val="center"/>
          </w:tcPr>
          <w:p w14:paraId="02AC962F" w14:textId="6B9DBEA4" w:rsidR="009E5E88" w:rsidRPr="006070EA" w:rsidRDefault="009E5E88" w:rsidP="00FE1BD3">
            <w:pPr>
              <w:spacing w:after="0"/>
              <w:jc w:val="center"/>
              <w:rPr>
                <w:rFonts w:asciiTheme="majorHAnsi" w:hAnsiTheme="majorHAnsi" w:cstheme="majorHAnsi"/>
                <w:color w:val="000000"/>
                <w:sz w:val="18"/>
                <w:szCs w:val="18"/>
              </w:rPr>
            </w:pPr>
            <w:r w:rsidRPr="006070EA">
              <w:rPr>
                <w:rFonts w:asciiTheme="majorHAnsi" w:hAnsiTheme="majorHAnsi" w:cstheme="majorHAnsi"/>
                <w:color w:val="000000"/>
                <w:sz w:val="18"/>
                <w:szCs w:val="18"/>
              </w:rPr>
              <w:t>1629</w:t>
            </w:r>
          </w:p>
        </w:tc>
        <w:tc>
          <w:tcPr>
            <w:tcW w:w="595" w:type="dxa"/>
            <w:tcBorders>
              <w:top w:val="single" w:sz="12" w:space="0" w:color="auto"/>
              <w:left w:val="single" w:sz="4" w:space="0" w:color="auto"/>
              <w:bottom w:val="nil"/>
              <w:right w:val="single" w:sz="4" w:space="0" w:color="auto"/>
            </w:tcBorders>
            <w:vAlign w:val="center"/>
          </w:tcPr>
          <w:p w14:paraId="14CC6003" w14:textId="7CD3FCFF" w:rsidR="009E5E88" w:rsidRPr="006070EA" w:rsidRDefault="009E5E88" w:rsidP="00FE1BD3">
            <w:pPr>
              <w:spacing w:after="0"/>
              <w:jc w:val="center"/>
              <w:rPr>
                <w:rFonts w:asciiTheme="majorHAnsi" w:hAnsiTheme="majorHAnsi" w:cstheme="majorHAnsi"/>
                <w:color w:val="000000"/>
                <w:sz w:val="18"/>
                <w:szCs w:val="18"/>
              </w:rPr>
            </w:pPr>
            <w:r w:rsidRPr="006070EA">
              <w:rPr>
                <w:rFonts w:asciiTheme="majorHAnsi" w:hAnsiTheme="majorHAnsi" w:cstheme="majorHAnsi"/>
                <w:color w:val="000000"/>
                <w:sz w:val="18"/>
                <w:szCs w:val="18"/>
              </w:rPr>
              <w:t>1633</w:t>
            </w:r>
          </w:p>
        </w:tc>
        <w:tc>
          <w:tcPr>
            <w:tcW w:w="595" w:type="dxa"/>
            <w:tcBorders>
              <w:top w:val="single" w:sz="12" w:space="0" w:color="auto"/>
              <w:left w:val="single" w:sz="4" w:space="0" w:color="auto"/>
              <w:bottom w:val="nil"/>
              <w:right w:val="nil"/>
            </w:tcBorders>
            <w:vAlign w:val="center"/>
          </w:tcPr>
          <w:p w14:paraId="7F8C04FD" w14:textId="77777777" w:rsidR="009E5E88" w:rsidRPr="006070EA" w:rsidRDefault="009E5E88" w:rsidP="00FE1BD3">
            <w:pPr>
              <w:spacing w:after="0"/>
              <w:jc w:val="center"/>
              <w:rPr>
                <w:rFonts w:asciiTheme="majorHAnsi" w:hAnsiTheme="majorHAnsi" w:cstheme="majorHAnsi"/>
                <w:color w:val="000000"/>
                <w:sz w:val="18"/>
                <w:szCs w:val="18"/>
              </w:rPr>
            </w:pPr>
            <w:r w:rsidRPr="006070EA">
              <w:rPr>
                <w:rFonts w:asciiTheme="majorHAnsi" w:hAnsiTheme="majorHAnsi" w:cstheme="majorHAnsi"/>
                <w:color w:val="000000"/>
                <w:sz w:val="18"/>
                <w:szCs w:val="18"/>
              </w:rPr>
              <w:t>1785</w:t>
            </w:r>
          </w:p>
        </w:tc>
      </w:tr>
    </w:tbl>
    <w:p w14:paraId="49179088" w14:textId="3ED6BCF1" w:rsidR="009E5E88" w:rsidRPr="006070EA" w:rsidRDefault="009E5E88" w:rsidP="0017066B">
      <w:pPr>
        <w:pStyle w:val="Atextkurzva"/>
        <w:spacing w:after="60"/>
        <w:rPr>
          <w:rFonts w:asciiTheme="majorHAnsi" w:hAnsiTheme="majorHAnsi" w:cstheme="majorHAnsi"/>
          <w:color w:val="000000"/>
          <w:szCs w:val="18"/>
        </w:rPr>
      </w:pPr>
      <w:r w:rsidRPr="006070EA">
        <w:rPr>
          <w:rFonts w:asciiTheme="majorHAnsi" w:hAnsiTheme="majorHAnsi" w:cstheme="majorHAnsi"/>
          <w:color w:val="000000"/>
          <w:szCs w:val="18"/>
        </w:rPr>
        <w:lastRenderedPageBreak/>
        <w:t>Graf: Dlouhodobý vývoj počtu obyvatel ve správním území Kostomlat nad Labem v období 1869 – 2011</w:t>
      </w:r>
    </w:p>
    <w:p w14:paraId="281089D3" w14:textId="52E1D1E2" w:rsidR="009E5E88" w:rsidRPr="006070EA" w:rsidRDefault="0017066B" w:rsidP="009E5E88">
      <w:pPr>
        <w:pStyle w:val="Atext"/>
        <w:ind w:firstLine="0"/>
        <w:rPr>
          <w:rFonts w:asciiTheme="majorHAnsi" w:hAnsiTheme="majorHAnsi" w:cstheme="majorHAnsi"/>
          <w:color w:val="000000"/>
          <w:szCs w:val="18"/>
        </w:rPr>
      </w:pPr>
      <w:r w:rsidRPr="006070EA">
        <w:rPr>
          <w:rFonts w:asciiTheme="majorHAnsi" w:hAnsiTheme="majorHAnsi" w:cstheme="majorHAnsi"/>
          <w:noProof/>
        </w:rPr>
        <w:drawing>
          <wp:inline distT="0" distB="0" distL="0" distR="0" wp14:anchorId="3C3DB2BA" wp14:editId="5C8AD3EC">
            <wp:extent cx="5759450" cy="2159635"/>
            <wp:effectExtent l="0" t="0" r="0" b="0"/>
            <wp:docPr id="2" name="Graf 2">
              <a:extLst xmlns:a="http://schemas.openxmlformats.org/drawingml/2006/main">
                <a:ext uri="{FF2B5EF4-FFF2-40B4-BE49-F238E27FC236}">
                  <a16:creationId xmlns:a16="http://schemas.microsoft.com/office/drawing/2014/main" id="{9E7230FB-2296-4631-86AF-D2B2B05EE72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058C37FB" w14:textId="5F2B4DC8" w:rsidR="009E5E88" w:rsidRPr="006070EA" w:rsidRDefault="009E5E88" w:rsidP="0017066B">
      <w:pPr>
        <w:pStyle w:val="Anadpiskurzva"/>
        <w:spacing w:after="60"/>
        <w:rPr>
          <w:rFonts w:asciiTheme="majorHAnsi" w:hAnsiTheme="majorHAnsi" w:cstheme="majorHAnsi"/>
          <w:color w:val="000000"/>
          <w:szCs w:val="18"/>
        </w:rPr>
      </w:pPr>
      <w:r w:rsidRPr="006070EA">
        <w:rPr>
          <w:rFonts w:asciiTheme="majorHAnsi" w:hAnsiTheme="majorHAnsi" w:cstheme="majorHAnsi"/>
          <w:color w:val="000000"/>
          <w:szCs w:val="18"/>
        </w:rPr>
        <w:t>Tab.: Vývoj počtu obyvatel ve správním území Kostomlat nad Labem v letech 200</w:t>
      </w:r>
      <w:r w:rsidR="0017066B" w:rsidRPr="006070EA">
        <w:rPr>
          <w:rFonts w:asciiTheme="majorHAnsi" w:hAnsiTheme="majorHAnsi" w:cstheme="majorHAnsi"/>
          <w:color w:val="000000"/>
          <w:szCs w:val="18"/>
        </w:rPr>
        <w:t>6</w:t>
      </w:r>
      <w:r w:rsidRPr="006070EA">
        <w:rPr>
          <w:rFonts w:asciiTheme="majorHAnsi" w:hAnsiTheme="majorHAnsi" w:cstheme="majorHAnsi"/>
          <w:color w:val="000000"/>
          <w:szCs w:val="18"/>
        </w:rPr>
        <w:t xml:space="preserve"> </w:t>
      </w:r>
      <w:r w:rsidR="0017066B" w:rsidRPr="006070EA">
        <w:rPr>
          <w:rFonts w:asciiTheme="majorHAnsi" w:hAnsiTheme="majorHAnsi" w:cstheme="majorHAnsi"/>
          <w:color w:val="000000"/>
          <w:szCs w:val="18"/>
        </w:rPr>
        <w:t>–</w:t>
      </w:r>
      <w:r w:rsidRPr="006070EA">
        <w:rPr>
          <w:rFonts w:asciiTheme="majorHAnsi" w:hAnsiTheme="majorHAnsi" w:cstheme="majorHAnsi"/>
          <w:color w:val="000000"/>
          <w:szCs w:val="18"/>
        </w:rPr>
        <w:t xml:space="preserve"> 20</w:t>
      </w:r>
      <w:r w:rsidR="0017066B" w:rsidRPr="006070EA">
        <w:rPr>
          <w:rFonts w:asciiTheme="majorHAnsi" w:hAnsiTheme="majorHAnsi" w:cstheme="majorHAnsi"/>
          <w:color w:val="000000"/>
          <w:szCs w:val="18"/>
        </w:rPr>
        <w:t>21</w:t>
      </w:r>
      <w:r w:rsidRPr="006070EA">
        <w:rPr>
          <w:rFonts w:asciiTheme="majorHAnsi" w:hAnsiTheme="majorHAnsi" w:cstheme="majorHAnsi"/>
          <w:color w:val="000000"/>
          <w:szCs w:val="18"/>
        </w:rPr>
        <w:t xml:space="preserve"> (stav k 31. 12., dle ČSÚ)</w:t>
      </w:r>
    </w:p>
    <w:tbl>
      <w:tblPr>
        <w:tblW w:w="10219" w:type="dxa"/>
        <w:jc w:val="center"/>
        <w:tblBorders>
          <w:insideH w:val="single" w:sz="4" w:space="0" w:color="auto"/>
          <w:insideV w:val="single" w:sz="4" w:space="0" w:color="auto"/>
        </w:tblBorders>
        <w:tblLook w:val="04A0" w:firstRow="1" w:lastRow="0" w:firstColumn="1" w:lastColumn="0" w:noHBand="0" w:noVBand="1"/>
      </w:tblPr>
      <w:tblGrid>
        <w:gridCol w:w="907"/>
        <w:gridCol w:w="582"/>
        <w:gridCol w:w="582"/>
        <w:gridCol w:w="582"/>
        <w:gridCol w:w="582"/>
        <w:gridCol w:w="582"/>
        <w:gridCol w:w="582"/>
        <w:gridCol w:w="582"/>
        <w:gridCol w:w="582"/>
        <w:gridCol w:w="582"/>
        <w:gridCol w:w="582"/>
        <w:gridCol w:w="582"/>
        <w:gridCol w:w="582"/>
        <w:gridCol w:w="582"/>
        <w:gridCol w:w="582"/>
        <w:gridCol w:w="582"/>
        <w:gridCol w:w="582"/>
      </w:tblGrid>
      <w:tr w:rsidR="0017066B" w:rsidRPr="006070EA" w14:paraId="48956749" w14:textId="2307EBD7" w:rsidTr="00F90B15">
        <w:trPr>
          <w:trHeight w:val="283"/>
          <w:jc w:val="center"/>
        </w:trPr>
        <w:tc>
          <w:tcPr>
            <w:tcW w:w="907" w:type="dxa"/>
            <w:tcBorders>
              <w:top w:val="nil"/>
              <w:left w:val="nil"/>
              <w:bottom w:val="single" w:sz="12" w:space="0" w:color="auto"/>
              <w:right w:val="single" w:sz="12" w:space="0" w:color="auto"/>
            </w:tcBorders>
            <w:vAlign w:val="center"/>
            <w:hideMark/>
          </w:tcPr>
          <w:p w14:paraId="6F4C5A31" w14:textId="77777777" w:rsidR="0017066B" w:rsidRPr="006070EA" w:rsidRDefault="0017066B" w:rsidP="0017066B">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rok</w:t>
            </w:r>
          </w:p>
        </w:tc>
        <w:tc>
          <w:tcPr>
            <w:tcW w:w="582" w:type="dxa"/>
            <w:tcBorders>
              <w:top w:val="nil"/>
              <w:left w:val="single" w:sz="12" w:space="0" w:color="auto"/>
              <w:bottom w:val="single" w:sz="12" w:space="0" w:color="auto"/>
              <w:right w:val="single" w:sz="12" w:space="0" w:color="auto"/>
            </w:tcBorders>
            <w:vAlign w:val="center"/>
          </w:tcPr>
          <w:p w14:paraId="57924841" w14:textId="77777777" w:rsidR="0017066B" w:rsidRPr="006070EA" w:rsidRDefault="0017066B" w:rsidP="0017066B">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2006</w:t>
            </w:r>
          </w:p>
        </w:tc>
        <w:tc>
          <w:tcPr>
            <w:tcW w:w="582" w:type="dxa"/>
            <w:tcBorders>
              <w:top w:val="nil"/>
              <w:left w:val="single" w:sz="12" w:space="0" w:color="auto"/>
              <w:bottom w:val="single" w:sz="12" w:space="0" w:color="auto"/>
              <w:right w:val="single" w:sz="12" w:space="0" w:color="auto"/>
            </w:tcBorders>
            <w:vAlign w:val="center"/>
          </w:tcPr>
          <w:p w14:paraId="21EAD050" w14:textId="77777777" w:rsidR="0017066B" w:rsidRPr="006070EA" w:rsidRDefault="0017066B" w:rsidP="0017066B">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2007</w:t>
            </w:r>
          </w:p>
        </w:tc>
        <w:tc>
          <w:tcPr>
            <w:tcW w:w="582" w:type="dxa"/>
            <w:tcBorders>
              <w:top w:val="nil"/>
              <w:left w:val="single" w:sz="12" w:space="0" w:color="auto"/>
              <w:bottom w:val="single" w:sz="12" w:space="0" w:color="auto"/>
              <w:right w:val="single" w:sz="12" w:space="0" w:color="auto"/>
            </w:tcBorders>
            <w:vAlign w:val="center"/>
          </w:tcPr>
          <w:p w14:paraId="484659B7" w14:textId="77777777" w:rsidR="0017066B" w:rsidRPr="006070EA" w:rsidRDefault="0017066B" w:rsidP="0017066B">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2008</w:t>
            </w:r>
          </w:p>
        </w:tc>
        <w:tc>
          <w:tcPr>
            <w:tcW w:w="582" w:type="dxa"/>
            <w:tcBorders>
              <w:top w:val="nil"/>
              <w:left w:val="single" w:sz="12" w:space="0" w:color="auto"/>
              <w:bottom w:val="single" w:sz="12" w:space="0" w:color="auto"/>
              <w:right w:val="single" w:sz="12" w:space="0" w:color="auto"/>
            </w:tcBorders>
            <w:vAlign w:val="center"/>
          </w:tcPr>
          <w:p w14:paraId="4DEC945A" w14:textId="77777777" w:rsidR="0017066B" w:rsidRPr="006070EA" w:rsidRDefault="0017066B" w:rsidP="0017066B">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2009</w:t>
            </w:r>
          </w:p>
        </w:tc>
        <w:tc>
          <w:tcPr>
            <w:tcW w:w="582" w:type="dxa"/>
            <w:tcBorders>
              <w:top w:val="nil"/>
              <w:left w:val="single" w:sz="12" w:space="0" w:color="auto"/>
              <w:bottom w:val="single" w:sz="12" w:space="0" w:color="auto"/>
              <w:right w:val="single" w:sz="12" w:space="0" w:color="auto"/>
            </w:tcBorders>
            <w:vAlign w:val="center"/>
          </w:tcPr>
          <w:p w14:paraId="0804167E" w14:textId="77777777" w:rsidR="0017066B" w:rsidRPr="006070EA" w:rsidRDefault="0017066B" w:rsidP="0017066B">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2010</w:t>
            </w:r>
          </w:p>
        </w:tc>
        <w:tc>
          <w:tcPr>
            <w:tcW w:w="582" w:type="dxa"/>
            <w:tcBorders>
              <w:top w:val="nil"/>
              <w:left w:val="single" w:sz="12" w:space="0" w:color="auto"/>
              <w:bottom w:val="single" w:sz="12" w:space="0" w:color="auto"/>
              <w:right w:val="single" w:sz="12" w:space="0" w:color="auto"/>
            </w:tcBorders>
            <w:vAlign w:val="center"/>
          </w:tcPr>
          <w:p w14:paraId="1FDF926D" w14:textId="77777777" w:rsidR="0017066B" w:rsidRPr="006070EA" w:rsidRDefault="0017066B" w:rsidP="0017066B">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2011</w:t>
            </w:r>
          </w:p>
        </w:tc>
        <w:tc>
          <w:tcPr>
            <w:tcW w:w="582" w:type="dxa"/>
            <w:tcBorders>
              <w:top w:val="nil"/>
              <w:left w:val="single" w:sz="12" w:space="0" w:color="auto"/>
              <w:bottom w:val="single" w:sz="12" w:space="0" w:color="auto"/>
              <w:right w:val="single" w:sz="12" w:space="0" w:color="auto"/>
            </w:tcBorders>
            <w:vAlign w:val="center"/>
          </w:tcPr>
          <w:p w14:paraId="5F013158" w14:textId="77777777" w:rsidR="0017066B" w:rsidRPr="006070EA" w:rsidRDefault="0017066B" w:rsidP="0017066B">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2012</w:t>
            </w:r>
          </w:p>
        </w:tc>
        <w:tc>
          <w:tcPr>
            <w:tcW w:w="582" w:type="dxa"/>
            <w:tcBorders>
              <w:top w:val="nil"/>
              <w:left w:val="single" w:sz="12" w:space="0" w:color="auto"/>
              <w:bottom w:val="single" w:sz="12" w:space="0" w:color="auto"/>
              <w:right w:val="single" w:sz="12" w:space="0" w:color="auto"/>
            </w:tcBorders>
            <w:vAlign w:val="center"/>
          </w:tcPr>
          <w:p w14:paraId="4BCEDD53" w14:textId="77777777" w:rsidR="0017066B" w:rsidRPr="006070EA" w:rsidRDefault="0017066B" w:rsidP="0017066B">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2013</w:t>
            </w:r>
          </w:p>
        </w:tc>
        <w:tc>
          <w:tcPr>
            <w:tcW w:w="582" w:type="dxa"/>
            <w:tcBorders>
              <w:top w:val="nil"/>
              <w:left w:val="single" w:sz="12" w:space="0" w:color="auto"/>
              <w:bottom w:val="single" w:sz="12" w:space="0" w:color="auto"/>
              <w:right w:val="single" w:sz="12" w:space="0" w:color="auto"/>
            </w:tcBorders>
            <w:vAlign w:val="center"/>
          </w:tcPr>
          <w:p w14:paraId="5A0DA99E" w14:textId="77777777" w:rsidR="0017066B" w:rsidRPr="006070EA" w:rsidRDefault="0017066B" w:rsidP="0017066B">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2014</w:t>
            </w:r>
          </w:p>
        </w:tc>
        <w:tc>
          <w:tcPr>
            <w:tcW w:w="582" w:type="dxa"/>
            <w:tcBorders>
              <w:top w:val="nil"/>
              <w:left w:val="single" w:sz="12" w:space="0" w:color="auto"/>
              <w:bottom w:val="single" w:sz="12" w:space="0" w:color="auto"/>
              <w:right w:val="single" w:sz="4" w:space="0" w:color="auto"/>
            </w:tcBorders>
            <w:vAlign w:val="center"/>
          </w:tcPr>
          <w:p w14:paraId="593104E3" w14:textId="77777777" w:rsidR="0017066B" w:rsidRPr="006070EA" w:rsidRDefault="0017066B" w:rsidP="0017066B">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2015</w:t>
            </w:r>
          </w:p>
        </w:tc>
        <w:tc>
          <w:tcPr>
            <w:tcW w:w="582" w:type="dxa"/>
            <w:tcBorders>
              <w:top w:val="nil"/>
              <w:left w:val="single" w:sz="12" w:space="0" w:color="auto"/>
              <w:bottom w:val="single" w:sz="12" w:space="0" w:color="auto"/>
              <w:right w:val="single" w:sz="4" w:space="0" w:color="auto"/>
            </w:tcBorders>
            <w:vAlign w:val="center"/>
          </w:tcPr>
          <w:p w14:paraId="3BEF0A2D" w14:textId="5896FCDD" w:rsidR="0017066B" w:rsidRPr="006070EA" w:rsidRDefault="0017066B" w:rsidP="0017066B">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2016</w:t>
            </w:r>
          </w:p>
        </w:tc>
        <w:tc>
          <w:tcPr>
            <w:tcW w:w="582" w:type="dxa"/>
            <w:tcBorders>
              <w:top w:val="nil"/>
              <w:left w:val="single" w:sz="12" w:space="0" w:color="auto"/>
              <w:bottom w:val="single" w:sz="12" w:space="0" w:color="auto"/>
              <w:right w:val="single" w:sz="4" w:space="0" w:color="auto"/>
            </w:tcBorders>
            <w:vAlign w:val="center"/>
          </w:tcPr>
          <w:p w14:paraId="3FCF9CF7" w14:textId="5604BE7E" w:rsidR="0017066B" w:rsidRPr="006070EA" w:rsidRDefault="0017066B" w:rsidP="0017066B">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2017</w:t>
            </w:r>
          </w:p>
        </w:tc>
        <w:tc>
          <w:tcPr>
            <w:tcW w:w="582" w:type="dxa"/>
            <w:tcBorders>
              <w:top w:val="nil"/>
              <w:left w:val="single" w:sz="12" w:space="0" w:color="auto"/>
              <w:bottom w:val="single" w:sz="12" w:space="0" w:color="auto"/>
              <w:right w:val="single" w:sz="4" w:space="0" w:color="auto"/>
            </w:tcBorders>
            <w:vAlign w:val="center"/>
          </w:tcPr>
          <w:p w14:paraId="33A863C5" w14:textId="597EA06C" w:rsidR="0017066B" w:rsidRPr="006070EA" w:rsidRDefault="0017066B" w:rsidP="0017066B">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2018</w:t>
            </w:r>
          </w:p>
        </w:tc>
        <w:tc>
          <w:tcPr>
            <w:tcW w:w="582" w:type="dxa"/>
            <w:tcBorders>
              <w:top w:val="nil"/>
              <w:left w:val="single" w:sz="12" w:space="0" w:color="auto"/>
              <w:bottom w:val="single" w:sz="12" w:space="0" w:color="auto"/>
              <w:right w:val="single" w:sz="4" w:space="0" w:color="auto"/>
            </w:tcBorders>
            <w:vAlign w:val="center"/>
          </w:tcPr>
          <w:p w14:paraId="2A5B162A" w14:textId="26AF19C1" w:rsidR="0017066B" w:rsidRPr="006070EA" w:rsidRDefault="0017066B" w:rsidP="0017066B">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2019</w:t>
            </w:r>
          </w:p>
        </w:tc>
        <w:tc>
          <w:tcPr>
            <w:tcW w:w="582" w:type="dxa"/>
            <w:tcBorders>
              <w:top w:val="nil"/>
              <w:left w:val="single" w:sz="12" w:space="0" w:color="auto"/>
              <w:bottom w:val="single" w:sz="12" w:space="0" w:color="auto"/>
              <w:right w:val="single" w:sz="4" w:space="0" w:color="auto"/>
            </w:tcBorders>
            <w:vAlign w:val="center"/>
          </w:tcPr>
          <w:p w14:paraId="00766C7C" w14:textId="7137BC41" w:rsidR="0017066B" w:rsidRPr="006070EA" w:rsidRDefault="0017066B" w:rsidP="0017066B">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2020</w:t>
            </w:r>
          </w:p>
        </w:tc>
        <w:tc>
          <w:tcPr>
            <w:tcW w:w="582" w:type="dxa"/>
            <w:tcBorders>
              <w:top w:val="nil"/>
              <w:left w:val="single" w:sz="12" w:space="0" w:color="auto"/>
              <w:bottom w:val="single" w:sz="12" w:space="0" w:color="auto"/>
              <w:right w:val="nil"/>
            </w:tcBorders>
            <w:vAlign w:val="center"/>
          </w:tcPr>
          <w:p w14:paraId="01EF4EB5" w14:textId="2A2FB76A" w:rsidR="0017066B" w:rsidRPr="006070EA" w:rsidRDefault="0017066B" w:rsidP="0017066B">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2021</w:t>
            </w:r>
          </w:p>
        </w:tc>
      </w:tr>
      <w:tr w:rsidR="0017066B" w:rsidRPr="006070EA" w14:paraId="15F1EDC5" w14:textId="54AB20B0" w:rsidTr="00F90B15">
        <w:trPr>
          <w:trHeight w:val="283"/>
          <w:jc w:val="center"/>
        </w:trPr>
        <w:tc>
          <w:tcPr>
            <w:tcW w:w="907" w:type="dxa"/>
            <w:tcBorders>
              <w:top w:val="single" w:sz="12" w:space="0" w:color="auto"/>
              <w:left w:val="nil"/>
              <w:bottom w:val="nil"/>
              <w:right w:val="single" w:sz="4" w:space="0" w:color="auto"/>
            </w:tcBorders>
            <w:vAlign w:val="center"/>
            <w:hideMark/>
          </w:tcPr>
          <w:p w14:paraId="26A827CC" w14:textId="7CF54D30" w:rsidR="0017066B" w:rsidRPr="006070EA" w:rsidRDefault="0017066B" w:rsidP="0017066B">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počet ob</w:t>
            </w:r>
            <w:r w:rsidR="00F90B15" w:rsidRPr="006070EA">
              <w:rPr>
                <w:rFonts w:asciiTheme="majorHAnsi" w:hAnsiTheme="majorHAnsi" w:cstheme="majorHAnsi"/>
                <w:color w:val="000000"/>
                <w:szCs w:val="18"/>
                <w:lang w:val="cs-CZ"/>
              </w:rPr>
              <w:t>.</w:t>
            </w:r>
          </w:p>
        </w:tc>
        <w:tc>
          <w:tcPr>
            <w:tcW w:w="582" w:type="dxa"/>
            <w:tcBorders>
              <w:top w:val="single" w:sz="12" w:space="0" w:color="auto"/>
              <w:left w:val="single" w:sz="4" w:space="0" w:color="auto"/>
              <w:bottom w:val="nil"/>
              <w:right w:val="single" w:sz="4" w:space="0" w:color="auto"/>
            </w:tcBorders>
            <w:vAlign w:val="center"/>
          </w:tcPr>
          <w:p w14:paraId="26E79D06" w14:textId="77777777" w:rsidR="0017066B" w:rsidRPr="006070EA" w:rsidRDefault="0017066B" w:rsidP="0017066B">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1652</w:t>
            </w:r>
          </w:p>
        </w:tc>
        <w:tc>
          <w:tcPr>
            <w:tcW w:w="582" w:type="dxa"/>
            <w:tcBorders>
              <w:top w:val="single" w:sz="12" w:space="0" w:color="auto"/>
              <w:left w:val="single" w:sz="4" w:space="0" w:color="auto"/>
              <w:bottom w:val="nil"/>
              <w:right w:val="single" w:sz="4" w:space="0" w:color="auto"/>
            </w:tcBorders>
            <w:vAlign w:val="center"/>
          </w:tcPr>
          <w:p w14:paraId="1E7FB431" w14:textId="77777777" w:rsidR="0017066B" w:rsidRPr="006070EA" w:rsidRDefault="0017066B" w:rsidP="0017066B">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1658</w:t>
            </w:r>
          </w:p>
        </w:tc>
        <w:tc>
          <w:tcPr>
            <w:tcW w:w="582" w:type="dxa"/>
            <w:tcBorders>
              <w:top w:val="single" w:sz="12" w:space="0" w:color="auto"/>
              <w:left w:val="single" w:sz="4" w:space="0" w:color="auto"/>
              <w:bottom w:val="nil"/>
              <w:right w:val="single" w:sz="4" w:space="0" w:color="auto"/>
            </w:tcBorders>
            <w:vAlign w:val="center"/>
          </w:tcPr>
          <w:p w14:paraId="24307A71" w14:textId="77777777" w:rsidR="0017066B" w:rsidRPr="006070EA" w:rsidRDefault="0017066B" w:rsidP="0017066B">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1709</w:t>
            </w:r>
          </w:p>
        </w:tc>
        <w:tc>
          <w:tcPr>
            <w:tcW w:w="582" w:type="dxa"/>
            <w:tcBorders>
              <w:top w:val="single" w:sz="12" w:space="0" w:color="auto"/>
              <w:left w:val="single" w:sz="4" w:space="0" w:color="auto"/>
              <w:bottom w:val="nil"/>
              <w:right w:val="single" w:sz="4" w:space="0" w:color="auto"/>
            </w:tcBorders>
            <w:vAlign w:val="center"/>
          </w:tcPr>
          <w:p w14:paraId="72D61531" w14:textId="77777777" w:rsidR="0017066B" w:rsidRPr="006070EA" w:rsidRDefault="0017066B" w:rsidP="0017066B">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1742</w:t>
            </w:r>
          </w:p>
        </w:tc>
        <w:tc>
          <w:tcPr>
            <w:tcW w:w="582" w:type="dxa"/>
            <w:tcBorders>
              <w:top w:val="single" w:sz="12" w:space="0" w:color="auto"/>
              <w:left w:val="single" w:sz="4" w:space="0" w:color="auto"/>
              <w:bottom w:val="nil"/>
              <w:right w:val="single" w:sz="4" w:space="0" w:color="auto"/>
            </w:tcBorders>
            <w:vAlign w:val="center"/>
          </w:tcPr>
          <w:p w14:paraId="19F7F855" w14:textId="77777777" w:rsidR="0017066B" w:rsidRPr="006070EA" w:rsidRDefault="0017066B" w:rsidP="0017066B">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1762</w:t>
            </w:r>
          </w:p>
        </w:tc>
        <w:tc>
          <w:tcPr>
            <w:tcW w:w="582" w:type="dxa"/>
            <w:tcBorders>
              <w:top w:val="single" w:sz="12" w:space="0" w:color="auto"/>
              <w:left w:val="single" w:sz="4" w:space="0" w:color="auto"/>
              <w:bottom w:val="nil"/>
              <w:right w:val="single" w:sz="4" w:space="0" w:color="auto"/>
            </w:tcBorders>
            <w:vAlign w:val="center"/>
          </w:tcPr>
          <w:p w14:paraId="58FE8E59" w14:textId="77777777" w:rsidR="0017066B" w:rsidRPr="006070EA" w:rsidRDefault="0017066B" w:rsidP="0017066B">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1777</w:t>
            </w:r>
          </w:p>
        </w:tc>
        <w:tc>
          <w:tcPr>
            <w:tcW w:w="582" w:type="dxa"/>
            <w:tcBorders>
              <w:top w:val="single" w:sz="12" w:space="0" w:color="auto"/>
              <w:left w:val="single" w:sz="4" w:space="0" w:color="auto"/>
              <w:bottom w:val="nil"/>
              <w:right w:val="single" w:sz="4" w:space="0" w:color="auto"/>
            </w:tcBorders>
            <w:vAlign w:val="center"/>
          </w:tcPr>
          <w:p w14:paraId="38A7D263" w14:textId="77777777" w:rsidR="0017066B" w:rsidRPr="006070EA" w:rsidRDefault="0017066B" w:rsidP="0017066B">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1819</w:t>
            </w:r>
          </w:p>
        </w:tc>
        <w:tc>
          <w:tcPr>
            <w:tcW w:w="582" w:type="dxa"/>
            <w:tcBorders>
              <w:top w:val="single" w:sz="12" w:space="0" w:color="auto"/>
              <w:left w:val="single" w:sz="4" w:space="0" w:color="auto"/>
              <w:bottom w:val="nil"/>
              <w:right w:val="single" w:sz="4" w:space="0" w:color="auto"/>
            </w:tcBorders>
            <w:vAlign w:val="center"/>
          </w:tcPr>
          <w:p w14:paraId="193EE294" w14:textId="77777777" w:rsidR="0017066B" w:rsidRPr="006070EA" w:rsidRDefault="0017066B" w:rsidP="0017066B">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1820</w:t>
            </w:r>
          </w:p>
        </w:tc>
        <w:tc>
          <w:tcPr>
            <w:tcW w:w="582" w:type="dxa"/>
            <w:tcBorders>
              <w:top w:val="single" w:sz="12" w:space="0" w:color="auto"/>
              <w:left w:val="single" w:sz="4" w:space="0" w:color="auto"/>
              <w:bottom w:val="nil"/>
              <w:right w:val="single" w:sz="4" w:space="0" w:color="auto"/>
            </w:tcBorders>
            <w:vAlign w:val="center"/>
          </w:tcPr>
          <w:p w14:paraId="1C870D9A" w14:textId="77777777" w:rsidR="0017066B" w:rsidRPr="006070EA" w:rsidRDefault="0017066B" w:rsidP="0017066B">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1852</w:t>
            </w:r>
          </w:p>
        </w:tc>
        <w:tc>
          <w:tcPr>
            <w:tcW w:w="582" w:type="dxa"/>
            <w:tcBorders>
              <w:top w:val="single" w:sz="12" w:space="0" w:color="auto"/>
              <w:left w:val="single" w:sz="4" w:space="0" w:color="auto"/>
              <w:bottom w:val="nil"/>
              <w:right w:val="single" w:sz="4" w:space="0" w:color="auto"/>
            </w:tcBorders>
            <w:vAlign w:val="center"/>
          </w:tcPr>
          <w:p w14:paraId="04218B84" w14:textId="77777777" w:rsidR="0017066B" w:rsidRPr="006070EA" w:rsidRDefault="0017066B" w:rsidP="0017066B">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1848</w:t>
            </w:r>
          </w:p>
        </w:tc>
        <w:tc>
          <w:tcPr>
            <w:tcW w:w="582" w:type="dxa"/>
            <w:tcBorders>
              <w:top w:val="single" w:sz="12" w:space="0" w:color="auto"/>
              <w:left w:val="single" w:sz="4" w:space="0" w:color="auto"/>
              <w:bottom w:val="nil"/>
              <w:right w:val="single" w:sz="4" w:space="0" w:color="auto"/>
            </w:tcBorders>
            <w:vAlign w:val="center"/>
          </w:tcPr>
          <w:p w14:paraId="566ED0A8" w14:textId="50FF9526" w:rsidR="0017066B" w:rsidRPr="006070EA" w:rsidRDefault="0017066B" w:rsidP="0017066B">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1838</w:t>
            </w:r>
          </w:p>
        </w:tc>
        <w:tc>
          <w:tcPr>
            <w:tcW w:w="582" w:type="dxa"/>
            <w:tcBorders>
              <w:top w:val="single" w:sz="12" w:space="0" w:color="auto"/>
              <w:left w:val="single" w:sz="4" w:space="0" w:color="auto"/>
              <w:bottom w:val="nil"/>
              <w:right w:val="single" w:sz="4" w:space="0" w:color="auto"/>
            </w:tcBorders>
            <w:vAlign w:val="center"/>
          </w:tcPr>
          <w:p w14:paraId="28580AE9" w14:textId="19775F4B" w:rsidR="0017066B" w:rsidRPr="006070EA" w:rsidRDefault="0017066B" w:rsidP="0017066B">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1873</w:t>
            </w:r>
          </w:p>
        </w:tc>
        <w:tc>
          <w:tcPr>
            <w:tcW w:w="582" w:type="dxa"/>
            <w:tcBorders>
              <w:top w:val="single" w:sz="12" w:space="0" w:color="auto"/>
              <w:left w:val="single" w:sz="4" w:space="0" w:color="auto"/>
              <w:bottom w:val="nil"/>
              <w:right w:val="single" w:sz="4" w:space="0" w:color="auto"/>
            </w:tcBorders>
            <w:vAlign w:val="center"/>
          </w:tcPr>
          <w:p w14:paraId="01074409" w14:textId="1494546C" w:rsidR="0017066B" w:rsidRPr="006070EA" w:rsidRDefault="0017066B" w:rsidP="0017066B">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1858</w:t>
            </w:r>
          </w:p>
        </w:tc>
        <w:tc>
          <w:tcPr>
            <w:tcW w:w="582" w:type="dxa"/>
            <w:tcBorders>
              <w:top w:val="single" w:sz="12" w:space="0" w:color="auto"/>
              <w:left w:val="single" w:sz="4" w:space="0" w:color="auto"/>
              <w:bottom w:val="nil"/>
              <w:right w:val="single" w:sz="4" w:space="0" w:color="auto"/>
            </w:tcBorders>
            <w:vAlign w:val="center"/>
          </w:tcPr>
          <w:p w14:paraId="2F099883" w14:textId="04250EFB" w:rsidR="0017066B" w:rsidRPr="006070EA" w:rsidRDefault="0017066B" w:rsidP="0017066B">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1844</w:t>
            </w:r>
          </w:p>
        </w:tc>
        <w:tc>
          <w:tcPr>
            <w:tcW w:w="582" w:type="dxa"/>
            <w:tcBorders>
              <w:top w:val="single" w:sz="12" w:space="0" w:color="auto"/>
              <w:left w:val="single" w:sz="4" w:space="0" w:color="auto"/>
              <w:bottom w:val="nil"/>
              <w:right w:val="single" w:sz="4" w:space="0" w:color="auto"/>
            </w:tcBorders>
            <w:vAlign w:val="center"/>
          </w:tcPr>
          <w:p w14:paraId="782722E3" w14:textId="2E8052F8" w:rsidR="0017066B" w:rsidRPr="006070EA" w:rsidRDefault="0017066B" w:rsidP="0017066B">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1850</w:t>
            </w:r>
          </w:p>
        </w:tc>
        <w:tc>
          <w:tcPr>
            <w:tcW w:w="582" w:type="dxa"/>
            <w:tcBorders>
              <w:top w:val="single" w:sz="12" w:space="0" w:color="auto"/>
              <w:left w:val="single" w:sz="4" w:space="0" w:color="auto"/>
              <w:bottom w:val="nil"/>
              <w:right w:val="nil"/>
            </w:tcBorders>
            <w:vAlign w:val="center"/>
          </w:tcPr>
          <w:p w14:paraId="4411DCDA" w14:textId="098929B7" w:rsidR="0017066B" w:rsidRPr="006070EA" w:rsidRDefault="0017066B" w:rsidP="0017066B">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1885</w:t>
            </w:r>
          </w:p>
        </w:tc>
      </w:tr>
    </w:tbl>
    <w:p w14:paraId="684B7BB8" w14:textId="0FF23CF5" w:rsidR="009E5E88" w:rsidRPr="006070EA" w:rsidRDefault="009E5E88" w:rsidP="009E5E88">
      <w:pPr>
        <w:pStyle w:val="Poznmka"/>
        <w:keepNext/>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Graf: Vývoj počtu obyvatel v Kostomlatech nad Labem v období 200</w:t>
      </w:r>
      <w:r w:rsidR="004E5175" w:rsidRPr="006070EA">
        <w:rPr>
          <w:rFonts w:asciiTheme="majorHAnsi" w:hAnsiTheme="majorHAnsi" w:cstheme="majorHAnsi"/>
          <w:color w:val="000000"/>
          <w:szCs w:val="18"/>
          <w:lang w:val="cs-CZ"/>
        </w:rPr>
        <w:t>6</w:t>
      </w:r>
      <w:r w:rsidRPr="006070EA">
        <w:rPr>
          <w:rFonts w:asciiTheme="majorHAnsi" w:hAnsiTheme="majorHAnsi" w:cstheme="majorHAnsi"/>
          <w:color w:val="000000"/>
          <w:szCs w:val="18"/>
          <w:lang w:val="cs-CZ"/>
        </w:rPr>
        <w:t xml:space="preserve"> – 20</w:t>
      </w:r>
      <w:r w:rsidR="004E5175" w:rsidRPr="006070EA">
        <w:rPr>
          <w:rFonts w:asciiTheme="majorHAnsi" w:hAnsiTheme="majorHAnsi" w:cstheme="majorHAnsi"/>
          <w:color w:val="000000"/>
          <w:szCs w:val="18"/>
          <w:lang w:val="cs-CZ"/>
        </w:rPr>
        <w:t>21 (stav k 31. 12., dle ČSÚ)</w:t>
      </w:r>
    </w:p>
    <w:p w14:paraId="3740D9AD" w14:textId="1CBB72D2" w:rsidR="004E5175" w:rsidRPr="006070EA" w:rsidRDefault="004E5175" w:rsidP="009E5E88">
      <w:pPr>
        <w:pStyle w:val="Poznmka"/>
        <w:keepNext/>
        <w:rPr>
          <w:rFonts w:asciiTheme="majorHAnsi" w:hAnsiTheme="majorHAnsi" w:cstheme="majorHAnsi"/>
          <w:color w:val="000000"/>
          <w:szCs w:val="18"/>
          <w:lang w:val="cs-CZ"/>
        </w:rPr>
      </w:pPr>
      <w:r w:rsidRPr="006070EA">
        <w:rPr>
          <w:rFonts w:asciiTheme="majorHAnsi" w:hAnsiTheme="majorHAnsi" w:cstheme="majorHAnsi"/>
          <w:noProof/>
          <w:lang w:val="cs-CZ"/>
        </w:rPr>
        <w:drawing>
          <wp:inline distT="0" distB="0" distL="0" distR="0" wp14:anchorId="4E5F6B41" wp14:editId="54F0E4CB">
            <wp:extent cx="5759450" cy="2159635"/>
            <wp:effectExtent l="0" t="0" r="0" b="0"/>
            <wp:docPr id="26" name="Graf 26">
              <a:extLst xmlns:a="http://schemas.openxmlformats.org/drawingml/2006/main">
                <a:ext uri="{FF2B5EF4-FFF2-40B4-BE49-F238E27FC236}">
                  <a16:creationId xmlns:a16="http://schemas.microsoft.com/office/drawing/2014/main" id="{FC6B2034-AA6A-4EE0-9B13-5BACEC71A17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74CFF959" w14:textId="695E2A54" w:rsidR="00760B4C" w:rsidRPr="006070EA" w:rsidRDefault="00760B4C" w:rsidP="009E07E1">
      <w:pPr>
        <w:spacing w:after="120" w:line="240" w:lineRule="auto"/>
        <w:ind w:firstLine="709"/>
        <w:jc w:val="both"/>
        <w:rPr>
          <w:rFonts w:asciiTheme="majorHAnsi" w:hAnsiTheme="majorHAnsi" w:cstheme="majorHAnsi"/>
          <w:sz w:val="18"/>
        </w:rPr>
      </w:pPr>
      <w:r w:rsidRPr="006070EA">
        <w:rPr>
          <w:rFonts w:asciiTheme="majorHAnsi" w:hAnsiTheme="majorHAnsi" w:cstheme="majorHAnsi"/>
          <w:sz w:val="18"/>
        </w:rPr>
        <w:t xml:space="preserve">Při pohledu na </w:t>
      </w:r>
      <w:r w:rsidR="004E5175" w:rsidRPr="006070EA">
        <w:rPr>
          <w:rFonts w:asciiTheme="majorHAnsi" w:hAnsiTheme="majorHAnsi" w:cstheme="majorHAnsi"/>
          <w:sz w:val="18"/>
        </w:rPr>
        <w:t xml:space="preserve">uplynulé dvacetileté </w:t>
      </w:r>
      <w:r w:rsidRPr="006070EA">
        <w:rPr>
          <w:rFonts w:asciiTheme="majorHAnsi" w:hAnsiTheme="majorHAnsi" w:cstheme="majorHAnsi"/>
          <w:sz w:val="18"/>
        </w:rPr>
        <w:t xml:space="preserve">období lze poukázat na </w:t>
      </w:r>
      <w:r w:rsidR="004E5175" w:rsidRPr="006070EA">
        <w:rPr>
          <w:rFonts w:asciiTheme="majorHAnsi" w:hAnsiTheme="majorHAnsi" w:cstheme="majorHAnsi"/>
          <w:sz w:val="18"/>
        </w:rPr>
        <w:t xml:space="preserve">jednoznačně </w:t>
      </w:r>
      <w:r w:rsidRPr="006070EA">
        <w:rPr>
          <w:rFonts w:asciiTheme="majorHAnsi" w:hAnsiTheme="majorHAnsi" w:cstheme="majorHAnsi"/>
          <w:sz w:val="18"/>
        </w:rPr>
        <w:t>progresivní trend, který graficky znázorňuje spojnice trendu (přerušovaná čára)</w:t>
      </w:r>
      <w:r w:rsidR="004E5175" w:rsidRPr="006070EA">
        <w:rPr>
          <w:rFonts w:asciiTheme="majorHAnsi" w:hAnsiTheme="majorHAnsi" w:cstheme="majorHAnsi"/>
          <w:sz w:val="18"/>
        </w:rPr>
        <w:t xml:space="preserve"> ve výše uvedeném grafu</w:t>
      </w:r>
      <w:r w:rsidRPr="006070EA">
        <w:rPr>
          <w:rFonts w:asciiTheme="majorHAnsi" w:hAnsiTheme="majorHAnsi" w:cstheme="majorHAnsi"/>
          <w:sz w:val="18"/>
        </w:rPr>
        <w:t xml:space="preserve">. </w:t>
      </w:r>
    </w:p>
    <w:p w14:paraId="1E6A46BA" w14:textId="77777777" w:rsidR="00567339" w:rsidRPr="006070EA" w:rsidRDefault="00567339" w:rsidP="0096622F">
      <w:pPr>
        <w:pStyle w:val="Mra2-reakceern"/>
        <w:keepNext/>
        <w:pBdr>
          <w:left w:val="none" w:sz="0" w:space="0" w:color="auto"/>
        </w:pBdr>
        <w:shd w:val="clear" w:color="auto" w:fill="F2F2F2" w:themeFill="background1" w:themeFillShade="F2"/>
        <w:spacing w:before="120" w:after="120"/>
        <w:ind w:left="0"/>
        <w:jc w:val="left"/>
        <w:rPr>
          <w:rFonts w:asciiTheme="majorHAnsi" w:hAnsiTheme="majorHAnsi" w:cstheme="majorHAnsi"/>
          <w:b/>
          <w:color w:val="auto"/>
          <w:sz w:val="20"/>
        </w:rPr>
      </w:pPr>
      <w:r w:rsidRPr="006070EA">
        <w:rPr>
          <w:rFonts w:asciiTheme="majorHAnsi" w:hAnsiTheme="majorHAnsi" w:cstheme="majorHAnsi"/>
          <w:b/>
          <w:color w:val="auto"/>
          <w:sz w:val="20"/>
        </w:rPr>
        <w:t>Pohyb obyvatel</w:t>
      </w:r>
    </w:p>
    <w:p w14:paraId="2FA99647" w14:textId="2F2F5123" w:rsidR="009E5E88" w:rsidRPr="006070EA" w:rsidRDefault="009E5E88" w:rsidP="009E5E88">
      <w:pPr>
        <w:pStyle w:val="Atext"/>
        <w:rPr>
          <w:rFonts w:asciiTheme="majorHAnsi" w:hAnsiTheme="majorHAnsi" w:cstheme="majorHAnsi"/>
          <w:color w:val="000000"/>
          <w:szCs w:val="18"/>
        </w:rPr>
      </w:pPr>
      <w:r w:rsidRPr="006070EA">
        <w:rPr>
          <w:rFonts w:asciiTheme="majorHAnsi" w:hAnsiTheme="majorHAnsi" w:cstheme="majorHAnsi"/>
          <w:color w:val="000000"/>
          <w:szCs w:val="18"/>
        </w:rPr>
        <w:t xml:space="preserve">Celkový počet obyvatelstva významně ovlivňuje mimo přirozený pohyb (narození, zemřelí) též pohyb mechanický (stěhování) označovaný jako migrace. Konkrétní hodnoty přírůstku přirozeného a migračního v Kostomlatech nad Labem </w:t>
      </w:r>
      <w:r w:rsidR="00DE5A48" w:rsidRPr="006070EA">
        <w:rPr>
          <w:rFonts w:asciiTheme="majorHAnsi" w:hAnsiTheme="majorHAnsi" w:cstheme="majorHAnsi"/>
          <w:color w:val="000000"/>
          <w:szCs w:val="18"/>
        </w:rPr>
        <w:t xml:space="preserve">v období 1995 až 2015 </w:t>
      </w:r>
      <w:r w:rsidRPr="006070EA">
        <w:rPr>
          <w:rFonts w:asciiTheme="majorHAnsi" w:hAnsiTheme="majorHAnsi" w:cstheme="majorHAnsi"/>
          <w:color w:val="000000"/>
          <w:szCs w:val="18"/>
        </w:rPr>
        <w:t xml:space="preserve">jsou uvedeny níže v tabulce. Přestože je dominantní složkou mechanický pohyb, salda přírůstku přirozeného a migračního se pohybují shodně v řádech jednotek. </w:t>
      </w:r>
    </w:p>
    <w:p w14:paraId="74ADFABC" w14:textId="6D903D9A" w:rsidR="009E5E88" w:rsidRPr="006070EA" w:rsidRDefault="009E5E88" w:rsidP="009E5E88">
      <w:pPr>
        <w:pStyle w:val="Poznmka"/>
        <w:keepNext/>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 xml:space="preserve">Tab.: Přirozený, migrační a celkový přírůstek v Kostomlatech nad Labem v období 1995 </w:t>
      </w:r>
      <w:r w:rsidR="00DE5A48" w:rsidRPr="006070EA">
        <w:rPr>
          <w:rFonts w:asciiTheme="majorHAnsi" w:hAnsiTheme="majorHAnsi" w:cstheme="majorHAnsi"/>
          <w:color w:val="000000"/>
          <w:szCs w:val="18"/>
          <w:lang w:val="cs-CZ"/>
        </w:rPr>
        <w:t>–</w:t>
      </w:r>
      <w:r w:rsidRPr="006070EA">
        <w:rPr>
          <w:rFonts w:asciiTheme="majorHAnsi" w:hAnsiTheme="majorHAnsi" w:cstheme="majorHAnsi"/>
          <w:color w:val="000000"/>
          <w:szCs w:val="18"/>
          <w:lang w:val="cs-CZ"/>
        </w:rPr>
        <w:t xml:space="preserve"> 2015 (dle ČSÚ)</w:t>
      </w:r>
    </w:p>
    <w:tbl>
      <w:tblPr>
        <w:tblW w:w="9103" w:type="dxa"/>
        <w:jc w:val="center"/>
        <w:tblBorders>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05"/>
        <w:gridCol w:w="850"/>
        <w:gridCol w:w="686"/>
        <w:gridCol w:w="1020"/>
        <w:gridCol w:w="1020"/>
        <w:gridCol w:w="1361"/>
        <w:gridCol w:w="1361"/>
        <w:gridCol w:w="1361"/>
        <w:gridCol w:w="939"/>
      </w:tblGrid>
      <w:tr w:rsidR="00DE5A48" w:rsidRPr="006070EA" w14:paraId="03B5F5F4" w14:textId="77777777" w:rsidTr="00F90B15">
        <w:trPr>
          <w:trHeight w:val="510"/>
          <w:tblHeader/>
          <w:jc w:val="center"/>
        </w:trPr>
        <w:tc>
          <w:tcPr>
            <w:tcW w:w="505" w:type="dxa"/>
            <w:shd w:val="clear" w:color="auto" w:fill="auto"/>
            <w:noWrap/>
            <w:vAlign w:val="center"/>
            <w:hideMark/>
          </w:tcPr>
          <w:p w14:paraId="5178EC5E" w14:textId="77777777" w:rsidR="00DE5A48" w:rsidRPr="006070EA" w:rsidRDefault="00DE5A48" w:rsidP="00DE5A48">
            <w:pPr>
              <w:spacing w:after="0"/>
              <w:jc w:val="center"/>
              <w:rPr>
                <w:rFonts w:asciiTheme="majorHAnsi" w:hAnsiTheme="majorHAnsi" w:cstheme="majorHAnsi"/>
                <w:b/>
                <w:bCs/>
                <w:color w:val="000000"/>
                <w:sz w:val="18"/>
                <w:szCs w:val="18"/>
                <w:lang w:eastAsia="cs-CZ"/>
              </w:rPr>
            </w:pPr>
            <w:r w:rsidRPr="006070EA">
              <w:rPr>
                <w:rFonts w:asciiTheme="majorHAnsi" w:hAnsiTheme="majorHAnsi" w:cstheme="majorHAnsi"/>
                <w:b/>
                <w:bCs/>
                <w:color w:val="000000"/>
                <w:sz w:val="18"/>
                <w:szCs w:val="18"/>
                <w:lang w:eastAsia="cs-CZ"/>
              </w:rPr>
              <w:t>Rok</w:t>
            </w:r>
          </w:p>
        </w:tc>
        <w:tc>
          <w:tcPr>
            <w:tcW w:w="850" w:type="dxa"/>
            <w:shd w:val="clear" w:color="auto" w:fill="auto"/>
            <w:noWrap/>
            <w:vAlign w:val="center"/>
            <w:hideMark/>
          </w:tcPr>
          <w:p w14:paraId="44ABA5B4" w14:textId="77777777" w:rsidR="00DE5A48" w:rsidRPr="006070EA" w:rsidRDefault="00DE5A48" w:rsidP="00DE5A48">
            <w:pPr>
              <w:spacing w:after="0"/>
              <w:jc w:val="center"/>
              <w:rPr>
                <w:rFonts w:asciiTheme="majorHAnsi" w:hAnsiTheme="majorHAnsi" w:cstheme="majorHAnsi"/>
                <w:b/>
                <w:bCs/>
                <w:color w:val="000000"/>
                <w:sz w:val="18"/>
                <w:szCs w:val="18"/>
                <w:lang w:eastAsia="cs-CZ"/>
              </w:rPr>
            </w:pPr>
            <w:r w:rsidRPr="006070EA">
              <w:rPr>
                <w:rFonts w:asciiTheme="majorHAnsi" w:hAnsiTheme="majorHAnsi" w:cstheme="majorHAnsi"/>
                <w:b/>
                <w:bCs/>
                <w:color w:val="000000"/>
                <w:sz w:val="18"/>
                <w:szCs w:val="18"/>
                <w:lang w:eastAsia="cs-CZ"/>
              </w:rPr>
              <w:t>Narození</w:t>
            </w:r>
          </w:p>
        </w:tc>
        <w:tc>
          <w:tcPr>
            <w:tcW w:w="686" w:type="dxa"/>
            <w:shd w:val="clear" w:color="auto" w:fill="auto"/>
            <w:noWrap/>
            <w:vAlign w:val="center"/>
            <w:hideMark/>
          </w:tcPr>
          <w:p w14:paraId="0800CCED" w14:textId="77777777" w:rsidR="00DE5A48" w:rsidRPr="006070EA" w:rsidRDefault="00DE5A48" w:rsidP="00DE5A48">
            <w:pPr>
              <w:spacing w:after="0"/>
              <w:jc w:val="center"/>
              <w:rPr>
                <w:rFonts w:asciiTheme="majorHAnsi" w:hAnsiTheme="majorHAnsi" w:cstheme="majorHAnsi"/>
                <w:b/>
                <w:bCs/>
                <w:color w:val="000000"/>
                <w:sz w:val="18"/>
                <w:szCs w:val="18"/>
                <w:lang w:eastAsia="cs-CZ"/>
              </w:rPr>
            </w:pPr>
            <w:r w:rsidRPr="006070EA">
              <w:rPr>
                <w:rFonts w:asciiTheme="majorHAnsi" w:hAnsiTheme="majorHAnsi" w:cstheme="majorHAnsi"/>
                <w:b/>
                <w:bCs/>
                <w:color w:val="000000"/>
                <w:sz w:val="18"/>
                <w:szCs w:val="18"/>
                <w:lang w:eastAsia="cs-CZ"/>
              </w:rPr>
              <w:t>Zemřelí</w:t>
            </w:r>
          </w:p>
        </w:tc>
        <w:tc>
          <w:tcPr>
            <w:tcW w:w="1020" w:type="dxa"/>
            <w:shd w:val="clear" w:color="auto" w:fill="auto"/>
            <w:vAlign w:val="center"/>
            <w:hideMark/>
          </w:tcPr>
          <w:p w14:paraId="21C24E1B" w14:textId="56B15C5B" w:rsidR="00DE5A48" w:rsidRPr="006070EA" w:rsidRDefault="00DE5A48" w:rsidP="00DE5A48">
            <w:pPr>
              <w:spacing w:after="0"/>
              <w:jc w:val="center"/>
              <w:rPr>
                <w:rFonts w:asciiTheme="majorHAnsi" w:hAnsiTheme="majorHAnsi" w:cstheme="majorHAnsi"/>
                <w:b/>
                <w:bCs/>
                <w:color w:val="000000"/>
                <w:sz w:val="18"/>
                <w:szCs w:val="18"/>
                <w:lang w:eastAsia="cs-CZ"/>
              </w:rPr>
            </w:pPr>
            <w:r w:rsidRPr="006070EA">
              <w:rPr>
                <w:rFonts w:asciiTheme="majorHAnsi" w:hAnsiTheme="majorHAnsi" w:cstheme="majorHAnsi"/>
                <w:b/>
                <w:bCs/>
                <w:color w:val="000000"/>
                <w:sz w:val="18"/>
                <w:szCs w:val="18"/>
                <w:lang w:eastAsia="cs-CZ"/>
              </w:rPr>
              <w:t>Přist</w:t>
            </w:r>
            <w:r w:rsidR="00A07BAD" w:rsidRPr="006070EA">
              <w:rPr>
                <w:rFonts w:asciiTheme="majorHAnsi" w:hAnsiTheme="majorHAnsi" w:cstheme="majorHAnsi"/>
                <w:b/>
                <w:bCs/>
                <w:color w:val="000000"/>
                <w:sz w:val="18"/>
                <w:szCs w:val="18"/>
                <w:lang w:eastAsia="cs-CZ"/>
              </w:rPr>
              <w:t>ě</w:t>
            </w:r>
            <w:r w:rsidRPr="006070EA">
              <w:rPr>
                <w:rFonts w:asciiTheme="majorHAnsi" w:hAnsiTheme="majorHAnsi" w:cstheme="majorHAnsi"/>
                <w:b/>
                <w:bCs/>
                <w:color w:val="000000"/>
                <w:sz w:val="18"/>
                <w:szCs w:val="18"/>
                <w:lang w:eastAsia="cs-CZ"/>
              </w:rPr>
              <w:t>hovalí</w:t>
            </w:r>
          </w:p>
        </w:tc>
        <w:tc>
          <w:tcPr>
            <w:tcW w:w="1020" w:type="dxa"/>
            <w:shd w:val="clear" w:color="auto" w:fill="auto"/>
            <w:vAlign w:val="center"/>
            <w:hideMark/>
          </w:tcPr>
          <w:p w14:paraId="363B2984" w14:textId="09EA7FA4" w:rsidR="00DE5A48" w:rsidRPr="006070EA" w:rsidRDefault="00DE5A48" w:rsidP="00DE5A48">
            <w:pPr>
              <w:spacing w:after="0"/>
              <w:jc w:val="center"/>
              <w:rPr>
                <w:rFonts w:asciiTheme="majorHAnsi" w:hAnsiTheme="majorHAnsi" w:cstheme="majorHAnsi"/>
                <w:b/>
                <w:bCs/>
                <w:color w:val="000000"/>
                <w:sz w:val="18"/>
                <w:szCs w:val="18"/>
                <w:lang w:eastAsia="cs-CZ"/>
              </w:rPr>
            </w:pPr>
            <w:r w:rsidRPr="006070EA">
              <w:rPr>
                <w:rFonts w:asciiTheme="majorHAnsi" w:hAnsiTheme="majorHAnsi" w:cstheme="majorHAnsi"/>
                <w:b/>
                <w:bCs/>
                <w:color w:val="000000"/>
                <w:sz w:val="18"/>
                <w:szCs w:val="18"/>
                <w:lang w:eastAsia="cs-CZ"/>
              </w:rPr>
              <w:t>Vystěhovalí</w:t>
            </w:r>
          </w:p>
        </w:tc>
        <w:tc>
          <w:tcPr>
            <w:tcW w:w="1361" w:type="dxa"/>
            <w:shd w:val="clear" w:color="auto" w:fill="auto"/>
            <w:vAlign w:val="center"/>
            <w:hideMark/>
          </w:tcPr>
          <w:p w14:paraId="16B48047" w14:textId="77777777" w:rsidR="00DE5A48" w:rsidRPr="006070EA" w:rsidRDefault="00DE5A48" w:rsidP="00DE5A48">
            <w:pPr>
              <w:spacing w:after="0"/>
              <w:jc w:val="center"/>
              <w:rPr>
                <w:rFonts w:asciiTheme="majorHAnsi" w:hAnsiTheme="majorHAnsi" w:cstheme="majorHAnsi"/>
                <w:b/>
                <w:bCs/>
                <w:color w:val="000000"/>
                <w:sz w:val="18"/>
                <w:szCs w:val="18"/>
                <w:lang w:eastAsia="cs-CZ"/>
              </w:rPr>
            </w:pPr>
            <w:r w:rsidRPr="006070EA">
              <w:rPr>
                <w:rFonts w:asciiTheme="majorHAnsi" w:hAnsiTheme="majorHAnsi" w:cstheme="majorHAnsi"/>
                <w:b/>
                <w:bCs/>
                <w:color w:val="000000"/>
                <w:sz w:val="18"/>
                <w:szCs w:val="18"/>
                <w:lang w:eastAsia="cs-CZ"/>
              </w:rPr>
              <w:t>Přírůstek přirozený</w:t>
            </w:r>
          </w:p>
        </w:tc>
        <w:tc>
          <w:tcPr>
            <w:tcW w:w="1361" w:type="dxa"/>
            <w:shd w:val="clear" w:color="auto" w:fill="auto"/>
            <w:vAlign w:val="center"/>
            <w:hideMark/>
          </w:tcPr>
          <w:p w14:paraId="25A9D6AC" w14:textId="77777777" w:rsidR="00DE5A48" w:rsidRPr="006070EA" w:rsidRDefault="00DE5A48" w:rsidP="00DE5A48">
            <w:pPr>
              <w:spacing w:after="0"/>
              <w:jc w:val="center"/>
              <w:rPr>
                <w:rFonts w:asciiTheme="majorHAnsi" w:hAnsiTheme="majorHAnsi" w:cstheme="majorHAnsi"/>
                <w:b/>
                <w:bCs/>
                <w:color w:val="000000"/>
                <w:sz w:val="18"/>
                <w:szCs w:val="18"/>
                <w:lang w:eastAsia="cs-CZ"/>
              </w:rPr>
            </w:pPr>
            <w:r w:rsidRPr="006070EA">
              <w:rPr>
                <w:rFonts w:asciiTheme="majorHAnsi" w:hAnsiTheme="majorHAnsi" w:cstheme="majorHAnsi"/>
                <w:b/>
                <w:bCs/>
                <w:color w:val="000000"/>
                <w:sz w:val="18"/>
                <w:szCs w:val="18"/>
                <w:lang w:eastAsia="cs-CZ"/>
              </w:rPr>
              <w:t>Přírůstek migrační</w:t>
            </w:r>
          </w:p>
        </w:tc>
        <w:tc>
          <w:tcPr>
            <w:tcW w:w="1361" w:type="dxa"/>
            <w:shd w:val="clear" w:color="auto" w:fill="auto"/>
            <w:vAlign w:val="center"/>
            <w:hideMark/>
          </w:tcPr>
          <w:p w14:paraId="7F9D44C5" w14:textId="77777777" w:rsidR="00DE5A48" w:rsidRPr="006070EA" w:rsidRDefault="00DE5A48" w:rsidP="00DE5A48">
            <w:pPr>
              <w:spacing w:after="0"/>
              <w:jc w:val="center"/>
              <w:rPr>
                <w:rFonts w:asciiTheme="majorHAnsi" w:hAnsiTheme="majorHAnsi" w:cstheme="majorHAnsi"/>
                <w:b/>
                <w:bCs/>
                <w:color w:val="000000"/>
                <w:sz w:val="18"/>
                <w:szCs w:val="18"/>
                <w:lang w:eastAsia="cs-CZ"/>
              </w:rPr>
            </w:pPr>
            <w:r w:rsidRPr="006070EA">
              <w:rPr>
                <w:rFonts w:asciiTheme="majorHAnsi" w:hAnsiTheme="majorHAnsi" w:cstheme="majorHAnsi"/>
                <w:b/>
                <w:bCs/>
                <w:color w:val="000000"/>
                <w:sz w:val="18"/>
                <w:szCs w:val="18"/>
                <w:lang w:eastAsia="cs-CZ"/>
              </w:rPr>
              <w:t>Přírůstek celkový</w:t>
            </w:r>
          </w:p>
        </w:tc>
        <w:tc>
          <w:tcPr>
            <w:tcW w:w="939" w:type="dxa"/>
            <w:shd w:val="clear" w:color="auto" w:fill="auto"/>
            <w:vAlign w:val="center"/>
            <w:hideMark/>
          </w:tcPr>
          <w:p w14:paraId="4F6433EC" w14:textId="17C8E1E4" w:rsidR="00DE5A48" w:rsidRPr="006070EA" w:rsidRDefault="00DE5A48" w:rsidP="00DE5A48">
            <w:pPr>
              <w:spacing w:after="0"/>
              <w:jc w:val="center"/>
              <w:rPr>
                <w:rFonts w:asciiTheme="majorHAnsi" w:hAnsiTheme="majorHAnsi" w:cstheme="majorHAnsi"/>
                <w:b/>
                <w:bCs/>
                <w:color w:val="000000"/>
                <w:sz w:val="18"/>
                <w:szCs w:val="18"/>
              </w:rPr>
            </w:pPr>
            <w:r w:rsidRPr="006070EA">
              <w:rPr>
                <w:rFonts w:asciiTheme="majorHAnsi" w:hAnsiTheme="majorHAnsi" w:cstheme="majorHAnsi"/>
                <w:b/>
                <w:bCs/>
                <w:color w:val="000000"/>
                <w:sz w:val="18"/>
                <w:szCs w:val="18"/>
              </w:rPr>
              <w:t>Stav</w:t>
            </w:r>
            <w:r w:rsidR="00A07BAD" w:rsidRPr="006070EA">
              <w:rPr>
                <w:rFonts w:asciiTheme="majorHAnsi" w:hAnsiTheme="majorHAnsi" w:cstheme="majorHAnsi"/>
                <w:b/>
                <w:bCs/>
                <w:color w:val="000000"/>
                <w:sz w:val="18"/>
                <w:szCs w:val="18"/>
              </w:rPr>
              <w:t xml:space="preserve"> k </w:t>
            </w:r>
            <w:r w:rsidRPr="006070EA">
              <w:rPr>
                <w:rFonts w:asciiTheme="majorHAnsi" w:hAnsiTheme="majorHAnsi" w:cstheme="majorHAnsi"/>
                <w:b/>
                <w:bCs/>
                <w:color w:val="000000"/>
                <w:sz w:val="18"/>
                <w:szCs w:val="18"/>
              </w:rPr>
              <w:t>31.</w:t>
            </w:r>
            <w:r w:rsidR="00A07BAD" w:rsidRPr="006070EA">
              <w:rPr>
                <w:rFonts w:asciiTheme="majorHAnsi" w:hAnsiTheme="majorHAnsi" w:cstheme="majorHAnsi"/>
                <w:b/>
                <w:bCs/>
                <w:color w:val="000000"/>
                <w:sz w:val="18"/>
                <w:szCs w:val="18"/>
              </w:rPr>
              <w:t> </w:t>
            </w:r>
            <w:r w:rsidRPr="006070EA">
              <w:rPr>
                <w:rFonts w:asciiTheme="majorHAnsi" w:hAnsiTheme="majorHAnsi" w:cstheme="majorHAnsi"/>
                <w:b/>
                <w:bCs/>
                <w:color w:val="000000"/>
                <w:sz w:val="18"/>
                <w:szCs w:val="18"/>
              </w:rPr>
              <w:t>12.</w:t>
            </w:r>
          </w:p>
          <w:p w14:paraId="5228D666" w14:textId="77777777" w:rsidR="00DE5A48" w:rsidRPr="006070EA" w:rsidRDefault="00DE5A48" w:rsidP="00DE5A48">
            <w:pPr>
              <w:spacing w:after="0"/>
              <w:jc w:val="center"/>
              <w:rPr>
                <w:rFonts w:asciiTheme="majorHAnsi" w:hAnsiTheme="majorHAnsi" w:cstheme="majorHAnsi"/>
                <w:b/>
                <w:bCs/>
                <w:color w:val="000000"/>
                <w:sz w:val="18"/>
                <w:szCs w:val="18"/>
                <w:lang w:eastAsia="cs-CZ"/>
              </w:rPr>
            </w:pPr>
          </w:p>
        </w:tc>
      </w:tr>
      <w:tr w:rsidR="00DE5A48" w:rsidRPr="006070EA" w14:paraId="67923111" w14:textId="77777777" w:rsidTr="00A07BAD">
        <w:trPr>
          <w:trHeight w:val="300"/>
          <w:jc w:val="center"/>
        </w:trPr>
        <w:tc>
          <w:tcPr>
            <w:tcW w:w="505" w:type="dxa"/>
            <w:shd w:val="clear" w:color="auto" w:fill="auto"/>
            <w:noWrap/>
            <w:vAlign w:val="center"/>
            <w:hideMark/>
          </w:tcPr>
          <w:p w14:paraId="76A93E85"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1995</w:t>
            </w:r>
          </w:p>
        </w:tc>
        <w:tc>
          <w:tcPr>
            <w:tcW w:w="850" w:type="dxa"/>
            <w:shd w:val="clear" w:color="auto" w:fill="auto"/>
            <w:noWrap/>
            <w:vAlign w:val="center"/>
            <w:hideMark/>
          </w:tcPr>
          <w:p w14:paraId="37F09133"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16</w:t>
            </w:r>
          </w:p>
        </w:tc>
        <w:tc>
          <w:tcPr>
            <w:tcW w:w="686" w:type="dxa"/>
            <w:shd w:val="clear" w:color="auto" w:fill="auto"/>
            <w:noWrap/>
            <w:vAlign w:val="center"/>
            <w:hideMark/>
          </w:tcPr>
          <w:p w14:paraId="22FF3316"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28</w:t>
            </w:r>
          </w:p>
        </w:tc>
        <w:tc>
          <w:tcPr>
            <w:tcW w:w="1020" w:type="dxa"/>
            <w:shd w:val="clear" w:color="auto" w:fill="auto"/>
            <w:noWrap/>
            <w:vAlign w:val="center"/>
            <w:hideMark/>
          </w:tcPr>
          <w:p w14:paraId="33579980"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50</w:t>
            </w:r>
          </w:p>
        </w:tc>
        <w:tc>
          <w:tcPr>
            <w:tcW w:w="1020" w:type="dxa"/>
            <w:shd w:val="clear" w:color="auto" w:fill="auto"/>
            <w:noWrap/>
            <w:vAlign w:val="center"/>
            <w:hideMark/>
          </w:tcPr>
          <w:p w14:paraId="42A89A6B"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31</w:t>
            </w:r>
          </w:p>
        </w:tc>
        <w:tc>
          <w:tcPr>
            <w:tcW w:w="1361" w:type="dxa"/>
            <w:shd w:val="clear" w:color="auto" w:fill="auto"/>
            <w:noWrap/>
            <w:vAlign w:val="center"/>
            <w:hideMark/>
          </w:tcPr>
          <w:p w14:paraId="5938C952"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-12</w:t>
            </w:r>
          </w:p>
        </w:tc>
        <w:tc>
          <w:tcPr>
            <w:tcW w:w="1361" w:type="dxa"/>
            <w:shd w:val="clear" w:color="auto" w:fill="auto"/>
            <w:noWrap/>
            <w:vAlign w:val="center"/>
            <w:hideMark/>
          </w:tcPr>
          <w:p w14:paraId="72902F72"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19</w:t>
            </w:r>
          </w:p>
        </w:tc>
        <w:tc>
          <w:tcPr>
            <w:tcW w:w="1361" w:type="dxa"/>
            <w:shd w:val="clear" w:color="auto" w:fill="auto"/>
            <w:noWrap/>
            <w:vAlign w:val="center"/>
            <w:hideMark/>
          </w:tcPr>
          <w:p w14:paraId="20790E65"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7</w:t>
            </w:r>
          </w:p>
        </w:tc>
        <w:tc>
          <w:tcPr>
            <w:tcW w:w="939" w:type="dxa"/>
            <w:shd w:val="clear" w:color="auto" w:fill="auto"/>
            <w:noWrap/>
            <w:vAlign w:val="center"/>
            <w:hideMark/>
          </w:tcPr>
          <w:p w14:paraId="5F29F468"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1 597</w:t>
            </w:r>
          </w:p>
        </w:tc>
      </w:tr>
      <w:tr w:rsidR="00DE5A48" w:rsidRPr="006070EA" w14:paraId="49CB3B8B" w14:textId="77777777" w:rsidTr="00A07BAD">
        <w:trPr>
          <w:trHeight w:val="300"/>
          <w:jc w:val="center"/>
        </w:trPr>
        <w:tc>
          <w:tcPr>
            <w:tcW w:w="505" w:type="dxa"/>
            <w:shd w:val="clear" w:color="auto" w:fill="auto"/>
            <w:noWrap/>
            <w:vAlign w:val="center"/>
            <w:hideMark/>
          </w:tcPr>
          <w:p w14:paraId="6E71399B"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1996</w:t>
            </w:r>
          </w:p>
        </w:tc>
        <w:tc>
          <w:tcPr>
            <w:tcW w:w="850" w:type="dxa"/>
            <w:shd w:val="clear" w:color="auto" w:fill="auto"/>
            <w:noWrap/>
            <w:vAlign w:val="center"/>
            <w:hideMark/>
          </w:tcPr>
          <w:p w14:paraId="2B8FF58B"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17</w:t>
            </w:r>
          </w:p>
        </w:tc>
        <w:tc>
          <w:tcPr>
            <w:tcW w:w="686" w:type="dxa"/>
            <w:shd w:val="clear" w:color="auto" w:fill="auto"/>
            <w:noWrap/>
            <w:vAlign w:val="center"/>
            <w:hideMark/>
          </w:tcPr>
          <w:p w14:paraId="4CCBAC43"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27</w:t>
            </w:r>
          </w:p>
        </w:tc>
        <w:tc>
          <w:tcPr>
            <w:tcW w:w="1020" w:type="dxa"/>
            <w:shd w:val="clear" w:color="auto" w:fill="auto"/>
            <w:noWrap/>
            <w:vAlign w:val="center"/>
            <w:hideMark/>
          </w:tcPr>
          <w:p w14:paraId="3C9C6D38"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43</w:t>
            </w:r>
          </w:p>
        </w:tc>
        <w:tc>
          <w:tcPr>
            <w:tcW w:w="1020" w:type="dxa"/>
            <w:shd w:val="clear" w:color="auto" w:fill="auto"/>
            <w:noWrap/>
            <w:vAlign w:val="center"/>
            <w:hideMark/>
          </w:tcPr>
          <w:p w14:paraId="5816BFE1"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20</w:t>
            </w:r>
          </w:p>
        </w:tc>
        <w:tc>
          <w:tcPr>
            <w:tcW w:w="1361" w:type="dxa"/>
            <w:shd w:val="clear" w:color="auto" w:fill="auto"/>
            <w:noWrap/>
            <w:vAlign w:val="center"/>
            <w:hideMark/>
          </w:tcPr>
          <w:p w14:paraId="7BCBFFF7"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-10</w:t>
            </w:r>
          </w:p>
        </w:tc>
        <w:tc>
          <w:tcPr>
            <w:tcW w:w="1361" w:type="dxa"/>
            <w:shd w:val="clear" w:color="auto" w:fill="auto"/>
            <w:noWrap/>
            <w:vAlign w:val="center"/>
            <w:hideMark/>
          </w:tcPr>
          <w:p w14:paraId="5C278FC7"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23</w:t>
            </w:r>
          </w:p>
        </w:tc>
        <w:tc>
          <w:tcPr>
            <w:tcW w:w="1361" w:type="dxa"/>
            <w:shd w:val="clear" w:color="auto" w:fill="auto"/>
            <w:noWrap/>
            <w:vAlign w:val="center"/>
            <w:hideMark/>
          </w:tcPr>
          <w:p w14:paraId="74C3B89B"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13</w:t>
            </w:r>
          </w:p>
        </w:tc>
        <w:tc>
          <w:tcPr>
            <w:tcW w:w="939" w:type="dxa"/>
            <w:shd w:val="clear" w:color="auto" w:fill="auto"/>
            <w:noWrap/>
            <w:vAlign w:val="center"/>
            <w:hideMark/>
          </w:tcPr>
          <w:p w14:paraId="138E010E"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1 610</w:t>
            </w:r>
          </w:p>
        </w:tc>
      </w:tr>
      <w:tr w:rsidR="00DE5A48" w:rsidRPr="006070EA" w14:paraId="6132811F" w14:textId="77777777" w:rsidTr="00A07BAD">
        <w:trPr>
          <w:trHeight w:val="300"/>
          <w:jc w:val="center"/>
        </w:trPr>
        <w:tc>
          <w:tcPr>
            <w:tcW w:w="505" w:type="dxa"/>
            <w:shd w:val="clear" w:color="auto" w:fill="auto"/>
            <w:noWrap/>
            <w:vAlign w:val="center"/>
            <w:hideMark/>
          </w:tcPr>
          <w:p w14:paraId="14B82BF3"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1997</w:t>
            </w:r>
          </w:p>
        </w:tc>
        <w:tc>
          <w:tcPr>
            <w:tcW w:w="850" w:type="dxa"/>
            <w:shd w:val="clear" w:color="auto" w:fill="auto"/>
            <w:noWrap/>
            <w:vAlign w:val="center"/>
            <w:hideMark/>
          </w:tcPr>
          <w:p w14:paraId="18D8BC14"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23</w:t>
            </w:r>
          </w:p>
        </w:tc>
        <w:tc>
          <w:tcPr>
            <w:tcW w:w="686" w:type="dxa"/>
            <w:shd w:val="clear" w:color="auto" w:fill="auto"/>
            <w:noWrap/>
            <w:vAlign w:val="center"/>
            <w:hideMark/>
          </w:tcPr>
          <w:p w14:paraId="4DB415D2"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21</w:t>
            </w:r>
          </w:p>
        </w:tc>
        <w:tc>
          <w:tcPr>
            <w:tcW w:w="1020" w:type="dxa"/>
            <w:shd w:val="clear" w:color="auto" w:fill="auto"/>
            <w:noWrap/>
            <w:vAlign w:val="center"/>
            <w:hideMark/>
          </w:tcPr>
          <w:p w14:paraId="10B5E8DE"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45</w:t>
            </w:r>
          </w:p>
        </w:tc>
        <w:tc>
          <w:tcPr>
            <w:tcW w:w="1020" w:type="dxa"/>
            <w:shd w:val="clear" w:color="auto" w:fill="auto"/>
            <w:noWrap/>
            <w:vAlign w:val="center"/>
            <w:hideMark/>
          </w:tcPr>
          <w:p w14:paraId="2DB33C61"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41</w:t>
            </w:r>
          </w:p>
        </w:tc>
        <w:tc>
          <w:tcPr>
            <w:tcW w:w="1361" w:type="dxa"/>
            <w:shd w:val="clear" w:color="auto" w:fill="auto"/>
            <w:noWrap/>
            <w:vAlign w:val="center"/>
            <w:hideMark/>
          </w:tcPr>
          <w:p w14:paraId="502023C3"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2</w:t>
            </w:r>
          </w:p>
        </w:tc>
        <w:tc>
          <w:tcPr>
            <w:tcW w:w="1361" w:type="dxa"/>
            <w:shd w:val="clear" w:color="auto" w:fill="auto"/>
            <w:noWrap/>
            <w:vAlign w:val="center"/>
            <w:hideMark/>
          </w:tcPr>
          <w:p w14:paraId="7C08D776"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4</w:t>
            </w:r>
          </w:p>
        </w:tc>
        <w:tc>
          <w:tcPr>
            <w:tcW w:w="1361" w:type="dxa"/>
            <w:shd w:val="clear" w:color="auto" w:fill="auto"/>
            <w:noWrap/>
            <w:vAlign w:val="center"/>
            <w:hideMark/>
          </w:tcPr>
          <w:p w14:paraId="7A3ED215"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6</w:t>
            </w:r>
          </w:p>
        </w:tc>
        <w:tc>
          <w:tcPr>
            <w:tcW w:w="939" w:type="dxa"/>
            <w:shd w:val="clear" w:color="auto" w:fill="auto"/>
            <w:noWrap/>
            <w:vAlign w:val="center"/>
            <w:hideMark/>
          </w:tcPr>
          <w:p w14:paraId="570E7886"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1 616</w:t>
            </w:r>
          </w:p>
        </w:tc>
      </w:tr>
      <w:tr w:rsidR="00DE5A48" w:rsidRPr="006070EA" w14:paraId="22EA1AF3" w14:textId="77777777" w:rsidTr="00A07BAD">
        <w:trPr>
          <w:trHeight w:val="300"/>
          <w:jc w:val="center"/>
        </w:trPr>
        <w:tc>
          <w:tcPr>
            <w:tcW w:w="505" w:type="dxa"/>
            <w:shd w:val="clear" w:color="auto" w:fill="auto"/>
            <w:noWrap/>
            <w:vAlign w:val="center"/>
            <w:hideMark/>
          </w:tcPr>
          <w:p w14:paraId="6990774C"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1998</w:t>
            </w:r>
          </w:p>
        </w:tc>
        <w:tc>
          <w:tcPr>
            <w:tcW w:w="850" w:type="dxa"/>
            <w:shd w:val="clear" w:color="auto" w:fill="auto"/>
            <w:noWrap/>
            <w:vAlign w:val="center"/>
            <w:hideMark/>
          </w:tcPr>
          <w:p w14:paraId="636A3599"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14</w:t>
            </w:r>
          </w:p>
        </w:tc>
        <w:tc>
          <w:tcPr>
            <w:tcW w:w="686" w:type="dxa"/>
            <w:shd w:val="clear" w:color="auto" w:fill="auto"/>
            <w:noWrap/>
            <w:vAlign w:val="center"/>
            <w:hideMark/>
          </w:tcPr>
          <w:p w14:paraId="7C9711B5"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19</w:t>
            </w:r>
          </w:p>
        </w:tc>
        <w:tc>
          <w:tcPr>
            <w:tcW w:w="1020" w:type="dxa"/>
            <w:shd w:val="clear" w:color="auto" w:fill="auto"/>
            <w:noWrap/>
            <w:vAlign w:val="center"/>
            <w:hideMark/>
          </w:tcPr>
          <w:p w14:paraId="4A8F58DF"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52</w:t>
            </w:r>
          </w:p>
        </w:tc>
        <w:tc>
          <w:tcPr>
            <w:tcW w:w="1020" w:type="dxa"/>
            <w:shd w:val="clear" w:color="auto" w:fill="auto"/>
            <w:noWrap/>
            <w:vAlign w:val="center"/>
            <w:hideMark/>
          </w:tcPr>
          <w:p w14:paraId="78513042"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59</w:t>
            </w:r>
          </w:p>
        </w:tc>
        <w:tc>
          <w:tcPr>
            <w:tcW w:w="1361" w:type="dxa"/>
            <w:shd w:val="clear" w:color="auto" w:fill="auto"/>
            <w:noWrap/>
            <w:vAlign w:val="center"/>
            <w:hideMark/>
          </w:tcPr>
          <w:p w14:paraId="5DB55E98"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-5</w:t>
            </w:r>
          </w:p>
        </w:tc>
        <w:tc>
          <w:tcPr>
            <w:tcW w:w="1361" w:type="dxa"/>
            <w:shd w:val="clear" w:color="auto" w:fill="auto"/>
            <w:noWrap/>
            <w:vAlign w:val="center"/>
            <w:hideMark/>
          </w:tcPr>
          <w:p w14:paraId="11FAC88F"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-7</w:t>
            </w:r>
          </w:p>
        </w:tc>
        <w:tc>
          <w:tcPr>
            <w:tcW w:w="1361" w:type="dxa"/>
            <w:shd w:val="clear" w:color="auto" w:fill="auto"/>
            <w:noWrap/>
            <w:vAlign w:val="center"/>
            <w:hideMark/>
          </w:tcPr>
          <w:p w14:paraId="5CECD988"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-12</w:t>
            </w:r>
          </w:p>
        </w:tc>
        <w:tc>
          <w:tcPr>
            <w:tcW w:w="939" w:type="dxa"/>
            <w:shd w:val="clear" w:color="auto" w:fill="auto"/>
            <w:noWrap/>
            <w:vAlign w:val="center"/>
            <w:hideMark/>
          </w:tcPr>
          <w:p w14:paraId="05623078"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1 604</w:t>
            </w:r>
          </w:p>
        </w:tc>
      </w:tr>
      <w:tr w:rsidR="00DE5A48" w:rsidRPr="006070EA" w14:paraId="5A8A41B5" w14:textId="77777777" w:rsidTr="00A07BAD">
        <w:trPr>
          <w:trHeight w:val="300"/>
          <w:jc w:val="center"/>
        </w:trPr>
        <w:tc>
          <w:tcPr>
            <w:tcW w:w="505" w:type="dxa"/>
            <w:shd w:val="clear" w:color="auto" w:fill="auto"/>
            <w:noWrap/>
            <w:vAlign w:val="center"/>
            <w:hideMark/>
          </w:tcPr>
          <w:p w14:paraId="0A18AE54"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1999</w:t>
            </w:r>
          </w:p>
        </w:tc>
        <w:tc>
          <w:tcPr>
            <w:tcW w:w="850" w:type="dxa"/>
            <w:shd w:val="clear" w:color="auto" w:fill="auto"/>
            <w:noWrap/>
            <w:vAlign w:val="center"/>
            <w:hideMark/>
          </w:tcPr>
          <w:p w14:paraId="2B76ABCD"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17</w:t>
            </w:r>
          </w:p>
        </w:tc>
        <w:tc>
          <w:tcPr>
            <w:tcW w:w="686" w:type="dxa"/>
            <w:shd w:val="clear" w:color="auto" w:fill="auto"/>
            <w:noWrap/>
            <w:vAlign w:val="center"/>
            <w:hideMark/>
          </w:tcPr>
          <w:p w14:paraId="02A9A52D"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16</w:t>
            </w:r>
          </w:p>
        </w:tc>
        <w:tc>
          <w:tcPr>
            <w:tcW w:w="1020" w:type="dxa"/>
            <w:shd w:val="clear" w:color="auto" w:fill="auto"/>
            <w:noWrap/>
            <w:vAlign w:val="center"/>
            <w:hideMark/>
          </w:tcPr>
          <w:p w14:paraId="413270AF"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36</w:t>
            </w:r>
          </w:p>
        </w:tc>
        <w:tc>
          <w:tcPr>
            <w:tcW w:w="1020" w:type="dxa"/>
            <w:shd w:val="clear" w:color="auto" w:fill="auto"/>
            <w:noWrap/>
            <w:vAlign w:val="center"/>
            <w:hideMark/>
          </w:tcPr>
          <w:p w14:paraId="4719D267"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27</w:t>
            </w:r>
          </w:p>
        </w:tc>
        <w:tc>
          <w:tcPr>
            <w:tcW w:w="1361" w:type="dxa"/>
            <w:shd w:val="clear" w:color="auto" w:fill="auto"/>
            <w:noWrap/>
            <w:vAlign w:val="center"/>
            <w:hideMark/>
          </w:tcPr>
          <w:p w14:paraId="44A98851"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w:t>
            </w:r>
          </w:p>
        </w:tc>
        <w:tc>
          <w:tcPr>
            <w:tcW w:w="1361" w:type="dxa"/>
            <w:shd w:val="clear" w:color="auto" w:fill="auto"/>
            <w:noWrap/>
            <w:vAlign w:val="center"/>
            <w:hideMark/>
          </w:tcPr>
          <w:p w14:paraId="36DF6F88"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9</w:t>
            </w:r>
          </w:p>
        </w:tc>
        <w:tc>
          <w:tcPr>
            <w:tcW w:w="1361" w:type="dxa"/>
            <w:shd w:val="clear" w:color="auto" w:fill="auto"/>
            <w:noWrap/>
            <w:vAlign w:val="center"/>
            <w:hideMark/>
          </w:tcPr>
          <w:p w14:paraId="34C681A9"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10</w:t>
            </w:r>
          </w:p>
        </w:tc>
        <w:tc>
          <w:tcPr>
            <w:tcW w:w="939" w:type="dxa"/>
            <w:shd w:val="clear" w:color="auto" w:fill="auto"/>
            <w:noWrap/>
            <w:vAlign w:val="center"/>
            <w:hideMark/>
          </w:tcPr>
          <w:p w14:paraId="3E68EE49"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1 614</w:t>
            </w:r>
          </w:p>
        </w:tc>
      </w:tr>
      <w:tr w:rsidR="00DE5A48" w:rsidRPr="006070EA" w14:paraId="23C36C5C" w14:textId="77777777" w:rsidTr="00A07BAD">
        <w:trPr>
          <w:trHeight w:val="300"/>
          <w:jc w:val="center"/>
        </w:trPr>
        <w:tc>
          <w:tcPr>
            <w:tcW w:w="505" w:type="dxa"/>
            <w:shd w:val="clear" w:color="auto" w:fill="auto"/>
            <w:noWrap/>
            <w:vAlign w:val="center"/>
            <w:hideMark/>
          </w:tcPr>
          <w:p w14:paraId="050798C5"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2000</w:t>
            </w:r>
          </w:p>
        </w:tc>
        <w:tc>
          <w:tcPr>
            <w:tcW w:w="850" w:type="dxa"/>
            <w:shd w:val="clear" w:color="auto" w:fill="auto"/>
            <w:noWrap/>
            <w:vAlign w:val="center"/>
            <w:hideMark/>
          </w:tcPr>
          <w:p w14:paraId="345A010C"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12</w:t>
            </w:r>
          </w:p>
        </w:tc>
        <w:tc>
          <w:tcPr>
            <w:tcW w:w="686" w:type="dxa"/>
            <w:shd w:val="clear" w:color="auto" w:fill="auto"/>
            <w:noWrap/>
            <w:vAlign w:val="center"/>
            <w:hideMark/>
          </w:tcPr>
          <w:p w14:paraId="7BE70272"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16</w:t>
            </w:r>
          </w:p>
        </w:tc>
        <w:tc>
          <w:tcPr>
            <w:tcW w:w="1020" w:type="dxa"/>
            <w:shd w:val="clear" w:color="auto" w:fill="auto"/>
            <w:noWrap/>
            <w:vAlign w:val="center"/>
            <w:hideMark/>
          </w:tcPr>
          <w:p w14:paraId="6855CE7E"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51</w:t>
            </w:r>
          </w:p>
        </w:tc>
        <w:tc>
          <w:tcPr>
            <w:tcW w:w="1020" w:type="dxa"/>
            <w:shd w:val="clear" w:color="auto" w:fill="auto"/>
            <w:noWrap/>
            <w:vAlign w:val="center"/>
            <w:hideMark/>
          </w:tcPr>
          <w:p w14:paraId="3EDF9403"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28</w:t>
            </w:r>
          </w:p>
        </w:tc>
        <w:tc>
          <w:tcPr>
            <w:tcW w:w="1361" w:type="dxa"/>
            <w:shd w:val="clear" w:color="auto" w:fill="auto"/>
            <w:noWrap/>
            <w:vAlign w:val="center"/>
            <w:hideMark/>
          </w:tcPr>
          <w:p w14:paraId="223E0192"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-4</w:t>
            </w:r>
          </w:p>
        </w:tc>
        <w:tc>
          <w:tcPr>
            <w:tcW w:w="1361" w:type="dxa"/>
            <w:shd w:val="clear" w:color="auto" w:fill="auto"/>
            <w:noWrap/>
            <w:vAlign w:val="center"/>
            <w:hideMark/>
          </w:tcPr>
          <w:p w14:paraId="3FCF06A5"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23</w:t>
            </w:r>
          </w:p>
        </w:tc>
        <w:tc>
          <w:tcPr>
            <w:tcW w:w="1361" w:type="dxa"/>
            <w:shd w:val="clear" w:color="auto" w:fill="auto"/>
            <w:noWrap/>
            <w:vAlign w:val="center"/>
            <w:hideMark/>
          </w:tcPr>
          <w:p w14:paraId="043EC229"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19</w:t>
            </w:r>
          </w:p>
        </w:tc>
        <w:tc>
          <w:tcPr>
            <w:tcW w:w="939" w:type="dxa"/>
            <w:shd w:val="clear" w:color="auto" w:fill="auto"/>
            <w:noWrap/>
            <w:vAlign w:val="center"/>
            <w:hideMark/>
          </w:tcPr>
          <w:p w14:paraId="76AB46AE"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1 633</w:t>
            </w:r>
          </w:p>
        </w:tc>
      </w:tr>
      <w:tr w:rsidR="00DE5A48" w:rsidRPr="006070EA" w14:paraId="0F45D7B7" w14:textId="77777777" w:rsidTr="00A07BAD">
        <w:trPr>
          <w:trHeight w:val="300"/>
          <w:jc w:val="center"/>
        </w:trPr>
        <w:tc>
          <w:tcPr>
            <w:tcW w:w="505" w:type="dxa"/>
            <w:shd w:val="clear" w:color="auto" w:fill="auto"/>
            <w:noWrap/>
            <w:vAlign w:val="center"/>
            <w:hideMark/>
          </w:tcPr>
          <w:p w14:paraId="1B20D5AC"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2001</w:t>
            </w:r>
          </w:p>
        </w:tc>
        <w:tc>
          <w:tcPr>
            <w:tcW w:w="850" w:type="dxa"/>
            <w:shd w:val="clear" w:color="auto" w:fill="auto"/>
            <w:noWrap/>
            <w:vAlign w:val="center"/>
            <w:hideMark/>
          </w:tcPr>
          <w:p w14:paraId="26405D7A"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15</w:t>
            </w:r>
          </w:p>
        </w:tc>
        <w:tc>
          <w:tcPr>
            <w:tcW w:w="686" w:type="dxa"/>
            <w:shd w:val="clear" w:color="auto" w:fill="auto"/>
            <w:noWrap/>
            <w:vAlign w:val="center"/>
            <w:hideMark/>
          </w:tcPr>
          <w:p w14:paraId="0E4ED5F5"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24</w:t>
            </w:r>
          </w:p>
        </w:tc>
        <w:tc>
          <w:tcPr>
            <w:tcW w:w="1020" w:type="dxa"/>
            <w:shd w:val="clear" w:color="auto" w:fill="auto"/>
            <w:noWrap/>
            <w:vAlign w:val="center"/>
            <w:hideMark/>
          </w:tcPr>
          <w:p w14:paraId="0172DA2B"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53</w:t>
            </w:r>
          </w:p>
        </w:tc>
        <w:tc>
          <w:tcPr>
            <w:tcW w:w="1020" w:type="dxa"/>
            <w:shd w:val="clear" w:color="auto" w:fill="auto"/>
            <w:noWrap/>
            <w:vAlign w:val="center"/>
            <w:hideMark/>
          </w:tcPr>
          <w:p w14:paraId="2E286602"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24</w:t>
            </w:r>
          </w:p>
        </w:tc>
        <w:tc>
          <w:tcPr>
            <w:tcW w:w="1361" w:type="dxa"/>
            <w:shd w:val="clear" w:color="auto" w:fill="auto"/>
            <w:noWrap/>
            <w:vAlign w:val="center"/>
            <w:hideMark/>
          </w:tcPr>
          <w:p w14:paraId="5EDE3205"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-9</w:t>
            </w:r>
          </w:p>
        </w:tc>
        <w:tc>
          <w:tcPr>
            <w:tcW w:w="1361" w:type="dxa"/>
            <w:shd w:val="clear" w:color="auto" w:fill="auto"/>
            <w:noWrap/>
            <w:vAlign w:val="center"/>
            <w:hideMark/>
          </w:tcPr>
          <w:p w14:paraId="0D31C040"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29</w:t>
            </w:r>
          </w:p>
        </w:tc>
        <w:tc>
          <w:tcPr>
            <w:tcW w:w="1361" w:type="dxa"/>
            <w:shd w:val="clear" w:color="auto" w:fill="auto"/>
            <w:noWrap/>
            <w:vAlign w:val="center"/>
            <w:hideMark/>
          </w:tcPr>
          <w:p w14:paraId="48A90B8D"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20</w:t>
            </w:r>
          </w:p>
        </w:tc>
        <w:tc>
          <w:tcPr>
            <w:tcW w:w="939" w:type="dxa"/>
            <w:shd w:val="clear" w:color="auto" w:fill="auto"/>
            <w:noWrap/>
            <w:vAlign w:val="center"/>
            <w:hideMark/>
          </w:tcPr>
          <w:p w14:paraId="182CF1D3"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1 642</w:t>
            </w:r>
          </w:p>
        </w:tc>
      </w:tr>
      <w:tr w:rsidR="00DE5A48" w:rsidRPr="006070EA" w14:paraId="677443B5" w14:textId="77777777" w:rsidTr="00A07BAD">
        <w:trPr>
          <w:trHeight w:val="300"/>
          <w:jc w:val="center"/>
        </w:trPr>
        <w:tc>
          <w:tcPr>
            <w:tcW w:w="505" w:type="dxa"/>
            <w:shd w:val="clear" w:color="auto" w:fill="auto"/>
            <w:noWrap/>
            <w:vAlign w:val="center"/>
            <w:hideMark/>
          </w:tcPr>
          <w:p w14:paraId="05713378"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2002</w:t>
            </w:r>
          </w:p>
        </w:tc>
        <w:tc>
          <w:tcPr>
            <w:tcW w:w="850" w:type="dxa"/>
            <w:shd w:val="clear" w:color="auto" w:fill="auto"/>
            <w:noWrap/>
            <w:vAlign w:val="center"/>
            <w:hideMark/>
          </w:tcPr>
          <w:p w14:paraId="668C5B2B"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23</w:t>
            </w:r>
          </w:p>
        </w:tc>
        <w:tc>
          <w:tcPr>
            <w:tcW w:w="686" w:type="dxa"/>
            <w:shd w:val="clear" w:color="auto" w:fill="auto"/>
            <w:noWrap/>
            <w:vAlign w:val="center"/>
            <w:hideMark/>
          </w:tcPr>
          <w:p w14:paraId="3192761C"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21</w:t>
            </w:r>
          </w:p>
        </w:tc>
        <w:tc>
          <w:tcPr>
            <w:tcW w:w="1020" w:type="dxa"/>
            <w:shd w:val="clear" w:color="auto" w:fill="auto"/>
            <w:noWrap/>
            <w:vAlign w:val="center"/>
            <w:hideMark/>
          </w:tcPr>
          <w:p w14:paraId="5AC9E2D1"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45</w:t>
            </w:r>
          </w:p>
        </w:tc>
        <w:tc>
          <w:tcPr>
            <w:tcW w:w="1020" w:type="dxa"/>
            <w:shd w:val="clear" w:color="auto" w:fill="auto"/>
            <w:noWrap/>
            <w:vAlign w:val="center"/>
            <w:hideMark/>
          </w:tcPr>
          <w:p w14:paraId="0E0F532E"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30</w:t>
            </w:r>
          </w:p>
        </w:tc>
        <w:tc>
          <w:tcPr>
            <w:tcW w:w="1361" w:type="dxa"/>
            <w:shd w:val="clear" w:color="auto" w:fill="auto"/>
            <w:noWrap/>
            <w:vAlign w:val="center"/>
            <w:hideMark/>
          </w:tcPr>
          <w:p w14:paraId="7CF6CAB9"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2</w:t>
            </w:r>
          </w:p>
        </w:tc>
        <w:tc>
          <w:tcPr>
            <w:tcW w:w="1361" w:type="dxa"/>
            <w:shd w:val="clear" w:color="auto" w:fill="auto"/>
            <w:noWrap/>
            <w:vAlign w:val="center"/>
            <w:hideMark/>
          </w:tcPr>
          <w:p w14:paraId="22CC1232"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15</w:t>
            </w:r>
          </w:p>
        </w:tc>
        <w:tc>
          <w:tcPr>
            <w:tcW w:w="1361" w:type="dxa"/>
            <w:shd w:val="clear" w:color="auto" w:fill="auto"/>
            <w:noWrap/>
            <w:vAlign w:val="center"/>
            <w:hideMark/>
          </w:tcPr>
          <w:p w14:paraId="09E2CCBA"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17</w:t>
            </w:r>
          </w:p>
        </w:tc>
        <w:tc>
          <w:tcPr>
            <w:tcW w:w="939" w:type="dxa"/>
            <w:shd w:val="clear" w:color="auto" w:fill="auto"/>
            <w:noWrap/>
            <w:vAlign w:val="center"/>
            <w:hideMark/>
          </w:tcPr>
          <w:p w14:paraId="5CD4B6C3"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1 659</w:t>
            </w:r>
          </w:p>
        </w:tc>
      </w:tr>
      <w:tr w:rsidR="00DE5A48" w:rsidRPr="006070EA" w14:paraId="0AB78AA5" w14:textId="77777777" w:rsidTr="00A07BAD">
        <w:trPr>
          <w:trHeight w:val="300"/>
          <w:jc w:val="center"/>
        </w:trPr>
        <w:tc>
          <w:tcPr>
            <w:tcW w:w="505" w:type="dxa"/>
            <w:shd w:val="clear" w:color="auto" w:fill="auto"/>
            <w:noWrap/>
            <w:vAlign w:val="center"/>
            <w:hideMark/>
          </w:tcPr>
          <w:p w14:paraId="72567408"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lastRenderedPageBreak/>
              <w:t>2003</w:t>
            </w:r>
          </w:p>
        </w:tc>
        <w:tc>
          <w:tcPr>
            <w:tcW w:w="850" w:type="dxa"/>
            <w:shd w:val="clear" w:color="auto" w:fill="auto"/>
            <w:noWrap/>
            <w:vAlign w:val="center"/>
            <w:hideMark/>
          </w:tcPr>
          <w:p w14:paraId="2E9BB294"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12</w:t>
            </w:r>
          </w:p>
        </w:tc>
        <w:tc>
          <w:tcPr>
            <w:tcW w:w="686" w:type="dxa"/>
            <w:shd w:val="clear" w:color="auto" w:fill="auto"/>
            <w:noWrap/>
            <w:vAlign w:val="center"/>
            <w:hideMark/>
          </w:tcPr>
          <w:p w14:paraId="261E9E6D"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12</w:t>
            </w:r>
          </w:p>
        </w:tc>
        <w:tc>
          <w:tcPr>
            <w:tcW w:w="1020" w:type="dxa"/>
            <w:shd w:val="clear" w:color="auto" w:fill="auto"/>
            <w:noWrap/>
            <w:vAlign w:val="center"/>
            <w:hideMark/>
          </w:tcPr>
          <w:p w14:paraId="7FB07A16"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39</w:t>
            </w:r>
          </w:p>
        </w:tc>
        <w:tc>
          <w:tcPr>
            <w:tcW w:w="1020" w:type="dxa"/>
            <w:shd w:val="clear" w:color="auto" w:fill="auto"/>
            <w:noWrap/>
            <w:vAlign w:val="center"/>
            <w:hideMark/>
          </w:tcPr>
          <w:p w14:paraId="30488A91"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17</w:t>
            </w:r>
          </w:p>
        </w:tc>
        <w:tc>
          <w:tcPr>
            <w:tcW w:w="1361" w:type="dxa"/>
            <w:shd w:val="clear" w:color="auto" w:fill="auto"/>
            <w:noWrap/>
            <w:vAlign w:val="center"/>
            <w:hideMark/>
          </w:tcPr>
          <w:p w14:paraId="69F897CB"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w:t>
            </w:r>
          </w:p>
        </w:tc>
        <w:tc>
          <w:tcPr>
            <w:tcW w:w="1361" w:type="dxa"/>
            <w:shd w:val="clear" w:color="auto" w:fill="auto"/>
            <w:noWrap/>
            <w:vAlign w:val="center"/>
            <w:hideMark/>
          </w:tcPr>
          <w:p w14:paraId="00E42CA7"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22</w:t>
            </w:r>
          </w:p>
        </w:tc>
        <w:tc>
          <w:tcPr>
            <w:tcW w:w="1361" w:type="dxa"/>
            <w:shd w:val="clear" w:color="auto" w:fill="auto"/>
            <w:noWrap/>
            <w:vAlign w:val="center"/>
            <w:hideMark/>
          </w:tcPr>
          <w:p w14:paraId="4C91B758"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22</w:t>
            </w:r>
          </w:p>
        </w:tc>
        <w:tc>
          <w:tcPr>
            <w:tcW w:w="939" w:type="dxa"/>
            <w:shd w:val="clear" w:color="auto" w:fill="auto"/>
            <w:noWrap/>
            <w:vAlign w:val="center"/>
            <w:hideMark/>
          </w:tcPr>
          <w:p w14:paraId="0D33790C"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1 681</w:t>
            </w:r>
          </w:p>
        </w:tc>
      </w:tr>
      <w:tr w:rsidR="00DE5A48" w:rsidRPr="006070EA" w14:paraId="392EE811" w14:textId="77777777" w:rsidTr="00A07BAD">
        <w:trPr>
          <w:trHeight w:val="300"/>
          <w:jc w:val="center"/>
        </w:trPr>
        <w:tc>
          <w:tcPr>
            <w:tcW w:w="505" w:type="dxa"/>
            <w:shd w:val="clear" w:color="auto" w:fill="auto"/>
            <w:noWrap/>
            <w:vAlign w:val="center"/>
            <w:hideMark/>
          </w:tcPr>
          <w:p w14:paraId="3E4E81C8"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2004</w:t>
            </w:r>
          </w:p>
        </w:tc>
        <w:tc>
          <w:tcPr>
            <w:tcW w:w="850" w:type="dxa"/>
            <w:shd w:val="clear" w:color="auto" w:fill="auto"/>
            <w:noWrap/>
            <w:vAlign w:val="center"/>
            <w:hideMark/>
          </w:tcPr>
          <w:p w14:paraId="732ADEC8"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14</w:t>
            </w:r>
          </w:p>
        </w:tc>
        <w:tc>
          <w:tcPr>
            <w:tcW w:w="686" w:type="dxa"/>
            <w:shd w:val="clear" w:color="auto" w:fill="auto"/>
            <w:noWrap/>
            <w:vAlign w:val="center"/>
            <w:hideMark/>
          </w:tcPr>
          <w:p w14:paraId="4EB19BC9"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17</w:t>
            </w:r>
          </w:p>
        </w:tc>
        <w:tc>
          <w:tcPr>
            <w:tcW w:w="1020" w:type="dxa"/>
            <w:shd w:val="clear" w:color="auto" w:fill="auto"/>
            <w:noWrap/>
            <w:vAlign w:val="center"/>
            <w:hideMark/>
          </w:tcPr>
          <w:p w14:paraId="0EB2550D"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30</w:t>
            </w:r>
          </w:p>
        </w:tc>
        <w:tc>
          <w:tcPr>
            <w:tcW w:w="1020" w:type="dxa"/>
            <w:shd w:val="clear" w:color="auto" w:fill="auto"/>
            <w:noWrap/>
            <w:vAlign w:val="center"/>
            <w:hideMark/>
          </w:tcPr>
          <w:p w14:paraId="6A757DD5"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34</w:t>
            </w:r>
          </w:p>
        </w:tc>
        <w:tc>
          <w:tcPr>
            <w:tcW w:w="1361" w:type="dxa"/>
            <w:shd w:val="clear" w:color="auto" w:fill="auto"/>
            <w:noWrap/>
            <w:vAlign w:val="center"/>
            <w:hideMark/>
          </w:tcPr>
          <w:p w14:paraId="3869315E"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-3</w:t>
            </w:r>
          </w:p>
        </w:tc>
        <w:tc>
          <w:tcPr>
            <w:tcW w:w="1361" w:type="dxa"/>
            <w:shd w:val="clear" w:color="auto" w:fill="auto"/>
            <w:noWrap/>
            <w:vAlign w:val="center"/>
            <w:hideMark/>
          </w:tcPr>
          <w:p w14:paraId="3697A696"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-4</w:t>
            </w:r>
          </w:p>
        </w:tc>
        <w:tc>
          <w:tcPr>
            <w:tcW w:w="1361" w:type="dxa"/>
            <w:shd w:val="clear" w:color="auto" w:fill="auto"/>
            <w:noWrap/>
            <w:vAlign w:val="center"/>
            <w:hideMark/>
          </w:tcPr>
          <w:p w14:paraId="72DE8E3F"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-7</w:t>
            </w:r>
          </w:p>
        </w:tc>
        <w:tc>
          <w:tcPr>
            <w:tcW w:w="939" w:type="dxa"/>
            <w:shd w:val="clear" w:color="auto" w:fill="auto"/>
            <w:noWrap/>
            <w:vAlign w:val="center"/>
            <w:hideMark/>
          </w:tcPr>
          <w:p w14:paraId="5F040B35"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1 674</w:t>
            </w:r>
          </w:p>
        </w:tc>
      </w:tr>
      <w:tr w:rsidR="00DE5A48" w:rsidRPr="006070EA" w14:paraId="7E7F5FBA" w14:textId="77777777" w:rsidTr="00A07BAD">
        <w:trPr>
          <w:trHeight w:val="300"/>
          <w:jc w:val="center"/>
        </w:trPr>
        <w:tc>
          <w:tcPr>
            <w:tcW w:w="505" w:type="dxa"/>
            <w:shd w:val="clear" w:color="auto" w:fill="auto"/>
            <w:noWrap/>
            <w:vAlign w:val="center"/>
            <w:hideMark/>
          </w:tcPr>
          <w:p w14:paraId="578998A9"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2005</w:t>
            </w:r>
          </w:p>
        </w:tc>
        <w:tc>
          <w:tcPr>
            <w:tcW w:w="850" w:type="dxa"/>
            <w:shd w:val="clear" w:color="auto" w:fill="auto"/>
            <w:noWrap/>
            <w:vAlign w:val="center"/>
            <w:hideMark/>
          </w:tcPr>
          <w:p w14:paraId="5AFF3F2D"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19</w:t>
            </w:r>
          </w:p>
        </w:tc>
        <w:tc>
          <w:tcPr>
            <w:tcW w:w="686" w:type="dxa"/>
            <w:shd w:val="clear" w:color="auto" w:fill="auto"/>
            <w:noWrap/>
            <w:vAlign w:val="center"/>
            <w:hideMark/>
          </w:tcPr>
          <w:p w14:paraId="0D2777E5"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19</w:t>
            </w:r>
          </w:p>
        </w:tc>
        <w:tc>
          <w:tcPr>
            <w:tcW w:w="1020" w:type="dxa"/>
            <w:shd w:val="clear" w:color="auto" w:fill="auto"/>
            <w:noWrap/>
            <w:vAlign w:val="center"/>
            <w:hideMark/>
          </w:tcPr>
          <w:p w14:paraId="3E2F37CD"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49</w:t>
            </w:r>
          </w:p>
        </w:tc>
        <w:tc>
          <w:tcPr>
            <w:tcW w:w="1020" w:type="dxa"/>
            <w:shd w:val="clear" w:color="auto" w:fill="auto"/>
            <w:noWrap/>
            <w:vAlign w:val="center"/>
            <w:hideMark/>
          </w:tcPr>
          <w:p w14:paraId="347C8260"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61</w:t>
            </w:r>
          </w:p>
        </w:tc>
        <w:tc>
          <w:tcPr>
            <w:tcW w:w="1361" w:type="dxa"/>
            <w:shd w:val="clear" w:color="auto" w:fill="auto"/>
            <w:noWrap/>
            <w:vAlign w:val="center"/>
            <w:hideMark/>
          </w:tcPr>
          <w:p w14:paraId="27A25A9E"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w:t>
            </w:r>
          </w:p>
        </w:tc>
        <w:tc>
          <w:tcPr>
            <w:tcW w:w="1361" w:type="dxa"/>
            <w:shd w:val="clear" w:color="auto" w:fill="auto"/>
            <w:noWrap/>
            <w:vAlign w:val="center"/>
            <w:hideMark/>
          </w:tcPr>
          <w:p w14:paraId="1A7B2CA7"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-12</w:t>
            </w:r>
          </w:p>
        </w:tc>
        <w:tc>
          <w:tcPr>
            <w:tcW w:w="1361" w:type="dxa"/>
            <w:shd w:val="clear" w:color="auto" w:fill="auto"/>
            <w:noWrap/>
            <w:vAlign w:val="center"/>
            <w:hideMark/>
          </w:tcPr>
          <w:p w14:paraId="026CC090"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-12</w:t>
            </w:r>
          </w:p>
        </w:tc>
        <w:tc>
          <w:tcPr>
            <w:tcW w:w="939" w:type="dxa"/>
            <w:shd w:val="clear" w:color="auto" w:fill="auto"/>
            <w:noWrap/>
            <w:vAlign w:val="center"/>
            <w:hideMark/>
          </w:tcPr>
          <w:p w14:paraId="21240924"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1 662</w:t>
            </w:r>
          </w:p>
        </w:tc>
      </w:tr>
      <w:tr w:rsidR="00DE5A48" w:rsidRPr="006070EA" w14:paraId="16DFF79E" w14:textId="77777777" w:rsidTr="00A07BAD">
        <w:trPr>
          <w:trHeight w:val="300"/>
          <w:jc w:val="center"/>
        </w:trPr>
        <w:tc>
          <w:tcPr>
            <w:tcW w:w="505" w:type="dxa"/>
            <w:shd w:val="clear" w:color="auto" w:fill="auto"/>
            <w:noWrap/>
            <w:vAlign w:val="center"/>
            <w:hideMark/>
          </w:tcPr>
          <w:p w14:paraId="77885582"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2006</w:t>
            </w:r>
          </w:p>
        </w:tc>
        <w:tc>
          <w:tcPr>
            <w:tcW w:w="850" w:type="dxa"/>
            <w:shd w:val="clear" w:color="auto" w:fill="auto"/>
            <w:noWrap/>
            <w:vAlign w:val="center"/>
            <w:hideMark/>
          </w:tcPr>
          <w:p w14:paraId="31E6D181"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7</w:t>
            </w:r>
          </w:p>
        </w:tc>
        <w:tc>
          <w:tcPr>
            <w:tcW w:w="686" w:type="dxa"/>
            <w:shd w:val="clear" w:color="auto" w:fill="auto"/>
            <w:noWrap/>
            <w:vAlign w:val="center"/>
            <w:hideMark/>
          </w:tcPr>
          <w:p w14:paraId="7F00193A"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17</w:t>
            </w:r>
          </w:p>
        </w:tc>
        <w:tc>
          <w:tcPr>
            <w:tcW w:w="1020" w:type="dxa"/>
            <w:shd w:val="clear" w:color="auto" w:fill="auto"/>
            <w:noWrap/>
            <w:vAlign w:val="center"/>
            <w:hideMark/>
          </w:tcPr>
          <w:p w14:paraId="41D4BE55"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42</w:t>
            </w:r>
          </w:p>
        </w:tc>
        <w:tc>
          <w:tcPr>
            <w:tcW w:w="1020" w:type="dxa"/>
            <w:shd w:val="clear" w:color="auto" w:fill="auto"/>
            <w:noWrap/>
            <w:vAlign w:val="center"/>
            <w:hideMark/>
          </w:tcPr>
          <w:p w14:paraId="19968AE3"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42</w:t>
            </w:r>
          </w:p>
        </w:tc>
        <w:tc>
          <w:tcPr>
            <w:tcW w:w="1361" w:type="dxa"/>
            <w:shd w:val="clear" w:color="auto" w:fill="auto"/>
            <w:noWrap/>
            <w:vAlign w:val="center"/>
            <w:hideMark/>
          </w:tcPr>
          <w:p w14:paraId="3F5AEF4C"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-10</w:t>
            </w:r>
          </w:p>
        </w:tc>
        <w:tc>
          <w:tcPr>
            <w:tcW w:w="1361" w:type="dxa"/>
            <w:shd w:val="clear" w:color="auto" w:fill="auto"/>
            <w:noWrap/>
            <w:vAlign w:val="center"/>
            <w:hideMark/>
          </w:tcPr>
          <w:p w14:paraId="1E9AFF5E"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w:t>
            </w:r>
          </w:p>
        </w:tc>
        <w:tc>
          <w:tcPr>
            <w:tcW w:w="1361" w:type="dxa"/>
            <w:shd w:val="clear" w:color="auto" w:fill="auto"/>
            <w:noWrap/>
            <w:vAlign w:val="center"/>
            <w:hideMark/>
          </w:tcPr>
          <w:p w14:paraId="3B437AF0"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-10</w:t>
            </w:r>
          </w:p>
        </w:tc>
        <w:tc>
          <w:tcPr>
            <w:tcW w:w="939" w:type="dxa"/>
            <w:shd w:val="clear" w:color="auto" w:fill="auto"/>
            <w:noWrap/>
            <w:vAlign w:val="center"/>
            <w:hideMark/>
          </w:tcPr>
          <w:p w14:paraId="26D00F19"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1 652</w:t>
            </w:r>
          </w:p>
        </w:tc>
      </w:tr>
      <w:tr w:rsidR="00DE5A48" w:rsidRPr="006070EA" w14:paraId="3FFD8EBF" w14:textId="77777777" w:rsidTr="00A07BAD">
        <w:trPr>
          <w:trHeight w:val="300"/>
          <w:jc w:val="center"/>
        </w:trPr>
        <w:tc>
          <w:tcPr>
            <w:tcW w:w="505" w:type="dxa"/>
            <w:shd w:val="clear" w:color="auto" w:fill="auto"/>
            <w:noWrap/>
            <w:vAlign w:val="center"/>
            <w:hideMark/>
          </w:tcPr>
          <w:p w14:paraId="292B3175"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2007</w:t>
            </w:r>
          </w:p>
        </w:tc>
        <w:tc>
          <w:tcPr>
            <w:tcW w:w="850" w:type="dxa"/>
            <w:shd w:val="clear" w:color="auto" w:fill="auto"/>
            <w:noWrap/>
            <w:vAlign w:val="center"/>
            <w:hideMark/>
          </w:tcPr>
          <w:p w14:paraId="3798F043"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14</w:t>
            </w:r>
          </w:p>
        </w:tc>
        <w:tc>
          <w:tcPr>
            <w:tcW w:w="686" w:type="dxa"/>
            <w:shd w:val="clear" w:color="auto" w:fill="auto"/>
            <w:noWrap/>
            <w:vAlign w:val="center"/>
            <w:hideMark/>
          </w:tcPr>
          <w:p w14:paraId="01460173"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21</w:t>
            </w:r>
          </w:p>
        </w:tc>
        <w:tc>
          <w:tcPr>
            <w:tcW w:w="1020" w:type="dxa"/>
            <w:shd w:val="clear" w:color="auto" w:fill="auto"/>
            <w:noWrap/>
            <w:vAlign w:val="center"/>
            <w:hideMark/>
          </w:tcPr>
          <w:p w14:paraId="75B25AB6"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51</w:t>
            </w:r>
          </w:p>
        </w:tc>
        <w:tc>
          <w:tcPr>
            <w:tcW w:w="1020" w:type="dxa"/>
            <w:shd w:val="clear" w:color="auto" w:fill="auto"/>
            <w:noWrap/>
            <w:vAlign w:val="center"/>
            <w:hideMark/>
          </w:tcPr>
          <w:p w14:paraId="564EF253"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38</w:t>
            </w:r>
          </w:p>
        </w:tc>
        <w:tc>
          <w:tcPr>
            <w:tcW w:w="1361" w:type="dxa"/>
            <w:shd w:val="clear" w:color="auto" w:fill="auto"/>
            <w:noWrap/>
            <w:vAlign w:val="center"/>
            <w:hideMark/>
          </w:tcPr>
          <w:p w14:paraId="2DB3496C"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-7</w:t>
            </w:r>
          </w:p>
        </w:tc>
        <w:tc>
          <w:tcPr>
            <w:tcW w:w="1361" w:type="dxa"/>
            <w:shd w:val="clear" w:color="auto" w:fill="auto"/>
            <w:noWrap/>
            <w:vAlign w:val="center"/>
            <w:hideMark/>
          </w:tcPr>
          <w:p w14:paraId="521483F5"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13</w:t>
            </w:r>
          </w:p>
        </w:tc>
        <w:tc>
          <w:tcPr>
            <w:tcW w:w="1361" w:type="dxa"/>
            <w:shd w:val="clear" w:color="auto" w:fill="auto"/>
            <w:noWrap/>
            <w:vAlign w:val="center"/>
            <w:hideMark/>
          </w:tcPr>
          <w:p w14:paraId="78173208"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6</w:t>
            </w:r>
          </w:p>
        </w:tc>
        <w:tc>
          <w:tcPr>
            <w:tcW w:w="939" w:type="dxa"/>
            <w:shd w:val="clear" w:color="auto" w:fill="auto"/>
            <w:noWrap/>
            <w:vAlign w:val="center"/>
            <w:hideMark/>
          </w:tcPr>
          <w:p w14:paraId="2CE7498E"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1 658</w:t>
            </w:r>
          </w:p>
        </w:tc>
      </w:tr>
      <w:tr w:rsidR="00DE5A48" w:rsidRPr="006070EA" w14:paraId="1203FADA" w14:textId="77777777" w:rsidTr="00A07BAD">
        <w:trPr>
          <w:trHeight w:val="300"/>
          <w:jc w:val="center"/>
        </w:trPr>
        <w:tc>
          <w:tcPr>
            <w:tcW w:w="505" w:type="dxa"/>
            <w:shd w:val="clear" w:color="auto" w:fill="auto"/>
            <w:noWrap/>
            <w:vAlign w:val="center"/>
            <w:hideMark/>
          </w:tcPr>
          <w:p w14:paraId="7D5A1E22"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2008</w:t>
            </w:r>
          </w:p>
        </w:tc>
        <w:tc>
          <w:tcPr>
            <w:tcW w:w="850" w:type="dxa"/>
            <w:shd w:val="clear" w:color="auto" w:fill="auto"/>
            <w:noWrap/>
            <w:vAlign w:val="center"/>
            <w:hideMark/>
          </w:tcPr>
          <w:p w14:paraId="75CAA3BA"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20</w:t>
            </w:r>
          </w:p>
        </w:tc>
        <w:tc>
          <w:tcPr>
            <w:tcW w:w="686" w:type="dxa"/>
            <w:shd w:val="clear" w:color="auto" w:fill="auto"/>
            <w:noWrap/>
            <w:vAlign w:val="center"/>
            <w:hideMark/>
          </w:tcPr>
          <w:p w14:paraId="79F80FF3"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12</w:t>
            </w:r>
          </w:p>
        </w:tc>
        <w:tc>
          <w:tcPr>
            <w:tcW w:w="1020" w:type="dxa"/>
            <w:shd w:val="clear" w:color="auto" w:fill="auto"/>
            <w:noWrap/>
            <w:vAlign w:val="center"/>
            <w:hideMark/>
          </w:tcPr>
          <w:p w14:paraId="3C88E75F"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70</w:t>
            </w:r>
          </w:p>
        </w:tc>
        <w:tc>
          <w:tcPr>
            <w:tcW w:w="1020" w:type="dxa"/>
            <w:shd w:val="clear" w:color="auto" w:fill="auto"/>
            <w:noWrap/>
            <w:vAlign w:val="center"/>
            <w:hideMark/>
          </w:tcPr>
          <w:p w14:paraId="6B20F85B"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27</w:t>
            </w:r>
          </w:p>
        </w:tc>
        <w:tc>
          <w:tcPr>
            <w:tcW w:w="1361" w:type="dxa"/>
            <w:shd w:val="clear" w:color="auto" w:fill="auto"/>
            <w:noWrap/>
            <w:vAlign w:val="center"/>
            <w:hideMark/>
          </w:tcPr>
          <w:p w14:paraId="6AE4BAE2"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8</w:t>
            </w:r>
          </w:p>
        </w:tc>
        <w:tc>
          <w:tcPr>
            <w:tcW w:w="1361" w:type="dxa"/>
            <w:shd w:val="clear" w:color="auto" w:fill="auto"/>
            <w:noWrap/>
            <w:vAlign w:val="center"/>
            <w:hideMark/>
          </w:tcPr>
          <w:p w14:paraId="63E26BCE"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43</w:t>
            </w:r>
          </w:p>
        </w:tc>
        <w:tc>
          <w:tcPr>
            <w:tcW w:w="1361" w:type="dxa"/>
            <w:shd w:val="clear" w:color="auto" w:fill="auto"/>
            <w:noWrap/>
            <w:vAlign w:val="center"/>
            <w:hideMark/>
          </w:tcPr>
          <w:p w14:paraId="004EB9D9"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51</w:t>
            </w:r>
          </w:p>
        </w:tc>
        <w:tc>
          <w:tcPr>
            <w:tcW w:w="939" w:type="dxa"/>
            <w:shd w:val="clear" w:color="auto" w:fill="auto"/>
            <w:noWrap/>
            <w:vAlign w:val="center"/>
            <w:hideMark/>
          </w:tcPr>
          <w:p w14:paraId="673C5E8B"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1 709</w:t>
            </w:r>
          </w:p>
        </w:tc>
      </w:tr>
      <w:tr w:rsidR="00DE5A48" w:rsidRPr="006070EA" w14:paraId="56FB55CC" w14:textId="77777777" w:rsidTr="00A07BAD">
        <w:trPr>
          <w:trHeight w:val="300"/>
          <w:jc w:val="center"/>
        </w:trPr>
        <w:tc>
          <w:tcPr>
            <w:tcW w:w="505" w:type="dxa"/>
            <w:shd w:val="clear" w:color="auto" w:fill="auto"/>
            <w:noWrap/>
            <w:vAlign w:val="center"/>
            <w:hideMark/>
          </w:tcPr>
          <w:p w14:paraId="3DBB44D4"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2009</w:t>
            </w:r>
          </w:p>
        </w:tc>
        <w:tc>
          <w:tcPr>
            <w:tcW w:w="850" w:type="dxa"/>
            <w:shd w:val="clear" w:color="auto" w:fill="auto"/>
            <w:noWrap/>
            <w:vAlign w:val="center"/>
            <w:hideMark/>
          </w:tcPr>
          <w:p w14:paraId="0D0E0483"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21</w:t>
            </w:r>
          </w:p>
        </w:tc>
        <w:tc>
          <w:tcPr>
            <w:tcW w:w="686" w:type="dxa"/>
            <w:shd w:val="clear" w:color="auto" w:fill="auto"/>
            <w:noWrap/>
            <w:vAlign w:val="center"/>
            <w:hideMark/>
          </w:tcPr>
          <w:p w14:paraId="6DCFD580"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18</w:t>
            </w:r>
          </w:p>
        </w:tc>
        <w:tc>
          <w:tcPr>
            <w:tcW w:w="1020" w:type="dxa"/>
            <w:shd w:val="clear" w:color="auto" w:fill="auto"/>
            <w:noWrap/>
            <w:vAlign w:val="center"/>
            <w:hideMark/>
          </w:tcPr>
          <w:p w14:paraId="593E8D61"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59</w:t>
            </w:r>
          </w:p>
        </w:tc>
        <w:tc>
          <w:tcPr>
            <w:tcW w:w="1020" w:type="dxa"/>
            <w:shd w:val="clear" w:color="auto" w:fill="auto"/>
            <w:noWrap/>
            <w:vAlign w:val="center"/>
            <w:hideMark/>
          </w:tcPr>
          <w:p w14:paraId="4FC2A212"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29</w:t>
            </w:r>
          </w:p>
        </w:tc>
        <w:tc>
          <w:tcPr>
            <w:tcW w:w="1361" w:type="dxa"/>
            <w:shd w:val="clear" w:color="auto" w:fill="auto"/>
            <w:noWrap/>
            <w:vAlign w:val="center"/>
            <w:hideMark/>
          </w:tcPr>
          <w:p w14:paraId="78D07297"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3</w:t>
            </w:r>
          </w:p>
        </w:tc>
        <w:tc>
          <w:tcPr>
            <w:tcW w:w="1361" w:type="dxa"/>
            <w:shd w:val="clear" w:color="auto" w:fill="auto"/>
            <w:noWrap/>
            <w:vAlign w:val="center"/>
            <w:hideMark/>
          </w:tcPr>
          <w:p w14:paraId="6FC8F3D4"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30</w:t>
            </w:r>
          </w:p>
        </w:tc>
        <w:tc>
          <w:tcPr>
            <w:tcW w:w="1361" w:type="dxa"/>
            <w:shd w:val="clear" w:color="auto" w:fill="auto"/>
            <w:noWrap/>
            <w:vAlign w:val="center"/>
            <w:hideMark/>
          </w:tcPr>
          <w:p w14:paraId="0B3EF84A"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33</w:t>
            </w:r>
          </w:p>
        </w:tc>
        <w:tc>
          <w:tcPr>
            <w:tcW w:w="939" w:type="dxa"/>
            <w:shd w:val="clear" w:color="auto" w:fill="auto"/>
            <w:noWrap/>
            <w:vAlign w:val="center"/>
            <w:hideMark/>
          </w:tcPr>
          <w:p w14:paraId="09C7F47F"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1 742</w:t>
            </w:r>
          </w:p>
        </w:tc>
      </w:tr>
      <w:tr w:rsidR="00DE5A48" w:rsidRPr="006070EA" w14:paraId="0B893E9E" w14:textId="77777777" w:rsidTr="00A07BAD">
        <w:trPr>
          <w:trHeight w:val="300"/>
          <w:jc w:val="center"/>
        </w:trPr>
        <w:tc>
          <w:tcPr>
            <w:tcW w:w="505" w:type="dxa"/>
            <w:shd w:val="clear" w:color="auto" w:fill="auto"/>
            <w:noWrap/>
            <w:vAlign w:val="center"/>
            <w:hideMark/>
          </w:tcPr>
          <w:p w14:paraId="03174CA7"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2010</w:t>
            </w:r>
          </w:p>
        </w:tc>
        <w:tc>
          <w:tcPr>
            <w:tcW w:w="850" w:type="dxa"/>
            <w:shd w:val="clear" w:color="auto" w:fill="auto"/>
            <w:noWrap/>
            <w:vAlign w:val="center"/>
            <w:hideMark/>
          </w:tcPr>
          <w:p w14:paraId="6622B71B"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20</w:t>
            </w:r>
          </w:p>
        </w:tc>
        <w:tc>
          <w:tcPr>
            <w:tcW w:w="686" w:type="dxa"/>
            <w:shd w:val="clear" w:color="auto" w:fill="auto"/>
            <w:noWrap/>
            <w:vAlign w:val="center"/>
            <w:hideMark/>
          </w:tcPr>
          <w:p w14:paraId="5CD76A89"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19</w:t>
            </w:r>
          </w:p>
        </w:tc>
        <w:tc>
          <w:tcPr>
            <w:tcW w:w="1020" w:type="dxa"/>
            <w:shd w:val="clear" w:color="auto" w:fill="auto"/>
            <w:noWrap/>
            <w:vAlign w:val="center"/>
            <w:hideMark/>
          </w:tcPr>
          <w:p w14:paraId="4F1F00E8"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43</w:t>
            </w:r>
          </w:p>
        </w:tc>
        <w:tc>
          <w:tcPr>
            <w:tcW w:w="1020" w:type="dxa"/>
            <w:shd w:val="clear" w:color="auto" w:fill="auto"/>
            <w:noWrap/>
            <w:vAlign w:val="center"/>
            <w:hideMark/>
          </w:tcPr>
          <w:p w14:paraId="737296C6"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24</w:t>
            </w:r>
          </w:p>
        </w:tc>
        <w:tc>
          <w:tcPr>
            <w:tcW w:w="1361" w:type="dxa"/>
            <w:shd w:val="clear" w:color="auto" w:fill="auto"/>
            <w:noWrap/>
            <w:vAlign w:val="center"/>
            <w:hideMark/>
          </w:tcPr>
          <w:p w14:paraId="0E0F299C"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w:t>
            </w:r>
          </w:p>
        </w:tc>
        <w:tc>
          <w:tcPr>
            <w:tcW w:w="1361" w:type="dxa"/>
            <w:shd w:val="clear" w:color="auto" w:fill="auto"/>
            <w:noWrap/>
            <w:vAlign w:val="center"/>
            <w:hideMark/>
          </w:tcPr>
          <w:p w14:paraId="76BC0CED"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19</w:t>
            </w:r>
          </w:p>
        </w:tc>
        <w:tc>
          <w:tcPr>
            <w:tcW w:w="1361" w:type="dxa"/>
            <w:shd w:val="clear" w:color="auto" w:fill="auto"/>
            <w:noWrap/>
            <w:vAlign w:val="center"/>
            <w:hideMark/>
          </w:tcPr>
          <w:p w14:paraId="2748D656"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20</w:t>
            </w:r>
          </w:p>
        </w:tc>
        <w:tc>
          <w:tcPr>
            <w:tcW w:w="939" w:type="dxa"/>
            <w:shd w:val="clear" w:color="auto" w:fill="auto"/>
            <w:noWrap/>
            <w:vAlign w:val="center"/>
            <w:hideMark/>
          </w:tcPr>
          <w:p w14:paraId="30536CFF"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1 762</w:t>
            </w:r>
          </w:p>
        </w:tc>
      </w:tr>
      <w:tr w:rsidR="00DE5A48" w:rsidRPr="006070EA" w14:paraId="0154E8F6" w14:textId="77777777" w:rsidTr="00A07BAD">
        <w:trPr>
          <w:trHeight w:val="300"/>
          <w:jc w:val="center"/>
        </w:trPr>
        <w:tc>
          <w:tcPr>
            <w:tcW w:w="505" w:type="dxa"/>
            <w:shd w:val="clear" w:color="auto" w:fill="auto"/>
            <w:noWrap/>
            <w:vAlign w:val="center"/>
            <w:hideMark/>
          </w:tcPr>
          <w:p w14:paraId="2B33EDEB"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2011</w:t>
            </w:r>
          </w:p>
        </w:tc>
        <w:tc>
          <w:tcPr>
            <w:tcW w:w="850" w:type="dxa"/>
            <w:shd w:val="clear" w:color="auto" w:fill="auto"/>
            <w:noWrap/>
            <w:vAlign w:val="center"/>
            <w:hideMark/>
          </w:tcPr>
          <w:p w14:paraId="32031479"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23</w:t>
            </w:r>
          </w:p>
        </w:tc>
        <w:tc>
          <w:tcPr>
            <w:tcW w:w="686" w:type="dxa"/>
            <w:shd w:val="clear" w:color="auto" w:fill="auto"/>
            <w:noWrap/>
            <w:vAlign w:val="center"/>
            <w:hideMark/>
          </w:tcPr>
          <w:p w14:paraId="3B35310A"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24</w:t>
            </w:r>
          </w:p>
        </w:tc>
        <w:tc>
          <w:tcPr>
            <w:tcW w:w="1020" w:type="dxa"/>
            <w:shd w:val="clear" w:color="auto" w:fill="auto"/>
            <w:noWrap/>
            <w:vAlign w:val="center"/>
            <w:hideMark/>
          </w:tcPr>
          <w:p w14:paraId="02A71744"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55</w:t>
            </w:r>
          </w:p>
        </w:tc>
        <w:tc>
          <w:tcPr>
            <w:tcW w:w="1020" w:type="dxa"/>
            <w:shd w:val="clear" w:color="auto" w:fill="auto"/>
            <w:noWrap/>
            <w:vAlign w:val="center"/>
            <w:hideMark/>
          </w:tcPr>
          <w:p w14:paraId="5F343BE1"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31</w:t>
            </w:r>
          </w:p>
        </w:tc>
        <w:tc>
          <w:tcPr>
            <w:tcW w:w="1361" w:type="dxa"/>
            <w:shd w:val="clear" w:color="auto" w:fill="auto"/>
            <w:noWrap/>
            <w:vAlign w:val="center"/>
            <w:hideMark/>
          </w:tcPr>
          <w:p w14:paraId="71EA1F13"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w:t>
            </w:r>
          </w:p>
        </w:tc>
        <w:tc>
          <w:tcPr>
            <w:tcW w:w="1361" w:type="dxa"/>
            <w:shd w:val="clear" w:color="auto" w:fill="auto"/>
            <w:noWrap/>
            <w:vAlign w:val="center"/>
            <w:hideMark/>
          </w:tcPr>
          <w:p w14:paraId="3DB701CE"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24</w:t>
            </w:r>
          </w:p>
        </w:tc>
        <w:tc>
          <w:tcPr>
            <w:tcW w:w="1361" w:type="dxa"/>
            <w:shd w:val="clear" w:color="auto" w:fill="auto"/>
            <w:noWrap/>
            <w:vAlign w:val="center"/>
            <w:hideMark/>
          </w:tcPr>
          <w:p w14:paraId="30CD16E0"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23</w:t>
            </w:r>
          </w:p>
        </w:tc>
        <w:tc>
          <w:tcPr>
            <w:tcW w:w="939" w:type="dxa"/>
            <w:shd w:val="clear" w:color="auto" w:fill="auto"/>
            <w:noWrap/>
            <w:vAlign w:val="center"/>
            <w:hideMark/>
          </w:tcPr>
          <w:p w14:paraId="46F35D73"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1 777</w:t>
            </w:r>
          </w:p>
        </w:tc>
      </w:tr>
      <w:tr w:rsidR="00DE5A48" w:rsidRPr="006070EA" w14:paraId="4F2180F2" w14:textId="77777777" w:rsidTr="00A07BAD">
        <w:trPr>
          <w:trHeight w:val="300"/>
          <w:jc w:val="center"/>
        </w:trPr>
        <w:tc>
          <w:tcPr>
            <w:tcW w:w="505" w:type="dxa"/>
            <w:shd w:val="clear" w:color="auto" w:fill="auto"/>
            <w:noWrap/>
            <w:vAlign w:val="center"/>
            <w:hideMark/>
          </w:tcPr>
          <w:p w14:paraId="3179D339"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2012</w:t>
            </w:r>
          </w:p>
        </w:tc>
        <w:tc>
          <w:tcPr>
            <w:tcW w:w="850" w:type="dxa"/>
            <w:shd w:val="clear" w:color="auto" w:fill="auto"/>
            <w:noWrap/>
            <w:vAlign w:val="center"/>
            <w:hideMark/>
          </w:tcPr>
          <w:p w14:paraId="561E4C2B"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23</w:t>
            </w:r>
          </w:p>
        </w:tc>
        <w:tc>
          <w:tcPr>
            <w:tcW w:w="686" w:type="dxa"/>
            <w:shd w:val="clear" w:color="auto" w:fill="auto"/>
            <w:noWrap/>
            <w:vAlign w:val="center"/>
            <w:hideMark/>
          </w:tcPr>
          <w:p w14:paraId="635CF4C2"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18</w:t>
            </w:r>
          </w:p>
        </w:tc>
        <w:tc>
          <w:tcPr>
            <w:tcW w:w="1020" w:type="dxa"/>
            <w:shd w:val="clear" w:color="auto" w:fill="auto"/>
            <w:noWrap/>
            <w:vAlign w:val="center"/>
            <w:hideMark/>
          </w:tcPr>
          <w:p w14:paraId="0026A4A0"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74</w:t>
            </w:r>
          </w:p>
        </w:tc>
        <w:tc>
          <w:tcPr>
            <w:tcW w:w="1020" w:type="dxa"/>
            <w:shd w:val="clear" w:color="auto" w:fill="auto"/>
            <w:noWrap/>
            <w:vAlign w:val="center"/>
            <w:hideMark/>
          </w:tcPr>
          <w:p w14:paraId="6586420C"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37</w:t>
            </w:r>
          </w:p>
        </w:tc>
        <w:tc>
          <w:tcPr>
            <w:tcW w:w="1361" w:type="dxa"/>
            <w:shd w:val="clear" w:color="auto" w:fill="auto"/>
            <w:noWrap/>
            <w:vAlign w:val="center"/>
            <w:hideMark/>
          </w:tcPr>
          <w:p w14:paraId="6AA0C1D7"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5</w:t>
            </w:r>
          </w:p>
        </w:tc>
        <w:tc>
          <w:tcPr>
            <w:tcW w:w="1361" w:type="dxa"/>
            <w:shd w:val="clear" w:color="auto" w:fill="auto"/>
            <w:noWrap/>
            <w:vAlign w:val="center"/>
            <w:hideMark/>
          </w:tcPr>
          <w:p w14:paraId="34394A85"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37</w:t>
            </w:r>
          </w:p>
        </w:tc>
        <w:tc>
          <w:tcPr>
            <w:tcW w:w="1361" w:type="dxa"/>
            <w:shd w:val="clear" w:color="auto" w:fill="auto"/>
            <w:noWrap/>
            <w:vAlign w:val="center"/>
            <w:hideMark/>
          </w:tcPr>
          <w:p w14:paraId="14EC9BFF"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42</w:t>
            </w:r>
          </w:p>
        </w:tc>
        <w:tc>
          <w:tcPr>
            <w:tcW w:w="939" w:type="dxa"/>
            <w:shd w:val="clear" w:color="auto" w:fill="auto"/>
            <w:noWrap/>
            <w:vAlign w:val="center"/>
            <w:hideMark/>
          </w:tcPr>
          <w:p w14:paraId="54294AA5"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1 819</w:t>
            </w:r>
          </w:p>
        </w:tc>
      </w:tr>
      <w:tr w:rsidR="00DE5A48" w:rsidRPr="006070EA" w14:paraId="75B7C5AD" w14:textId="77777777" w:rsidTr="00A07BAD">
        <w:trPr>
          <w:trHeight w:val="300"/>
          <w:jc w:val="center"/>
        </w:trPr>
        <w:tc>
          <w:tcPr>
            <w:tcW w:w="505" w:type="dxa"/>
            <w:shd w:val="clear" w:color="auto" w:fill="auto"/>
            <w:noWrap/>
            <w:vAlign w:val="center"/>
            <w:hideMark/>
          </w:tcPr>
          <w:p w14:paraId="535C980F"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2013</w:t>
            </w:r>
          </w:p>
        </w:tc>
        <w:tc>
          <w:tcPr>
            <w:tcW w:w="850" w:type="dxa"/>
            <w:shd w:val="clear" w:color="auto" w:fill="auto"/>
            <w:noWrap/>
            <w:vAlign w:val="center"/>
            <w:hideMark/>
          </w:tcPr>
          <w:p w14:paraId="651B76B7"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15</w:t>
            </w:r>
          </w:p>
        </w:tc>
        <w:tc>
          <w:tcPr>
            <w:tcW w:w="686" w:type="dxa"/>
            <w:shd w:val="clear" w:color="auto" w:fill="auto"/>
            <w:noWrap/>
            <w:vAlign w:val="center"/>
            <w:hideMark/>
          </w:tcPr>
          <w:p w14:paraId="69A648F5"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18</w:t>
            </w:r>
          </w:p>
        </w:tc>
        <w:tc>
          <w:tcPr>
            <w:tcW w:w="1020" w:type="dxa"/>
            <w:shd w:val="clear" w:color="auto" w:fill="auto"/>
            <w:noWrap/>
            <w:vAlign w:val="center"/>
            <w:hideMark/>
          </w:tcPr>
          <w:p w14:paraId="2B49D039"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37</w:t>
            </w:r>
          </w:p>
        </w:tc>
        <w:tc>
          <w:tcPr>
            <w:tcW w:w="1020" w:type="dxa"/>
            <w:shd w:val="clear" w:color="auto" w:fill="auto"/>
            <w:noWrap/>
            <w:vAlign w:val="center"/>
            <w:hideMark/>
          </w:tcPr>
          <w:p w14:paraId="49C5DFCA"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33</w:t>
            </w:r>
          </w:p>
        </w:tc>
        <w:tc>
          <w:tcPr>
            <w:tcW w:w="1361" w:type="dxa"/>
            <w:shd w:val="clear" w:color="auto" w:fill="auto"/>
            <w:noWrap/>
            <w:vAlign w:val="center"/>
            <w:hideMark/>
          </w:tcPr>
          <w:p w14:paraId="4727345B"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-3</w:t>
            </w:r>
          </w:p>
        </w:tc>
        <w:tc>
          <w:tcPr>
            <w:tcW w:w="1361" w:type="dxa"/>
            <w:shd w:val="clear" w:color="auto" w:fill="auto"/>
            <w:noWrap/>
            <w:vAlign w:val="center"/>
            <w:hideMark/>
          </w:tcPr>
          <w:p w14:paraId="46105715"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4</w:t>
            </w:r>
          </w:p>
        </w:tc>
        <w:tc>
          <w:tcPr>
            <w:tcW w:w="1361" w:type="dxa"/>
            <w:shd w:val="clear" w:color="auto" w:fill="auto"/>
            <w:noWrap/>
            <w:vAlign w:val="center"/>
            <w:hideMark/>
          </w:tcPr>
          <w:p w14:paraId="7BE99A2A"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w:t>
            </w:r>
          </w:p>
        </w:tc>
        <w:tc>
          <w:tcPr>
            <w:tcW w:w="939" w:type="dxa"/>
            <w:shd w:val="clear" w:color="auto" w:fill="auto"/>
            <w:noWrap/>
            <w:vAlign w:val="center"/>
            <w:hideMark/>
          </w:tcPr>
          <w:p w14:paraId="4BCC3FC8"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1 820</w:t>
            </w:r>
          </w:p>
        </w:tc>
      </w:tr>
      <w:tr w:rsidR="00DE5A48" w:rsidRPr="006070EA" w14:paraId="633C9B9D" w14:textId="77777777" w:rsidTr="00A07BAD">
        <w:trPr>
          <w:trHeight w:val="300"/>
          <w:jc w:val="center"/>
        </w:trPr>
        <w:tc>
          <w:tcPr>
            <w:tcW w:w="505" w:type="dxa"/>
            <w:shd w:val="clear" w:color="auto" w:fill="auto"/>
            <w:noWrap/>
            <w:vAlign w:val="center"/>
            <w:hideMark/>
          </w:tcPr>
          <w:p w14:paraId="26277EE0"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2014</w:t>
            </w:r>
          </w:p>
        </w:tc>
        <w:tc>
          <w:tcPr>
            <w:tcW w:w="850" w:type="dxa"/>
            <w:shd w:val="clear" w:color="auto" w:fill="auto"/>
            <w:noWrap/>
            <w:vAlign w:val="center"/>
            <w:hideMark/>
          </w:tcPr>
          <w:p w14:paraId="7CA56A9E"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18</w:t>
            </w:r>
          </w:p>
        </w:tc>
        <w:tc>
          <w:tcPr>
            <w:tcW w:w="686" w:type="dxa"/>
            <w:shd w:val="clear" w:color="auto" w:fill="auto"/>
            <w:noWrap/>
            <w:vAlign w:val="center"/>
            <w:hideMark/>
          </w:tcPr>
          <w:p w14:paraId="70F81FDD"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14</w:t>
            </w:r>
          </w:p>
        </w:tc>
        <w:tc>
          <w:tcPr>
            <w:tcW w:w="1020" w:type="dxa"/>
            <w:shd w:val="clear" w:color="auto" w:fill="auto"/>
            <w:noWrap/>
            <w:vAlign w:val="center"/>
            <w:hideMark/>
          </w:tcPr>
          <w:p w14:paraId="79EB53D9"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59</w:t>
            </w:r>
          </w:p>
        </w:tc>
        <w:tc>
          <w:tcPr>
            <w:tcW w:w="1020" w:type="dxa"/>
            <w:shd w:val="clear" w:color="auto" w:fill="auto"/>
            <w:noWrap/>
            <w:vAlign w:val="center"/>
            <w:hideMark/>
          </w:tcPr>
          <w:p w14:paraId="53FCA1B1"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31</w:t>
            </w:r>
          </w:p>
        </w:tc>
        <w:tc>
          <w:tcPr>
            <w:tcW w:w="1361" w:type="dxa"/>
            <w:shd w:val="clear" w:color="auto" w:fill="auto"/>
            <w:noWrap/>
            <w:vAlign w:val="center"/>
            <w:hideMark/>
          </w:tcPr>
          <w:p w14:paraId="1DD3F8DE"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4</w:t>
            </w:r>
          </w:p>
        </w:tc>
        <w:tc>
          <w:tcPr>
            <w:tcW w:w="1361" w:type="dxa"/>
            <w:shd w:val="clear" w:color="auto" w:fill="auto"/>
            <w:noWrap/>
            <w:vAlign w:val="center"/>
            <w:hideMark/>
          </w:tcPr>
          <w:p w14:paraId="67FF0FE6"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28</w:t>
            </w:r>
          </w:p>
        </w:tc>
        <w:tc>
          <w:tcPr>
            <w:tcW w:w="1361" w:type="dxa"/>
            <w:shd w:val="clear" w:color="auto" w:fill="auto"/>
            <w:noWrap/>
            <w:vAlign w:val="center"/>
            <w:hideMark/>
          </w:tcPr>
          <w:p w14:paraId="3F11CDAF"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32</w:t>
            </w:r>
          </w:p>
        </w:tc>
        <w:tc>
          <w:tcPr>
            <w:tcW w:w="939" w:type="dxa"/>
            <w:shd w:val="clear" w:color="auto" w:fill="auto"/>
            <w:noWrap/>
            <w:vAlign w:val="center"/>
            <w:hideMark/>
          </w:tcPr>
          <w:p w14:paraId="290C9854"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1 852</w:t>
            </w:r>
          </w:p>
        </w:tc>
      </w:tr>
      <w:tr w:rsidR="00DE5A48" w:rsidRPr="006070EA" w14:paraId="000DE79C" w14:textId="77777777" w:rsidTr="00A07BAD">
        <w:trPr>
          <w:trHeight w:val="300"/>
          <w:jc w:val="center"/>
        </w:trPr>
        <w:tc>
          <w:tcPr>
            <w:tcW w:w="505" w:type="dxa"/>
            <w:shd w:val="clear" w:color="auto" w:fill="auto"/>
            <w:noWrap/>
            <w:vAlign w:val="center"/>
            <w:hideMark/>
          </w:tcPr>
          <w:p w14:paraId="272AD2B8"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2015</w:t>
            </w:r>
          </w:p>
        </w:tc>
        <w:tc>
          <w:tcPr>
            <w:tcW w:w="850" w:type="dxa"/>
            <w:shd w:val="clear" w:color="auto" w:fill="auto"/>
            <w:noWrap/>
            <w:vAlign w:val="center"/>
            <w:hideMark/>
          </w:tcPr>
          <w:p w14:paraId="00375AE9"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19</w:t>
            </w:r>
          </w:p>
        </w:tc>
        <w:tc>
          <w:tcPr>
            <w:tcW w:w="686" w:type="dxa"/>
            <w:shd w:val="clear" w:color="auto" w:fill="auto"/>
            <w:noWrap/>
            <w:vAlign w:val="center"/>
            <w:hideMark/>
          </w:tcPr>
          <w:p w14:paraId="66A75942"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20</w:t>
            </w:r>
          </w:p>
        </w:tc>
        <w:tc>
          <w:tcPr>
            <w:tcW w:w="1020" w:type="dxa"/>
            <w:shd w:val="clear" w:color="auto" w:fill="auto"/>
            <w:noWrap/>
            <w:vAlign w:val="center"/>
            <w:hideMark/>
          </w:tcPr>
          <w:p w14:paraId="3D183728"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49</w:t>
            </w:r>
          </w:p>
        </w:tc>
        <w:tc>
          <w:tcPr>
            <w:tcW w:w="1020" w:type="dxa"/>
            <w:shd w:val="clear" w:color="auto" w:fill="auto"/>
            <w:noWrap/>
            <w:vAlign w:val="center"/>
            <w:hideMark/>
          </w:tcPr>
          <w:p w14:paraId="6508DD42"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52</w:t>
            </w:r>
          </w:p>
        </w:tc>
        <w:tc>
          <w:tcPr>
            <w:tcW w:w="1361" w:type="dxa"/>
            <w:shd w:val="clear" w:color="auto" w:fill="auto"/>
            <w:noWrap/>
            <w:vAlign w:val="center"/>
            <w:hideMark/>
          </w:tcPr>
          <w:p w14:paraId="201D241D"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w:t>
            </w:r>
          </w:p>
        </w:tc>
        <w:tc>
          <w:tcPr>
            <w:tcW w:w="1361" w:type="dxa"/>
            <w:shd w:val="clear" w:color="auto" w:fill="auto"/>
            <w:noWrap/>
            <w:vAlign w:val="center"/>
            <w:hideMark/>
          </w:tcPr>
          <w:p w14:paraId="18FF3F09"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-3</w:t>
            </w:r>
          </w:p>
        </w:tc>
        <w:tc>
          <w:tcPr>
            <w:tcW w:w="1361" w:type="dxa"/>
            <w:shd w:val="clear" w:color="auto" w:fill="auto"/>
            <w:noWrap/>
            <w:vAlign w:val="center"/>
            <w:hideMark/>
          </w:tcPr>
          <w:p w14:paraId="1321EF39"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-4</w:t>
            </w:r>
          </w:p>
        </w:tc>
        <w:tc>
          <w:tcPr>
            <w:tcW w:w="939" w:type="dxa"/>
            <w:shd w:val="clear" w:color="auto" w:fill="auto"/>
            <w:noWrap/>
            <w:vAlign w:val="center"/>
            <w:hideMark/>
          </w:tcPr>
          <w:p w14:paraId="17E324F7"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1 848</w:t>
            </w:r>
          </w:p>
        </w:tc>
      </w:tr>
    </w:tbl>
    <w:p w14:paraId="7778FF0C" w14:textId="687089B9" w:rsidR="009E5E88" w:rsidRPr="006070EA" w:rsidRDefault="009E5E88" w:rsidP="00A07BAD">
      <w:pPr>
        <w:pStyle w:val="Atextkurzva"/>
        <w:keepNext/>
        <w:spacing w:after="60"/>
        <w:rPr>
          <w:rFonts w:asciiTheme="majorHAnsi" w:hAnsiTheme="majorHAnsi" w:cstheme="majorHAnsi"/>
          <w:color w:val="000000"/>
          <w:szCs w:val="18"/>
        </w:rPr>
      </w:pPr>
      <w:r w:rsidRPr="006070EA">
        <w:rPr>
          <w:rFonts w:asciiTheme="majorHAnsi" w:hAnsiTheme="majorHAnsi" w:cstheme="majorHAnsi"/>
          <w:color w:val="000000"/>
          <w:szCs w:val="18"/>
        </w:rPr>
        <w:t xml:space="preserve">Graf: Přirozený, migrační a celkový přírůstek v Kostomlatech nad Labem v období 1995 </w:t>
      </w:r>
      <w:r w:rsidR="00A07BAD" w:rsidRPr="006070EA">
        <w:rPr>
          <w:rFonts w:asciiTheme="majorHAnsi" w:hAnsiTheme="majorHAnsi" w:cstheme="majorHAnsi"/>
          <w:color w:val="000000"/>
          <w:szCs w:val="18"/>
        </w:rPr>
        <w:t>–</w:t>
      </w:r>
      <w:r w:rsidRPr="006070EA">
        <w:rPr>
          <w:rFonts w:asciiTheme="majorHAnsi" w:hAnsiTheme="majorHAnsi" w:cstheme="majorHAnsi"/>
          <w:color w:val="000000"/>
          <w:szCs w:val="18"/>
        </w:rPr>
        <w:t xml:space="preserve"> 2015 </w:t>
      </w:r>
    </w:p>
    <w:p w14:paraId="77DD661E" w14:textId="2E516AB6" w:rsidR="009E5E88" w:rsidRPr="006070EA" w:rsidRDefault="009E5E88" w:rsidP="009E5E88">
      <w:pPr>
        <w:jc w:val="both"/>
        <w:rPr>
          <w:rFonts w:asciiTheme="majorHAnsi" w:hAnsiTheme="majorHAnsi" w:cstheme="majorHAnsi"/>
          <w:color w:val="000000"/>
          <w:sz w:val="18"/>
          <w:szCs w:val="18"/>
        </w:rPr>
      </w:pPr>
      <w:r w:rsidRPr="006070EA">
        <w:rPr>
          <w:rFonts w:asciiTheme="majorHAnsi" w:hAnsiTheme="majorHAnsi" w:cstheme="majorHAnsi"/>
          <w:noProof/>
          <w:color w:val="000000"/>
          <w:sz w:val="18"/>
          <w:szCs w:val="18"/>
          <w:lang w:eastAsia="cs-CZ"/>
        </w:rPr>
        <w:drawing>
          <wp:inline distT="0" distB="0" distL="0" distR="0" wp14:anchorId="0B17EB46" wp14:editId="7119801D">
            <wp:extent cx="5569585" cy="3290570"/>
            <wp:effectExtent l="0" t="0" r="0" b="0"/>
            <wp:docPr id="62" name="Graf 6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2153EAB1" w14:textId="735B216E" w:rsidR="00E65004" w:rsidRPr="006070EA" w:rsidRDefault="00E65004" w:rsidP="00575033">
      <w:pPr>
        <w:keepNext/>
        <w:keepLines/>
        <w:spacing w:before="120" w:after="120" w:line="240" w:lineRule="auto"/>
        <w:ind w:firstLine="709"/>
        <w:jc w:val="both"/>
        <w:rPr>
          <w:rFonts w:asciiTheme="majorHAnsi" w:hAnsiTheme="majorHAnsi" w:cstheme="majorHAnsi"/>
          <w:sz w:val="18"/>
        </w:rPr>
      </w:pPr>
      <w:r w:rsidRPr="006070EA">
        <w:rPr>
          <w:rFonts w:asciiTheme="majorHAnsi" w:hAnsiTheme="majorHAnsi" w:cstheme="majorHAnsi"/>
          <w:sz w:val="18"/>
        </w:rPr>
        <w:t>Z grafu</w:t>
      </w:r>
      <w:r w:rsidR="0097746F" w:rsidRPr="006070EA">
        <w:rPr>
          <w:rFonts w:asciiTheme="majorHAnsi" w:hAnsiTheme="majorHAnsi" w:cstheme="majorHAnsi"/>
          <w:sz w:val="18"/>
        </w:rPr>
        <w:t xml:space="preserve"> je </w:t>
      </w:r>
      <w:r w:rsidRPr="006070EA">
        <w:rPr>
          <w:rFonts w:asciiTheme="majorHAnsi" w:hAnsiTheme="majorHAnsi" w:cstheme="majorHAnsi"/>
          <w:sz w:val="18"/>
        </w:rPr>
        <w:t>patrný převažující vliv stěhování (migrační přírůstek nabývá</w:t>
      </w:r>
      <w:r w:rsidR="0097746F" w:rsidRPr="006070EA">
        <w:rPr>
          <w:rFonts w:asciiTheme="majorHAnsi" w:hAnsiTheme="majorHAnsi" w:cstheme="majorHAnsi"/>
          <w:sz w:val="18"/>
        </w:rPr>
        <w:t xml:space="preserve"> hodnot -</w:t>
      </w:r>
      <w:r w:rsidR="0016126F" w:rsidRPr="006070EA">
        <w:rPr>
          <w:rFonts w:asciiTheme="majorHAnsi" w:hAnsiTheme="majorHAnsi" w:cstheme="majorHAnsi"/>
          <w:sz w:val="18"/>
        </w:rPr>
        <w:t>14</w:t>
      </w:r>
      <w:r w:rsidR="0097746F" w:rsidRPr="006070EA">
        <w:rPr>
          <w:rFonts w:asciiTheme="majorHAnsi" w:hAnsiTheme="majorHAnsi" w:cstheme="majorHAnsi"/>
          <w:sz w:val="18"/>
        </w:rPr>
        <w:t xml:space="preserve"> až +</w:t>
      </w:r>
      <w:r w:rsidR="0016126F" w:rsidRPr="006070EA">
        <w:rPr>
          <w:rFonts w:asciiTheme="majorHAnsi" w:hAnsiTheme="majorHAnsi" w:cstheme="majorHAnsi"/>
          <w:sz w:val="18"/>
        </w:rPr>
        <w:t>12</w:t>
      </w:r>
      <w:r w:rsidRPr="006070EA">
        <w:rPr>
          <w:rFonts w:asciiTheme="majorHAnsi" w:hAnsiTheme="majorHAnsi" w:cstheme="majorHAnsi"/>
          <w:sz w:val="18"/>
        </w:rPr>
        <w:t>)</w:t>
      </w:r>
      <w:r w:rsidR="0097746F" w:rsidRPr="006070EA">
        <w:rPr>
          <w:rFonts w:asciiTheme="majorHAnsi" w:hAnsiTheme="majorHAnsi" w:cstheme="majorHAnsi"/>
          <w:sz w:val="18"/>
        </w:rPr>
        <w:t>, na celkovém přírůstku</w:t>
      </w:r>
      <w:r w:rsidRPr="006070EA">
        <w:rPr>
          <w:rFonts w:asciiTheme="majorHAnsi" w:hAnsiTheme="majorHAnsi" w:cstheme="majorHAnsi"/>
          <w:sz w:val="18"/>
        </w:rPr>
        <w:t xml:space="preserve"> oproti přirozenému pohybu (přirozený přírůstek nabývá hodnot -</w:t>
      </w:r>
      <w:r w:rsidR="00A07BAD" w:rsidRPr="006070EA">
        <w:rPr>
          <w:rFonts w:asciiTheme="majorHAnsi" w:hAnsiTheme="majorHAnsi" w:cstheme="majorHAnsi"/>
          <w:sz w:val="18"/>
        </w:rPr>
        <w:t>12</w:t>
      </w:r>
      <w:r w:rsidRPr="006070EA">
        <w:rPr>
          <w:rFonts w:asciiTheme="majorHAnsi" w:hAnsiTheme="majorHAnsi" w:cstheme="majorHAnsi"/>
          <w:sz w:val="18"/>
        </w:rPr>
        <w:t xml:space="preserve"> až +</w:t>
      </w:r>
      <w:r w:rsidR="00A07BAD" w:rsidRPr="006070EA">
        <w:rPr>
          <w:rFonts w:asciiTheme="majorHAnsi" w:hAnsiTheme="majorHAnsi" w:cstheme="majorHAnsi"/>
          <w:sz w:val="18"/>
        </w:rPr>
        <w:t>43</w:t>
      </w:r>
      <w:r w:rsidRPr="006070EA">
        <w:rPr>
          <w:rFonts w:asciiTheme="majorHAnsi" w:hAnsiTheme="majorHAnsi" w:cstheme="majorHAnsi"/>
          <w:sz w:val="18"/>
        </w:rPr>
        <w:t xml:space="preserve">). V posledních </w:t>
      </w:r>
      <w:r w:rsidR="00A07BAD" w:rsidRPr="006070EA">
        <w:rPr>
          <w:rFonts w:asciiTheme="majorHAnsi" w:hAnsiTheme="majorHAnsi" w:cstheme="majorHAnsi"/>
          <w:sz w:val="18"/>
        </w:rPr>
        <w:t>dvaceti letech</w:t>
      </w:r>
      <w:r w:rsidRPr="006070EA">
        <w:rPr>
          <w:rFonts w:asciiTheme="majorHAnsi" w:hAnsiTheme="majorHAnsi" w:cstheme="majorHAnsi"/>
          <w:sz w:val="18"/>
        </w:rPr>
        <w:t xml:space="preserve"> lze v obci zaznamenat </w:t>
      </w:r>
      <w:r w:rsidR="00A07BAD" w:rsidRPr="006070EA">
        <w:rPr>
          <w:rFonts w:asciiTheme="majorHAnsi" w:hAnsiTheme="majorHAnsi" w:cstheme="majorHAnsi"/>
          <w:sz w:val="18"/>
        </w:rPr>
        <w:t xml:space="preserve">převážně </w:t>
      </w:r>
      <w:r w:rsidRPr="006070EA">
        <w:rPr>
          <w:rFonts w:asciiTheme="majorHAnsi" w:hAnsiTheme="majorHAnsi" w:cstheme="majorHAnsi"/>
          <w:sz w:val="18"/>
        </w:rPr>
        <w:t xml:space="preserve">kontinuální nárůst počtu obyvatel, který je důsledkem </w:t>
      </w:r>
      <w:r w:rsidR="00A07BAD" w:rsidRPr="006070EA">
        <w:rPr>
          <w:rFonts w:asciiTheme="majorHAnsi" w:hAnsiTheme="majorHAnsi" w:cstheme="majorHAnsi"/>
          <w:sz w:val="18"/>
        </w:rPr>
        <w:t xml:space="preserve">převažujících </w:t>
      </w:r>
      <w:r w:rsidRPr="006070EA">
        <w:rPr>
          <w:rFonts w:asciiTheme="majorHAnsi" w:hAnsiTheme="majorHAnsi" w:cstheme="majorHAnsi"/>
          <w:sz w:val="18"/>
        </w:rPr>
        <w:t xml:space="preserve">pozitivních hodnot </w:t>
      </w:r>
      <w:r w:rsidR="00A07BAD" w:rsidRPr="006070EA">
        <w:rPr>
          <w:rFonts w:asciiTheme="majorHAnsi" w:hAnsiTheme="majorHAnsi" w:cstheme="majorHAnsi"/>
          <w:sz w:val="18"/>
        </w:rPr>
        <w:t>celkového přírůstku.</w:t>
      </w:r>
      <w:r w:rsidRPr="006070EA">
        <w:rPr>
          <w:rFonts w:asciiTheme="majorHAnsi" w:hAnsiTheme="majorHAnsi" w:cstheme="majorHAnsi"/>
          <w:sz w:val="18"/>
        </w:rPr>
        <w:t xml:space="preserve"> Celkový přírůstek tedy </w:t>
      </w:r>
      <w:r w:rsidR="00A07BAD" w:rsidRPr="006070EA">
        <w:rPr>
          <w:rFonts w:asciiTheme="majorHAnsi" w:hAnsiTheme="majorHAnsi" w:cstheme="majorHAnsi"/>
          <w:sz w:val="18"/>
        </w:rPr>
        <w:t xml:space="preserve">mezi lety 1995 a 2015 </w:t>
      </w:r>
      <w:r w:rsidRPr="006070EA">
        <w:rPr>
          <w:rFonts w:asciiTheme="majorHAnsi" w:hAnsiTheme="majorHAnsi" w:cstheme="majorHAnsi"/>
          <w:sz w:val="18"/>
        </w:rPr>
        <w:t>nabyl záporných hodnot</w:t>
      </w:r>
      <w:r w:rsidR="00A07BAD" w:rsidRPr="006070EA">
        <w:rPr>
          <w:rFonts w:asciiTheme="majorHAnsi" w:hAnsiTheme="majorHAnsi" w:cstheme="majorHAnsi"/>
          <w:sz w:val="18"/>
        </w:rPr>
        <w:t xml:space="preserve"> pouze v letech 1998, 2004-2007 a 2015</w:t>
      </w:r>
      <w:r w:rsidRPr="006070EA">
        <w:rPr>
          <w:rFonts w:asciiTheme="majorHAnsi" w:hAnsiTheme="majorHAnsi" w:cstheme="majorHAnsi"/>
          <w:sz w:val="18"/>
        </w:rPr>
        <w:t xml:space="preserve">. Při pohledu na hodnoty přirozeného přírůstku v celém sledovaném období však lze poukázat na amplitudální vývoj, kdy se poměrně pravidelně střídají sekvence progresivních, resp. regresivních období. </w:t>
      </w:r>
    </w:p>
    <w:p w14:paraId="52436075" w14:textId="614016A4" w:rsidR="00852180" w:rsidRPr="006070EA" w:rsidRDefault="00852180" w:rsidP="00852180">
      <w:pPr>
        <w:spacing w:before="120" w:after="120" w:line="240" w:lineRule="auto"/>
        <w:ind w:firstLine="709"/>
        <w:jc w:val="both"/>
        <w:rPr>
          <w:rFonts w:asciiTheme="majorHAnsi" w:hAnsiTheme="majorHAnsi" w:cstheme="majorHAnsi"/>
          <w:sz w:val="18"/>
          <w:szCs w:val="18"/>
        </w:rPr>
      </w:pPr>
      <w:r w:rsidRPr="006070EA">
        <w:rPr>
          <w:rFonts w:asciiTheme="majorHAnsi" w:hAnsiTheme="majorHAnsi" w:cstheme="majorHAnsi"/>
          <w:sz w:val="18"/>
          <w:szCs w:val="18"/>
        </w:rPr>
        <w:t xml:space="preserve">Pro zajištění progresivního populačního vývoje </w:t>
      </w:r>
      <w:r w:rsidR="00233BDB" w:rsidRPr="006070EA">
        <w:rPr>
          <w:rFonts w:asciiTheme="majorHAnsi" w:hAnsiTheme="majorHAnsi" w:cstheme="majorHAnsi"/>
          <w:sz w:val="18"/>
          <w:szCs w:val="18"/>
        </w:rPr>
        <w:t xml:space="preserve">do budoucna </w:t>
      </w:r>
      <w:r w:rsidRPr="006070EA">
        <w:rPr>
          <w:rFonts w:asciiTheme="majorHAnsi" w:hAnsiTheme="majorHAnsi" w:cstheme="majorHAnsi"/>
          <w:sz w:val="18"/>
          <w:szCs w:val="18"/>
        </w:rPr>
        <w:t xml:space="preserve">je vhodné, aby dětská složka převažovala nad postreprodukční. Tento vztah však v současné sociální struktuře republiky, která je charakteristická regresivním typem věkové pyramidy, není příliš obvyklý. </w:t>
      </w:r>
    </w:p>
    <w:p w14:paraId="7DD8420A" w14:textId="77777777" w:rsidR="00852180" w:rsidRPr="006070EA" w:rsidRDefault="00852180" w:rsidP="00DD53D3">
      <w:pPr>
        <w:pStyle w:val="Mra2-reakceern"/>
        <w:keepNext/>
        <w:pBdr>
          <w:left w:val="none" w:sz="0" w:space="0" w:color="auto"/>
        </w:pBdr>
        <w:shd w:val="clear" w:color="auto" w:fill="F2F2F2" w:themeFill="background1" w:themeFillShade="F2"/>
        <w:spacing w:before="120" w:after="120"/>
        <w:ind w:left="0"/>
        <w:jc w:val="left"/>
        <w:rPr>
          <w:rFonts w:asciiTheme="majorHAnsi" w:hAnsiTheme="majorHAnsi" w:cstheme="majorHAnsi"/>
          <w:b/>
          <w:color w:val="auto"/>
          <w:sz w:val="20"/>
        </w:rPr>
      </w:pPr>
      <w:r w:rsidRPr="006070EA">
        <w:rPr>
          <w:rFonts w:asciiTheme="majorHAnsi" w:hAnsiTheme="majorHAnsi" w:cstheme="majorHAnsi"/>
          <w:b/>
          <w:color w:val="auto"/>
          <w:sz w:val="20"/>
        </w:rPr>
        <w:lastRenderedPageBreak/>
        <w:t>Dojížďka do zaměstnání a do škol</w:t>
      </w:r>
    </w:p>
    <w:p w14:paraId="6C6A7C28" w14:textId="3714FDC5" w:rsidR="00852180" w:rsidRPr="006070EA" w:rsidRDefault="00233BDB" w:rsidP="00DD53D3">
      <w:pPr>
        <w:keepNext/>
        <w:keepLines/>
        <w:spacing w:before="120" w:after="120" w:line="240" w:lineRule="auto"/>
        <w:ind w:firstLine="709"/>
        <w:jc w:val="both"/>
        <w:rPr>
          <w:rFonts w:asciiTheme="majorHAnsi" w:hAnsiTheme="majorHAnsi" w:cstheme="majorHAnsi"/>
          <w:sz w:val="18"/>
          <w:szCs w:val="18"/>
        </w:rPr>
      </w:pPr>
      <w:r w:rsidRPr="006070EA">
        <w:rPr>
          <w:rFonts w:asciiTheme="majorHAnsi" w:hAnsiTheme="majorHAnsi" w:cstheme="majorHAnsi"/>
          <w:sz w:val="18"/>
          <w:szCs w:val="18"/>
        </w:rPr>
        <w:t>Kostomlaty nad Labem jsou</w:t>
      </w:r>
      <w:r w:rsidR="00852180" w:rsidRPr="006070EA">
        <w:rPr>
          <w:rFonts w:asciiTheme="majorHAnsi" w:hAnsiTheme="majorHAnsi" w:cstheme="majorHAnsi"/>
          <w:sz w:val="18"/>
          <w:szCs w:val="18"/>
        </w:rPr>
        <w:t xml:space="preserve"> obcí se základní občanskou vybaveností. Značná část obyvatelstva </w:t>
      </w:r>
      <w:r w:rsidRPr="006070EA">
        <w:rPr>
          <w:rFonts w:asciiTheme="majorHAnsi" w:hAnsiTheme="majorHAnsi" w:cstheme="majorHAnsi"/>
          <w:sz w:val="18"/>
          <w:szCs w:val="18"/>
        </w:rPr>
        <w:t xml:space="preserve">vyjíždí </w:t>
      </w:r>
      <w:r w:rsidR="00852180" w:rsidRPr="006070EA">
        <w:rPr>
          <w:rFonts w:asciiTheme="majorHAnsi" w:hAnsiTheme="majorHAnsi" w:cstheme="majorHAnsi"/>
          <w:sz w:val="18"/>
          <w:szCs w:val="18"/>
        </w:rPr>
        <w:t>za prací a do škol dojíždět do blízkých spádových center</w:t>
      </w:r>
      <w:r w:rsidRPr="006070EA">
        <w:rPr>
          <w:rFonts w:asciiTheme="majorHAnsi" w:hAnsiTheme="majorHAnsi" w:cstheme="majorHAnsi"/>
          <w:sz w:val="18"/>
          <w:szCs w:val="18"/>
        </w:rPr>
        <w:t xml:space="preserve"> </w:t>
      </w:r>
      <w:r w:rsidR="00852180" w:rsidRPr="006070EA">
        <w:rPr>
          <w:rFonts w:asciiTheme="majorHAnsi" w:hAnsiTheme="majorHAnsi" w:cstheme="majorHAnsi"/>
          <w:sz w:val="18"/>
          <w:szCs w:val="18"/>
        </w:rPr>
        <w:t>(</w:t>
      </w:r>
      <w:r w:rsidRPr="006070EA">
        <w:rPr>
          <w:rFonts w:asciiTheme="majorHAnsi" w:hAnsiTheme="majorHAnsi" w:cstheme="majorHAnsi"/>
          <w:sz w:val="18"/>
          <w:szCs w:val="18"/>
        </w:rPr>
        <w:t>Nymburk, Praha ad.</w:t>
      </w:r>
      <w:r w:rsidR="00852180" w:rsidRPr="006070EA">
        <w:rPr>
          <w:rFonts w:asciiTheme="majorHAnsi" w:hAnsiTheme="majorHAnsi" w:cstheme="majorHAnsi"/>
          <w:sz w:val="18"/>
          <w:szCs w:val="18"/>
        </w:rPr>
        <w:t xml:space="preserve">). V roce 2011 vyjíždělo z obce do zaměstnání a do škol </w:t>
      </w:r>
      <w:r w:rsidRPr="006070EA">
        <w:rPr>
          <w:rFonts w:asciiTheme="majorHAnsi" w:hAnsiTheme="majorHAnsi" w:cstheme="majorHAnsi"/>
          <w:sz w:val="18"/>
          <w:szCs w:val="18"/>
        </w:rPr>
        <w:t xml:space="preserve">544 obyvatel, tedy </w:t>
      </w:r>
      <w:r w:rsidR="00852180" w:rsidRPr="006070EA">
        <w:rPr>
          <w:rFonts w:asciiTheme="majorHAnsi" w:hAnsiTheme="majorHAnsi" w:cstheme="majorHAnsi"/>
          <w:sz w:val="18"/>
          <w:szCs w:val="18"/>
        </w:rPr>
        <w:t>2</w:t>
      </w:r>
      <w:r w:rsidRPr="006070EA">
        <w:rPr>
          <w:rFonts w:asciiTheme="majorHAnsi" w:hAnsiTheme="majorHAnsi" w:cstheme="majorHAnsi"/>
          <w:sz w:val="18"/>
          <w:szCs w:val="18"/>
        </w:rPr>
        <w:t>9</w:t>
      </w:r>
      <w:r w:rsidR="00852180" w:rsidRPr="006070EA">
        <w:rPr>
          <w:rFonts w:asciiTheme="majorHAnsi" w:hAnsiTheme="majorHAnsi" w:cstheme="majorHAnsi"/>
          <w:sz w:val="18"/>
          <w:szCs w:val="18"/>
        </w:rPr>
        <w:t xml:space="preserve"> %. </w:t>
      </w:r>
      <w:r w:rsidRPr="006070EA">
        <w:rPr>
          <w:rFonts w:asciiTheme="majorHAnsi" w:hAnsiTheme="majorHAnsi" w:cstheme="majorHAnsi"/>
          <w:sz w:val="18"/>
          <w:szCs w:val="18"/>
        </w:rPr>
        <w:t>Do Kostomlat nad Labem dojížd</w:t>
      </w:r>
      <w:r w:rsidR="008F5436" w:rsidRPr="006070EA">
        <w:rPr>
          <w:rFonts w:asciiTheme="majorHAnsi" w:hAnsiTheme="majorHAnsi" w:cstheme="majorHAnsi"/>
          <w:sz w:val="18"/>
          <w:szCs w:val="18"/>
        </w:rPr>
        <w:t>ělo v témže roce</w:t>
      </w:r>
      <w:r w:rsidRPr="006070EA">
        <w:rPr>
          <w:rFonts w:asciiTheme="majorHAnsi" w:hAnsiTheme="majorHAnsi" w:cstheme="majorHAnsi"/>
          <w:sz w:val="18"/>
          <w:szCs w:val="18"/>
        </w:rPr>
        <w:t xml:space="preserve"> </w:t>
      </w:r>
      <w:r w:rsidR="008F5436" w:rsidRPr="006070EA">
        <w:rPr>
          <w:rFonts w:asciiTheme="majorHAnsi" w:hAnsiTheme="majorHAnsi" w:cstheme="majorHAnsi"/>
          <w:sz w:val="18"/>
          <w:szCs w:val="18"/>
        </w:rPr>
        <w:t>za zaměstnáním a do škol 61 obyvatel. Obec tedy disponuje vlastním spádovým územím dojížďky.</w:t>
      </w:r>
    </w:p>
    <w:p w14:paraId="1E502387" w14:textId="77777777" w:rsidR="009E5E88" w:rsidRPr="006070EA" w:rsidRDefault="009E5E88" w:rsidP="00233BDB">
      <w:pPr>
        <w:pStyle w:val="Atextkurzva"/>
        <w:keepNext/>
        <w:spacing w:after="60"/>
        <w:rPr>
          <w:rFonts w:asciiTheme="majorHAnsi" w:hAnsiTheme="majorHAnsi" w:cstheme="majorHAnsi"/>
        </w:rPr>
      </w:pPr>
      <w:r w:rsidRPr="006070EA">
        <w:rPr>
          <w:rFonts w:asciiTheme="majorHAnsi" w:hAnsiTheme="majorHAnsi" w:cstheme="majorHAnsi"/>
        </w:rPr>
        <w:t>Tab. Vyjížďka obyvatel do zaměstnání a do škol (dle ČSÚ, k 26. 3. 2011)</w:t>
      </w:r>
    </w:p>
    <w:tbl>
      <w:tblPr>
        <w:tblW w:w="0" w:type="auto"/>
        <w:jc w:val="center"/>
        <w:tblLook w:val="04A0" w:firstRow="1" w:lastRow="0" w:firstColumn="1" w:lastColumn="0" w:noHBand="0" w:noVBand="1"/>
      </w:tblPr>
      <w:tblGrid>
        <w:gridCol w:w="1098"/>
        <w:gridCol w:w="634"/>
        <w:gridCol w:w="765"/>
        <w:gridCol w:w="697"/>
        <w:gridCol w:w="738"/>
        <w:gridCol w:w="691"/>
        <w:gridCol w:w="984"/>
        <w:gridCol w:w="622"/>
        <w:gridCol w:w="771"/>
        <w:gridCol w:w="671"/>
        <w:gridCol w:w="712"/>
        <w:gridCol w:w="687"/>
      </w:tblGrid>
      <w:tr w:rsidR="008F5436" w:rsidRPr="006070EA" w14:paraId="78D7EF3F" w14:textId="77777777" w:rsidTr="00233BDB">
        <w:trPr>
          <w:trHeight w:val="283"/>
          <w:jc w:val="center"/>
        </w:trPr>
        <w:tc>
          <w:tcPr>
            <w:tcW w:w="1102" w:type="dxa"/>
            <w:vMerge w:val="restart"/>
            <w:tcBorders>
              <w:top w:val="nil"/>
              <w:left w:val="nil"/>
              <w:bottom w:val="single" w:sz="12" w:space="0" w:color="auto"/>
              <w:right w:val="single" w:sz="12" w:space="0" w:color="auto"/>
            </w:tcBorders>
            <w:shd w:val="clear" w:color="auto" w:fill="auto"/>
            <w:vAlign w:val="center"/>
            <w:hideMark/>
          </w:tcPr>
          <w:p w14:paraId="036FB3C2" w14:textId="77777777" w:rsidR="009E5E88" w:rsidRPr="006070EA" w:rsidRDefault="009E5E88" w:rsidP="00233BDB">
            <w:pPr>
              <w:pStyle w:val="Bezmezer"/>
              <w:keepNext/>
              <w:tabs>
                <w:tab w:val="left" w:pos="720"/>
              </w:tabs>
              <w:jc w:val="center"/>
              <w:rPr>
                <w:rFonts w:asciiTheme="majorHAnsi" w:hAnsiTheme="majorHAnsi" w:cstheme="majorHAnsi"/>
                <w:b/>
                <w:lang w:val="cs-CZ"/>
              </w:rPr>
            </w:pPr>
            <w:r w:rsidRPr="006070EA">
              <w:rPr>
                <w:rFonts w:asciiTheme="majorHAnsi" w:hAnsiTheme="majorHAnsi" w:cstheme="majorHAnsi"/>
                <w:b/>
                <w:lang w:val="cs-CZ"/>
              </w:rPr>
              <w:t>vyjíždějící do zaměstnání celkem</w:t>
            </w:r>
          </w:p>
        </w:tc>
        <w:tc>
          <w:tcPr>
            <w:tcW w:w="3546" w:type="dxa"/>
            <w:gridSpan w:val="5"/>
            <w:tcBorders>
              <w:top w:val="nil"/>
              <w:left w:val="single" w:sz="12" w:space="0" w:color="auto"/>
              <w:bottom w:val="single" w:sz="12" w:space="0" w:color="auto"/>
              <w:right w:val="single" w:sz="12" w:space="0" w:color="auto"/>
            </w:tcBorders>
            <w:vAlign w:val="center"/>
          </w:tcPr>
          <w:p w14:paraId="6F4FD86A" w14:textId="77777777" w:rsidR="009E5E88" w:rsidRPr="006070EA" w:rsidRDefault="009E5E88" w:rsidP="00233BDB">
            <w:pPr>
              <w:pStyle w:val="Bezmezer"/>
              <w:keepNext/>
              <w:jc w:val="center"/>
              <w:rPr>
                <w:rFonts w:asciiTheme="majorHAnsi" w:hAnsiTheme="majorHAnsi" w:cstheme="majorHAnsi"/>
                <w:b/>
                <w:lang w:val="cs-CZ"/>
              </w:rPr>
            </w:pPr>
            <w:r w:rsidRPr="006070EA">
              <w:rPr>
                <w:rFonts w:asciiTheme="majorHAnsi" w:hAnsiTheme="majorHAnsi" w:cstheme="majorHAnsi"/>
                <w:b/>
                <w:lang w:val="cs-CZ"/>
              </w:rPr>
              <w:t>z toho</w:t>
            </w:r>
          </w:p>
        </w:tc>
        <w:tc>
          <w:tcPr>
            <w:tcW w:w="990" w:type="dxa"/>
            <w:vMerge w:val="restart"/>
            <w:tcBorders>
              <w:top w:val="nil"/>
              <w:left w:val="single" w:sz="12" w:space="0" w:color="auto"/>
              <w:bottom w:val="single" w:sz="12" w:space="0" w:color="auto"/>
              <w:right w:val="single" w:sz="12" w:space="0" w:color="auto"/>
            </w:tcBorders>
            <w:shd w:val="clear" w:color="auto" w:fill="auto"/>
            <w:vAlign w:val="center"/>
            <w:hideMark/>
          </w:tcPr>
          <w:p w14:paraId="652E4A86" w14:textId="77777777" w:rsidR="009E5E88" w:rsidRPr="006070EA" w:rsidRDefault="009E5E88" w:rsidP="00233BDB">
            <w:pPr>
              <w:pStyle w:val="Bezmezer"/>
              <w:keepNext/>
              <w:jc w:val="center"/>
              <w:rPr>
                <w:rFonts w:asciiTheme="majorHAnsi" w:hAnsiTheme="majorHAnsi" w:cstheme="majorHAnsi"/>
                <w:b/>
                <w:lang w:val="cs-CZ"/>
              </w:rPr>
            </w:pPr>
            <w:r w:rsidRPr="006070EA">
              <w:rPr>
                <w:rFonts w:asciiTheme="majorHAnsi" w:hAnsiTheme="majorHAnsi" w:cstheme="majorHAnsi"/>
                <w:b/>
                <w:lang w:val="cs-CZ"/>
              </w:rPr>
              <w:t>vyjíždějící do škol celkem</w:t>
            </w:r>
          </w:p>
        </w:tc>
        <w:tc>
          <w:tcPr>
            <w:tcW w:w="509" w:type="dxa"/>
            <w:tcBorders>
              <w:top w:val="nil"/>
              <w:left w:val="single" w:sz="12" w:space="0" w:color="auto"/>
              <w:bottom w:val="single" w:sz="12" w:space="0" w:color="auto"/>
              <w:right w:val="single" w:sz="12" w:space="0" w:color="auto"/>
            </w:tcBorders>
            <w:vAlign w:val="center"/>
          </w:tcPr>
          <w:p w14:paraId="3BEDE5CD" w14:textId="77777777" w:rsidR="009E5E88" w:rsidRPr="006070EA" w:rsidRDefault="009E5E88" w:rsidP="00233BDB">
            <w:pPr>
              <w:pStyle w:val="Bezmezer"/>
              <w:keepNext/>
              <w:jc w:val="center"/>
              <w:rPr>
                <w:rFonts w:asciiTheme="majorHAnsi" w:hAnsiTheme="majorHAnsi" w:cstheme="majorHAnsi"/>
                <w:b/>
                <w:lang w:val="cs-CZ"/>
              </w:rPr>
            </w:pPr>
          </w:p>
        </w:tc>
        <w:tc>
          <w:tcPr>
            <w:tcW w:w="2857" w:type="dxa"/>
            <w:gridSpan w:val="4"/>
            <w:tcBorders>
              <w:top w:val="nil"/>
              <w:left w:val="single" w:sz="12" w:space="0" w:color="auto"/>
              <w:bottom w:val="single" w:sz="12" w:space="0" w:color="auto"/>
              <w:right w:val="nil"/>
            </w:tcBorders>
            <w:shd w:val="clear" w:color="auto" w:fill="auto"/>
            <w:vAlign w:val="center"/>
            <w:hideMark/>
          </w:tcPr>
          <w:p w14:paraId="3095AB43" w14:textId="77777777" w:rsidR="009E5E88" w:rsidRPr="006070EA" w:rsidRDefault="009E5E88" w:rsidP="00233BDB">
            <w:pPr>
              <w:pStyle w:val="Bezmezer"/>
              <w:keepNext/>
              <w:jc w:val="center"/>
              <w:rPr>
                <w:rFonts w:asciiTheme="majorHAnsi" w:hAnsiTheme="majorHAnsi" w:cstheme="majorHAnsi"/>
                <w:b/>
                <w:lang w:val="cs-CZ"/>
              </w:rPr>
            </w:pPr>
            <w:r w:rsidRPr="006070EA">
              <w:rPr>
                <w:rFonts w:asciiTheme="majorHAnsi" w:hAnsiTheme="majorHAnsi" w:cstheme="majorHAnsi"/>
                <w:b/>
                <w:lang w:val="cs-CZ"/>
              </w:rPr>
              <w:t>z toho</w:t>
            </w:r>
          </w:p>
        </w:tc>
      </w:tr>
      <w:tr w:rsidR="008F5436" w:rsidRPr="006070EA" w14:paraId="7A18F108" w14:textId="77777777" w:rsidTr="00233BDB">
        <w:trPr>
          <w:trHeight w:val="283"/>
          <w:jc w:val="center"/>
        </w:trPr>
        <w:tc>
          <w:tcPr>
            <w:tcW w:w="1102" w:type="dxa"/>
            <w:vMerge/>
            <w:tcBorders>
              <w:top w:val="nil"/>
              <w:left w:val="nil"/>
              <w:bottom w:val="single" w:sz="12" w:space="0" w:color="auto"/>
              <w:right w:val="single" w:sz="12" w:space="0" w:color="auto"/>
            </w:tcBorders>
            <w:shd w:val="clear" w:color="auto" w:fill="auto"/>
            <w:vAlign w:val="center"/>
            <w:hideMark/>
          </w:tcPr>
          <w:p w14:paraId="0F022FC9" w14:textId="77777777" w:rsidR="009E5E88" w:rsidRPr="006070EA" w:rsidRDefault="009E5E88" w:rsidP="00233BDB">
            <w:pPr>
              <w:keepNext/>
              <w:jc w:val="center"/>
              <w:rPr>
                <w:rFonts w:asciiTheme="majorHAnsi" w:eastAsia="Calibri" w:hAnsiTheme="majorHAnsi" w:cstheme="majorHAnsi"/>
                <w:b/>
                <w:sz w:val="18"/>
                <w:lang w:bidi="en-US"/>
              </w:rPr>
            </w:pPr>
          </w:p>
        </w:tc>
        <w:tc>
          <w:tcPr>
            <w:tcW w:w="635" w:type="dxa"/>
            <w:tcBorders>
              <w:top w:val="single" w:sz="12" w:space="0" w:color="auto"/>
              <w:left w:val="single" w:sz="12" w:space="0" w:color="auto"/>
              <w:bottom w:val="single" w:sz="12" w:space="0" w:color="auto"/>
              <w:right w:val="single" w:sz="12" w:space="0" w:color="auto"/>
            </w:tcBorders>
            <w:vAlign w:val="center"/>
          </w:tcPr>
          <w:p w14:paraId="61EFFB13" w14:textId="77777777" w:rsidR="009E5E88" w:rsidRPr="006070EA" w:rsidRDefault="009E5E88" w:rsidP="00233BDB">
            <w:pPr>
              <w:pStyle w:val="Bezmezer"/>
              <w:keepNext/>
              <w:jc w:val="center"/>
              <w:rPr>
                <w:rFonts w:asciiTheme="majorHAnsi" w:hAnsiTheme="majorHAnsi" w:cstheme="majorHAnsi"/>
                <w:b/>
                <w:lang w:val="cs-CZ"/>
              </w:rPr>
            </w:pPr>
            <w:r w:rsidRPr="006070EA">
              <w:rPr>
                <w:rFonts w:asciiTheme="majorHAnsi" w:hAnsiTheme="majorHAnsi" w:cstheme="majorHAnsi"/>
                <w:b/>
                <w:lang w:val="cs-CZ"/>
              </w:rPr>
              <w:t>v</w:t>
            </w:r>
          </w:p>
          <w:p w14:paraId="4E7FE590" w14:textId="77777777" w:rsidR="009E5E88" w:rsidRPr="006070EA" w:rsidRDefault="009E5E88" w:rsidP="00233BDB">
            <w:pPr>
              <w:pStyle w:val="Bezmezer"/>
              <w:keepNext/>
              <w:jc w:val="center"/>
              <w:rPr>
                <w:rFonts w:asciiTheme="majorHAnsi" w:hAnsiTheme="majorHAnsi" w:cstheme="majorHAnsi"/>
                <w:b/>
                <w:lang w:val="cs-CZ"/>
              </w:rPr>
            </w:pPr>
            <w:r w:rsidRPr="006070EA">
              <w:rPr>
                <w:rFonts w:asciiTheme="majorHAnsi" w:hAnsiTheme="majorHAnsi" w:cstheme="majorHAnsi"/>
                <w:b/>
                <w:lang w:val="cs-CZ"/>
              </w:rPr>
              <w:t>rámci obce</w:t>
            </w:r>
          </w:p>
        </w:tc>
        <w:tc>
          <w:tcPr>
            <w:tcW w:w="770"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1B96A11A" w14:textId="77777777" w:rsidR="009E5E88" w:rsidRPr="006070EA" w:rsidRDefault="009E5E88" w:rsidP="00233BDB">
            <w:pPr>
              <w:pStyle w:val="Bezmezer"/>
              <w:keepNext/>
              <w:jc w:val="center"/>
              <w:rPr>
                <w:rFonts w:asciiTheme="majorHAnsi" w:hAnsiTheme="majorHAnsi" w:cstheme="majorHAnsi"/>
                <w:b/>
                <w:lang w:val="cs-CZ"/>
              </w:rPr>
            </w:pPr>
            <w:r w:rsidRPr="006070EA">
              <w:rPr>
                <w:rFonts w:asciiTheme="majorHAnsi" w:hAnsiTheme="majorHAnsi" w:cstheme="majorHAnsi"/>
                <w:b/>
                <w:lang w:val="cs-CZ"/>
              </w:rPr>
              <w:t>v rámci okresu</w:t>
            </w:r>
          </w:p>
        </w:tc>
        <w:tc>
          <w:tcPr>
            <w:tcW w:w="703"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7CAF2979" w14:textId="77777777" w:rsidR="009E5E88" w:rsidRPr="006070EA" w:rsidRDefault="009E5E88" w:rsidP="00233BDB">
            <w:pPr>
              <w:pStyle w:val="Bezmezer"/>
              <w:keepNext/>
              <w:jc w:val="center"/>
              <w:rPr>
                <w:rFonts w:asciiTheme="majorHAnsi" w:hAnsiTheme="majorHAnsi" w:cstheme="majorHAnsi"/>
                <w:b/>
                <w:lang w:val="cs-CZ"/>
              </w:rPr>
            </w:pPr>
            <w:r w:rsidRPr="006070EA">
              <w:rPr>
                <w:rFonts w:asciiTheme="majorHAnsi" w:hAnsiTheme="majorHAnsi" w:cstheme="majorHAnsi"/>
                <w:b/>
                <w:lang w:val="cs-CZ"/>
              </w:rPr>
              <w:t>v rámci kraje</w:t>
            </w:r>
          </w:p>
        </w:tc>
        <w:tc>
          <w:tcPr>
            <w:tcW w:w="743"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66D70EA6" w14:textId="77777777" w:rsidR="009E5E88" w:rsidRPr="006070EA" w:rsidRDefault="009E5E88" w:rsidP="00233BDB">
            <w:pPr>
              <w:pStyle w:val="Bezmezer"/>
              <w:keepNext/>
              <w:jc w:val="center"/>
              <w:rPr>
                <w:rFonts w:asciiTheme="majorHAnsi" w:hAnsiTheme="majorHAnsi" w:cstheme="majorHAnsi"/>
                <w:b/>
                <w:lang w:val="cs-CZ"/>
              </w:rPr>
            </w:pPr>
            <w:r w:rsidRPr="006070EA">
              <w:rPr>
                <w:rFonts w:asciiTheme="majorHAnsi" w:hAnsiTheme="majorHAnsi" w:cstheme="majorHAnsi"/>
                <w:b/>
                <w:lang w:val="cs-CZ"/>
              </w:rPr>
              <w:t>do jiného kraje</w:t>
            </w:r>
          </w:p>
        </w:tc>
        <w:tc>
          <w:tcPr>
            <w:tcW w:w="695"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6359F4B5" w14:textId="77777777" w:rsidR="009E5E88" w:rsidRPr="006070EA" w:rsidRDefault="009E5E88" w:rsidP="00233BDB">
            <w:pPr>
              <w:pStyle w:val="Bezmezer"/>
              <w:keepNext/>
              <w:jc w:val="center"/>
              <w:rPr>
                <w:rFonts w:asciiTheme="majorHAnsi" w:hAnsiTheme="majorHAnsi" w:cstheme="majorHAnsi"/>
                <w:b/>
                <w:lang w:val="cs-CZ"/>
              </w:rPr>
            </w:pPr>
            <w:r w:rsidRPr="006070EA">
              <w:rPr>
                <w:rFonts w:asciiTheme="majorHAnsi" w:hAnsiTheme="majorHAnsi" w:cstheme="majorHAnsi"/>
                <w:b/>
                <w:lang w:val="cs-CZ"/>
              </w:rPr>
              <w:t>mimo ČR</w:t>
            </w:r>
          </w:p>
        </w:tc>
        <w:tc>
          <w:tcPr>
            <w:tcW w:w="990" w:type="dxa"/>
            <w:vMerge/>
            <w:tcBorders>
              <w:top w:val="nil"/>
              <w:left w:val="single" w:sz="12" w:space="0" w:color="auto"/>
              <w:bottom w:val="single" w:sz="12" w:space="0" w:color="auto"/>
              <w:right w:val="single" w:sz="12" w:space="0" w:color="auto"/>
            </w:tcBorders>
            <w:shd w:val="clear" w:color="auto" w:fill="auto"/>
            <w:vAlign w:val="center"/>
            <w:hideMark/>
          </w:tcPr>
          <w:p w14:paraId="0D0DAE01" w14:textId="77777777" w:rsidR="009E5E88" w:rsidRPr="006070EA" w:rsidRDefault="009E5E88" w:rsidP="00233BDB">
            <w:pPr>
              <w:keepNext/>
              <w:jc w:val="center"/>
              <w:rPr>
                <w:rFonts w:asciiTheme="majorHAnsi" w:eastAsia="Calibri" w:hAnsiTheme="majorHAnsi" w:cstheme="majorHAnsi"/>
                <w:b/>
                <w:sz w:val="18"/>
                <w:lang w:bidi="en-US"/>
              </w:rPr>
            </w:pPr>
          </w:p>
        </w:tc>
        <w:tc>
          <w:tcPr>
            <w:tcW w:w="509" w:type="dxa"/>
            <w:tcBorders>
              <w:top w:val="nil"/>
              <w:left w:val="single" w:sz="12" w:space="0" w:color="auto"/>
              <w:bottom w:val="single" w:sz="12" w:space="0" w:color="auto"/>
              <w:right w:val="single" w:sz="12" w:space="0" w:color="auto"/>
            </w:tcBorders>
            <w:vAlign w:val="center"/>
          </w:tcPr>
          <w:p w14:paraId="60D92591" w14:textId="77777777" w:rsidR="009E5E88" w:rsidRPr="006070EA" w:rsidRDefault="009E5E88" w:rsidP="00233BDB">
            <w:pPr>
              <w:pStyle w:val="Bezmezer"/>
              <w:keepNext/>
              <w:jc w:val="center"/>
              <w:rPr>
                <w:rFonts w:asciiTheme="majorHAnsi" w:hAnsiTheme="majorHAnsi" w:cstheme="majorHAnsi"/>
                <w:b/>
                <w:lang w:val="cs-CZ"/>
              </w:rPr>
            </w:pPr>
            <w:r w:rsidRPr="006070EA">
              <w:rPr>
                <w:rFonts w:asciiTheme="majorHAnsi" w:hAnsiTheme="majorHAnsi" w:cstheme="majorHAnsi"/>
                <w:b/>
                <w:lang w:val="cs-CZ"/>
              </w:rPr>
              <w:t>v</w:t>
            </w:r>
          </w:p>
          <w:p w14:paraId="05831747" w14:textId="77777777" w:rsidR="009E5E88" w:rsidRPr="006070EA" w:rsidRDefault="009E5E88" w:rsidP="00233BDB">
            <w:pPr>
              <w:pStyle w:val="Bezmezer"/>
              <w:keepNext/>
              <w:jc w:val="center"/>
              <w:rPr>
                <w:rFonts w:asciiTheme="majorHAnsi" w:hAnsiTheme="majorHAnsi" w:cstheme="majorHAnsi"/>
                <w:b/>
                <w:lang w:val="cs-CZ"/>
              </w:rPr>
            </w:pPr>
            <w:r w:rsidRPr="006070EA">
              <w:rPr>
                <w:rFonts w:asciiTheme="majorHAnsi" w:hAnsiTheme="majorHAnsi" w:cstheme="majorHAnsi"/>
                <w:b/>
                <w:lang w:val="cs-CZ"/>
              </w:rPr>
              <w:t>rámci obce</w:t>
            </w:r>
          </w:p>
        </w:tc>
        <w:tc>
          <w:tcPr>
            <w:tcW w:w="776" w:type="dxa"/>
            <w:tcBorders>
              <w:top w:val="nil"/>
              <w:left w:val="single" w:sz="12" w:space="0" w:color="auto"/>
              <w:bottom w:val="single" w:sz="12" w:space="0" w:color="auto"/>
              <w:right w:val="nil"/>
            </w:tcBorders>
            <w:shd w:val="clear" w:color="auto" w:fill="auto"/>
            <w:vAlign w:val="center"/>
            <w:hideMark/>
          </w:tcPr>
          <w:p w14:paraId="1120ABFA" w14:textId="77777777" w:rsidR="009E5E88" w:rsidRPr="006070EA" w:rsidRDefault="009E5E88" w:rsidP="00233BDB">
            <w:pPr>
              <w:pStyle w:val="Bezmezer"/>
              <w:keepNext/>
              <w:jc w:val="center"/>
              <w:rPr>
                <w:rFonts w:asciiTheme="majorHAnsi" w:hAnsiTheme="majorHAnsi" w:cstheme="majorHAnsi"/>
                <w:b/>
                <w:lang w:val="cs-CZ"/>
              </w:rPr>
            </w:pPr>
            <w:r w:rsidRPr="006070EA">
              <w:rPr>
                <w:rFonts w:asciiTheme="majorHAnsi" w:hAnsiTheme="majorHAnsi" w:cstheme="majorHAnsi"/>
                <w:b/>
                <w:lang w:val="cs-CZ"/>
              </w:rPr>
              <w:t>v rámci okresu</w:t>
            </w:r>
          </w:p>
        </w:tc>
        <w:tc>
          <w:tcPr>
            <w:tcW w:w="675" w:type="dxa"/>
            <w:tcBorders>
              <w:top w:val="nil"/>
              <w:left w:val="single" w:sz="12" w:space="0" w:color="auto"/>
              <w:bottom w:val="single" w:sz="12" w:space="0" w:color="auto"/>
              <w:right w:val="nil"/>
            </w:tcBorders>
            <w:shd w:val="clear" w:color="auto" w:fill="auto"/>
            <w:vAlign w:val="center"/>
            <w:hideMark/>
          </w:tcPr>
          <w:p w14:paraId="2D725D9A" w14:textId="77777777" w:rsidR="009E5E88" w:rsidRPr="006070EA" w:rsidRDefault="009E5E88" w:rsidP="00233BDB">
            <w:pPr>
              <w:pStyle w:val="Bezmezer"/>
              <w:keepNext/>
              <w:jc w:val="center"/>
              <w:rPr>
                <w:rFonts w:asciiTheme="majorHAnsi" w:hAnsiTheme="majorHAnsi" w:cstheme="majorHAnsi"/>
                <w:b/>
                <w:lang w:val="cs-CZ"/>
              </w:rPr>
            </w:pPr>
            <w:r w:rsidRPr="006070EA">
              <w:rPr>
                <w:rFonts w:asciiTheme="majorHAnsi" w:hAnsiTheme="majorHAnsi" w:cstheme="majorHAnsi"/>
                <w:b/>
                <w:lang w:val="cs-CZ"/>
              </w:rPr>
              <w:t>v rámci kraje</w:t>
            </w:r>
          </w:p>
        </w:tc>
        <w:tc>
          <w:tcPr>
            <w:tcW w:w="715" w:type="dxa"/>
            <w:tcBorders>
              <w:top w:val="nil"/>
              <w:left w:val="single" w:sz="12" w:space="0" w:color="auto"/>
              <w:bottom w:val="single" w:sz="12" w:space="0" w:color="auto"/>
              <w:right w:val="nil"/>
            </w:tcBorders>
            <w:shd w:val="clear" w:color="auto" w:fill="auto"/>
            <w:vAlign w:val="center"/>
            <w:hideMark/>
          </w:tcPr>
          <w:p w14:paraId="177DB73D" w14:textId="77777777" w:rsidR="009E5E88" w:rsidRPr="006070EA" w:rsidRDefault="009E5E88" w:rsidP="00233BDB">
            <w:pPr>
              <w:pStyle w:val="Bezmezer"/>
              <w:keepNext/>
              <w:jc w:val="center"/>
              <w:rPr>
                <w:rFonts w:asciiTheme="majorHAnsi" w:hAnsiTheme="majorHAnsi" w:cstheme="majorHAnsi"/>
                <w:b/>
                <w:lang w:val="cs-CZ"/>
              </w:rPr>
            </w:pPr>
            <w:r w:rsidRPr="006070EA">
              <w:rPr>
                <w:rFonts w:asciiTheme="majorHAnsi" w:hAnsiTheme="majorHAnsi" w:cstheme="majorHAnsi"/>
                <w:b/>
                <w:lang w:val="cs-CZ"/>
              </w:rPr>
              <w:t>do jiného kraje</w:t>
            </w:r>
          </w:p>
        </w:tc>
        <w:tc>
          <w:tcPr>
            <w:tcW w:w="686" w:type="dxa"/>
            <w:tcBorders>
              <w:top w:val="nil"/>
              <w:left w:val="single" w:sz="12" w:space="0" w:color="auto"/>
              <w:bottom w:val="single" w:sz="12" w:space="0" w:color="auto"/>
              <w:right w:val="nil"/>
            </w:tcBorders>
            <w:shd w:val="clear" w:color="auto" w:fill="auto"/>
            <w:vAlign w:val="center"/>
            <w:hideMark/>
          </w:tcPr>
          <w:p w14:paraId="4CEB4DEA" w14:textId="77777777" w:rsidR="009E5E88" w:rsidRPr="006070EA" w:rsidRDefault="009E5E88" w:rsidP="00233BDB">
            <w:pPr>
              <w:pStyle w:val="Bezmezer"/>
              <w:keepNext/>
              <w:jc w:val="center"/>
              <w:rPr>
                <w:rFonts w:asciiTheme="majorHAnsi" w:hAnsiTheme="majorHAnsi" w:cstheme="majorHAnsi"/>
                <w:b/>
                <w:lang w:val="cs-CZ"/>
              </w:rPr>
            </w:pPr>
            <w:r w:rsidRPr="006070EA">
              <w:rPr>
                <w:rFonts w:asciiTheme="majorHAnsi" w:hAnsiTheme="majorHAnsi" w:cstheme="majorHAnsi"/>
                <w:b/>
                <w:lang w:val="cs-CZ"/>
              </w:rPr>
              <w:t>mimo ČR</w:t>
            </w:r>
          </w:p>
        </w:tc>
      </w:tr>
      <w:tr w:rsidR="008F5436" w:rsidRPr="006070EA" w14:paraId="4B3BC4AF" w14:textId="77777777" w:rsidTr="00233BDB">
        <w:trPr>
          <w:trHeight w:val="283"/>
          <w:jc w:val="center"/>
        </w:trPr>
        <w:tc>
          <w:tcPr>
            <w:tcW w:w="1102" w:type="dxa"/>
            <w:tcBorders>
              <w:top w:val="single" w:sz="12" w:space="0" w:color="auto"/>
              <w:left w:val="nil"/>
              <w:bottom w:val="nil"/>
              <w:right w:val="single" w:sz="4" w:space="0" w:color="auto"/>
            </w:tcBorders>
            <w:shd w:val="clear" w:color="auto" w:fill="auto"/>
            <w:vAlign w:val="center"/>
            <w:hideMark/>
          </w:tcPr>
          <w:p w14:paraId="29E3B6BF" w14:textId="77777777" w:rsidR="009E5E88" w:rsidRPr="006070EA" w:rsidRDefault="009E5E88" w:rsidP="00233BDB">
            <w:pPr>
              <w:pStyle w:val="Bezmezer"/>
              <w:jc w:val="center"/>
              <w:rPr>
                <w:rFonts w:asciiTheme="majorHAnsi" w:hAnsiTheme="majorHAnsi" w:cstheme="majorHAnsi"/>
                <w:lang w:val="cs-CZ"/>
              </w:rPr>
            </w:pPr>
            <w:r w:rsidRPr="006070EA">
              <w:rPr>
                <w:rFonts w:asciiTheme="majorHAnsi" w:hAnsiTheme="majorHAnsi" w:cstheme="majorHAnsi"/>
                <w:lang w:val="cs-CZ"/>
              </w:rPr>
              <w:t>396</w:t>
            </w:r>
          </w:p>
        </w:tc>
        <w:tc>
          <w:tcPr>
            <w:tcW w:w="635" w:type="dxa"/>
            <w:tcBorders>
              <w:top w:val="single" w:sz="12" w:space="0" w:color="auto"/>
              <w:left w:val="single" w:sz="4" w:space="0" w:color="auto"/>
              <w:bottom w:val="nil"/>
              <w:right w:val="single" w:sz="4" w:space="0" w:color="auto"/>
            </w:tcBorders>
            <w:vAlign w:val="center"/>
          </w:tcPr>
          <w:p w14:paraId="1FE67429" w14:textId="77777777" w:rsidR="009E5E88" w:rsidRPr="006070EA" w:rsidRDefault="009E5E88" w:rsidP="00233BDB">
            <w:pPr>
              <w:pStyle w:val="Bezmezer"/>
              <w:jc w:val="center"/>
              <w:rPr>
                <w:rFonts w:asciiTheme="majorHAnsi" w:hAnsiTheme="majorHAnsi" w:cstheme="majorHAnsi"/>
                <w:lang w:val="cs-CZ"/>
              </w:rPr>
            </w:pPr>
            <w:r w:rsidRPr="006070EA">
              <w:rPr>
                <w:rFonts w:asciiTheme="majorHAnsi" w:hAnsiTheme="majorHAnsi" w:cstheme="majorHAnsi"/>
                <w:lang w:val="cs-CZ"/>
              </w:rPr>
              <w:t>36</w:t>
            </w:r>
          </w:p>
        </w:tc>
        <w:tc>
          <w:tcPr>
            <w:tcW w:w="770" w:type="dxa"/>
            <w:tcBorders>
              <w:top w:val="single" w:sz="12" w:space="0" w:color="auto"/>
              <w:left w:val="single" w:sz="4" w:space="0" w:color="auto"/>
              <w:bottom w:val="nil"/>
              <w:right w:val="single" w:sz="4" w:space="0" w:color="auto"/>
            </w:tcBorders>
            <w:shd w:val="clear" w:color="auto" w:fill="auto"/>
            <w:vAlign w:val="center"/>
          </w:tcPr>
          <w:p w14:paraId="67031A44" w14:textId="77777777" w:rsidR="009E5E88" w:rsidRPr="006070EA" w:rsidRDefault="009E5E88" w:rsidP="00233BDB">
            <w:pPr>
              <w:pStyle w:val="Bezmezer"/>
              <w:jc w:val="center"/>
              <w:rPr>
                <w:rFonts w:asciiTheme="majorHAnsi" w:hAnsiTheme="majorHAnsi" w:cstheme="majorHAnsi"/>
                <w:lang w:val="cs-CZ"/>
              </w:rPr>
            </w:pPr>
            <w:r w:rsidRPr="006070EA">
              <w:rPr>
                <w:rFonts w:asciiTheme="majorHAnsi" w:hAnsiTheme="majorHAnsi" w:cstheme="majorHAnsi"/>
                <w:lang w:val="cs-CZ"/>
              </w:rPr>
              <w:t>188</w:t>
            </w:r>
          </w:p>
        </w:tc>
        <w:tc>
          <w:tcPr>
            <w:tcW w:w="703" w:type="dxa"/>
            <w:tcBorders>
              <w:top w:val="single" w:sz="12" w:space="0" w:color="auto"/>
              <w:left w:val="single" w:sz="4" w:space="0" w:color="auto"/>
              <w:bottom w:val="nil"/>
              <w:right w:val="single" w:sz="4" w:space="0" w:color="auto"/>
            </w:tcBorders>
            <w:shd w:val="clear" w:color="auto" w:fill="auto"/>
            <w:vAlign w:val="center"/>
          </w:tcPr>
          <w:p w14:paraId="7D138694" w14:textId="77777777" w:rsidR="009E5E88" w:rsidRPr="006070EA" w:rsidRDefault="009E5E88" w:rsidP="00233BDB">
            <w:pPr>
              <w:pStyle w:val="Bezmezer"/>
              <w:jc w:val="center"/>
              <w:rPr>
                <w:rFonts w:asciiTheme="majorHAnsi" w:hAnsiTheme="majorHAnsi" w:cstheme="majorHAnsi"/>
                <w:lang w:val="cs-CZ"/>
              </w:rPr>
            </w:pPr>
            <w:r w:rsidRPr="006070EA">
              <w:rPr>
                <w:rFonts w:asciiTheme="majorHAnsi" w:hAnsiTheme="majorHAnsi" w:cstheme="majorHAnsi"/>
                <w:lang w:val="cs-CZ"/>
              </w:rPr>
              <w:t>51</w:t>
            </w:r>
          </w:p>
        </w:tc>
        <w:tc>
          <w:tcPr>
            <w:tcW w:w="743" w:type="dxa"/>
            <w:tcBorders>
              <w:top w:val="single" w:sz="12" w:space="0" w:color="auto"/>
              <w:left w:val="single" w:sz="4" w:space="0" w:color="auto"/>
              <w:bottom w:val="nil"/>
              <w:right w:val="single" w:sz="4" w:space="0" w:color="auto"/>
            </w:tcBorders>
            <w:shd w:val="clear" w:color="auto" w:fill="auto"/>
            <w:vAlign w:val="center"/>
          </w:tcPr>
          <w:p w14:paraId="711EE0D6" w14:textId="77777777" w:rsidR="009E5E88" w:rsidRPr="006070EA" w:rsidRDefault="009E5E88" w:rsidP="00233BDB">
            <w:pPr>
              <w:pStyle w:val="Bezmezer"/>
              <w:jc w:val="center"/>
              <w:rPr>
                <w:rFonts w:asciiTheme="majorHAnsi" w:hAnsiTheme="majorHAnsi" w:cstheme="majorHAnsi"/>
                <w:lang w:val="cs-CZ"/>
              </w:rPr>
            </w:pPr>
            <w:r w:rsidRPr="006070EA">
              <w:rPr>
                <w:rFonts w:asciiTheme="majorHAnsi" w:hAnsiTheme="majorHAnsi" w:cstheme="majorHAnsi"/>
                <w:lang w:val="cs-CZ"/>
              </w:rPr>
              <w:t>119</w:t>
            </w:r>
          </w:p>
        </w:tc>
        <w:tc>
          <w:tcPr>
            <w:tcW w:w="695" w:type="dxa"/>
            <w:tcBorders>
              <w:top w:val="single" w:sz="12" w:space="0" w:color="auto"/>
              <w:left w:val="single" w:sz="4" w:space="0" w:color="auto"/>
              <w:bottom w:val="nil"/>
              <w:right w:val="single" w:sz="4" w:space="0" w:color="auto"/>
            </w:tcBorders>
            <w:shd w:val="clear" w:color="auto" w:fill="auto"/>
            <w:vAlign w:val="center"/>
          </w:tcPr>
          <w:p w14:paraId="48A4625C" w14:textId="77777777" w:rsidR="009E5E88" w:rsidRPr="006070EA" w:rsidRDefault="009E5E88" w:rsidP="00233BDB">
            <w:pPr>
              <w:pStyle w:val="Bezmezer"/>
              <w:jc w:val="center"/>
              <w:rPr>
                <w:rFonts w:asciiTheme="majorHAnsi" w:hAnsiTheme="majorHAnsi" w:cstheme="majorHAnsi"/>
                <w:lang w:val="cs-CZ"/>
              </w:rPr>
            </w:pPr>
            <w:r w:rsidRPr="006070EA">
              <w:rPr>
                <w:rFonts w:asciiTheme="majorHAnsi" w:hAnsiTheme="majorHAnsi" w:cstheme="majorHAnsi"/>
                <w:lang w:val="cs-CZ"/>
              </w:rPr>
              <w:t>2</w:t>
            </w:r>
          </w:p>
        </w:tc>
        <w:tc>
          <w:tcPr>
            <w:tcW w:w="990" w:type="dxa"/>
            <w:tcBorders>
              <w:top w:val="single" w:sz="12" w:space="0" w:color="auto"/>
              <w:left w:val="single" w:sz="4" w:space="0" w:color="auto"/>
              <w:bottom w:val="nil"/>
              <w:right w:val="single" w:sz="4" w:space="0" w:color="auto"/>
            </w:tcBorders>
            <w:shd w:val="clear" w:color="auto" w:fill="auto"/>
            <w:vAlign w:val="center"/>
          </w:tcPr>
          <w:p w14:paraId="655E3D8F" w14:textId="77777777" w:rsidR="009E5E88" w:rsidRPr="006070EA" w:rsidRDefault="009E5E88" w:rsidP="00233BDB">
            <w:pPr>
              <w:pStyle w:val="Bezmezer"/>
              <w:jc w:val="center"/>
              <w:rPr>
                <w:rFonts w:asciiTheme="majorHAnsi" w:hAnsiTheme="majorHAnsi" w:cstheme="majorHAnsi"/>
                <w:lang w:val="cs-CZ"/>
              </w:rPr>
            </w:pPr>
            <w:r w:rsidRPr="006070EA">
              <w:rPr>
                <w:rFonts w:asciiTheme="majorHAnsi" w:hAnsiTheme="majorHAnsi" w:cstheme="majorHAnsi"/>
                <w:lang w:val="cs-CZ"/>
              </w:rPr>
              <w:t>149</w:t>
            </w:r>
          </w:p>
        </w:tc>
        <w:tc>
          <w:tcPr>
            <w:tcW w:w="509" w:type="dxa"/>
            <w:tcBorders>
              <w:top w:val="single" w:sz="12" w:space="0" w:color="auto"/>
              <w:left w:val="single" w:sz="4" w:space="0" w:color="auto"/>
              <w:bottom w:val="nil"/>
              <w:right w:val="single" w:sz="4" w:space="0" w:color="auto"/>
            </w:tcBorders>
            <w:vAlign w:val="center"/>
          </w:tcPr>
          <w:p w14:paraId="6B6C847E" w14:textId="77777777" w:rsidR="009E5E88" w:rsidRPr="006070EA" w:rsidRDefault="009E5E88" w:rsidP="00233BDB">
            <w:pPr>
              <w:pStyle w:val="Bezmezer"/>
              <w:jc w:val="center"/>
              <w:rPr>
                <w:rFonts w:asciiTheme="majorHAnsi" w:hAnsiTheme="majorHAnsi" w:cstheme="majorHAnsi"/>
                <w:lang w:val="cs-CZ"/>
              </w:rPr>
            </w:pPr>
            <w:r w:rsidRPr="006070EA">
              <w:rPr>
                <w:rFonts w:asciiTheme="majorHAnsi" w:hAnsiTheme="majorHAnsi" w:cstheme="majorHAnsi"/>
                <w:lang w:val="cs-CZ"/>
              </w:rPr>
              <w:t>54</w:t>
            </w:r>
          </w:p>
        </w:tc>
        <w:tc>
          <w:tcPr>
            <w:tcW w:w="776" w:type="dxa"/>
            <w:tcBorders>
              <w:top w:val="single" w:sz="12" w:space="0" w:color="auto"/>
              <w:left w:val="single" w:sz="4" w:space="0" w:color="auto"/>
              <w:bottom w:val="nil"/>
              <w:right w:val="single" w:sz="4" w:space="0" w:color="auto"/>
            </w:tcBorders>
            <w:shd w:val="clear" w:color="auto" w:fill="auto"/>
            <w:vAlign w:val="center"/>
          </w:tcPr>
          <w:p w14:paraId="3D23C50B" w14:textId="77777777" w:rsidR="009E5E88" w:rsidRPr="006070EA" w:rsidRDefault="009E5E88" w:rsidP="00233BDB">
            <w:pPr>
              <w:pStyle w:val="Bezmezer"/>
              <w:jc w:val="center"/>
              <w:rPr>
                <w:rFonts w:asciiTheme="majorHAnsi" w:hAnsiTheme="majorHAnsi" w:cstheme="majorHAnsi"/>
                <w:lang w:val="cs-CZ"/>
              </w:rPr>
            </w:pPr>
            <w:r w:rsidRPr="006070EA">
              <w:rPr>
                <w:rFonts w:asciiTheme="majorHAnsi" w:hAnsiTheme="majorHAnsi" w:cstheme="majorHAnsi"/>
                <w:lang w:val="cs-CZ"/>
              </w:rPr>
              <w:t>35</w:t>
            </w:r>
          </w:p>
        </w:tc>
        <w:tc>
          <w:tcPr>
            <w:tcW w:w="675" w:type="dxa"/>
            <w:tcBorders>
              <w:top w:val="single" w:sz="12" w:space="0" w:color="auto"/>
              <w:left w:val="single" w:sz="4" w:space="0" w:color="auto"/>
              <w:bottom w:val="nil"/>
              <w:right w:val="single" w:sz="4" w:space="0" w:color="auto"/>
            </w:tcBorders>
            <w:shd w:val="clear" w:color="auto" w:fill="auto"/>
            <w:vAlign w:val="center"/>
          </w:tcPr>
          <w:p w14:paraId="204B06CC" w14:textId="77777777" w:rsidR="009E5E88" w:rsidRPr="006070EA" w:rsidRDefault="009E5E88" w:rsidP="00233BDB">
            <w:pPr>
              <w:pStyle w:val="Bezmezer"/>
              <w:jc w:val="center"/>
              <w:rPr>
                <w:rFonts w:asciiTheme="majorHAnsi" w:hAnsiTheme="majorHAnsi" w:cstheme="majorHAnsi"/>
                <w:lang w:val="cs-CZ"/>
              </w:rPr>
            </w:pPr>
            <w:r w:rsidRPr="006070EA">
              <w:rPr>
                <w:rFonts w:asciiTheme="majorHAnsi" w:hAnsiTheme="majorHAnsi" w:cstheme="majorHAnsi"/>
                <w:lang w:val="cs-CZ"/>
              </w:rPr>
              <w:t>13</w:t>
            </w:r>
          </w:p>
        </w:tc>
        <w:tc>
          <w:tcPr>
            <w:tcW w:w="715" w:type="dxa"/>
            <w:tcBorders>
              <w:top w:val="single" w:sz="12" w:space="0" w:color="auto"/>
              <w:left w:val="single" w:sz="4" w:space="0" w:color="auto"/>
              <w:bottom w:val="nil"/>
              <w:right w:val="single" w:sz="4" w:space="0" w:color="auto"/>
            </w:tcBorders>
            <w:shd w:val="clear" w:color="auto" w:fill="auto"/>
            <w:vAlign w:val="center"/>
          </w:tcPr>
          <w:p w14:paraId="795084BE" w14:textId="77777777" w:rsidR="009E5E88" w:rsidRPr="006070EA" w:rsidRDefault="009E5E88" w:rsidP="00233BDB">
            <w:pPr>
              <w:pStyle w:val="Bezmezer"/>
              <w:jc w:val="center"/>
              <w:rPr>
                <w:rFonts w:asciiTheme="majorHAnsi" w:hAnsiTheme="majorHAnsi" w:cstheme="majorHAnsi"/>
                <w:lang w:val="cs-CZ"/>
              </w:rPr>
            </w:pPr>
            <w:r w:rsidRPr="006070EA">
              <w:rPr>
                <w:rFonts w:asciiTheme="majorHAnsi" w:hAnsiTheme="majorHAnsi" w:cstheme="majorHAnsi"/>
                <w:lang w:val="cs-CZ"/>
              </w:rPr>
              <w:t>47</w:t>
            </w:r>
          </w:p>
        </w:tc>
        <w:tc>
          <w:tcPr>
            <w:tcW w:w="686" w:type="dxa"/>
            <w:tcBorders>
              <w:top w:val="single" w:sz="12" w:space="0" w:color="auto"/>
              <w:left w:val="single" w:sz="4" w:space="0" w:color="auto"/>
              <w:bottom w:val="nil"/>
              <w:right w:val="nil"/>
            </w:tcBorders>
            <w:shd w:val="clear" w:color="auto" w:fill="auto"/>
            <w:vAlign w:val="center"/>
          </w:tcPr>
          <w:p w14:paraId="2101558D" w14:textId="77777777" w:rsidR="009E5E88" w:rsidRPr="006070EA" w:rsidRDefault="009E5E88" w:rsidP="00233BDB">
            <w:pPr>
              <w:pStyle w:val="Bezmezer"/>
              <w:jc w:val="center"/>
              <w:rPr>
                <w:rFonts w:asciiTheme="majorHAnsi" w:hAnsiTheme="majorHAnsi" w:cstheme="majorHAnsi"/>
                <w:lang w:val="cs-CZ"/>
              </w:rPr>
            </w:pPr>
            <w:r w:rsidRPr="006070EA">
              <w:rPr>
                <w:rFonts w:asciiTheme="majorHAnsi" w:hAnsiTheme="majorHAnsi" w:cstheme="majorHAnsi"/>
                <w:lang w:val="cs-CZ"/>
              </w:rPr>
              <w:t>-</w:t>
            </w:r>
          </w:p>
        </w:tc>
      </w:tr>
    </w:tbl>
    <w:p w14:paraId="336B178D" w14:textId="77777777" w:rsidR="009E5E88" w:rsidRPr="006070EA" w:rsidRDefault="009E5E88" w:rsidP="00233BDB">
      <w:pPr>
        <w:pStyle w:val="Atextkurzva"/>
        <w:keepNext/>
        <w:spacing w:after="60"/>
        <w:rPr>
          <w:rFonts w:asciiTheme="majorHAnsi" w:hAnsiTheme="majorHAnsi" w:cstheme="majorHAnsi"/>
        </w:rPr>
      </w:pPr>
      <w:r w:rsidRPr="006070EA">
        <w:rPr>
          <w:rFonts w:asciiTheme="majorHAnsi" w:hAnsiTheme="majorHAnsi" w:cstheme="majorHAnsi"/>
        </w:rPr>
        <w:t>Tab. Dojížďka obyvatel do zaměstnání a do škol (dle ČSÚ, k 26. 3. 2011)</w:t>
      </w:r>
    </w:p>
    <w:tbl>
      <w:tblPr>
        <w:tblW w:w="0" w:type="auto"/>
        <w:tblLook w:val="04A0" w:firstRow="1" w:lastRow="0" w:firstColumn="1" w:lastColumn="0" w:noHBand="0" w:noVBand="1"/>
      </w:tblPr>
      <w:tblGrid>
        <w:gridCol w:w="1177"/>
        <w:gridCol w:w="1183"/>
        <w:gridCol w:w="1176"/>
        <w:gridCol w:w="1106"/>
        <w:gridCol w:w="1109"/>
        <w:gridCol w:w="1172"/>
        <w:gridCol w:w="1035"/>
        <w:gridCol w:w="1046"/>
      </w:tblGrid>
      <w:tr w:rsidR="008F5436" w:rsidRPr="006070EA" w14:paraId="1BA76AB6" w14:textId="77777777" w:rsidTr="00233BDB">
        <w:trPr>
          <w:trHeight w:val="283"/>
        </w:trPr>
        <w:tc>
          <w:tcPr>
            <w:tcW w:w="1177" w:type="dxa"/>
            <w:vMerge w:val="restart"/>
            <w:tcBorders>
              <w:top w:val="nil"/>
              <w:left w:val="nil"/>
              <w:bottom w:val="single" w:sz="12" w:space="0" w:color="auto"/>
              <w:right w:val="single" w:sz="12" w:space="0" w:color="auto"/>
            </w:tcBorders>
            <w:shd w:val="clear" w:color="auto" w:fill="auto"/>
            <w:vAlign w:val="center"/>
            <w:hideMark/>
          </w:tcPr>
          <w:p w14:paraId="2E7348A7" w14:textId="77777777" w:rsidR="009E5E88" w:rsidRPr="006070EA" w:rsidRDefault="009E5E88" w:rsidP="00233BDB">
            <w:pPr>
              <w:pStyle w:val="Bezmezer"/>
              <w:keepNext/>
              <w:tabs>
                <w:tab w:val="left" w:pos="720"/>
              </w:tabs>
              <w:jc w:val="center"/>
              <w:rPr>
                <w:rFonts w:asciiTheme="majorHAnsi" w:hAnsiTheme="majorHAnsi" w:cstheme="majorHAnsi"/>
                <w:b/>
                <w:lang w:val="cs-CZ"/>
              </w:rPr>
            </w:pPr>
            <w:r w:rsidRPr="006070EA">
              <w:rPr>
                <w:rFonts w:asciiTheme="majorHAnsi" w:hAnsiTheme="majorHAnsi" w:cstheme="majorHAnsi"/>
                <w:b/>
                <w:lang w:val="cs-CZ"/>
              </w:rPr>
              <w:t>dojížďky do zaměstnání celkem</w:t>
            </w:r>
          </w:p>
        </w:tc>
        <w:tc>
          <w:tcPr>
            <w:tcW w:w="3465" w:type="dxa"/>
            <w:gridSpan w:val="3"/>
            <w:tcBorders>
              <w:top w:val="nil"/>
              <w:left w:val="single" w:sz="12" w:space="0" w:color="auto"/>
              <w:bottom w:val="single" w:sz="12" w:space="0" w:color="auto"/>
              <w:right w:val="single" w:sz="12" w:space="0" w:color="auto"/>
            </w:tcBorders>
            <w:shd w:val="clear" w:color="auto" w:fill="auto"/>
            <w:vAlign w:val="center"/>
            <w:hideMark/>
          </w:tcPr>
          <w:p w14:paraId="17B6ECA3" w14:textId="2E104C80" w:rsidR="009E5E88" w:rsidRPr="006070EA" w:rsidRDefault="009E5E88" w:rsidP="00233BDB">
            <w:pPr>
              <w:pStyle w:val="Bezmezer"/>
              <w:keepNext/>
              <w:jc w:val="center"/>
              <w:rPr>
                <w:rFonts w:asciiTheme="majorHAnsi" w:hAnsiTheme="majorHAnsi" w:cstheme="majorHAnsi"/>
                <w:b/>
                <w:lang w:val="cs-CZ"/>
              </w:rPr>
            </w:pPr>
            <w:r w:rsidRPr="006070EA">
              <w:rPr>
                <w:rFonts w:asciiTheme="majorHAnsi" w:hAnsiTheme="majorHAnsi" w:cstheme="majorHAnsi"/>
                <w:b/>
                <w:lang w:val="cs-CZ"/>
              </w:rPr>
              <w:t>z toho</w:t>
            </w:r>
          </w:p>
        </w:tc>
        <w:tc>
          <w:tcPr>
            <w:tcW w:w="1109" w:type="dxa"/>
            <w:vMerge w:val="restart"/>
            <w:tcBorders>
              <w:top w:val="nil"/>
              <w:left w:val="single" w:sz="12" w:space="0" w:color="auto"/>
              <w:bottom w:val="single" w:sz="12" w:space="0" w:color="auto"/>
              <w:right w:val="single" w:sz="12" w:space="0" w:color="auto"/>
            </w:tcBorders>
            <w:shd w:val="clear" w:color="auto" w:fill="auto"/>
            <w:vAlign w:val="center"/>
            <w:hideMark/>
          </w:tcPr>
          <w:p w14:paraId="5FA0E502" w14:textId="77777777" w:rsidR="009E5E88" w:rsidRPr="006070EA" w:rsidRDefault="009E5E88" w:rsidP="00233BDB">
            <w:pPr>
              <w:pStyle w:val="Bezmezer"/>
              <w:keepNext/>
              <w:jc w:val="center"/>
              <w:rPr>
                <w:rFonts w:asciiTheme="majorHAnsi" w:hAnsiTheme="majorHAnsi" w:cstheme="majorHAnsi"/>
                <w:b/>
                <w:lang w:val="cs-CZ"/>
              </w:rPr>
            </w:pPr>
            <w:r w:rsidRPr="006070EA">
              <w:rPr>
                <w:rFonts w:asciiTheme="majorHAnsi" w:hAnsiTheme="majorHAnsi" w:cstheme="majorHAnsi"/>
                <w:b/>
                <w:lang w:val="cs-CZ"/>
              </w:rPr>
              <w:t>dojížďky do škol celkem</w:t>
            </w:r>
          </w:p>
        </w:tc>
        <w:tc>
          <w:tcPr>
            <w:tcW w:w="3253" w:type="dxa"/>
            <w:gridSpan w:val="3"/>
            <w:tcBorders>
              <w:top w:val="nil"/>
              <w:left w:val="single" w:sz="12" w:space="0" w:color="auto"/>
              <w:bottom w:val="single" w:sz="12" w:space="0" w:color="auto"/>
              <w:right w:val="nil"/>
            </w:tcBorders>
            <w:shd w:val="clear" w:color="auto" w:fill="auto"/>
            <w:vAlign w:val="center"/>
            <w:hideMark/>
          </w:tcPr>
          <w:p w14:paraId="3A7E559E" w14:textId="4253A34A" w:rsidR="009E5E88" w:rsidRPr="006070EA" w:rsidRDefault="009E5E88" w:rsidP="00233BDB">
            <w:pPr>
              <w:pStyle w:val="Bezmezer"/>
              <w:keepNext/>
              <w:jc w:val="center"/>
              <w:rPr>
                <w:rFonts w:asciiTheme="majorHAnsi" w:hAnsiTheme="majorHAnsi" w:cstheme="majorHAnsi"/>
                <w:b/>
                <w:lang w:val="cs-CZ"/>
              </w:rPr>
            </w:pPr>
            <w:r w:rsidRPr="006070EA">
              <w:rPr>
                <w:rFonts w:asciiTheme="majorHAnsi" w:hAnsiTheme="majorHAnsi" w:cstheme="majorHAnsi"/>
                <w:b/>
                <w:lang w:val="cs-CZ"/>
              </w:rPr>
              <w:t>z toho</w:t>
            </w:r>
          </w:p>
        </w:tc>
      </w:tr>
      <w:tr w:rsidR="008F5436" w:rsidRPr="006070EA" w14:paraId="36988A94" w14:textId="77777777" w:rsidTr="00233BDB">
        <w:trPr>
          <w:trHeight w:val="283"/>
        </w:trPr>
        <w:tc>
          <w:tcPr>
            <w:tcW w:w="0" w:type="auto"/>
            <w:vMerge/>
            <w:tcBorders>
              <w:top w:val="nil"/>
              <w:left w:val="nil"/>
              <w:bottom w:val="single" w:sz="12" w:space="0" w:color="auto"/>
              <w:right w:val="single" w:sz="12" w:space="0" w:color="auto"/>
            </w:tcBorders>
            <w:shd w:val="clear" w:color="auto" w:fill="auto"/>
            <w:vAlign w:val="center"/>
            <w:hideMark/>
          </w:tcPr>
          <w:p w14:paraId="00B59992" w14:textId="77777777" w:rsidR="009E5E88" w:rsidRPr="006070EA" w:rsidRDefault="009E5E88" w:rsidP="00233BDB">
            <w:pPr>
              <w:keepNext/>
              <w:jc w:val="center"/>
              <w:rPr>
                <w:rFonts w:asciiTheme="majorHAnsi" w:eastAsia="Calibri" w:hAnsiTheme="majorHAnsi" w:cstheme="majorHAnsi"/>
                <w:b/>
                <w:sz w:val="18"/>
                <w:lang w:bidi="en-US"/>
              </w:rPr>
            </w:pPr>
          </w:p>
        </w:tc>
        <w:tc>
          <w:tcPr>
            <w:tcW w:w="1183"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51D11429" w14:textId="77777777" w:rsidR="009E5E88" w:rsidRPr="006070EA" w:rsidRDefault="009E5E88" w:rsidP="00233BDB">
            <w:pPr>
              <w:pStyle w:val="Bezmezer"/>
              <w:keepNext/>
              <w:jc w:val="center"/>
              <w:rPr>
                <w:rFonts w:asciiTheme="majorHAnsi" w:hAnsiTheme="majorHAnsi" w:cstheme="majorHAnsi"/>
                <w:b/>
                <w:lang w:val="cs-CZ"/>
              </w:rPr>
            </w:pPr>
            <w:r w:rsidRPr="006070EA">
              <w:rPr>
                <w:rFonts w:asciiTheme="majorHAnsi" w:hAnsiTheme="majorHAnsi" w:cstheme="majorHAnsi"/>
                <w:b/>
                <w:lang w:val="cs-CZ"/>
              </w:rPr>
              <w:t>v rámci okresu</w:t>
            </w:r>
          </w:p>
        </w:tc>
        <w:tc>
          <w:tcPr>
            <w:tcW w:w="1176"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5CFF437C" w14:textId="77777777" w:rsidR="009E5E88" w:rsidRPr="006070EA" w:rsidRDefault="009E5E88" w:rsidP="00233BDB">
            <w:pPr>
              <w:pStyle w:val="Bezmezer"/>
              <w:keepNext/>
              <w:jc w:val="center"/>
              <w:rPr>
                <w:rFonts w:asciiTheme="majorHAnsi" w:hAnsiTheme="majorHAnsi" w:cstheme="majorHAnsi"/>
                <w:b/>
                <w:lang w:val="cs-CZ"/>
              </w:rPr>
            </w:pPr>
            <w:r w:rsidRPr="006070EA">
              <w:rPr>
                <w:rFonts w:asciiTheme="majorHAnsi" w:hAnsiTheme="majorHAnsi" w:cstheme="majorHAnsi"/>
                <w:b/>
                <w:lang w:val="cs-CZ"/>
              </w:rPr>
              <w:t>v rámci kraje</w:t>
            </w:r>
          </w:p>
        </w:tc>
        <w:tc>
          <w:tcPr>
            <w:tcW w:w="1106"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47CCC224" w14:textId="77777777" w:rsidR="009E5E88" w:rsidRPr="006070EA" w:rsidRDefault="009E5E88" w:rsidP="00233BDB">
            <w:pPr>
              <w:pStyle w:val="Bezmezer"/>
              <w:keepNext/>
              <w:jc w:val="center"/>
              <w:rPr>
                <w:rFonts w:asciiTheme="majorHAnsi" w:hAnsiTheme="majorHAnsi" w:cstheme="majorHAnsi"/>
                <w:b/>
                <w:lang w:val="cs-CZ"/>
              </w:rPr>
            </w:pPr>
            <w:r w:rsidRPr="006070EA">
              <w:rPr>
                <w:rFonts w:asciiTheme="majorHAnsi" w:hAnsiTheme="majorHAnsi" w:cstheme="majorHAnsi"/>
                <w:b/>
                <w:lang w:val="cs-CZ"/>
              </w:rPr>
              <w:t>z jiného kraje</w:t>
            </w:r>
          </w:p>
        </w:tc>
        <w:tc>
          <w:tcPr>
            <w:tcW w:w="0" w:type="auto"/>
            <w:vMerge/>
            <w:tcBorders>
              <w:top w:val="nil"/>
              <w:left w:val="single" w:sz="12" w:space="0" w:color="auto"/>
              <w:bottom w:val="single" w:sz="12" w:space="0" w:color="auto"/>
              <w:right w:val="single" w:sz="12" w:space="0" w:color="auto"/>
            </w:tcBorders>
            <w:shd w:val="clear" w:color="auto" w:fill="auto"/>
            <w:vAlign w:val="center"/>
            <w:hideMark/>
          </w:tcPr>
          <w:p w14:paraId="1540AD9B" w14:textId="77777777" w:rsidR="009E5E88" w:rsidRPr="006070EA" w:rsidRDefault="009E5E88" w:rsidP="00233BDB">
            <w:pPr>
              <w:keepNext/>
              <w:jc w:val="center"/>
              <w:rPr>
                <w:rFonts w:asciiTheme="majorHAnsi" w:eastAsia="Calibri" w:hAnsiTheme="majorHAnsi" w:cstheme="majorHAnsi"/>
                <w:b/>
                <w:sz w:val="18"/>
                <w:lang w:bidi="en-US"/>
              </w:rPr>
            </w:pPr>
          </w:p>
        </w:tc>
        <w:tc>
          <w:tcPr>
            <w:tcW w:w="1172" w:type="dxa"/>
            <w:tcBorders>
              <w:top w:val="nil"/>
              <w:left w:val="single" w:sz="12" w:space="0" w:color="auto"/>
              <w:bottom w:val="single" w:sz="12" w:space="0" w:color="auto"/>
              <w:right w:val="nil"/>
            </w:tcBorders>
            <w:shd w:val="clear" w:color="auto" w:fill="auto"/>
            <w:vAlign w:val="center"/>
            <w:hideMark/>
          </w:tcPr>
          <w:p w14:paraId="6D50D492" w14:textId="77777777" w:rsidR="009E5E88" w:rsidRPr="006070EA" w:rsidRDefault="009E5E88" w:rsidP="00233BDB">
            <w:pPr>
              <w:pStyle w:val="Bezmezer"/>
              <w:keepNext/>
              <w:jc w:val="center"/>
              <w:rPr>
                <w:rFonts w:asciiTheme="majorHAnsi" w:hAnsiTheme="majorHAnsi" w:cstheme="majorHAnsi"/>
                <w:b/>
                <w:lang w:val="cs-CZ"/>
              </w:rPr>
            </w:pPr>
            <w:r w:rsidRPr="006070EA">
              <w:rPr>
                <w:rFonts w:asciiTheme="majorHAnsi" w:hAnsiTheme="majorHAnsi" w:cstheme="majorHAnsi"/>
                <w:b/>
                <w:lang w:val="cs-CZ"/>
              </w:rPr>
              <w:t>v rámci okresu</w:t>
            </w:r>
          </w:p>
        </w:tc>
        <w:tc>
          <w:tcPr>
            <w:tcW w:w="1035" w:type="dxa"/>
            <w:tcBorders>
              <w:top w:val="nil"/>
              <w:left w:val="single" w:sz="12" w:space="0" w:color="auto"/>
              <w:bottom w:val="single" w:sz="12" w:space="0" w:color="auto"/>
              <w:right w:val="nil"/>
            </w:tcBorders>
            <w:shd w:val="clear" w:color="auto" w:fill="auto"/>
            <w:vAlign w:val="center"/>
            <w:hideMark/>
          </w:tcPr>
          <w:p w14:paraId="50F7C6E5" w14:textId="77777777" w:rsidR="009E5E88" w:rsidRPr="006070EA" w:rsidRDefault="009E5E88" w:rsidP="00233BDB">
            <w:pPr>
              <w:pStyle w:val="Bezmezer"/>
              <w:keepNext/>
              <w:jc w:val="center"/>
              <w:rPr>
                <w:rFonts w:asciiTheme="majorHAnsi" w:hAnsiTheme="majorHAnsi" w:cstheme="majorHAnsi"/>
                <w:b/>
                <w:lang w:val="cs-CZ"/>
              </w:rPr>
            </w:pPr>
            <w:r w:rsidRPr="006070EA">
              <w:rPr>
                <w:rFonts w:asciiTheme="majorHAnsi" w:hAnsiTheme="majorHAnsi" w:cstheme="majorHAnsi"/>
                <w:b/>
                <w:lang w:val="cs-CZ"/>
              </w:rPr>
              <w:t>v rámci kraje</w:t>
            </w:r>
          </w:p>
        </w:tc>
        <w:tc>
          <w:tcPr>
            <w:tcW w:w="1046" w:type="dxa"/>
            <w:tcBorders>
              <w:top w:val="nil"/>
              <w:left w:val="single" w:sz="12" w:space="0" w:color="auto"/>
              <w:bottom w:val="single" w:sz="12" w:space="0" w:color="auto"/>
              <w:right w:val="nil"/>
            </w:tcBorders>
            <w:shd w:val="clear" w:color="auto" w:fill="auto"/>
            <w:vAlign w:val="center"/>
            <w:hideMark/>
          </w:tcPr>
          <w:p w14:paraId="4C9621B9" w14:textId="77777777" w:rsidR="009E5E88" w:rsidRPr="006070EA" w:rsidRDefault="009E5E88" w:rsidP="00233BDB">
            <w:pPr>
              <w:pStyle w:val="Bezmezer"/>
              <w:keepNext/>
              <w:jc w:val="center"/>
              <w:rPr>
                <w:rFonts w:asciiTheme="majorHAnsi" w:hAnsiTheme="majorHAnsi" w:cstheme="majorHAnsi"/>
                <w:b/>
                <w:lang w:val="cs-CZ"/>
              </w:rPr>
            </w:pPr>
            <w:r w:rsidRPr="006070EA">
              <w:rPr>
                <w:rFonts w:asciiTheme="majorHAnsi" w:hAnsiTheme="majorHAnsi" w:cstheme="majorHAnsi"/>
                <w:b/>
                <w:lang w:val="cs-CZ"/>
              </w:rPr>
              <w:t>z jiného kraje</w:t>
            </w:r>
          </w:p>
        </w:tc>
      </w:tr>
      <w:tr w:rsidR="008F5436" w:rsidRPr="006070EA" w14:paraId="253C2A92" w14:textId="77777777" w:rsidTr="00233BDB">
        <w:trPr>
          <w:trHeight w:val="283"/>
        </w:trPr>
        <w:tc>
          <w:tcPr>
            <w:tcW w:w="1177" w:type="dxa"/>
            <w:tcBorders>
              <w:top w:val="single" w:sz="12" w:space="0" w:color="auto"/>
              <w:left w:val="nil"/>
              <w:bottom w:val="nil"/>
              <w:right w:val="single" w:sz="4" w:space="0" w:color="auto"/>
            </w:tcBorders>
            <w:shd w:val="clear" w:color="auto" w:fill="auto"/>
            <w:vAlign w:val="center"/>
          </w:tcPr>
          <w:p w14:paraId="1509177A" w14:textId="77777777" w:rsidR="009E5E88" w:rsidRPr="006070EA" w:rsidRDefault="009E5E88" w:rsidP="00233BDB">
            <w:pPr>
              <w:pStyle w:val="Bezmezer"/>
              <w:jc w:val="center"/>
              <w:rPr>
                <w:rFonts w:asciiTheme="majorHAnsi" w:hAnsiTheme="majorHAnsi" w:cstheme="majorHAnsi"/>
                <w:lang w:val="cs-CZ"/>
              </w:rPr>
            </w:pPr>
            <w:r w:rsidRPr="006070EA">
              <w:rPr>
                <w:rFonts w:asciiTheme="majorHAnsi" w:hAnsiTheme="majorHAnsi" w:cstheme="majorHAnsi"/>
                <w:lang w:val="cs-CZ"/>
              </w:rPr>
              <w:t>53</w:t>
            </w:r>
          </w:p>
        </w:tc>
        <w:tc>
          <w:tcPr>
            <w:tcW w:w="1183" w:type="dxa"/>
            <w:tcBorders>
              <w:top w:val="single" w:sz="12" w:space="0" w:color="auto"/>
              <w:left w:val="single" w:sz="4" w:space="0" w:color="auto"/>
              <w:bottom w:val="nil"/>
              <w:right w:val="single" w:sz="4" w:space="0" w:color="auto"/>
            </w:tcBorders>
            <w:shd w:val="clear" w:color="auto" w:fill="auto"/>
            <w:vAlign w:val="center"/>
          </w:tcPr>
          <w:p w14:paraId="18D65048" w14:textId="77777777" w:rsidR="009E5E88" w:rsidRPr="006070EA" w:rsidRDefault="009E5E88" w:rsidP="00233BDB">
            <w:pPr>
              <w:pStyle w:val="Bezmezer"/>
              <w:jc w:val="center"/>
              <w:rPr>
                <w:rFonts w:asciiTheme="majorHAnsi" w:hAnsiTheme="majorHAnsi" w:cstheme="majorHAnsi"/>
                <w:lang w:val="cs-CZ"/>
              </w:rPr>
            </w:pPr>
            <w:r w:rsidRPr="006070EA">
              <w:rPr>
                <w:rFonts w:asciiTheme="majorHAnsi" w:hAnsiTheme="majorHAnsi" w:cstheme="majorHAnsi"/>
                <w:lang w:val="cs-CZ"/>
              </w:rPr>
              <w:t>44</w:t>
            </w:r>
          </w:p>
        </w:tc>
        <w:tc>
          <w:tcPr>
            <w:tcW w:w="1176" w:type="dxa"/>
            <w:tcBorders>
              <w:top w:val="single" w:sz="12" w:space="0" w:color="auto"/>
              <w:left w:val="single" w:sz="4" w:space="0" w:color="auto"/>
              <w:bottom w:val="nil"/>
              <w:right w:val="single" w:sz="4" w:space="0" w:color="auto"/>
            </w:tcBorders>
            <w:shd w:val="clear" w:color="auto" w:fill="auto"/>
            <w:vAlign w:val="center"/>
          </w:tcPr>
          <w:p w14:paraId="70D28D08" w14:textId="77777777" w:rsidR="009E5E88" w:rsidRPr="006070EA" w:rsidRDefault="009E5E88" w:rsidP="00233BDB">
            <w:pPr>
              <w:pStyle w:val="Bezmezer"/>
              <w:jc w:val="center"/>
              <w:rPr>
                <w:rFonts w:asciiTheme="majorHAnsi" w:hAnsiTheme="majorHAnsi" w:cstheme="majorHAnsi"/>
                <w:lang w:val="cs-CZ"/>
              </w:rPr>
            </w:pPr>
            <w:r w:rsidRPr="006070EA">
              <w:rPr>
                <w:rFonts w:asciiTheme="majorHAnsi" w:hAnsiTheme="majorHAnsi" w:cstheme="majorHAnsi"/>
                <w:lang w:val="cs-CZ"/>
              </w:rPr>
              <w:t>5</w:t>
            </w:r>
          </w:p>
        </w:tc>
        <w:tc>
          <w:tcPr>
            <w:tcW w:w="1106" w:type="dxa"/>
            <w:tcBorders>
              <w:top w:val="single" w:sz="12" w:space="0" w:color="auto"/>
              <w:left w:val="single" w:sz="4" w:space="0" w:color="auto"/>
              <w:bottom w:val="nil"/>
              <w:right w:val="single" w:sz="4" w:space="0" w:color="auto"/>
            </w:tcBorders>
            <w:shd w:val="clear" w:color="auto" w:fill="auto"/>
            <w:vAlign w:val="center"/>
          </w:tcPr>
          <w:p w14:paraId="5879528F" w14:textId="77777777" w:rsidR="009E5E88" w:rsidRPr="006070EA" w:rsidRDefault="009E5E88" w:rsidP="00233BDB">
            <w:pPr>
              <w:pStyle w:val="Bezmezer"/>
              <w:jc w:val="center"/>
              <w:rPr>
                <w:rFonts w:asciiTheme="majorHAnsi" w:hAnsiTheme="majorHAnsi" w:cstheme="majorHAnsi"/>
                <w:lang w:val="cs-CZ"/>
              </w:rPr>
            </w:pPr>
            <w:r w:rsidRPr="006070EA">
              <w:rPr>
                <w:rFonts w:asciiTheme="majorHAnsi" w:hAnsiTheme="majorHAnsi" w:cstheme="majorHAnsi"/>
                <w:lang w:val="cs-CZ"/>
              </w:rPr>
              <w:t>4</w:t>
            </w:r>
          </w:p>
        </w:tc>
        <w:tc>
          <w:tcPr>
            <w:tcW w:w="1109" w:type="dxa"/>
            <w:tcBorders>
              <w:top w:val="single" w:sz="12" w:space="0" w:color="auto"/>
              <w:left w:val="single" w:sz="4" w:space="0" w:color="auto"/>
              <w:bottom w:val="nil"/>
              <w:right w:val="single" w:sz="4" w:space="0" w:color="auto"/>
            </w:tcBorders>
            <w:shd w:val="clear" w:color="auto" w:fill="auto"/>
            <w:vAlign w:val="center"/>
          </w:tcPr>
          <w:p w14:paraId="41610C18" w14:textId="77777777" w:rsidR="009E5E88" w:rsidRPr="006070EA" w:rsidRDefault="009E5E88" w:rsidP="00233BDB">
            <w:pPr>
              <w:pStyle w:val="Bezmezer"/>
              <w:jc w:val="center"/>
              <w:rPr>
                <w:rFonts w:asciiTheme="majorHAnsi" w:hAnsiTheme="majorHAnsi" w:cstheme="majorHAnsi"/>
                <w:lang w:val="cs-CZ"/>
              </w:rPr>
            </w:pPr>
            <w:r w:rsidRPr="006070EA">
              <w:rPr>
                <w:rFonts w:asciiTheme="majorHAnsi" w:hAnsiTheme="majorHAnsi" w:cstheme="majorHAnsi"/>
                <w:lang w:val="cs-CZ"/>
              </w:rPr>
              <w:t>8</w:t>
            </w:r>
          </w:p>
        </w:tc>
        <w:tc>
          <w:tcPr>
            <w:tcW w:w="1172" w:type="dxa"/>
            <w:tcBorders>
              <w:top w:val="single" w:sz="12" w:space="0" w:color="auto"/>
              <w:left w:val="single" w:sz="4" w:space="0" w:color="auto"/>
              <w:bottom w:val="nil"/>
              <w:right w:val="single" w:sz="4" w:space="0" w:color="auto"/>
            </w:tcBorders>
            <w:shd w:val="clear" w:color="auto" w:fill="auto"/>
            <w:vAlign w:val="center"/>
          </w:tcPr>
          <w:p w14:paraId="4319CDE2" w14:textId="77777777" w:rsidR="009E5E88" w:rsidRPr="006070EA" w:rsidRDefault="009E5E88" w:rsidP="00233BDB">
            <w:pPr>
              <w:pStyle w:val="Bezmezer"/>
              <w:jc w:val="center"/>
              <w:rPr>
                <w:rFonts w:asciiTheme="majorHAnsi" w:hAnsiTheme="majorHAnsi" w:cstheme="majorHAnsi"/>
                <w:lang w:val="cs-CZ"/>
              </w:rPr>
            </w:pPr>
            <w:r w:rsidRPr="006070EA">
              <w:rPr>
                <w:rFonts w:asciiTheme="majorHAnsi" w:hAnsiTheme="majorHAnsi" w:cstheme="majorHAnsi"/>
                <w:lang w:val="cs-CZ"/>
              </w:rPr>
              <w:t>7</w:t>
            </w:r>
          </w:p>
        </w:tc>
        <w:tc>
          <w:tcPr>
            <w:tcW w:w="1035" w:type="dxa"/>
            <w:tcBorders>
              <w:top w:val="single" w:sz="12" w:space="0" w:color="auto"/>
              <w:left w:val="single" w:sz="4" w:space="0" w:color="auto"/>
              <w:bottom w:val="nil"/>
              <w:right w:val="single" w:sz="4" w:space="0" w:color="auto"/>
            </w:tcBorders>
            <w:shd w:val="clear" w:color="auto" w:fill="auto"/>
            <w:vAlign w:val="center"/>
          </w:tcPr>
          <w:p w14:paraId="4FFC36C9" w14:textId="77777777" w:rsidR="009E5E88" w:rsidRPr="006070EA" w:rsidRDefault="009E5E88" w:rsidP="00233BDB">
            <w:pPr>
              <w:pStyle w:val="Bezmezer"/>
              <w:jc w:val="center"/>
              <w:rPr>
                <w:rFonts w:asciiTheme="majorHAnsi" w:hAnsiTheme="majorHAnsi" w:cstheme="majorHAnsi"/>
                <w:lang w:val="cs-CZ"/>
              </w:rPr>
            </w:pPr>
            <w:r w:rsidRPr="006070EA">
              <w:rPr>
                <w:rFonts w:asciiTheme="majorHAnsi" w:hAnsiTheme="majorHAnsi" w:cstheme="majorHAnsi"/>
                <w:lang w:val="cs-CZ"/>
              </w:rPr>
              <w:t>-</w:t>
            </w:r>
          </w:p>
        </w:tc>
        <w:tc>
          <w:tcPr>
            <w:tcW w:w="1046" w:type="dxa"/>
            <w:tcBorders>
              <w:top w:val="single" w:sz="12" w:space="0" w:color="auto"/>
              <w:left w:val="single" w:sz="4" w:space="0" w:color="auto"/>
              <w:bottom w:val="nil"/>
              <w:right w:val="nil"/>
            </w:tcBorders>
            <w:shd w:val="clear" w:color="auto" w:fill="auto"/>
            <w:vAlign w:val="center"/>
          </w:tcPr>
          <w:p w14:paraId="19CE9523" w14:textId="77777777" w:rsidR="009E5E88" w:rsidRPr="006070EA" w:rsidRDefault="009E5E88" w:rsidP="00233BDB">
            <w:pPr>
              <w:pStyle w:val="Bezmezer"/>
              <w:jc w:val="center"/>
              <w:rPr>
                <w:rFonts w:asciiTheme="majorHAnsi" w:hAnsiTheme="majorHAnsi" w:cstheme="majorHAnsi"/>
                <w:lang w:val="cs-CZ"/>
              </w:rPr>
            </w:pPr>
            <w:r w:rsidRPr="006070EA">
              <w:rPr>
                <w:rFonts w:asciiTheme="majorHAnsi" w:hAnsiTheme="majorHAnsi" w:cstheme="majorHAnsi"/>
                <w:lang w:val="cs-CZ"/>
              </w:rPr>
              <w:t>1</w:t>
            </w:r>
          </w:p>
        </w:tc>
      </w:tr>
    </w:tbl>
    <w:p w14:paraId="1E4840AA" w14:textId="77777777" w:rsidR="00567339" w:rsidRPr="006070EA" w:rsidRDefault="00567339" w:rsidP="00575033">
      <w:pPr>
        <w:pStyle w:val="Mra2-reakceern"/>
        <w:keepNext/>
        <w:pBdr>
          <w:left w:val="none" w:sz="0" w:space="0" w:color="auto"/>
        </w:pBdr>
        <w:shd w:val="clear" w:color="auto" w:fill="F2F2F2" w:themeFill="background1" w:themeFillShade="F2"/>
        <w:spacing w:before="120" w:after="120"/>
        <w:ind w:left="0"/>
        <w:rPr>
          <w:rFonts w:asciiTheme="majorHAnsi" w:hAnsiTheme="majorHAnsi" w:cstheme="majorHAnsi"/>
          <w:b/>
          <w:color w:val="auto"/>
          <w:sz w:val="20"/>
        </w:rPr>
      </w:pPr>
      <w:r w:rsidRPr="006070EA">
        <w:rPr>
          <w:rFonts w:asciiTheme="majorHAnsi" w:hAnsiTheme="majorHAnsi" w:cstheme="majorHAnsi"/>
          <w:b/>
          <w:color w:val="auto"/>
          <w:sz w:val="20"/>
        </w:rPr>
        <w:t>Struktura obyvatelstva</w:t>
      </w:r>
    </w:p>
    <w:p w14:paraId="07B37121" w14:textId="3EB3CE13" w:rsidR="009E5E88" w:rsidRPr="006070EA" w:rsidRDefault="009E5E88" w:rsidP="009E5E88">
      <w:pPr>
        <w:pStyle w:val="Atext"/>
        <w:rPr>
          <w:rFonts w:asciiTheme="majorHAnsi" w:hAnsiTheme="majorHAnsi" w:cstheme="majorHAnsi"/>
        </w:rPr>
      </w:pPr>
      <w:r w:rsidRPr="006070EA">
        <w:rPr>
          <w:rFonts w:asciiTheme="majorHAnsi" w:hAnsiTheme="majorHAnsi" w:cstheme="majorHAnsi"/>
        </w:rPr>
        <w:t>Průměrný věk obyvatel Kostomlat nad Labem čin</w:t>
      </w:r>
      <w:r w:rsidR="00804C50" w:rsidRPr="006070EA">
        <w:rPr>
          <w:rFonts w:asciiTheme="majorHAnsi" w:hAnsiTheme="majorHAnsi" w:cstheme="majorHAnsi"/>
        </w:rPr>
        <w:t>il v roce 2015</w:t>
      </w:r>
      <w:r w:rsidRPr="006070EA">
        <w:rPr>
          <w:rFonts w:asciiTheme="majorHAnsi" w:hAnsiTheme="majorHAnsi" w:cstheme="majorHAnsi"/>
        </w:rPr>
        <w:t xml:space="preserve"> 40,5 </w:t>
      </w:r>
      <w:r w:rsidR="00804C50" w:rsidRPr="006070EA">
        <w:rPr>
          <w:rFonts w:asciiTheme="majorHAnsi" w:hAnsiTheme="majorHAnsi" w:cstheme="majorHAnsi"/>
        </w:rPr>
        <w:t>let, k 1. 1. 2022 je hodnota tohoto ukazatele 41,6</w:t>
      </w:r>
      <w:r w:rsidRPr="006070EA">
        <w:rPr>
          <w:rFonts w:asciiTheme="majorHAnsi" w:hAnsiTheme="majorHAnsi" w:cstheme="majorHAnsi"/>
        </w:rPr>
        <w:t xml:space="preserve">. </w:t>
      </w:r>
      <w:r w:rsidR="00804C50" w:rsidRPr="006070EA">
        <w:rPr>
          <w:rFonts w:asciiTheme="majorHAnsi" w:hAnsiTheme="majorHAnsi" w:cstheme="majorHAnsi"/>
        </w:rPr>
        <w:t xml:space="preserve">V celkovém pohledu tedy dochází ke stárnutí populace obce. Hodnoty ukazatele v řešeném území jsou mírně nižší ve srovnání s průměrem celého okresu Nymburk a Středočeského kraje. </w:t>
      </w:r>
    </w:p>
    <w:p w14:paraId="39289949" w14:textId="77777777" w:rsidR="00D520C7" w:rsidRPr="006070EA" w:rsidRDefault="009E5E88" w:rsidP="009E5E88">
      <w:pPr>
        <w:pStyle w:val="Atext"/>
        <w:rPr>
          <w:rFonts w:asciiTheme="majorHAnsi" w:hAnsiTheme="majorHAnsi" w:cstheme="majorHAnsi"/>
        </w:rPr>
      </w:pPr>
      <w:r w:rsidRPr="006070EA">
        <w:rPr>
          <w:rFonts w:asciiTheme="majorHAnsi" w:hAnsiTheme="majorHAnsi" w:cstheme="majorHAnsi"/>
        </w:rPr>
        <w:t xml:space="preserve">Podle pohlaví je počet žen i mužů v obci </w:t>
      </w:r>
      <w:r w:rsidR="00804C50" w:rsidRPr="006070EA">
        <w:rPr>
          <w:rFonts w:asciiTheme="majorHAnsi" w:hAnsiTheme="majorHAnsi" w:cstheme="majorHAnsi"/>
        </w:rPr>
        <w:t xml:space="preserve">obdobný </w:t>
      </w:r>
      <w:r w:rsidRPr="006070EA">
        <w:rPr>
          <w:rFonts w:asciiTheme="majorHAnsi" w:hAnsiTheme="majorHAnsi" w:cstheme="majorHAnsi"/>
        </w:rPr>
        <w:t>(</w:t>
      </w:r>
      <w:r w:rsidR="00804C50" w:rsidRPr="006070EA">
        <w:rPr>
          <w:rFonts w:asciiTheme="majorHAnsi" w:hAnsiTheme="majorHAnsi" w:cstheme="majorHAnsi"/>
        </w:rPr>
        <w:t>k 1. 1. 2022 je v území 50,7% zastoupení mužů</w:t>
      </w:r>
      <w:r w:rsidRPr="006070EA">
        <w:rPr>
          <w:rFonts w:asciiTheme="majorHAnsi" w:hAnsiTheme="majorHAnsi" w:cstheme="majorHAnsi"/>
        </w:rPr>
        <w:t xml:space="preserve">). </w:t>
      </w:r>
    </w:p>
    <w:p w14:paraId="0A07A4AE" w14:textId="09436C42" w:rsidR="009E5E88" w:rsidRPr="006070EA" w:rsidRDefault="00804C50" w:rsidP="009E5E88">
      <w:pPr>
        <w:pStyle w:val="Atext"/>
        <w:rPr>
          <w:rFonts w:asciiTheme="majorHAnsi" w:hAnsiTheme="majorHAnsi" w:cstheme="majorHAnsi"/>
        </w:rPr>
      </w:pPr>
      <w:r w:rsidRPr="006070EA">
        <w:rPr>
          <w:rFonts w:asciiTheme="majorHAnsi" w:hAnsiTheme="majorHAnsi" w:cstheme="majorHAnsi"/>
        </w:rPr>
        <w:t>Podle věku</w:t>
      </w:r>
      <w:r w:rsidR="00D520C7" w:rsidRPr="006070EA">
        <w:rPr>
          <w:rFonts w:asciiTheme="majorHAnsi" w:hAnsiTheme="majorHAnsi" w:cstheme="majorHAnsi"/>
        </w:rPr>
        <w:t xml:space="preserve"> </w:t>
      </w:r>
      <w:r w:rsidRPr="006070EA">
        <w:rPr>
          <w:rFonts w:asciiTheme="majorHAnsi" w:hAnsiTheme="majorHAnsi" w:cstheme="majorHAnsi"/>
        </w:rPr>
        <w:t>je podíl předproduktivní složky (0-14 let</w:t>
      </w:r>
      <w:r w:rsidR="00D520C7" w:rsidRPr="006070EA">
        <w:rPr>
          <w:rFonts w:asciiTheme="majorHAnsi" w:hAnsiTheme="majorHAnsi" w:cstheme="majorHAnsi"/>
        </w:rPr>
        <w:t>, 339 obyvatel</w:t>
      </w:r>
      <w:r w:rsidRPr="006070EA">
        <w:rPr>
          <w:rFonts w:asciiTheme="majorHAnsi" w:hAnsiTheme="majorHAnsi" w:cstheme="majorHAnsi"/>
        </w:rPr>
        <w:t xml:space="preserve">) </w:t>
      </w:r>
      <w:r w:rsidR="00D520C7" w:rsidRPr="006070EA">
        <w:rPr>
          <w:rFonts w:asciiTheme="majorHAnsi" w:hAnsiTheme="majorHAnsi" w:cstheme="majorHAnsi"/>
        </w:rPr>
        <w:t xml:space="preserve">obdobný s postproduktivní (65+ let, 358 obyvatel), index stáří v území je tedy pouze mírně negativní. </w:t>
      </w:r>
      <w:r w:rsidR="009E5E88" w:rsidRPr="006070EA">
        <w:rPr>
          <w:rFonts w:asciiTheme="majorHAnsi" w:hAnsiTheme="majorHAnsi" w:cstheme="majorHAnsi"/>
        </w:rPr>
        <w:t>Nejpočetnější věkovou skupinou v</w:t>
      </w:r>
      <w:r w:rsidRPr="006070EA">
        <w:rPr>
          <w:rFonts w:asciiTheme="majorHAnsi" w:hAnsiTheme="majorHAnsi" w:cstheme="majorHAnsi"/>
        </w:rPr>
        <w:t xml:space="preserve"> Kostomlatech nad Labem </w:t>
      </w:r>
      <w:r w:rsidR="009E5E88" w:rsidRPr="006070EA">
        <w:rPr>
          <w:rFonts w:asciiTheme="majorHAnsi" w:hAnsiTheme="majorHAnsi" w:cstheme="majorHAnsi"/>
        </w:rPr>
        <w:t xml:space="preserve">jsou obyvatelé ve věku 35 </w:t>
      </w:r>
      <w:r w:rsidR="00D520C7" w:rsidRPr="006070EA">
        <w:rPr>
          <w:rFonts w:asciiTheme="majorHAnsi" w:hAnsiTheme="majorHAnsi" w:cstheme="majorHAnsi"/>
        </w:rPr>
        <w:t>–</w:t>
      </w:r>
      <w:r w:rsidR="009E5E88" w:rsidRPr="006070EA">
        <w:rPr>
          <w:rFonts w:asciiTheme="majorHAnsi" w:hAnsiTheme="majorHAnsi" w:cstheme="majorHAnsi"/>
        </w:rPr>
        <w:t xml:space="preserve"> 39 let, následují věková rozmezí 40 </w:t>
      </w:r>
      <w:r w:rsidR="00D520C7" w:rsidRPr="006070EA">
        <w:rPr>
          <w:rFonts w:asciiTheme="majorHAnsi" w:hAnsiTheme="majorHAnsi" w:cstheme="majorHAnsi"/>
        </w:rPr>
        <w:t>–</w:t>
      </w:r>
      <w:r w:rsidR="009E5E88" w:rsidRPr="006070EA">
        <w:rPr>
          <w:rFonts w:asciiTheme="majorHAnsi" w:hAnsiTheme="majorHAnsi" w:cstheme="majorHAnsi"/>
        </w:rPr>
        <w:t xml:space="preserve"> 44 let a 45 </w:t>
      </w:r>
      <w:r w:rsidR="00D520C7" w:rsidRPr="006070EA">
        <w:rPr>
          <w:rFonts w:asciiTheme="majorHAnsi" w:hAnsiTheme="majorHAnsi" w:cstheme="majorHAnsi"/>
        </w:rPr>
        <w:t>–</w:t>
      </w:r>
      <w:r w:rsidR="009E5E88" w:rsidRPr="006070EA">
        <w:rPr>
          <w:rFonts w:asciiTheme="majorHAnsi" w:hAnsiTheme="majorHAnsi" w:cstheme="majorHAnsi"/>
        </w:rPr>
        <w:t xml:space="preserve"> 49 let. Naopak nejméně početnými věkovými skupinami jsou obyvatelé starší 85 let a lidé ve věku 80 </w:t>
      </w:r>
      <w:r w:rsidR="00D520C7" w:rsidRPr="006070EA">
        <w:rPr>
          <w:rFonts w:asciiTheme="majorHAnsi" w:hAnsiTheme="majorHAnsi" w:cstheme="majorHAnsi"/>
        </w:rPr>
        <w:t>–</w:t>
      </w:r>
      <w:r w:rsidR="009E5E88" w:rsidRPr="006070EA">
        <w:rPr>
          <w:rFonts w:asciiTheme="majorHAnsi" w:hAnsiTheme="majorHAnsi" w:cstheme="majorHAnsi"/>
        </w:rPr>
        <w:t xml:space="preserve"> 84 let</w:t>
      </w:r>
      <w:r w:rsidR="00D520C7" w:rsidRPr="006070EA">
        <w:rPr>
          <w:rFonts w:asciiTheme="majorHAnsi" w:hAnsiTheme="majorHAnsi" w:cstheme="majorHAnsi"/>
        </w:rPr>
        <w:t>.</w:t>
      </w:r>
    </w:p>
    <w:p w14:paraId="29A4D3D6" w14:textId="77777777" w:rsidR="00B9741F" w:rsidRPr="006070EA" w:rsidRDefault="00B9741F" w:rsidP="00B9741F">
      <w:pPr>
        <w:pStyle w:val="Mra2-reakceern"/>
        <w:pBdr>
          <w:left w:val="none" w:sz="0" w:space="0" w:color="auto"/>
        </w:pBdr>
        <w:shd w:val="clear" w:color="auto" w:fill="F2F2F2" w:themeFill="background1" w:themeFillShade="F2"/>
        <w:spacing w:after="60"/>
        <w:ind w:left="0"/>
        <w:rPr>
          <w:rFonts w:asciiTheme="majorHAnsi" w:hAnsiTheme="majorHAnsi" w:cstheme="majorHAnsi"/>
          <w:b/>
          <w:color w:val="auto"/>
          <w:sz w:val="20"/>
        </w:rPr>
      </w:pPr>
      <w:bookmarkStart w:id="186" w:name="_Toc424119823"/>
      <w:r w:rsidRPr="006070EA">
        <w:rPr>
          <w:rFonts w:asciiTheme="majorHAnsi" w:hAnsiTheme="majorHAnsi" w:cstheme="majorHAnsi"/>
          <w:b/>
          <w:color w:val="auto"/>
          <w:sz w:val="20"/>
        </w:rPr>
        <w:t>Odhad budoucího demografického vývoje</w:t>
      </w:r>
    </w:p>
    <w:p w14:paraId="335F9282" w14:textId="338478E7" w:rsidR="00F15107" w:rsidRPr="006070EA" w:rsidRDefault="00B9741F" w:rsidP="00EA2C09">
      <w:pPr>
        <w:spacing w:before="120" w:after="120" w:line="240" w:lineRule="auto"/>
        <w:ind w:firstLine="709"/>
        <w:jc w:val="both"/>
        <w:rPr>
          <w:rFonts w:asciiTheme="majorHAnsi" w:hAnsiTheme="majorHAnsi" w:cstheme="majorHAnsi"/>
          <w:sz w:val="18"/>
          <w:szCs w:val="18"/>
        </w:rPr>
      </w:pPr>
      <w:r w:rsidRPr="006070EA">
        <w:rPr>
          <w:rFonts w:asciiTheme="majorHAnsi" w:hAnsiTheme="majorHAnsi" w:cstheme="majorHAnsi"/>
          <w:sz w:val="18"/>
          <w:szCs w:val="18"/>
        </w:rPr>
        <w:t xml:space="preserve">Obec </w:t>
      </w:r>
      <w:r w:rsidR="00D520C7" w:rsidRPr="006070EA">
        <w:rPr>
          <w:rFonts w:asciiTheme="majorHAnsi" w:hAnsiTheme="majorHAnsi" w:cstheme="majorHAnsi"/>
          <w:sz w:val="18"/>
          <w:szCs w:val="18"/>
        </w:rPr>
        <w:t>Kostomlaty nad Labem</w:t>
      </w:r>
      <w:r w:rsidRPr="006070EA">
        <w:rPr>
          <w:rFonts w:asciiTheme="majorHAnsi" w:hAnsiTheme="majorHAnsi" w:cstheme="majorHAnsi"/>
          <w:sz w:val="18"/>
          <w:szCs w:val="18"/>
        </w:rPr>
        <w:t xml:space="preserve"> se v současnosti vyznačuje progresivním populačním vývojem, má vybudovány sítě základní technické infrastruktury </w:t>
      </w:r>
      <w:r w:rsidR="00F15107" w:rsidRPr="006070EA">
        <w:rPr>
          <w:rFonts w:asciiTheme="majorHAnsi" w:hAnsiTheme="majorHAnsi" w:cstheme="majorHAnsi"/>
          <w:sz w:val="18"/>
          <w:szCs w:val="18"/>
        </w:rPr>
        <w:t>(</w:t>
      </w:r>
      <w:r w:rsidR="00D520C7" w:rsidRPr="006070EA">
        <w:rPr>
          <w:rFonts w:asciiTheme="majorHAnsi" w:hAnsiTheme="majorHAnsi" w:cstheme="majorHAnsi"/>
          <w:sz w:val="18"/>
          <w:szCs w:val="18"/>
        </w:rPr>
        <w:t>včetně navržení rozvoje vodovodu a kanalizace ve venkovských sídlech</w:t>
      </w:r>
      <w:r w:rsidR="00F15107" w:rsidRPr="006070EA">
        <w:rPr>
          <w:rFonts w:asciiTheme="majorHAnsi" w:hAnsiTheme="majorHAnsi" w:cstheme="majorHAnsi"/>
          <w:sz w:val="18"/>
          <w:szCs w:val="18"/>
        </w:rPr>
        <w:t xml:space="preserve">) </w:t>
      </w:r>
      <w:r w:rsidRPr="006070EA">
        <w:rPr>
          <w:rFonts w:asciiTheme="majorHAnsi" w:hAnsiTheme="majorHAnsi" w:cstheme="majorHAnsi"/>
          <w:sz w:val="18"/>
          <w:szCs w:val="18"/>
        </w:rPr>
        <w:t xml:space="preserve">a </w:t>
      </w:r>
      <w:r w:rsidR="00D520C7" w:rsidRPr="006070EA">
        <w:rPr>
          <w:rFonts w:asciiTheme="majorHAnsi" w:hAnsiTheme="majorHAnsi" w:cstheme="majorHAnsi"/>
          <w:sz w:val="18"/>
          <w:szCs w:val="18"/>
        </w:rPr>
        <w:t xml:space="preserve">disponuje </w:t>
      </w:r>
      <w:r w:rsidR="003C6903" w:rsidRPr="006070EA">
        <w:rPr>
          <w:rFonts w:asciiTheme="majorHAnsi" w:hAnsiTheme="majorHAnsi" w:cstheme="majorHAnsi"/>
          <w:sz w:val="18"/>
          <w:szCs w:val="18"/>
        </w:rPr>
        <w:t>základní občanskou vybavenost</w:t>
      </w:r>
      <w:r w:rsidR="00D520C7" w:rsidRPr="006070EA">
        <w:rPr>
          <w:rFonts w:asciiTheme="majorHAnsi" w:hAnsiTheme="majorHAnsi" w:cstheme="majorHAnsi"/>
          <w:sz w:val="18"/>
          <w:szCs w:val="18"/>
        </w:rPr>
        <w:t>í</w:t>
      </w:r>
      <w:r w:rsidR="00F15107" w:rsidRPr="006070EA">
        <w:rPr>
          <w:rFonts w:asciiTheme="majorHAnsi" w:hAnsiTheme="majorHAnsi" w:cstheme="majorHAnsi"/>
          <w:sz w:val="18"/>
          <w:szCs w:val="18"/>
        </w:rPr>
        <w:t xml:space="preserve"> (základní škola, mateřská škola, praktický lékař, církevní zařízení, ubytovací a stravovací zařízení)</w:t>
      </w:r>
      <w:r w:rsidRPr="006070EA">
        <w:rPr>
          <w:rFonts w:asciiTheme="majorHAnsi" w:hAnsiTheme="majorHAnsi" w:cstheme="majorHAnsi"/>
          <w:sz w:val="18"/>
          <w:szCs w:val="18"/>
        </w:rPr>
        <w:t xml:space="preserve">. </w:t>
      </w:r>
      <w:r w:rsidR="00D520C7" w:rsidRPr="006070EA">
        <w:rPr>
          <w:rFonts w:asciiTheme="majorHAnsi" w:hAnsiTheme="majorHAnsi" w:cstheme="majorHAnsi"/>
          <w:sz w:val="18"/>
          <w:szCs w:val="18"/>
        </w:rPr>
        <w:t>Současně je území velmi dobře dostupné a geograficky výhodně lokalizované v blízkosti nadřazených center osídlení a v dostupnosti metropolitní oblasti hlavního města Prahy.</w:t>
      </w:r>
    </w:p>
    <w:p w14:paraId="74844FED" w14:textId="29ACC569" w:rsidR="00B9741F" w:rsidRPr="006070EA" w:rsidRDefault="00F15107" w:rsidP="00EA2C09">
      <w:pPr>
        <w:spacing w:before="120" w:after="120" w:line="240" w:lineRule="auto"/>
        <w:ind w:firstLine="709"/>
        <w:jc w:val="both"/>
        <w:rPr>
          <w:rFonts w:asciiTheme="majorHAnsi" w:hAnsiTheme="majorHAnsi" w:cstheme="majorHAnsi"/>
          <w:sz w:val="18"/>
          <w:szCs w:val="18"/>
        </w:rPr>
      </w:pPr>
      <w:r w:rsidRPr="006070EA">
        <w:rPr>
          <w:rFonts w:asciiTheme="majorHAnsi" w:hAnsiTheme="majorHAnsi" w:cstheme="majorHAnsi"/>
          <w:sz w:val="18"/>
          <w:szCs w:val="18"/>
        </w:rPr>
        <w:t xml:space="preserve">Část obyvatel (cca </w:t>
      </w:r>
      <w:r w:rsidR="00D520C7" w:rsidRPr="006070EA">
        <w:rPr>
          <w:rFonts w:asciiTheme="majorHAnsi" w:hAnsiTheme="majorHAnsi" w:cstheme="majorHAnsi"/>
          <w:sz w:val="18"/>
          <w:szCs w:val="18"/>
        </w:rPr>
        <w:t>30</w:t>
      </w:r>
      <w:r w:rsidRPr="006070EA">
        <w:rPr>
          <w:rFonts w:asciiTheme="majorHAnsi" w:hAnsiTheme="majorHAnsi" w:cstheme="majorHAnsi"/>
          <w:sz w:val="18"/>
          <w:szCs w:val="18"/>
        </w:rPr>
        <w:t xml:space="preserve"> %)</w:t>
      </w:r>
      <w:r w:rsidR="00B9741F" w:rsidRPr="006070EA">
        <w:rPr>
          <w:rFonts w:asciiTheme="majorHAnsi" w:hAnsiTheme="majorHAnsi" w:cstheme="majorHAnsi"/>
          <w:sz w:val="18"/>
          <w:szCs w:val="18"/>
        </w:rPr>
        <w:t xml:space="preserve"> </w:t>
      </w:r>
      <w:r w:rsidRPr="006070EA">
        <w:rPr>
          <w:rFonts w:asciiTheme="majorHAnsi" w:hAnsiTheme="majorHAnsi" w:cstheme="majorHAnsi"/>
          <w:sz w:val="18"/>
          <w:szCs w:val="18"/>
        </w:rPr>
        <w:t xml:space="preserve">vyjíždí z obce </w:t>
      </w:r>
      <w:r w:rsidR="00B9741F" w:rsidRPr="006070EA">
        <w:rPr>
          <w:rFonts w:asciiTheme="majorHAnsi" w:hAnsiTheme="majorHAnsi" w:cstheme="majorHAnsi"/>
          <w:sz w:val="18"/>
          <w:szCs w:val="18"/>
        </w:rPr>
        <w:t>do dostupných center s vyšší občanskou vybaveností a širší nabídkou pracovních příležitostí. Pozitiv</w:t>
      </w:r>
      <w:r w:rsidRPr="006070EA">
        <w:rPr>
          <w:rFonts w:asciiTheme="majorHAnsi" w:hAnsiTheme="majorHAnsi" w:cstheme="majorHAnsi"/>
          <w:sz w:val="18"/>
          <w:szCs w:val="18"/>
        </w:rPr>
        <w:t>y</w:t>
      </w:r>
      <w:r w:rsidR="00B9741F" w:rsidRPr="006070EA">
        <w:rPr>
          <w:rFonts w:asciiTheme="majorHAnsi" w:hAnsiTheme="majorHAnsi" w:cstheme="majorHAnsi"/>
          <w:sz w:val="18"/>
          <w:szCs w:val="18"/>
        </w:rPr>
        <w:t xml:space="preserve"> obce </w:t>
      </w:r>
      <w:r w:rsidRPr="006070EA">
        <w:rPr>
          <w:rFonts w:asciiTheme="majorHAnsi" w:hAnsiTheme="majorHAnsi" w:cstheme="majorHAnsi"/>
          <w:sz w:val="18"/>
          <w:szCs w:val="18"/>
        </w:rPr>
        <w:t>jsou zejména</w:t>
      </w:r>
      <w:r w:rsidR="00B9741F" w:rsidRPr="006070EA">
        <w:rPr>
          <w:rFonts w:asciiTheme="majorHAnsi" w:hAnsiTheme="majorHAnsi" w:cstheme="majorHAnsi"/>
          <w:sz w:val="18"/>
          <w:szCs w:val="18"/>
        </w:rPr>
        <w:t xml:space="preserve"> </w:t>
      </w:r>
      <w:r w:rsidRPr="006070EA">
        <w:rPr>
          <w:rFonts w:asciiTheme="majorHAnsi" w:hAnsiTheme="majorHAnsi" w:cstheme="majorHAnsi"/>
          <w:sz w:val="18"/>
          <w:szCs w:val="18"/>
        </w:rPr>
        <w:t xml:space="preserve">částečná nezávislost, daná přítomností základní veřejné infrastruktury včetně základních služeb, přírodní prostředí s krajinnou a rekreační vazbou na </w:t>
      </w:r>
      <w:r w:rsidR="00D520C7" w:rsidRPr="006070EA">
        <w:rPr>
          <w:rFonts w:asciiTheme="majorHAnsi" w:hAnsiTheme="majorHAnsi" w:cstheme="majorHAnsi"/>
          <w:sz w:val="18"/>
          <w:szCs w:val="18"/>
        </w:rPr>
        <w:t>řeku Labe</w:t>
      </w:r>
      <w:r w:rsidR="00B9741F" w:rsidRPr="006070EA">
        <w:rPr>
          <w:rFonts w:asciiTheme="majorHAnsi" w:hAnsiTheme="majorHAnsi" w:cstheme="majorHAnsi"/>
          <w:sz w:val="18"/>
          <w:szCs w:val="18"/>
        </w:rPr>
        <w:t>. V</w:t>
      </w:r>
      <w:r w:rsidR="00D520C7" w:rsidRPr="006070EA">
        <w:rPr>
          <w:rFonts w:asciiTheme="majorHAnsi" w:hAnsiTheme="majorHAnsi" w:cstheme="majorHAnsi"/>
          <w:sz w:val="18"/>
          <w:szCs w:val="18"/>
        </w:rPr>
        <w:t> </w:t>
      </w:r>
      <w:r w:rsidR="00B9741F" w:rsidRPr="006070EA">
        <w:rPr>
          <w:rFonts w:asciiTheme="majorHAnsi" w:hAnsiTheme="majorHAnsi" w:cstheme="majorHAnsi"/>
          <w:sz w:val="18"/>
          <w:szCs w:val="18"/>
        </w:rPr>
        <w:t>poslední</w:t>
      </w:r>
      <w:r w:rsidR="00D520C7" w:rsidRPr="006070EA">
        <w:rPr>
          <w:rFonts w:asciiTheme="majorHAnsi" w:hAnsiTheme="majorHAnsi" w:cstheme="majorHAnsi"/>
          <w:sz w:val="18"/>
          <w:szCs w:val="18"/>
        </w:rPr>
        <w:t xml:space="preserve">ch dvaceti letech </w:t>
      </w:r>
      <w:r w:rsidR="00B9741F" w:rsidRPr="006070EA">
        <w:rPr>
          <w:rFonts w:asciiTheme="majorHAnsi" w:hAnsiTheme="majorHAnsi" w:cstheme="majorHAnsi"/>
          <w:sz w:val="18"/>
          <w:szCs w:val="18"/>
        </w:rPr>
        <w:t xml:space="preserve">lze pozorovat tendenci pozitivního populačního vývoje a s tím </w:t>
      </w:r>
      <w:r w:rsidR="00EA2C09" w:rsidRPr="006070EA">
        <w:rPr>
          <w:rFonts w:asciiTheme="majorHAnsi" w:hAnsiTheme="majorHAnsi" w:cstheme="majorHAnsi"/>
          <w:sz w:val="18"/>
          <w:szCs w:val="18"/>
        </w:rPr>
        <w:t>spojený</w:t>
      </w:r>
      <w:r w:rsidR="00B9741F" w:rsidRPr="006070EA">
        <w:rPr>
          <w:rFonts w:asciiTheme="majorHAnsi" w:hAnsiTheme="majorHAnsi" w:cstheme="majorHAnsi"/>
          <w:sz w:val="18"/>
          <w:szCs w:val="18"/>
        </w:rPr>
        <w:t xml:space="preserve"> nárůst zájmu o</w:t>
      </w:r>
      <w:r w:rsidRPr="006070EA">
        <w:rPr>
          <w:rFonts w:asciiTheme="majorHAnsi" w:hAnsiTheme="majorHAnsi" w:cstheme="majorHAnsi"/>
          <w:sz w:val="18"/>
          <w:szCs w:val="18"/>
        </w:rPr>
        <w:t> </w:t>
      </w:r>
      <w:r w:rsidR="00B9741F" w:rsidRPr="006070EA">
        <w:rPr>
          <w:rFonts w:asciiTheme="majorHAnsi" w:hAnsiTheme="majorHAnsi" w:cstheme="majorHAnsi"/>
          <w:sz w:val="18"/>
          <w:szCs w:val="18"/>
        </w:rPr>
        <w:t xml:space="preserve">bydlení v obci, který vyústil v rozvoj zástavby. </w:t>
      </w:r>
    </w:p>
    <w:p w14:paraId="12FB3AF9" w14:textId="2EDA4FC7" w:rsidR="00B9741F" w:rsidRPr="006070EA" w:rsidRDefault="00B9741F" w:rsidP="00EA2C09">
      <w:pPr>
        <w:spacing w:before="120" w:after="120" w:line="240" w:lineRule="auto"/>
        <w:ind w:firstLine="709"/>
        <w:jc w:val="both"/>
        <w:rPr>
          <w:rFonts w:asciiTheme="majorHAnsi" w:hAnsiTheme="majorHAnsi" w:cstheme="majorHAnsi"/>
          <w:sz w:val="18"/>
          <w:szCs w:val="18"/>
        </w:rPr>
      </w:pPr>
      <w:r w:rsidRPr="006070EA">
        <w:rPr>
          <w:rFonts w:asciiTheme="majorHAnsi" w:hAnsiTheme="majorHAnsi" w:cstheme="majorHAnsi"/>
          <w:sz w:val="18"/>
          <w:szCs w:val="18"/>
        </w:rPr>
        <w:t>Jedním z úkolů územního plánování je zohlednit demografický vývoj obce a podpořit populační stabilizaci, případně vytvořit podmínky pro její růst. Při současném demografickém vývoji v Česku toho lze docílit především navýšením migračního přírůstku, tedy trvalým pozitivním saldem migrace, resp. stálým zvyšováním počtu přistěhovalých oproti vystěhovalým. Územní plán však zároveň musí zohlednit charakter síd</w:t>
      </w:r>
      <w:r w:rsidR="00997EFB" w:rsidRPr="006070EA">
        <w:rPr>
          <w:rFonts w:asciiTheme="majorHAnsi" w:hAnsiTheme="majorHAnsi" w:cstheme="majorHAnsi"/>
          <w:sz w:val="18"/>
          <w:szCs w:val="18"/>
        </w:rPr>
        <w:t>e</w:t>
      </w:r>
      <w:r w:rsidRPr="006070EA">
        <w:rPr>
          <w:rFonts w:asciiTheme="majorHAnsi" w:hAnsiTheme="majorHAnsi" w:cstheme="majorHAnsi"/>
          <w:sz w:val="18"/>
          <w:szCs w:val="18"/>
        </w:rPr>
        <w:t>l</w:t>
      </w:r>
      <w:r w:rsidR="00997EFB" w:rsidRPr="006070EA">
        <w:rPr>
          <w:rFonts w:asciiTheme="majorHAnsi" w:hAnsiTheme="majorHAnsi" w:cstheme="majorHAnsi"/>
          <w:sz w:val="18"/>
          <w:szCs w:val="18"/>
        </w:rPr>
        <w:t xml:space="preserve"> v území</w:t>
      </w:r>
      <w:r w:rsidRPr="006070EA">
        <w:rPr>
          <w:rFonts w:asciiTheme="majorHAnsi" w:hAnsiTheme="majorHAnsi" w:cstheme="majorHAnsi"/>
          <w:sz w:val="18"/>
          <w:szCs w:val="18"/>
        </w:rPr>
        <w:t xml:space="preserve"> a limity rozvoje</w:t>
      </w:r>
      <w:r w:rsidR="00997EFB" w:rsidRPr="006070EA">
        <w:rPr>
          <w:rFonts w:asciiTheme="majorHAnsi" w:hAnsiTheme="majorHAnsi" w:cstheme="majorHAnsi"/>
          <w:sz w:val="18"/>
          <w:szCs w:val="18"/>
        </w:rPr>
        <w:t xml:space="preserve"> </w:t>
      </w:r>
      <w:r w:rsidRPr="006070EA">
        <w:rPr>
          <w:rFonts w:asciiTheme="majorHAnsi" w:hAnsiTheme="majorHAnsi" w:cstheme="majorHAnsi"/>
          <w:sz w:val="18"/>
          <w:szCs w:val="18"/>
        </w:rPr>
        <w:t xml:space="preserve">a zabránit neřízenému </w:t>
      </w:r>
      <w:r w:rsidR="00F15107" w:rsidRPr="006070EA">
        <w:rPr>
          <w:rFonts w:asciiTheme="majorHAnsi" w:hAnsiTheme="majorHAnsi" w:cstheme="majorHAnsi"/>
          <w:sz w:val="18"/>
          <w:szCs w:val="18"/>
        </w:rPr>
        <w:t xml:space="preserve">živelnému </w:t>
      </w:r>
      <w:r w:rsidRPr="006070EA">
        <w:rPr>
          <w:rFonts w:asciiTheme="majorHAnsi" w:hAnsiTheme="majorHAnsi" w:cstheme="majorHAnsi"/>
          <w:sz w:val="18"/>
          <w:szCs w:val="18"/>
        </w:rPr>
        <w:t xml:space="preserve">rozvoji zástavby. </w:t>
      </w:r>
    </w:p>
    <w:p w14:paraId="4B12304F" w14:textId="77777777" w:rsidR="00B9741F" w:rsidRPr="006070EA" w:rsidRDefault="00B9741F" w:rsidP="00EA2C09">
      <w:pPr>
        <w:spacing w:before="120" w:after="120" w:line="240" w:lineRule="auto"/>
        <w:ind w:firstLine="709"/>
        <w:jc w:val="both"/>
        <w:rPr>
          <w:rFonts w:asciiTheme="majorHAnsi" w:hAnsiTheme="majorHAnsi" w:cstheme="majorHAnsi"/>
          <w:sz w:val="18"/>
          <w:szCs w:val="18"/>
        </w:rPr>
      </w:pPr>
      <w:r w:rsidRPr="006070EA">
        <w:rPr>
          <w:rFonts w:asciiTheme="majorHAnsi" w:hAnsiTheme="majorHAnsi" w:cstheme="majorHAnsi"/>
          <w:sz w:val="18"/>
          <w:szCs w:val="18"/>
        </w:rPr>
        <w:t>Vytvořením podmínek pro kvalitativní rozvoj ve všech funkčních složkách obce lze podpořit další populační růst a</w:t>
      </w:r>
      <w:r w:rsidR="00F15107" w:rsidRPr="006070EA">
        <w:rPr>
          <w:rFonts w:asciiTheme="majorHAnsi" w:hAnsiTheme="majorHAnsi" w:cstheme="majorHAnsi"/>
          <w:sz w:val="18"/>
          <w:szCs w:val="18"/>
        </w:rPr>
        <w:t> </w:t>
      </w:r>
      <w:r w:rsidRPr="006070EA">
        <w:rPr>
          <w:rFonts w:asciiTheme="majorHAnsi" w:hAnsiTheme="majorHAnsi" w:cstheme="majorHAnsi"/>
          <w:sz w:val="18"/>
          <w:szCs w:val="18"/>
        </w:rPr>
        <w:t>stabilizovat velikost obce v budoucích letech. Toho je třeba docílit nejen příchodem nových rezidentů, ale také snižováním počtu vystěhovalých obyvatel (např. nalezením správných motivací pro setrvání v obci).</w:t>
      </w:r>
    </w:p>
    <w:p w14:paraId="13D415FA" w14:textId="10D17A24" w:rsidR="00B9741F" w:rsidRPr="006070EA" w:rsidRDefault="00B9741F" w:rsidP="00EA2C09">
      <w:pPr>
        <w:spacing w:before="120" w:after="120" w:line="240" w:lineRule="auto"/>
        <w:ind w:firstLine="709"/>
        <w:jc w:val="both"/>
        <w:rPr>
          <w:rFonts w:asciiTheme="majorHAnsi" w:hAnsiTheme="majorHAnsi" w:cstheme="majorHAnsi"/>
          <w:sz w:val="18"/>
          <w:szCs w:val="18"/>
        </w:rPr>
      </w:pPr>
      <w:r w:rsidRPr="006070EA">
        <w:rPr>
          <w:rFonts w:asciiTheme="majorHAnsi" w:hAnsiTheme="majorHAnsi" w:cstheme="majorHAnsi"/>
          <w:sz w:val="18"/>
          <w:szCs w:val="18"/>
        </w:rPr>
        <w:t>Z hlediska věkové struktury obyvatelstva a relativně stabilního přirozeného přírůstku obyvatel lze konstatovat poměrně příznivou demografickou charakteristiku území pro budoucí stabilizaci a populační rozvoj obce. V případě vytvoření nabídky nových (vlastnicky dostupných) ploch</w:t>
      </w:r>
      <w:r w:rsidR="00F90BC8" w:rsidRPr="006070EA">
        <w:rPr>
          <w:rFonts w:asciiTheme="majorHAnsi" w:hAnsiTheme="majorHAnsi" w:cstheme="majorHAnsi"/>
          <w:sz w:val="18"/>
          <w:szCs w:val="18"/>
        </w:rPr>
        <w:t xml:space="preserve"> pro</w:t>
      </w:r>
      <w:r w:rsidRPr="006070EA">
        <w:rPr>
          <w:rFonts w:asciiTheme="majorHAnsi" w:hAnsiTheme="majorHAnsi" w:cstheme="majorHAnsi"/>
          <w:sz w:val="18"/>
          <w:szCs w:val="18"/>
        </w:rPr>
        <w:t xml:space="preserve"> bydlení lze předpokládat </w:t>
      </w:r>
      <w:r w:rsidR="00F90BC8" w:rsidRPr="006070EA">
        <w:rPr>
          <w:rFonts w:asciiTheme="majorHAnsi" w:hAnsiTheme="majorHAnsi" w:cstheme="majorHAnsi"/>
          <w:sz w:val="18"/>
          <w:szCs w:val="18"/>
        </w:rPr>
        <w:t>nárůst</w:t>
      </w:r>
      <w:r w:rsidRPr="006070EA">
        <w:rPr>
          <w:rFonts w:asciiTheme="majorHAnsi" w:hAnsiTheme="majorHAnsi" w:cstheme="majorHAnsi"/>
          <w:sz w:val="18"/>
          <w:szCs w:val="18"/>
        </w:rPr>
        <w:t xml:space="preserve"> počtu obyvatel o cca </w:t>
      </w:r>
      <w:r w:rsidR="00997EFB" w:rsidRPr="006070EA">
        <w:rPr>
          <w:rFonts w:asciiTheme="majorHAnsi" w:hAnsiTheme="majorHAnsi" w:cstheme="majorHAnsi"/>
          <w:sz w:val="18"/>
          <w:szCs w:val="18"/>
        </w:rPr>
        <w:t>150</w:t>
      </w:r>
      <w:r w:rsidRPr="006070EA">
        <w:rPr>
          <w:rFonts w:asciiTheme="majorHAnsi" w:hAnsiTheme="majorHAnsi" w:cstheme="majorHAnsi"/>
          <w:sz w:val="18"/>
          <w:szCs w:val="18"/>
        </w:rPr>
        <w:t xml:space="preserve"> na </w:t>
      </w:r>
      <w:r w:rsidR="00F36850" w:rsidRPr="006070EA">
        <w:rPr>
          <w:rFonts w:asciiTheme="majorHAnsi" w:hAnsiTheme="majorHAnsi" w:cstheme="majorHAnsi"/>
          <w:sz w:val="18"/>
          <w:szCs w:val="18"/>
        </w:rPr>
        <w:t>během návrhového období ÚP</w:t>
      </w:r>
      <w:r w:rsidR="00997EFB" w:rsidRPr="006070EA">
        <w:rPr>
          <w:rFonts w:asciiTheme="majorHAnsi" w:hAnsiTheme="majorHAnsi" w:cstheme="majorHAnsi"/>
          <w:sz w:val="18"/>
          <w:szCs w:val="18"/>
        </w:rPr>
        <w:t xml:space="preserve"> (cca do r. 2035)</w:t>
      </w:r>
      <w:r w:rsidRPr="006070EA">
        <w:rPr>
          <w:rFonts w:asciiTheme="majorHAnsi" w:hAnsiTheme="majorHAnsi" w:cstheme="majorHAnsi"/>
          <w:sz w:val="18"/>
          <w:szCs w:val="18"/>
        </w:rPr>
        <w:t xml:space="preserve">. </w:t>
      </w:r>
    </w:p>
    <w:p w14:paraId="4A5BD20A" w14:textId="1C5EFDFC" w:rsidR="00B9741F" w:rsidRPr="006070EA" w:rsidRDefault="00B9741F" w:rsidP="00EA2C09">
      <w:pPr>
        <w:spacing w:before="120" w:after="120" w:line="240" w:lineRule="auto"/>
        <w:ind w:firstLine="709"/>
        <w:jc w:val="both"/>
        <w:rPr>
          <w:rFonts w:asciiTheme="majorHAnsi" w:hAnsiTheme="majorHAnsi" w:cstheme="majorHAnsi"/>
          <w:sz w:val="18"/>
          <w:szCs w:val="18"/>
        </w:rPr>
      </w:pPr>
      <w:r w:rsidRPr="006070EA">
        <w:rPr>
          <w:rFonts w:asciiTheme="majorHAnsi" w:hAnsiTheme="majorHAnsi" w:cstheme="majorHAnsi"/>
          <w:sz w:val="18"/>
          <w:szCs w:val="18"/>
        </w:rPr>
        <w:t xml:space="preserve">Předpokládaný vývoj je stanoven odborným odhadem, založeným zejména na analýze historického vývoje, současných společenských tendencích (suburbanizace apod.), </w:t>
      </w:r>
      <w:r w:rsidR="00F90BC8" w:rsidRPr="006070EA">
        <w:rPr>
          <w:rFonts w:asciiTheme="majorHAnsi" w:hAnsiTheme="majorHAnsi" w:cstheme="majorHAnsi"/>
          <w:sz w:val="18"/>
          <w:szCs w:val="18"/>
        </w:rPr>
        <w:t>kapacitách rozvojových ploch</w:t>
      </w:r>
      <w:r w:rsidRPr="006070EA">
        <w:rPr>
          <w:rFonts w:asciiTheme="majorHAnsi" w:hAnsiTheme="majorHAnsi" w:cstheme="majorHAnsi"/>
          <w:sz w:val="18"/>
          <w:szCs w:val="18"/>
        </w:rPr>
        <w:t xml:space="preserve">, </w:t>
      </w:r>
      <w:r w:rsidR="00F36850" w:rsidRPr="006070EA">
        <w:rPr>
          <w:rFonts w:asciiTheme="majorHAnsi" w:hAnsiTheme="majorHAnsi" w:cstheme="majorHAnsi"/>
          <w:sz w:val="18"/>
          <w:szCs w:val="18"/>
        </w:rPr>
        <w:t xml:space="preserve">blízkosti </w:t>
      </w:r>
      <w:r w:rsidR="00997EFB" w:rsidRPr="006070EA">
        <w:rPr>
          <w:rFonts w:asciiTheme="majorHAnsi" w:hAnsiTheme="majorHAnsi" w:cstheme="majorHAnsi"/>
          <w:sz w:val="18"/>
          <w:szCs w:val="18"/>
        </w:rPr>
        <w:t xml:space="preserve">spádových center a dostupnosti Prahy s přihlédnutím k atraktivitě území </w:t>
      </w:r>
      <w:r w:rsidR="00F36850" w:rsidRPr="006070EA">
        <w:rPr>
          <w:rFonts w:asciiTheme="majorHAnsi" w:hAnsiTheme="majorHAnsi" w:cstheme="majorHAnsi"/>
          <w:sz w:val="18"/>
          <w:szCs w:val="18"/>
        </w:rPr>
        <w:t xml:space="preserve">při předpokladu pokračování současného vývoje s následnou stabilizací </w:t>
      </w:r>
      <w:r w:rsidR="00F90BC8" w:rsidRPr="006070EA">
        <w:rPr>
          <w:rFonts w:asciiTheme="majorHAnsi" w:hAnsiTheme="majorHAnsi" w:cstheme="majorHAnsi"/>
          <w:sz w:val="18"/>
          <w:szCs w:val="18"/>
        </w:rPr>
        <w:t>populační velikosti</w:t>
      </w:r>
      <w:r w:rsidR="00F36850" w:rsidRPr="006070EA">
        <w:rPr>
          <w:rFonts w:asciiTheme="majorHAnsi" w:hAnsiTheme="majorHAnsi" w:cstheme="majorHAnsi"/>
          <w:sz w:val="18"/>
          <w:szCs w:val="18"/>
        </w:rPr>
        <w:t xml:space="preserve"> obce</w:t>
      </w:r>
      <w:r w:rsidR="00997EFB" w:rsidRPr="006070EA">
        <w:rPr>
          <w:rFonts w:asciiTheme="majorHAnsi" w:hAnsiTheme="majorHAnsi" w:cstheme="majorHAnsi"/>
          <w:sz w:val="18"/>
          <w:szCs w:val="18"/>
        </w:rPr>
        <w:t>. Na základě výše uvedeného je k roku 2035 předpokládáno při využití rozvojových příležitostí stanovených územním plánem</w:t>
      </w:r>
      <w:r w:rsidR="00F36850" w:rsidRPr="006070EA">
        <w:rPr>
          <w:rFonts w:asciiTheme="majorHAnsi" w:hAnsiTheme="majorHAnsi" w:cstheme="majorHAnsi"/>
          <w:sz w:val="18"/>
          <w:szCs w:val="18"/>
        </w:rPr>
        <w:t xml:space="preserve"> okolo hodnoty </w:t>
      </w:r>
      <w:r w:rsidR="00997EFB" w:rsidRPr="006070EA">
        <w:rPr>
          <w:rFonts w:asciiTheme="majorHAnsi" w:hAnsiTheme="majorHAnsi" w:cstheme="majorHAnsi"/>
          <w:b/>
          <w:bCs/>
          <w:sz w:val="18"/>
          <w:szCs w:val="18"/>
        </w:rPr>
        <w:t>2 050 obyvatel v r. 2035</w:t>
      </w:r>
      <w:r w:rsidR="00F36850" w:rsidRPr="006070EA">
        <w:rPr>
          <w:rFonts w:asciiTheme="majorHAnsi" w:hAnsiTheme="majorHAnsi" w:cstheme="majorHAnsi"/>
          <w:sz w:val="18"/>
          <w:szCs w:val="18"/>
        </w:rPr>
        <w:t>.</w:t>
      </w:r>
    </w:p>
    <w:p w14:paraId="481C931B" w14:textId="77777777" w:rsidR="00B9741F" w:rsidRPr="006070EA" w:rsidRDefault="00B9741F" w:rsidP="00F90B15">
      <w:pPr>
        <w:pStyle w:val="Odstavecseseznamem"/>
        <w:keepNext/>
        <w:numPr>
          <w:ilvl w:val="1"/>
          <w:numId w:val="29"/>
        </w:numPr>
        <w:spacing w:before="160" w:after="120" w:line="240" w:lineRule="auto"/>
        <w:ind w:left="709" w:hanging="709"/>
        <w:contextualSpacing w:val="0"/>
        <w:outlineLvl w:val="1"/>
        <w:rPr>
          <w:rFonts w:asciiTheme="majorHAnsi" w:hAnsiTheme="majorHAnsi" w:cstheme="majorHAnsi"/>
          <w:b/>
          <w:sz w:val="24"/>
          <w:szCs w:val="20"/>
        </w:rPr>
      </w:pPr>
      <w:bookmarkStart w:id="187" w:name="_Toc204678181"/>
      <w:r w:rsidRPr="006070EA">
        <w:rPr>
          <w:rFonts w:asciiTheme="majorHAnsi" w:hAnsiTheme="majorHAnsi" w:cstheme="majorHAnsi"/>
          <w:b/>
          <w:sz w:val="24"/>
          <w:szCs w:val="20"/>
        </w:rPr>
        <w:lastRenderedPageBreak/>
        <w:t>Vývoj domovního a bytového fondu</w:t>
      </w:r>
      <w:bookmarkEnd w:id="187"/>
    </w:p>
    <w:p w14:paraId="0B443FB0" w14:textId="77777777" w:rsidR="007266DF" w:rsidRPr="006070EA" w:rsidRDefault="007266DF" w:rsidP="00F90B15">
      <w:pPr>
        <w:pStyle w:val="Mra2-reakceern"/>
        <w:keepNext/>
        <w:pBdr>
          <w:left w:val="none" w:sz="0" w:space="0" w:color="auto"/>
        </w:pBdr>
        <w:shd w:val="clear" w:color="auto" w:fill="F2F2F2" w:themeFill="background1" w:themeFillShade="F2"/>
        <w:spacing w:before="120" w:after="120"/>
        <w:ind w:left="0"/>
        <w:rPr>
          <w:rFonts w:asciiTheme="majorHAnsi" w:hAnsiTheme="majorHAnsi" w:cstheme="majorHAnsi"/>
          <w:b/>
          <w:color w:val="auto"/>
          <w:sz w:val="20"/>
        </w:rPr>
      </w:pPr>
      <w:r w:rsidRPr="006070EA">
        <w:rPr>
          <w:rFonts w:asciiTheme="majorHAnsi" w:hAnsiTheme="majorHAnsi" w:cstheme="majorHAnsi"/>
          <w:b/>
          <w:color w:val="auto"/>
          <w:sz w:val="20"/>
        </w:rPr>
        <w:t>Vývoj počtu domů a bytů</w:t>
      </w:r>
    </w:p>
    <w:p w14:paraId="6D57327E" w14:textId="18E81162" w:rsidR="002F3880" w:rsidRPr="006070EA" w:rsidRDefault="002F3880" w:rsidP="00F90B15">
      <w:pPr>
        <w:pStyle w:val="Atext"/>
        <w:keepLines/>
        <w:rPr>
          <w:rFonts w:asciiTheme="majorHAnsi" w:hAnsiTheme="majorHAnsi" w:cstheme="majorHAnsi"/>
          <w:color w:val="000000"/>
          <w:szCs w:val="18"/>
        </w:rPr>
      </w:pPr>
      <w:r w:rsidRPr="006070EA">
        <w:rPr>
          <w:rFonts w:asciiTheme="majorHAnsi" w:hAnsiTheme="majorHAnsi" w:cstheme="majorHAnsi"/>
          <w:color w:val="000000"/>
          <w:szCs w:val="18"/>
        </w:rPr>
        <w:t xml:space="preserve">Vývoj počtu domů v Kostomlatech nad Labem přibližuje následující tabulka. Z té je patrný rostoucí trend zejména po roce 1980 až do současnosti, přestože byl mezi lety 1950 </w:t>
      </w:r>
      <w:r w:rsidR="00EA2C09" w:rsidRPr="006070EA">
        <w:rPr>
          <w:rFonts w:asciiTheme="majorHAnsi" w:hAnsiTheme="majorHAnsi" w:cstheme="majorHAnsi"/>
          <w:color w:val="000000"/>
          <w:szCs w:val="18"/>
        </w:rPr>
        <w:t>–</w:t>
      </w:r>
      <w:r w:rsidRPr="006070EA">
        <w:rPr>
          <w:rFonts w:asciiTheme="majorHAnsi" w:hAnsiTheme="majorHAnsi" w:cstheme="majorHAnsi"/>
          <w:color w:val="000000"/>
          <w:szCs w:val="18"/>
        </w:rPr>
        <w:t xml:space="preserve"> 1980 zaznamenán stavební úpadek (situace souvisí zejména se stěhováním obyvatelstva na sídliště do velkých měst). Dnešní trendy suburbanizace však napomáhají stavebnímu rozvoji na venkově </w:t>
      </w:r>
      <w:r w:rsidR="00EA2C09" w:rsidRPr="006070EA">
        <w:rPr>
          <w:rFonts w:asciiTheme="majorHAnsi" w:hAnsiTheme="majorHAnsi" w:cstheme="majorHAnsi"/>
          <w:color w:val="000000"/>
          <w:szCs w:val="18"/>
        </w:rPr>
        <w:t>a v dostupných obcích v zázemí velkých měst –</w:t>
      </w:r>
      <w:r w:rsidRPr="006070EA">
        <w:rPr>
          <w:rFonts w:asciiTheme="majorHAnsi" w:hAnsiTheme="majorHAnsi" w:cstheme="majorHAnsi"/>
          <w:color w:val="000000"/>
          <w:szCs w:val="18"/>
        </w:rPr>
        <w:t xml:space="preserve"> a tak je i v Kostomlatech nad Labem zaznamenáno historické maximum v roce 2011 (676 domů).</w:t>
      </w:r>
    </w:p>
    <w:p w14:paraId="45390502" w14:textId="77777777" w:rsidR="002F3880" w:rsidRPr="006070EA" w:rsidRDefault="002F3880" w:rsidP="002F3880">
      <w:pPr>
        <w:pStyle w:val="Atext"/>
        <w:rPr>
          <w:rFonts w:asciiTheme="majorHAnsi" w:hAnsiTheme="majorHAnsi" w:cstheme="majorHAnsi"/>
          <w:color w:val="000000"/>
          <w:szCs w:val="18"/>
        </w:rPr>
      </w:pPr>
      <w:r w:rsidRPr="006070EA">
        <w:rPr>
          <w:rFonts w:asciiTheme="majorHAnsi" w:hAnsiTheme="majorHAnsi" w:cstheme="majorHAnsi"/>
          <w:color w:val="000000"/>
          <w:szCs w:val="18"/>
        </w:rPr>
        <w:t>S ohledem na stávající trend vývoje počtu domů v Kostomlatech nad Labem lze i do budoucna očekávat stabilní stavební růst a požadavky na výstavbu objektů k bydlení.</w:t>
      </w:r>
    </w:p>
    <w:p w14:paraId="0F6DCE13" w14:textId="78415546" w:rsidR="002F3880" w:rsidRPr="006070EA" w:rsidRDefault="002F3880" w:rsidP="00EA2C09">
      <w:pPr>
        <w:pStyle w:val="Atextkurzva"/>
        <w:keepNext/>
        <w:spacing w:after="60"/>
        <w:rPr>
          <w:rFonts w:asciiTheme="majorHAnsi" w:hAnsiTheme="majorHAnsi" w:cstheme="majorHAnsi"/>
          <w:color w:val="000000"/>
          <w:szCs w:val="18"/>
        </w:rPr>
      </w:pPr>
      <w:r w:rsidRPr="006070EA">
        <w:rPr>
          <w:rFonts w:asciiTheme="majorHAnsi" w:hAnsiTheme="majorHAnsi" w:cstheme="majorHAnsi"/>
          <w:color w:val="000000"/>
          <w:szCs w:val="18"/>
        </w:rPr>
        <w:t>Tab. Dlouhodobý vývoj počtu domů v letech 1869 – 2011</w:t>
      </w:r>
    </w:p>
    <w:tbl>
      <w:tblPr>
        <w:tblW w:w="9010" w:type="dxa"/>
        <w:jc w:val="center"/>
        <w:tblLayout w:type="fixed"/>
        <w:tblLook w:val="04A0" w:firstRow="1" w:lastRow="0" w:firstColumn="1" w:lastColumn="0" w:noHBand="0" w:noVBand="1"/>
      </w:tblPr>
      <w:tblGrid>
        <w:gridCol w:w="680"/>
        <w:gridCol w:w="595"/>
        <w:gridCol w:w="595"/>
        <w:gridCol w:w="595"/>
        <w:gridCol w:w="595"/>
        <w:gridCol w:w="595"/>
        <w:gridCol w:w="595"/>
        <w:gridCol w:w="595"/>
        <w:gridCol w:w="595"/>
        <w:gridCol w:w="595"/>
        <w:gridCol w:w="595"/>
        <w:gridCol w:w="595"/>
        <w:gridCol w:w="595"/>
        <w:gridCol w:w="595"/>
        <w:gridCol w:w="595"/>
      </w:tblGrid>
      <w:tr w:rsidR="002F3880" w:rsidRPr="006070EA" w14:paraId="696822C5" w14:textId="77777777" w:rsidTr="00EA2C09">
        <w:trPr>
          <w:trHeight w:val="283"/>
          <w:jc w:val="center"/>
        </w:trPr>
        <w:tc>
          <w:tcPr>
            <w:tcW w:w="680" w:type="dxa"/>
            <w:tcBorders>
              <w:top w:val="nil"/>
              <w:left w:val="nil"/>
              <w:bottom w:val="single" w:sz="12" w:space="0" w:color="auto"/>
              <w:right w:val="single" w:sz="12" w:space="0" w:color="auto"/>
            </w:tcBorders>
            <w:shd w:val="clear" w:color="auto" w:fill="auto"/>
            <w:vAlign w:val="center"/>
            <w:hideMark/>
          </w:tcPr>
          <w:p w14:paraId="22230EE4" w14:textId="77777777" w:rsidR="002F3880" w:rsidRPr="006070EA" w:rsidRDefault="002F3880" w:rsidP="00EA2C09">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rok</w:t>
            </w:r>
          </w:p>
        </w:tc>
        <w:tc>
          <w:tcPr>
            <w:tcW w:w="595" w:type="dxa"/>
            <w:tcBorders>
              <w:top w:val="nil"/>
              <w:left w:val="single" w:sz="12" w:space="0" w:color="auto"/>
              <w:bottom w:val="single" w:sz="12" w:space="0" w:color="auto"/>
              <w:right w:val="single" w:sz="12" w:space="0" w:color="auto"/>
            </w:tcBorders>
            <w:shd w:val="clear" w:color="auto" w:fill="auto"/>
            <w:vAlign w:val="center"/>
            <w:hideMark/>
          </w:tcPr>
          <w:p w14:paraId="35FF03E4" w14:textId="77777777" w:rsidR="002F3880" w:rsidRPr="006070EA" w:rsidRDefault="002F3880" w:rsidP="00EA2C09">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1869</w:t>
            </w:r>
          </w:p>
        </w:tc>
        <w:tc>
          <w:tcPr>
            <w:tcW w:w="595" w:type="dxa"/>
            <w:tcBorders>
              <w:top w:val="nil"/>
              <w:left w:val="single" w:sz="12" w:space="0" w:color="auto"/>
              <w:bottom w:val="single" w:sz="12" w:space="0" w:color="auto"/>
              <w:right w:val="single" w:sz="12" w:space="0" w:color="auto"/>
            </w:tcBorders>
            <w:shd w:val="clear" w:color="auto" w:fill="auto"/>
            <w:vAlign w:val="center"/>
            <w:hideMark/>
          </w:tcPr>
          <w:p w14:paraId="1345221D" w14:textId="77777777" w:rsidR="002F3880" w:rsidRPr="006070EA" w:rsidRDefault="002F3880" w:rsidP="00EA2C09">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1880</w:t>
            </w:r>
          </w:p>
        </w:tc>
        <w:tc>
          <w:tcPr>
            <w:tcW w:w="595" w:type="dxa"/>
            <w:tcBorders>
              <w:top w:val="nil"/>
              <w:left w:val="single" w:sz="12" w:space="0" w:color="auto"/>
              <w:bottom w:val="single" w:sz="12" w:space="0" w:color="auto"/>
              <w:right w:val="single" w:sz="12" w:space="0" w:color="auto"/>
            </w:tcBorders>
            <w:shd w:val="clear" w:color="auto" w:fill="auto"/>
            <w:vAlign w:val="center"/>
            <w:hideMark/>
          </w:tcPr>
          <w:p w14:paraId="5E3A75AB" w14:textId="77777777" w:rsidR="002F3880" w:rsidRPr="006070EA" w:rsidRDefault="002F3880" w:rsidP="00EA2C09">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1890</w:t>
            </w:r>
          </w:p>
        </w:tc>
        <w:tc>
          <w:tcPr>
            <w:tcW w:w="595" w:type="dxa"/>
            <w:tcBorders>
              <w:top w:val="nil"/>
              <w:left w:val="single" w:sz="12" w:space="0" w:color="auto"/>
              <w:bottom w:val="single" w:sz="12" w:space="0" w:color="auto"/>
              <w:right w:val="single" w:sz="12" w:space="0" w:color="auto"/>
            </w:tcBorders>
            <w:shd w:val="clear" w:color="auto" w:fill="auto"/>
            <w:vAlign w:val="center"/>
            <w:hideMark/>
          </w:tcPr>
          <w:p w14:paraId="03C117BD" w14:textId="77777777" w:rsidR="002F3880" w:rsidRPr="006070EA" w:rsidRDefault="002F3880" w:rsidP="00EA2C09">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1900</w:t>
            </w:r>
          </w:p>
        </w:tc>
        <w:tc>
          <w:tcPr>
            <w:tcW w:w="595" w:type="dxa"/>
            <w:tcBorders>
              <w:top w:val="nil"/>
              <w:left w:val="single" w:sz="12" w:space="0" w:color="auto"/>
              <w:bottom w:val="single" w:sz="12" w:space="0" w:color="auto"/>
              <w:right w:val="single" w:sz="12" w:space="0" w:color="auto"/>
            </w:tcBorders>
            <w:shd w:val="clear" w:color="auto" w:fill="auto"/>
            <w:vAlign w:val="center"/>
            <w:hideMark/>
          </w:tcPr>
          <w:p w14:paraId="21B84F61" w14:textId="77777777" w:rsidR="002F3880" w:rsidRPr="006070EA" w:rsidRDefault="002F3880" w:rsidP="00EA2C09">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1910</w:t>
            </w:r>
          </w:p>
        </w:tc>
        <w:tc>
          <w:tcPr>
            <w:tcW w:w="595" w:type="dxa"/>
            <w:tcBorders>
              <w:top w:val="nil"/>
              <w:left w:val="single" w:sz="12" w:space="0" w:color="auto"/>
              <w:bottom w:val="single" w:sz="12" w:space="0" w:color="auto"/>
              <w:right w:val="single" w:sz="12" w:space="0" w:color="auto"/>
            </w:tcBorders>
            <w:shd w:val="clear" w:color="auto" w:fill="auto"/>
            <w:vAlign w:val="center"/>
            <w:hideMark/>
          </w:tcPr>
          <w:p w14:paraId="36CA0C0A" w14:textId="77777777" w:rsidR="002F3880" w:rsidRPr="006070EA" w:rsidRDefault="002F3880" w:rsidP="00EA2C09">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1921</w:t>
            </w:r>
          </w:p>
        </w:tc>
        <w:tc>
          <w:tcPr>
            <w:tcW w:w="595" w:type="dxa"/>
            <w:tcBorders>
              <w:top w:val="nil"/>
              <w:left w:val="single" w:sz="12" w:space="0" w:color="auto"/>
              <w:bottom w:val="single" w:sz="12" w:space="0" w:color="auto"/>
              <w:right w:val="single" w:sz="12" w:space="0" w:color="auto"/>
            </w:tcBorders>
            <w:shd w:val="clear" w:color="auto" w:fill="auto"/>
            <w:vAlign w:val="center"/>
            <w:hideMark/>
          </w:tcPr>
          <w:p w14:paraId="003CA045" w14:textId="77777777" w:rsidR="002F3880" w:rsidRPr="006070EA" w:rsidRDefault="002F3880" w:rsidP="00EA2C09">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1930</w:t>
            </w:r>
          </w:p>
        </w:tc>
        <w:tc>
          <w:tcPr>
            <w:tcW w:w="595" w:type="dxa"/>
            <w:tcBorders>
              <w:top w:val="nil"/>
              <w:left w:val="single" w:sz="12" w:space="0" w:color="auto"/>
              <w:bottom w:val="single" w:sz="12" w:space="0" w:color="auto"/>
              <w:right w:val="single" w:sz="12" w:space="0" w:color="auto"/>
            </w:tcBorders>
            <w:shd w:val="clear" w:color="auto" w:fill="auto"/>
            <w:vAlign w:val="center"/>
            <w:hideMark/>
          </w:tcPr>
          <w:p w14:paraId="30DD393B" w14:textId="77777777" w:rsidR="002F3880" w:rsidRPr="006070EA" w:rsidRDefault="002F3880" w:rsidP="00EA2C09">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1950</w:t>
            </w:r>
          </w:p>
        </w:tc>
        <w:tc>
          <w:tcPr>
            <w:tcW w:w="595" w:type="dxa"/>
            <w:tcBorders>
              <w:top w:val="nil"/>
              <w:left w:val="single" w:sz="12" w:space="0" w:color="auto"/>
              <w:bottom w:val="single" w:sz="12" w:space="0" w:color="auto"/>
              <w:right w:val="single" w:sz="12" w:space="0" w:color="auto"/>
            </w:tcBorders>
            <w:shd w:val="clear" w:color="auto" w:fill="auto"/>
            <w:vAlign w:val="center"/>
            <w:hideMark/>
          </w:tcPr>
          <w:p w14:paraId="31E94ED3" w14:textId="77777777" w:rsidR="002F3880" w:rsidRPr="006070EA" w:rsidRDefault="002F3880" w:rsidP="00EA2C09">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1961</w:t>
            </w:r>
          </w:p>
        </w:tc>
        <w:tc>
          <w:tcPr>
            <w:tcW w:w="595" w:type="dxa"/>
            <w:tcBorders>
              <w:top w:val="nil"/>
              <w:left w:val="single" w:sz="12" w:space="0" w:color="auto"/>
              <w:bottom w:val="single" w:sz="12" w:space="0" w:color="auto"/>
              <w:right w:val="single" w:sz="12" w:space="0" w:color="auto"/>
            </w:tcBorders>
            <w:shd w:val="clear" w:color="auto" w:fill="auto"/>
            <w:vAlign w:val="center"/>
            <w:hideMark/>
          </w:tcPr>
          <w:p w14:paraId="5E81B3F7" w14:textId="77777777" w:rsidR="002F3880" w:rsidRPr="006070EA" w:rsidRDefault="002F3880" w:rsidP="00EA2C09">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1970</w:t>
            </w:r>
          </w:p>
        </w:tc>
        <w:tc>
          <w:tcPr>
            <w:tcW w:w="595" w:type="dxa"/>
            <w:tcBorders>
              <w:top w:val="nil"/>
              <w:left w:val="single" w:sz="12" w:space="0" w:color="auto"/>
              <w:bottom w:val="single" w:sz="12" w:space="0" w:color="auto"/>
              <w:right w:val="single" w:sz="12" w:space="0" w:color="auto"/>
            </w:tcBorders>
            <w:shd w:val="clear" w:color="auto" w:fill="auto"/>
            <w:vAlign w:val="center"/>
            <w:hideMark/>
          </w:tcPr>
          <w:p w14:paraId="30E1F73A" w14:textId="77777777" w:rsidR="002F3880" w:rsidRPr="006070EA" w:rsidRDefault="002F3880" w:rsidP="00EA2C09">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1980</w:t>
            </w:r>
          </w:p>
        </w:tc>
        <w:tc>
          <w:tcPr>
            <w:tcW w:w="595" w:type="dxa"/>
            <w:tcBorders>
              <w:top w:val="nil"/>
              <w:left w:val="single" w:sz="12" w:space="0" w:color="auto"/>
              <w:bottom w:val="single" w:sz="12" w:space="0" w:color="auto"/>
              <w:right w:val="single" w:sz="12" w:space="0" w:color="auto"/>
            </w:tcBorders>
            <w:shd w:val="clear" w:color="auto" w:fill="auto"/>
            <w:vAlign w:val="center"/>
            <w:hideMark/>
          </w:tcPr>
          <w:p w14:paraId="67D64682" w14:textId="77777777" w:rsidR="002F3880" w:rsidRPr="006070EA" w:rsidRDefault="002F3880" w:rsidP="00EA2C09">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1991</w:t>
            </w:r>
          </w:p>
        </w:tc>
        <w:tc>
          <w:tcPr>
            <w:tcW w:w="595" w:type="dxa"/>
            <w:tcBorders>
              <w:top w:val="nil"/>
              <w:left w:val="single" w:sz="12" w:space="0" w:color="auto"/>
              <w:bottom w:val="single" w:sz="12" w:space="0" w:color="auto"/>
              <w:right w:val="nil"/>
            </w:tcBorders>
            <w:shd w:val="clear" w:color="auto" w:fill="auto"/>
            <w:vAlign w:val="center"/>
            <w:hideMark/>
          </w:tcPr>
          <w:p w14:paraId="225BCC49" w14:textId="77777777" w:rsidR="002F3880" w:rsidRPr="006070EA" w:rsidRDefault="002F3880" w:rsidP="00EA2C09">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2001</w:t>
            </w:r>
          </w:p>
        </w:tc>
        <w:tc>
          <w:tcPr>
            <w:tcW w:w="595" w:type="dxa"/>
            <w:tcBorders>
              <w:top w:val="nil"/>
              <w:left w:val="single" w:sz="12" w:space="0" w:color="auto"/>
              <w:bottom w:val="single" w:sz="12" w:space="0" w:color="auto"/>
              <w:right w:val="nil"/>
            </w:tcBorders>
            <w:shd w:val="clear" w:color="auto" w:fill="auto"/>
            <w:vAlign w:val="center"/>
            <w:hideMark/>
          </w:tcPr>
          <w:p w14:paraId="36B8C4F1" w14:textId="77777777" w:rsidR="002F3880" w:rsidRPr="006070EA" w:rsidRDefault="002F3880" w:rsidP="00EA2C09">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2011</w:t>
            </w:r>
          </w:p>
        </w:tc>
      </w:tr>
      <w:tr w:rsidR="002F3880" w:rsidRPr="006070EA" w14:paraId="001A8D99" w14:textId="77777777" w:rsidTr="00EA2C09">
        <w:trPr>
          <w:trHeight w:val="283"/>
          <w:jc w:val="center"/>
        </w:trPr>
        <w:tc>
          <w:tcPr>
            <w:tcW w:w="680" w:type="dxa"/>
            <w:tcBorders>
              <w:top w:val="single" w:sz="12" w:space="0" w:color="auto"/>
              <w:left w:val="nil"/>
              <w:bottom w:val="nil"/>
              <w:right w:val="single" w:sz="4" w:space="0" w:color="auto"/>
            </w:tcBorders>
            <w:shd w:val="clear" w:color="auto" w:fill="auto"/>
            <w:vAlign w:val="center"/>
            <w:hideMark/>
          </w:tcPr>
          <w:p w14:paraId="5B0ADBDF" w14:textId="781C4FBC" w:rsidR="002F3880" w:rsidRPr="006070EA" w:rsidRDefault="00EA2C09" w:rsidP="00EA2C09">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P</w:t>
            </w:r>
            <w:r w:rsidR="002F3880" w:rsidRPr="006070EA">
              <w:rPr>
                <w:rFonts w:asciiTheme="majorHAnsi" w:hAnsiTheme="majorHAnsi" w:cstheme="majorHAnsi"/>
                <w:color w:val="000000"/>
                <w:szCs w:val="18"/>
                <w:lang w:val="cs-CZ"/>
              </w:rPr>
              <w:t>oč</w:t>
            </w:r>
            <w:r w:rsidRPr="006070EA">
              <w:rPr>
                <w:rFonts w:asciiTheme="majorHAnsi" w:hAnsiTheme="majorHAnsi" w:cstheme="majorHAnsi"/>
                <w:color w:val="000000"/>
                <w:szCs w:val="18"/>
                <w:lang w:val="cs-CZ"/>
              </w:rPr>
              <w:t>et domů</w:t>
            </w:r>
          </w:p>
        </w:tc>
        <w:tc>
          <w:tcPr>
            <w:tcW w:w="595" w:type="dxa"/>
            <w:tcBorders>
              <w:top w:val="single" w:sz="12" w:space="0" w:color="auto"/>
              <w:left w:val="single" w:sz="4" w:space="0" w:color="auto"/>
              <w:bottom w:val="nil"/>
              <w:right w:val="single" w:sz="4" w:space="0" w:color="auto"/>
            </w:tcBorders>
            <w:shd w:val="clear" w:color="auto" w:fill="auto"/>
            <w:vAlign w:val="center"/>
          </w:tcPr>
          <w:p w14:paraId="4AA1E0F6" w14:textId="77777777" w:rsidR="002F3880" w:rsidRPr="006070EA" w:rsidRDefault="002F3880" w:rsidP="00EA2C09">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217</w:t>
            </w:r>
          </w:p>
        </w:tc>
        <w:tc>
          <w:tcPr>
            <w:tcW w:w="595" w:type="dxa"/>
            <w:tcBorders>
              <w:top w:val="single" w:sz="12" w:space="0" w:color="auto"/>
              <w:left w:val="single" w:sz="4" w:space="0" w:color="auto"/>
              <w:bottom w:val="nil"/>
              <w:right w:val="single" w:sz="4" w:space="0" w:color="auto"/>
            </w:tcBorders>
            <w:shd w:val="clear" w:color="auto" w:fill="auto"/>
            <w:vAlign w:val="center"/>
          </w:tcPr>
          <w:p w14:paraId="3F402D3C" w14:textId="77777777" w:rsidR="002F3880" w:rsidRPr="006070EA" w:rsidRDefault="002F3880" w:rsidP="00EA2C09">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232</w:t>
            </w:r>
          </w:p>
        </w:tc>
        <w:tc>
          <w:tcPr>
            <w:tcW w:w="595" w:type="dxa"/>
            <w:tcBorders>
              <w:top w:val="single" w:sz="12" w:space="0" w:color="auto"/>
              <w:left w:val="single" w:sz="4" w:space="0" w:color="auto"/>
              <w:bottom w:val="nil"/>
              <w:right w:val="single" w:sz="4" w:space="0" w:color="auto"/>
            </w:tcBorders>
            <w:shd w:val="clear" w:color="auto" w:fill="auto"/>
            <w:vAlign w:val="center"/>
          </w:tcPr>
          <w:p w14:paraId="1C1437E8" w14:textId="77777777" w:rsidR="002F3880" w:rsidRPr="006070EA" w:rsidRDefault="002F3880" w:rsidP="00EA2C09">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238</w:t>
            </w:r>
          </w:p>
        </w:tc>
        <w:tc>
          <w:tcPr>
            <w:tcW w:w="595" w:type="dxa"/>
            <w:tcBorders>
              <w:top w:val="single" w:sz="12" w:space="0" w:color="auto"/>
              <w:left w:val="single" w:sz="4" w:space="0" w:color="auto"/>
              <w:bottom w:val="nil"/>
              <w:right w:val="single" w:sz="4" w:space="0" w:color="auto"/>
            </w:tcBorders>
            <w:shd w:val="clear" w:color="auto" w:fill="auto"/>
            <w:vAlign w:val="center"/>
          </w:tcPr>
          <w:p w14:paraId="4EB18257" w14:textId="77777777" w:rsidR="002F3880" w:rsidRPr="006070EA" w:rsidRDefault="002F3880" w:rsidP="00EA2C09">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248</w:t>
            </w:r>
          </w:p>
        </w:tc>
        <w:tc>
          <w:tcPr>
            <w:tcW w:w="595" w:type="dxa"/>
            <w:tcBorders>
              <w:top w:val="single" w:sz="12" w:space="0" w:color="auto"/>
              <w:left w:val="single" w:sz="4" w:space="0" w:color="auto"/>
              <w:bottom w:val="nil"/>
              <w:right w:val="single" w:sz="4" w:space="0" w:color="auto"/>
            </w:tcBorders>
            <w:shd w:val="clear" w:color="auto" w:fill="auto"/>
            <w:vAlign w:val="center"/>
          </w:tcPr>
          <w:p w14:paraId="0AE23341" w14:textId="77777777" w:rsidR="002F3880" w:rsidRPr="006070EA" w:rsidRDefault="002F3880" w:rsidP="00EA2C09">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287</w:t>
            </w:r>
          </w:p>
        </w:tc>
        <w:tc>
          <w:tcPr>
            <w:tcW w:w="595" w:type="dxa"/>
            <w:tcBorders>
              <w:top w:val="single" w:sz="12" w:space="0" w:color="auto"/>
              <w:left w:val="single" w:sz="4" w:space="0" w:color="auto"/>
              <w:bottom w:val="nil"/>
              <w:right w:val="single" w:sz="4" w:space="0" w:color="auto"/>
            </w:tcBorders>
            <w:shd w:val="clear" w:color="auto" w:fill="auto"/>
            <w:vAlign w:val="center"/>
          </w:tcPr>
          <w:p w14:paraId="22D4EA74" w14:textId="77777777" w:rsidR="002F3880" w:rsidRPr="006070EA" w:rsidRDefault="002F3880" w:rsidP="00EA2C09">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327</w:t>
            </w:r>
          </w:p>
        </w:tc>
        <w:tc>
          <w:tcPr>
            <w:tcW w:w="595" w:type="dxa"/>
            <w:tcBorders>
              <w:top w:val="single" w:sz="12" w:space="0" w:color="auto"/>
              <w:left w:val="single" w:sz="4" w:space="0" w:color="auto"/>
              <w:bottom w:val="nil"/>
              <w:right w:val="single" w:sz="4" w:space="0" w:color="auto"/>
            </w:tcBorders>
            <w:shd w:val="clear" w:color="auto" w:fill="auto"/>
            <w:vAlign w:val="center"/>
          </w:tcPr>
          <w:p w14:paraId="5D333390" w14:textId="77777777" w:rsidR="002F3880" w:rsidRPr="006070EA" w:rsidRDefault="002F3880" w:rsidP="00EA2C09">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435</w:t>
            </w:r>
          </w:p>
        </w:tc>
        <w:tc>
          <w:tcPr>
            <w:tcW w:w="595" w:type="dxa"/>
            <w:tcBorders>
              <w:top w:val="single" w:sz="12" w:space="0" w:color="auto"/>
              <w:left w:val="single" w:sz="4" w:space="0" w:color="auto"/>
              <w:bottom w:val="nil"/>
              <w:right w:val="single" w:sz="4" w:space="0" w:color="auto"/>
            </w:tcBorders>
            <w:shd w:val="clear" w:color="auto" w:fill="auto"/>
            <w:vAlign w:val="center"/>
          </w:tcPr>
          <w:p w14:paraId="104E09D6" w14:textId="77777777" w:rsidR="002F3880" w:rsidRPr="006070EA" w:rsidRDefault="002F3880" w:rsidP="00EA2C09">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527</w:t>
            </w:r>
          </w:p>
        </w:tc>
        <w:tc>
          <w:tcPr>
            <w:tcW w:w="595" w:type="dxa"/>
            <w:tcBorders>
              <w:top w:val="single" w:sz="12" w:space="0" w:color="auto"/>
              <w:left w:val="single" w:sz="4" w:space="0" w:color="auto"/>
              <w:bottom w:val="nil"/>
              <w:right w:val="single" w:sz="4" w:space="0" w:color="auto"/>
            </w:tcBorders>
            <w:shd w:val="clear" w:color="auto" w:fill="auto"/>
            <w:vAlign w:val="center"/>
          </w:tcPr>
          <w:p w14:paraId="1CDC0726" w14:textId="77777777" w:rsidR="002F3880" w:rsidRPr="006070EA" w:rsidRDefault="002F3880" w:rsidP="00EA2C09">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509</w:t>
            </w:r>
          </w:p>
        </w:tc>
        <w:tc>
          <w:tcPr>
            <w:tcW w:w="595" w:type="dxa"/>
            <w:tcBorders>
              <w:top w:val="single" w:sz="12" w:space="0" w:color="auto"/>
              <w:left w:val="single" w:sz="4" w:space="0" w:color="auto"/>
              <w:bottom w:val="nil"/>
              <w:right w:val="single" w:sz="4" w:space="0" w:color="auto"/>
            </w:tcBorders>
            <w:shd w:val="clear" w:color="auto" w:fill="auto"/>
            <w:vAlign w:val="center"/>
          </w:tcPr>
          <w:p w14:paraId="400AFD51" w14:textId="77777777" w:rsidR="002F3880" w:rsidRPr="006070EA" w:rsidRDefault="002F3880" w:rsidP="00EA2C09">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513</w:t>
            </w:r>
          </w:p>
        </w:tc>
        <w:tc>
          <w:tcPr>
            <w:tcW w:w="595" w:type="dxa"/>
            <w:tcBorders>
              <w:top w:val="single" w:sz="12" w:space="0" w:color="auto"/>
              <w:left w:val="single" w:sz="4" w:space="0" w:color="auto"/>
              <w:bottom w:val="nil"/>
              <w:right w:val="single" w:sz="4" w:space="0" w:color="auto"/>
            </w:tcBorders>
            <w:shd w:val="clear" w:color="auto" w:fill="auto"/>
            <w:vAlign w:val="center"/>
          </w:tcPr>
          <w:p w14:paraId="00A4F554" w14:textId="77777777" w:rsidR="002F3880" w:rsidRPr="006070EA" w:rsidRDefault="002F3880" w:rsidP="00EA2C09">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504</w:t>
            </w:r>
          </w:p>
        </w:tc>
        <w:tc>
          <w:tcPr>
            <w:tcW w:w="595" w:type="dxa"/>
            <w:tcBorders>
              <w:top w:val="single" w:sz="12" w:space="0" w:color="auto"/>
              <w:left w:val="single" w:sz="4" w:space="0" w:color="auto"/>
              <w:bottom w:val="nil"/>
              <w:right w:val="single" w:sz="4" w:space="0" w:color="auto"/>
            </w:tcBorders>
            <w:shd w:val="clear" w:color="auto" w:fill="auto"/>
            <w:vAlign w:val="center"/>
          </w:tcPr>
          <w:p w14:paraId="53645661" w14:textId="77777777" w:rsidR="002F3880" w:rsidRPr="006070EA" w:rsidRDefault="002F3880" w:rsidP="00EA2C09">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580</w:t>
            </w:r>
          </w:p>
        </w:tc>
        <w:tc>
          <w:tcPr>
            <w:tcW w:w="595" w:type="dxa"/>
            <w:tcBorders>
              <w:top w:val="single" w:sz="12" w:space="0" w:color="auto"/>
              <w:left w:val="single" w:sz="4" w:space="0" w:color="auto"/>
              <w:bottom w:val="nil"/>
              <w:right w:val="nil"/>
            </w:tcBorders>
            <w:shd w:val="clear" w:color="auto" w:fill="auto"/>
            <w:vAlign w:val="center"/>
          </w:tcPr>
          <w:p w14:paraId="4B52B04A" w14:textId="77777777" w:rsidR="002F3880" w:rsidRPr="006070EA" w:rsidRDefault="002F3880" w:rsidP="00EA2C09">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611</w:t>
            </w:r>
          </w:p>
        </w:tc>
        <w:tc>
          <w:tcPr>
            <w:tcW w:w="595" w:type="dxa"/>
            <w:tcBorders>
              <w:top w:val="single" w:sz="12" w:space="0" w:color="auto"/>
              <w:left w:val="single" w:sz="4" w:space="0" w:color="auto"/>
              <w:bottom w:val="nil"/>
              <w:right w:val="nil"/>
            </w:tcBorders>
            <w:shd w:val="clear" w:color="auto" w:fill="auto"/>
            <w:vAlign w:val="center"/>
          </w:tcPr>
          <w:p w14:paraId="3E41DF26" w14:textId="77777777" w:rsidR="002F3880" w:rsidRPr="006070EA" w:rsidRDefault="002F3880" w:rsidP="00EA2C09">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676</w:t>
            </w:r>
          </w:p>
        </w:tc>
      </w:tr>
    </w:tbl>
    <w:p w14:paraId="15B6E36D" w14:textId="77777777" w:rsidR="002F3880" w:rsidRPr="006070EA" w:rsidRDefault="002F3880" w:rsidP="00EA2C09">
      <w:pPr>
        <w:pStyle w:val="Atextkurzva"/>
        <w:keepNext/>
        <w:spacing w:after="60"/>
        <w:rPr>
          <w:rFonts w:asciiTheme="majorHAnsi" w:hAnsiTheme="majorHAnsi" w:cstheme="majorHAnsi"/>
          <w:color w:val="000000"/>
          <w:szCs w:val="18"/>
        </w:rPr>
      </w:pPr>
      <w:r w:rsidRPr="006070EA">
        <w:rPr>
          <w:rFonts w:asciiTheme="majorHAnsi" w:hAnsiTheme="majorHAnsi" w:cstheme="majorHAnsi"/>
          <w:color w:val="000000"/>
          <w:szCs w:val="18"/>
        </w:rPr>
        <w:t>Graf: Dlouhodobý vývoj počtu domů v Kostomlatech nad Labem 1869 – 2011</w:t>
      </w:r>
    </w:p>
    <w:p w14:paraId="243F92F5" w14:textId="4820B60B" w:rsidR="002F3880" w:rsidRPr="006070EA" w:rsidRDefault="002F3880" w:rsidP="002F3880">
      <w:pPr>
        <w:pStyle w:val="Atextkurzva"/>
        <w:keepNext/>
        <w:rPr>
          <w:rFonts w:asciiTheme="majorHAnsi" w:hAnsiTheme="majorHAnsi" w:cstheme="majorHAnsi"/>
          <w:color w:val="000000"/>
          <w:szCs w:val="18"/>
        </w:rPr>
      </w:pPr>
      <w:r w:rsidRPr="006070EA">
        <w:rPr>
          <w:rFonts w:asciiTheme="majorHAnsi" w:hAnsiTheme="majorHAnsi" w:cstheme="majorHAnsi"/>
          <w:noProof/>
          <w:color w:val="000000"/>
          <w:szCs w:val="18"/>
          <w:lang w:eastAsia="cs-CZ"/>
        </w:rPr>
        <w:drawing>
          <wp:inline distT="0" distB="0" distL="0" distR="0" wp14:anchorId="05F6EFB9" wp14:editId="507DB434">
            <wp:extent cx="5565775" cy="3187700"/>
            <wp:effectExtent l="0" t="0" r="0" b="0"/>
            <wp:docPr id="63" name="Graf 6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45C9242D" w14:textId="77777777" w:rsidR="00B87807" w:rsidRPr="006070EA" w:rsidRDefault="00B87807" w:rsidP="00B87807">
      <w:pPr>
        <w:spacing w:after="60" w:line="240" w:lineRule="auto"/>
        <w:ind w:firstLine="709"/>
        <w:jc w:val="both"/>
        <w:rPr>
          <w:rFonts w:asciiTheme="majorHAnsi" w:hAnsiTheme="majorHAnsi" w:cstheme="majorHAnsi"/>
          <w:bCs/>
          <w:iCs/>
          <w:sz w:val="18"/>
          <w:szCs w:val="18"/>
        </w:rPr>
      </w:pPr>
      <w:r w:rsidRPr="006070EA">
        <w:rPr>
          <w:rFonts w:asciiTheme="majorHAnsi" w:hAnsiTheme="majorHAnsi" w:cstheme="majorHAnsi"/>
          <w:bCs/>
          <w:iCs/>
          <w:sz w:val="18"/>
          <w:szCs w:val="18"/>
        </w:rPr>
        <w:t xml:space="preserve">Nelze opomenout, že v historii docházelo k nárůstu počtu domů na území obce i přes demografický pokles či stagnaci, viz graf výše. Tento trend je možný pozorovat zejména od r. 1980, přičemž jej lze přisuzovat zejména tendencím snižování míry nechtěného soužití a klesajícího počtu lidí v jedné domácnosti, či zvyšující se oblibě rodinné rekreace. S ohledem na stávající trendy bydlení lze v této souvislosti do budoucna očekávat rostoucí požadavky na výstavbu objektů k bydlení. </w:t>
      </w:r>
    </w:p>
    <w:p w14:paraId="29E28E76" w14:textId="77777777" w:rsidR="002F3880" w:rsidRPr="006070EA" w:rsidRDefault="002F3880" w:rsidP="00EA2C09">
      <w:pPr>
        <w:pStyle w:val="Atextkurzva"/>
        <w:keepNext/>
        <w:spacing w:after="60"/>
        <w:rPr>
          <w:rFonts w:asciiTheme="majorHAnsi" w:hAnsiTheme="majorHAnsi" w:cstheme="majorHAnsi"/>
          <w:color w:val="000000"/>
          <w:szCs w:val="18"/>
        </w:rPr>
      </w:pPr>
      <w:r w:rsidRPr="006070EA">
        <w:rPr>
          <w:rFonts w:asciiTheme="majorHAnsi" w:hAnsiTheme="majorHAnsi" w:cstheme="majorHAnsi"/>
          <w:color w:val="000000"/>
          <w:szCs w:val="18"/>
        </w:rPr>
        <w:t>Tab. Domovní fond v Kostomlatech nad Labem – domy (k 26. 3. 2011, dle ČSÚ)</w:t>
      </w:r>
    </w:p>
    <w:tbl>
      <w:tblPr>
        <w:tblW w:w="0" w:type="auto"/>
        <w:jc w:val="center"/>
        <w:tblBorders>
          <w:insideH w:val="single" w:sz="6" w:space="0" w:color="000000"/>
          <w:insideV w:val="single" w:sz="6" w:space="0" w:color="000000"/>
        </w:tblBorders>
        <w:tblLook w:val="04A0" w:firstRow="1" w:lastRow="0" w:firstColumn="1" w:lastColumn="0" w:noHBand="0" w:noVBand="1"/>
      </w:tblPr>
      <w:tblGrid>
        <w:gridCol w:w="1275"/>
        <w:gridCol w:w="1275"/>
        <w:gridCol w:w="1275"/>
        <w:gridCol w:w="1275"/>
        <w:gridCol w:w="1276"/>
        <w:gridCol w:w="1276"/>
        <w:gridCol w:w="1276"/>
      </w:tblGrid>
      <w:tr w:rsidR="002F3880" w:rsidRPr="006070EA" w14:paraId="0A267919" w14:textId="77777777" w:rsidTr="00EA2C09">
        <w:trPr>
          <w:jc w:val="center"/>
        </w:trPr>
        <w:tc>
          <w:tcPr>
            <w:tcW w:w="1275" w:type="dxa"/>
            <w:shd w:val="clear" w:color="auto" w:fill="auto"/>
            <w:vAlign w:val="center"/>
          </w:tcPr>
          <w:p w14:paraId="12E2318D" w14:textId="77777777" w:rsidR="002F3880" w:rsidRPr="006070EA" w:rsidRDefault="002F3880" w:rsidP="00EA2C09">
            <w:pPr>
              <w:pStyle w:val="Atextkurzva"/>
              <w:keepNext/>
              <w:spacing w:before="0" w:after="0"/>
              <w:jc w:val="center"/>
              <w:rPr>
                <w:rFonts w:asciiTheme="majorHAnsi" w:hAnsiTheme="majorHAnsi" w:cstheme="majorHAnsi"/>
                <w:b/>
                <w:bCs/>
                <w:i w:val="0"/>
                <w:color w:val="000000"/>
                <w:szCs w:val="18"/>
              </w:rPr>
            </w:pPr>
            <w:r w:rsidRPr="006070EA">
              <w:rPr>
                <w:rFonts w:asciiTheme="majorHAnsi" w:hAnsiTheme="majorHAnsi" w:cstheme="majorHAnsi"/>
                <w:b/>
                <w:bCs/>
                <w:i w:val="0"/>
                <w:color w:val="000000"/>
                <w:szCs w:val="18"/>
              </w:rPr>
              <w:t>Počet domů</w:t>
            </w:r>
          </w:p>
        </w:tc>
        <w:tc>
          <w:tcPr>
            <w:tcW w:w="1275" w:type="dxa"/>
            <w:shd w:val="clear" w:color="auto" w:fill="auto"/>
            <w:vAlign w:val="center"/>
          </w:tcPr>
          <w:p w14:paraId="0A93BC14" w14:textId="77777777" w:rsidR="002F3880" w:rsidRPr="006070EA" w:rsidRDefault="002F3880" w:rsidP="00EA2C09">
            <w:pPr>
              <w:pStyle w:val="Atextkurzva"/>
              <w:keepNext/>
              <w:spacing w:before="0" w:after="0"/>
              <w:jc w:val="center"/>
              <w:rPr>
                <w:rFonts w:asciiTheme="majorHAnsi" w:hAnsiTheme="majorHAnsi" w:cstheme="majorHAnsi"/>
                <w:b/>
                <w:bCs/>
                <w:i w:val="0"/>
                <w:color w:val="000000"/>
                <w:szCs w:val="18"/>
              </w:rPr>
            </w:pPr>
            <w:r w:rsidRPr="006070EA">
              <w:rPr>
                <w:rFonts w:asciiTheme="majorHAnsi" w:hAnsiTheme="majorHAnsi" w:cstheme="majorHAnsi"/>
                <w:b/>
                <w:bCs/>
                <w:i w:val="0"/>
                <w:color w:val="000000"/>
                <w:szCs w:val="18"/>
              </w:rPr>
              <w:t>Počet obydlených domů</w:t>
            </w:r>
          </w:p>
        </w:tc>
        <w:tc>
          <w:tcPr>
            <w:tcW w:w="1275" w:type="dxa"/>
            <w:shd w:val="clear" w:color="auto" w:fill="auto"/>
            <w:vAlign w:val="center"/>
          </w:tcPr>
          <w:p w14:paraId="60A2F42D" w14:textId="77777777" w:rsidR="002F3880" w:rsidRPr="006070EA" w:rsidRDefault="002F3880" w:rsidP="00EA2C09">
            <w:pPr>
              <w:pStyle w:val="Atextkurzva"/>
              <w:keepNext/>
              <w:spacing w:before="0" w:after="0"/>
              <w:jc w:val="center"/>
              <w:rPr>
                <w:rFonts w:asciiTheme="majorHAnsi" w:hAnsiTheme="majorHAnsi" w:cstheme="majorHAnsi"/>
                <w:b/>
                <w:bCs/>
                <w:i w:val="0"/>
                <w:color w:val="000000"/>
                <w:szCs w:val="18"/>
              </w:rPr>
            </w:pPr>
            <w:r w:rsidRPr="006070EA">
              <w:rPr>
                <w:rFonts w:asciiTheme="majorHAnsi" w:hAnsiTheme="majorHAnsi" w:cstheme="majorHAnsi"/>
                <w:b/>
                <w:bCs/>
                <w:i w:val="0"/>
                <w:color w:val="000000"/>
                <w:szCs w:val="18"/>
              </w:rPr>
              <w:t>Počet obydlených bytů</w:t>
            </w:r>
          </w:p>
        </w:tc>
        <w:tc>
          <w:tcPr>
            <w:tcW w:w="1275" w:type="dxa"/>
            <w:shd w:val="clear" w:color="auto" w:fill="auto"/>
            <w:vAlign w:val="center"/>
          </w:tcPr>
          <w:p w14:paraId="667E42EE" w14:textId="77777777" w:rsidR="002F3880" w:rsidRPr="006070EA" w:rsidRDefault="002F3880" w:rsidP="00EA2C09">
            <w:pPr>
              <w:pStyle w:val="Atextkurzva"/>
              <w:keepNext/>
              <w:spacing w:before="0" w:after="0"/>
              <w:jc w:val="center"/>
              <w:rPr>
                <w:rFonts w:asciiTheme="majorHAnsi" w:hAnsiTheme="majorHAnsi" w:cstheme="majorHAnsi"/>
                <w:b/>
                <w:bCs/>
                <w:i w:val="0"/>
                <w:color w:val="000000"/>
                <w:szCs w:val="18"/>
              </w:rPr>
            </w:pPr>
            <w:r w:rsidRPr="006070EA">
              <w:rPr>
                <w:rFonts w:asciiTheme="majorHAnsi" w:hAnsiTheme="majorHAnsi" w:cstheme="majorHAnsi"/>
                <w:b/>
                <w:bCs/>
                <w:i w:val="0"/>
                <w:color w:val="000000"/>
                <w:szCs w:val="18"/>
              </w:rPr>
              <w:t>Počet neobydlených bytů sloužících k rekreaci</w:t>
            </w:r>
          </w:p>
        </w:tc>
        <w:tc>
          <w:tcPr>
            <w:tcW w:w="1276" w:type="dxa"/>
            <w:shd w:val="clear" w:color="auto" w:fill="auto"/>
            <w:vAlign w:val="center"/>
          </w:tcPr>
          <w:p w14:paraId="14DA8379" w14:textId="12C9F1E7" w:rsidR="002F3880" w:rsidRPr="006070EA" w:rsidRDefault="002F3880" w:rsidP="00EA2C09">
            <w:pPr>
              <w:pStyle w:val="Atextkurzva"/>
              <w:keepNext/>
              <w:spacing w:before="0" w:after="0"/>
              <w:jc w:val="center"/>
              <w:rPr>
                <w:rFonts w:asciiTheme="majorHAnsi" w:hAnsiTheme="majorHAnsi" w:cstheme="majorHAnsi"/>
                <w:b/>
                <w:bCs/>
                <w:i w:val="0"/>
                <w:color w:val="000000"/>
                <w:szCs w:val="18"/>
              </w:rPr>
            </w:pPr>
            <w:r w:rsidRPr="006070EA">
              <w:rPr>
                <w:rFonts w:asciiTheme="majorHAnsi" w:hAnsiTheme="majorHAnsi" w:cstheme="majorHAnsi"/>
                <w:b/>
                <w:bCs/>
                <w:i w:val="0"/>
                <w:color w:val="000000"/>
                <w:szCs w:val="18"/>
              </w:rPr>
              <w:t>Podíl obydl.</w:t>
            </w:r>
            <w:r w:rsidR="00EA2C09" w:rsidRPr="006070EA">
              <w:rPr>
                <w:rFonts w:asciiTheme="majorHAnsi" w:hAnsiTheme="majorHAnsi" w:cstheme="majorHAnsi"/>
                <w:b/>
                <w:bCs/>
                <w:i w:val="0"/>
                <w:color w:val="000000"/>
                <w:szCs w:val="18"/>
              </w:rPr>
              <w:t xml:space="preserve"> </w:t>
            </w:r>
            <w:r w:rsidRPr="006070EA">
              <w:rPr>
                <w:rFonts w:asciiTheme="majorHAnsi" w:hAnsiTheme="majorHAnsi" w:cstheme="majorHAnsi"/>
                <w:b/>
                <w:bCs/>
                <w:i w:val="0"/>
                <w:color w:val="000000"/>
                <w:szCs w:val="18"/>
              </w:rPr>
              <w:t>bytů v rodinných domech na obydl.</w:t>
            </w:r>
            <w:r w:rsidR="00EA2C09" w:rsidRPr="006070EA">
              <w:rPr>
                <w:rFonts w:asciiTheme="majorHAnsi" w:hAnsiTheme="majorHAnsi" w:cstheme="majorHAnsi"/>
                <w:b/>
                <w:bCs/>
                <w:i w:val="0"/>
                <w:color w:val="000000"/>
                <w:szCs w:val="18"/>
              </w:rPr>
              <w:t xml:space="preserve"> </w:t>
            </w:r>
            <w:r w:rsidRPr="006070EA">
              <w:rPr>
                <w:rFonts w:asciiTheme="majorHAnsi" w:hAnsiTheme="majorHAnsi" w:cstheme="majorHAnsi"/>
                <w:b/>
                <w:bCs/>
                <w:i w:val="0"/>
                <w:color w:val="000000"/>
                <w:szCs w:val="18"/>
              </w:rPr>
              <w:t>byty celkem(%)</w:t>
            </w:r>
          </w:p>
        </w:tc>
        <w:tc>
          <w:tcPr>
            <w:tcW w:w="1276" w:type="dxa"/>
            <w:shd w:val="clear" w:color="auto" w:fill="auto"/>
            <w:vAlign w:val="center"/>
          </w:tcPr>
          <w:p w14:paraId="1DF278B9" w14:textId="77777777" w:rsidR="002F3880" w:rsidRPr="006070EA" w:rsidRDefault="002F3880" w:rsidP="00EA2C09">
            <w:pPr>
              <w:pStyle w:val="Atextkurzva"/>
              <w:keepNext/>
              <w:spacing w:before="0" w:after="0"/>
              <w:jc w:val="center"/>
              <w:rPr>
                <w:rFonts w:asciiTheme="majorHAnsi" w:hAnsiTheme="majorHAnsi" w:cstheme="majorHAnsi"/>
                <w:b/>
                <w:bCs/>
                <w:i w:val="0"/>
                <w:color w:val="000000"/>
                <w:szCs w:val="18"/>
              </w:rPr>
            </w:pPr>
            <w:r w:rsidRPr="006070EA">
              <w:rPr>
                <w:rFonts w:asciiTheme="majorHAnsi" w:hAnsiTheme="majorHAnsi" w:cstheme="majorHAnsi"/>
                <w:b/>
                <w:bCs/>
                <w:i w:val="0"/>
                <w:color w:val="000000"/>
                <w:szCs w:val="18"/>
              </w:rPr>
              <w:t>Podíl neobydlených bytů z celkového počtu bytů (%)</w:t>
            </w:r>
          </w:p>
        </w:tc>
        <w:tc>
          <w:tcPr>
            <w:tcW w:w="1276" w:type="dxa"/>
            <w:shd w:val="clear" w:color="auto" w:fill="auto"/>
            <w:vAlign w:val="center"/>
          </w:tcPr>
          <w:p w14:paraId="7A0E1AC9" w14:textId="77777777" w:rsidR="002F3880" w:rsidRPr="006070EA" w:rsidRDefault="002F3880" w:rsidP="00EA2C09">
            <w:pPr>
              <w:pStyle w:val="Atextkurzva"/>
              <w:keepNext/>
              <w:spacing w:before="0" w:after="0"/>
              <w:jc w:val="center"/>
              <w:rPr>
                <w:rFonts w:asciiTheme="majorHAnsi" w:hAnsiTheme="majorHAnsi" w:cstheme="majorHAnsi"/>
                <w:b/>
                <w:bCs/>
                <w:i w:val="0"/>
                <w:color w:val="000000"/>
                <w:szCs w:val="18"/>
              </w:rPr>
            </w:pPr>
            <w:r w:rsidRPr="006070EA">
              <w:rPr>
                <w:rFonts w:asciiTheme="majorHAnsi" w:hAnsiTheme="majorHAnsi" w:cstheme="majorHAnsi"/>
                <w:b/>
                <w:bCs/>
                <w:i w:val="0"/>
                <w:color w:val="000000"/>
                <w:szCs w:val="18"/>
              </w:rPr>
              <w:t>Podíl neobydlených domů z celkového počtu domů celkem (%)</w:t>
            </w:r>
          </w:p>
        </w:tc>
      </w:tr>
      <w:tr w:rsidR="002F3880" w:rsidRPr="006070EA" w14:paraId="1CA6CE7C" w14:textId="77777777" w:rsidTr="00EA2C09">
        <w:trPr>
          <w:jc w:val="center"/>
        </w:trPr>
        <w:tc>
          <w:tcPr>
            <w:tcW w:w="1275" w:type="dxa"/>
            <w:shd w:val="clear" w:color="auto" w:fill="auto"/>
            <w:vAlign w:val="center"/>
          </w:tcPr>
          <w:p w14:paraId="0100731A" w14:textId="77777777" w:rsidR="002F3880" w:rsidRPr="006070EA" w:rsidRDefault="002F3880" w:rsidP="00EA2C09">
            <w:pPr>
              <w:pStyle w:val="Atextkurzva"/>
              <w:keepNext/>
              <w:spacing w:before="0" w:after="0"/>
              <w:jc w:val="center"/>
              <w:rPr>
                <w:rFonts w:asciiTheme="majorHAnsi" w:hAnsiTheme="majorHAnsi" w:cstheme="majorHAnsi"/>
                <w:i w:val="0"/>
                <w:color w:val="000000"/>
                <w:szCs w:val="18"/>
              </w:rPr>
            </w:pPr>
            <w:r w:rsidRPr="006070EA">
              <w:rPr>
                <w:rFonts w:asciiTheme="majorHAnsi" w:hAnsiTheme="majorHAnsi" w:cstheme="majorHAnsi"/>
                <w:i w:val="0"/>
                <w:color w:val="000000"/>
                <w:szCs w:val="18"/>
              </w:rPr>
              <w:t>676</w:t>
            </w:r>
          </w:p>
        </w:tc>
        <w:tc>
          <w:tcPr>
            <w:tcW w:w="1275" w:type="dxa"/>
            <w:shd w:val="clear" w:color="auto" w:fill="auto"/>
            <w:vAlign w:val="center"/>
          </w:tcPr>
          <w:p w14:paraId="094C56B5" w14:textId="77777777" w:rsidR="002F3880" w:rsidRPr="006070EA" w:rsidRDefault="002F3880" w:rsidP="00EA2C09">
            <w:pPr>
              <w:pStyle w:val="Atextkurzva"/>
              <w:keepNext/>
              <w:spacing w:before="0" w:after="0"/>
              <w:jc w:val="center"/>
              <w:rPr>
                <w:rFonts w:asciiTheme="majorHAnsi" w:hAnsiTheme="majorHAnsi" w:cstheme="majorHAnsi"/>
                <w:i w:val="0"/>
                <w:color w:val="000000"/>
                <w:szCs w:val="18"/>
              </w:rPr>
            </w:pPr>
            <w:r w:rsidRPr="006070EA">
              <w:rPr>
                <w:rFonts w:asciiTheme="majorHAnsi" w:hAnsiTheme="majorHAnsi" w:cstheme="majorHAnsi"/>
                <w:i w:val="0"/>
                <w:color w:val="000000"/>
                <w:szCs w:val="18"/>
              </w:rPr>
              <w:t>565</w:t>
            </w:r>
          </w:p>
        </w:tc>
        <w:tc>
          <w:tcPr>
            <w:tcW w:w="1275" w:type="dxa"/>
            <w:shd w:val="clear" w:color="auto" w:fill="auto"/>
            <w:vAlign w:val="center"/>
          </w:tcPr>
          <w:p w14:paraId="50A72250" w14:textId="77777777" w:rsidR="002F3880" w:rsidRPr="006070EA" w:rsidRDefault="002F3880" w:rsidP="00EA2C09">
            <w:pPr>
              <w:pStyle w:val="Atextkurzva"/>
              <w:keepNext/>
              <w:spacing w:before="0" w:after="0"/>
              <w:jc w:val="center"/>
              <w:rPr>
                <w:rFonts w:asciiTheme="majorHAnsi" w:hAnsiTheme="majorHAnsi" w:cstheme="majorHAnsi"/>
                <w:i w:val="0"/>
                <w:color w:val="000000"/>
                <w:szCs w:val="18"/>
              </w:rPr>
            </w:pPr>
            <w:r w:rsidRPr="006070EA">
              <w:rPr>
                <w:rFonts w:asciiTheme="majorHAnsi" w:hAnsiTheme="majorHAnsi" w:cstheme="majorHAnsi"/>
                <w:i w:val="0"/>
                <w:color w:val="000000"/>
                <w:szCs w:val="18"/>
              </w:rPr>
              <w:t>663</w:t>
            </w:r>
          </w:p>
        </w:tc>
        <w:tc>
          <w:tcPr>
            <w:tcW w:w="1275" w:type="dxa"/>
            <w:shd w:val="clear" w:color="auto" w:fill="auto"/>
            <w:vAlign w:val="center"/>
          </w:tcPr>
          <w:p w14:paraId="36DC441F" w14:textId="77777777" w:rsidR="002F3880" w:rsidRPr="006070EA" w:rsidRDefault="002F3880" w:rsidP="00EA2C09">
            <w:pPr>
              <w:pStyle w:val="Atextkurzva"/>
              <w:keepNext/>
              <w:spacing w:before="0" w:after="0"/>
              <w:jc w:val="center"/>
              <w:rPr>
                <w:rFonts w:asciiTheme="majorHAnsi" w:hAnsiTheme="majorHAnsi" w:cstheme="majorHAnsi"/>
                <w:i w:val="0"/>
                <w:color w:val="000000"/>
                <w:szCs w:val="18"/>
              </w:rPr>
            </w:pPr>
            <w:r w:rsidRPr="006070EA">
              <w:rPr>
                <w:rFonts w:asciiTheme="majorHAnsi" w:hAnsiTheme="majorHAnsi" w:cstheme="majorHAnsi"/>
                <w:i w:val="0"/>
                <w:color w:val="000000"/>
                <w:szCs w:val="18"/>
              </w:rPr>
              <w:t>28</w:t>
            </w:r>
          </w:p>
        </w:tc>
        <w:tc>
          <w:tcPr>
            <w:tcW w:w="1276" w:type="dxa"/>
            <w:shd w:val="clear" w:color="auto" w:fill="auto"/>
            <w:vAlign w:val="center"/>
          </w:tcPr>
          <w:p w14:paraId="3B2E2E62" w14:textId="77777777" w:rsidR="002F3880" w:rsidRPr="006070EA" w:rsidRDefault="002F3880" w:rsidP="00EA2C09">
            <w:pPr>
              <w:pStyle w:val="Atextkurzva"/>
              <w:keepNext/>
              <w:spacing w:before="0" w:after="0"/>
              <w:jc w:val="center"/>
              <w:rPr>
                <w:rFonts w:asciiTheme="majorHAnsi" w:hAnsiTheme="majorHAnsi" w:cstheme="majorHAnsi"/>
                <w:i w:val="0"/>
                <w:color w:val="000000"/>
                <w:szCs w:val="18"/>
              </w:rPr>
            </w:pPr>
            <w:r w:rsidRPr="006070EA">
              <w:rPr>
                <w:rFonts w:asciiTheme="majorHAnsi" w:hAnsiTheme="majorHAnsi" w:cstheme="majorHAnsi"/>
                <w:i w:val="0"/>
                <w:color w:val="000000"/>
                <w:szCs w:val="18"/>
              </w:rPr>
              <w:t>90,3</w:t>
            </w:r>
          </w:p>
        </w:tc>
        <w:tc>
          <w:tcPr>
            <w:tcW w:w="1276" w:type="dxa"/>
            <w:shd w:val="clear" w:color="auto" w:fill="auto"/>
            <w:vAlign w:val="center"/>
          </w:tcPr>
          <w:p w14:paraId="75B62643" w14:textId="77777777" w:rsidR="002F3880" w:rsidRPr="006070EA" w:rsidRDefault="002F3880" w:rsidP="00EA2C09">
            <w:pPr>
              <w:pStyle w:val="Atextkurzva"/>
              <w:keepNext/>
              <w:spacing w:before="0" w:after="0"/>
              <w:jc w:val="center"/>
              <w:rPr>
                <w:rFonts w:asciiTheme="majorHAnsi" w:hAnsiTheme="majorHAnsi" w:cstheme="majorHAnsi"/>
                <w:i w:val="0"/>
                <w:color w:val="000000"/>
                <w:szCs w:val="18"/>
              </w:rPr>
            </w:pPr>
            <w:r w:rsidRPr="006070EA">
              <w:rPr>
                <w:rFonts w:asciiTheme="majorHAnsi" w:hAnsiTheme="majorHAnsi" w:cstheme="majorHAnsi"/>
                <w:i w:val="0"/>
                <w:color w:val="000000"/>
                <w:szCs w:val="18"/>
              </w:rPr>
              <w:t>17,5</w:t>
            </w:r>
          </w:p>
        </w:tc>
        <w:tc>
          <w:tcPr>
            <w:tcW w:w="1276" w:type="dxa"/>
            <w:shd w:val="clear" w:color="auto" w:fill="auto"/>
            <w:vAlign w:val="center"/>
          </w:tcPr>
          <w:p w14:paraId="67E6CF2D" w14:textId="77777777" w:rsidR="002F3880" w:rsidRPr="006070EA" w:rsidRDefault="002F3880" w:rsidP="00EA2C09">
            <w:pPr>
              <w:pStyle w:val="Atextkurzva"/>
              <w:keepNext/>
              <w:spacing w:before="0" w:after="0"/>
              <w:jc w:val="center"/>
              <w:rPr>
                <w:rFonts w:asciiTheme="majorHAnsi" w:hAnsiTheme="majorHAnsi" w:cstheme="majorHAnsi"/>
                <w:i w:val="0"/>
                <w:color w:val="000000"/>
                <w:szCs w:val="18"/>
              </w:rPr>
            </w:pPr>
            <w:r w:rsidRPr="006070EA">
              <w:rPr>
                <w:rFonts w:asciiTheme="majorHAnsi" w:hAnsiTheme="majorHAnsi" w:cstheme="majorHAnsi"/>
                <w:i w:val="0"/>
                <w:color w:val="000000"/>
                <w:szCs w:val="18"/>
              </w:rPr>
              <w:t>16,42</w:t>
            </w:r>
          </w:p>
        </w:tc>
      </w:tr>
    </w:tbl>
    <w:p w14:paraId="464C3C6B" w14:textId="350CEC96" w:rsidR="002F3880" w:rsidRPr="006070EA" w:rsidRDefault="002F3880" w:rsidP="002F3880">
      <w:pPr>
        <w:pStyle w:val="Atext"/>
        <w:rPr>
          <w:rFonts w:asciiTheme="majorHAnsi" w:hAnsiTheme="majorHAnsi" w:cstheme="majorHAnsi"/>
          <w:color w:val="000000"/>
          <w:szCs w:val="18"/>
        </w:rPr>
      </w:pPr>
      <w:r w:rsidRPr="006070EA">
        <w:rPr>
          <w:rFonts w:asciiTheme="majorHAnsi" w:hAnsiTheme="majorHAnsi" w:cstheme="majorHAnsi"/>
          <w:color w:val="000000"/>
          <w:szCs w:val="18"/>
        </w:rPr>
        <w:t xml:space="preserve">V </w:t>
      </w:r>
      <w:r w:rsidR="00A864A7" w:rsidRPr="006070EA">
        <w:rPr>
          <w:rFonts w:asciiTheme="majorHAnsi" w:hAnsiTheme="majorHAnsi" w:cstheme="majorHAnsi"/>
          <w:color w:val="000000"/>
          <w:szCs w:val="18"/>
        </w:rPr>
        <w:t>období</w:t>
      </w:r>
      <w:r w:rsidRPr="006070EA">
        <w:rPr>
          <w:rFonts w:asciiTheme="majorHAnsi" w:hAnsiTheme="majorHAnsi" w:cstheme="majorHAnsi"/>
          <w:color w:val="000000"/>
          <w:szCs w:val="18"/>
        </w:rPr>
        <w:t xml:space="preserve"> od schválení dosud platného ÚPO </w:t>
      </w:r>
      <w:r w:rsidR="00A864A7" w:rsidRPr="006070EA">
        <w:rPr>
          <w:rFonts w:asciiTheme="majorHAnsi" w:hAnsiTheme="majorHAnsi" w:cstheme="majorHAnsi"/>
          <w:color w:val="000000"/>
          <w:szCs w:val="18"/>
        </w:rPr>
        <w:t xml:space="preserve">(2003) </w:t>
      </w:r>
      <w:r w:rsidRPr="006070EA">
        <w:rPr>
          <w:rFonts w:asciiTheme="majorHAnsi" w:hAnsiTheme="majorHAnsi" w:cstheme="majorHAnsi"/>
          <w:color w:val="000000"/>
          <w:szCs w:val="18"/>
        </w:rPr>
        <w:t xml:space="preserve">došlo k zásadnímu nárůstu rodinných domů. Téměř výhradně jsou realizovány byty v rodinných domech. Zájem o výstavbu v obci spolu s připraveností stavebních parcel v sídle Kostomlaty nad Labem je předpokladem pro pokračující trend výstavby a příchodu nových obyvatel. </w:t>
      </w:r>
      <w:r w:rsidR="00A864A7" w:rsidRPr="006070EA">
        <w:rPr>
          <w:rFonts w:asciiTheme="majorHAnsi" w:hAnsiTheme="majorHAnsi" w:cstheme="majorHAnsi"/>
          <w:color w:val="000000"/>
          <w:szCs w:val="18"/>
        </w:rPr>
        <w:t>V období 2003 až 2020 bylo dokončeno celkem 94 bytových jednotek (BJ) v rodinných domech. Tento údaj koresponduje s populačním vývojem posledních dvaceti let. Při předpokládané obydlenosti jedné BJ (2,2 os./BJ) předznamenává stavební rozvoj přírůstek cca 210 obyvatel.</w:t>
      </w:r>
    </w:p>
    <w:p w14:paraId="75B6B8BF" w14:textId="579664B8" w:rsidR="002F3880" w:rsidRPr="006070EA" w:rsidRDefault="002F3880" w:rsidP="002F3880">
      <w:pPr>
        <w:pStyle w:val="Atextkurzva"/>
        <w:keepNext/>
        <w:rPr>
          <w:rFonts w:asciiTheme="majorHAnsi" w:hAnsiTheme="majorHAnsi" w:cstheme="majorHAnsi"/>
          <w:color w:val="000000"/>
          <w:szCs w:val="18"/>
        </w:rPr>
      </w:pPr>
      <w:r w:rsidRPr="006070EA">
        <w:rPr>
          <w:rFonts w:asciiTheme="majorHAnsi" w:hAnsiTheme="majorHAnsi" w:cstheme="majorHAnsi"/>
          <w:color w:val="000000"/>
          <w:szCs w:val="18"/>
        </w:rPr>
        <w:lastRenderedPageBreak/>
        <w:t xml:space="preserve">Tab. Vývoj počtu dokončených bytů </w:t>
      </w:r>
      <w:r w:rsidR="00A864A7" w:rsidRPr="006070EA">
        <w:rPr>
          <w:rFonts w:asciiTheme="majorHAnsi" w:hAnsiTheme="majorHAnsi" w:cstheme="majorHAnsi"/>
          <w:color w:val="000000"/>
          <w:szCs w:val="18"/>
        </w:rPr>
        <w:t>v období účinnosti ÚPO Kostomlaty nad Labem</w:t>
      </w:r>
      <w:r w:rsidR="00B87807" w:rsidRPr="006070EA">
        <w:rPr>
          <w:rFonts w:asciiTheme="majorHAnsi" w:hAnsiTheme="majorHAnsi" w:cstheme="majorHAnsi"/>
          <w:color w:val="000000"/>
          <w:szCs w:val="18"/>
        </w:rPr>
        <w:t xml:space="preserve"> (od r. 2003)</w:t>
      </w:r>
    </w:p>
    <w:tbl>
      <w:tblPr>
        <w:tblW w:w="8955" w:type="dxa"/>
        <w:jc w:val="center"/>
        <w:tblLayout w:type="fixed"/>
        <w:tblLook w:val="04A0" w:firstRow="1" w:lastRow="0" w:firstColumn="1" w:lastColumn="0" w:noHBand="0" w:noVBand="1"/>
      </w:tblPr>
      <w:tblGrid>
        <w:gridCol w:w="2835"/>
        <w:gridCol w:w="680"/>
        <w:gridCol w:w="680"/>
        <w:gridCol w:w="680"/>
        <w:gridCol w:w="680"/>
        <w:gridCol w:w="680"/>
        <w:gridCol w:w="680"/>
        <w:gridCol w:w="680"/>
        <w:gridCol w:w="680"/>
        <w:gridCol w:w="680"/>
      </w:tblGrid>
      <w:tr w:rsidR="003D32B1" w:rsidRPr="006070EA" w14:paraId="38774BBC" w14:textId="4A1A565F" w:rsidTr="003D32B1">
        <w:trPr>
          <w:trHeight w:val="283"/>
          <w:jc w:val="center"/>
        </w:trPr>
        <w:tc>
          <w:tcPr>
            <w:tcW w:w="2835" w:type="dxa"/>
            <w:tcBorders>
              <w:top w:val="nil"/>
              <w:left w:val="nil"/>
              <w:bottom w:val="single" w:sz="12" w:space="0" w:color="auto"/>
              <w:right w:val="single" w:sz="12" w:space="0" w:color="auto"/>
            </w:tcBorders>
            <w:shd w:val="clear" w:color="auto" w:fill="auto"/>
            <w:vAlign w:val="center"/>
            <w:hideMark/>
          </w:tcPr>
          <w:p w14:paraId="41E5851F" w14:textId="77777777" w:rsidR="003D32B1" w:rsidRPr="006070EA" w:rsidRDefault="003D32B1" w:rsidP="00A864A7">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rok</w:t>
            </w:r>
          </w:p>
        </w:tc>
        <w:tc>
          <w:tcPr>
            <w:tcW w:w="680" w:type="dxa"/>
            <w:tcBorders>
              <w:top w:val="nil"/>
              <w:left w:val="single" w:sz="12" w:space="0" w:color="auto"/>
              <w:bottom w:val="single" w:sz="12" w:space="0" w:color="auto"/>
              <w:right w:val="single" w:sz="12" w:space="0" w:color="auto"/>
            </w:tcBorders>
            <w:vAlign w:val="center"/>
          </w:tcPr>
          <w:p w14:paraId="1D30D067" w14:textId="77777777" w:rsidR="003D32B1" w:rsidRPr="006070EA" w:rsidRDefault="003D32B1" w:rsidP="00A864A7">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2003</w:t>
            </w:r>
          </w:p>
        </w:tc>
        <w:tc>
          <w:tcPr>
            <w:tcW w:w="680" w:type="dxa"/>
            <w:tcBorders>
              <w:top w:val="nil"/>
              <w:left w:val="single" w:sz="12" w:space="0" w:color="auto"/>
              <w:bottom w:val="single" w:sz="12" w:space="0" w:color="auto"/>
              <w:right w:val="single" w:sz="12" w:space="0" w:color="auto"/>
            </w:tcBorders>
            <w:shd w:val="clear" w:color="auto" w:fill="auto"/>
            <w:vAlign w:val="center"/>
          </w:tcPr>
          <w:p w14:paraId="74B7C699" w14:textId="77777777" w:rsidR="003D32B1" w:rsidRPr="006070EA" w:rsidRDefault="003D32B1" w:rsidP="00A864A7">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2004</w:t>
            </w:r>
          </w:p>
        </w:tc>
        <w:tc>
          <w:tcPr>
            <w:tcW w:w="680" w:type="dxa"/>
            <w:tcBorders>
              <w:top w:val="nil"/>
              <w:left w:val="single" w:sz="12" w:space="0" w:color="auto"/>
              <w:bottom w:val="single" w:sz="12" w:space="0" w:color="auto"/>
              <w:right w:val="single" w:sz="12" w:space="0" w:color="auto"/>
            </w:tcBorders>
            <w:shd w:val="clear" w:color="auto" w:fill="auto"/>
            <w:vAlign w:val="center"/>
          </w:tcPr>
          <w:p w14:paraId="494ACADA" w14:textId="77777777" w:rsidR="003D32B1" w:rsidRPr="006070EA" w:rsidRDefault="003D32B1" w:rsidP="00A864A7">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2005</w:t>
            </w:r>
          </w:p>
        </w:tc>
        <w:tc>
          <w:tcPr>
            <w:tcW w:w="680" w:type="dxa"/>
            <w:tcBorders>
              <w:top w:val="nil"/>
              <w:left w:val="single" w:sz="12" w:space="0" w:color="auto"/>
              <w:bottom w:val="single" w:sz="12" w:space="0" w:color="auto"/>
              <w:right w:val="single" w:sz="12" w:space="0" w:color="auto"/>
            </w:tcBorders>
            <w:shd w:val="clear" w:color="auto" w:fill="auto"/>
            <w:vAlign w:val="center"/>
          </w:tcPr>
          <w:p w14:paraId="5554DCFE" w14:textId="77777777" w:rsidR="003D32B1" w:rsidRPr="006070EA" w:rsidRDefault="003D32B1" w:rsidP="00A864A7">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2006</w:t>
            </w:r>
          </w:p>
        </w:tc>
        <w:tc>
          <w:tcPr>
            <w:tcW w:w="680" w:type="dxa"/>
            <w:tcBorders>
              <w:top w:val="nil"/>
              <w:left w:val="single" w:sz="12" w:space="0" w:color="auto"/>
              <w:bottom w:val="single" w:sz="12" w:space="0" w:color="auto"/>
              <w:right w:val="single" w:sz="12" w:space="0" w:color="auto"/>
            </w:tcBorders>
            <w:shd w:val="clear" w:color="auto" w:fill="auto"/>
            <w:vAlign w:val="center"/>
          </w:tcPr>
          <w:p w14:paraId="33AEE746" w14:textId="77777777" w:rsidR="003D32B1" w:rsidRPr="006070EA" w:rsidRDefault="003D32B1" w:rsidP="00A864A7">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2007</w:t>
            </w:r>
          </w:p>
        </w:tc>
        <w:tc>
          <w:tcPr>
            <w:tcW w:w="680" w:type="dxa"/>
            <w:tcBorders>
              <w:top w:val="nil"/>
              <w:left w:val="single" w:sz="12" w:space="0" w:color="auto"/>
              <w:bottom w:val="single" w:sz="12" w:space="0" w:color="auto"/>
              <w:right w:val="single" w:sz="12" w:space="0" w:color="auto"/>
            </w:tcBorders>
            <w:shd w:val="clear" w:color="auto" w:fill="auto"/>
            <w:vAlign w:val="center"/>
          </w:tcPr>
          <w:p w14:paraId="57EB2A97" w14:textId="77777777" w:rsidR="003D32B1" w:rsidRPr="006070EA" w:rsidRDefault="003D32B1" w:rsidP="00A864A7">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2008</w:t>
            </w:r>
          </w:p>
        </w:tc>
        <w:tc>
          <w:tcPr>
            <w:tcW w:w="680" w:type="dxa"/>
            <w:tcBorders>
              <w:top w:val="nil"/>
              <w:left w:val="single" w:sz="12" w:space="0" w:color="auto"/>
              <w:bottom w:val="single" w:sz="12" w:space="0" w:color="auto"/>
              <w:right w:val="single" w:sz="12" w:space="0" w:color="auto"/>
            </w:tcBorders>
            <w:shd w:val="clear" w:color="auto" w:fill="auto"/>
            <w:vAlign w:val="center"/>
          </w:tcPr>
          <w:p w14:paraId="73CDCB9A" w14:textId="77777777" w:rsidR="003D32B1" w:rsidRPr="006070EA" w:rsidRDefault="003D32B1" w:rsidP="00A864A7">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2009</w:t>
            </w:r>
          </w:p>
        </w:tc>
        <w:tc>
          <w:tcPr>
            <w:tcW w:w="680" w:type="dxa"/>
            <w:tcBorders>
              <w:top w:val="nil"/>
              <w:left w:val="single" w:sz="12" w:space="0" w:color="auto"/>
              <w:bottom w:val="single" w:sz="12" w:space="0" w:color="auto"/>
              <w:right w:val="single" w:sz="12" w:space="0" w:color="auto"/>
            </w:tcBorders>
            <w:shd w:val="clear" w:color="auto" w:fill="auto"/>
            <w:vAlign w:val="center"/>
          </w:tcPr>
          <w:p w14:paraId="3908D09A" w14:textId="77777777" w:rsidR="003D32B1" w:rsidRPr="006070EA" w:rsidRDefault="003D32B1" w:rsidP="00A864A7">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2010</w:t>
            </w:r>
          </w:p>
        </w:tc>
        <w:tc>
          <w:tcPr>
            <w:tcW w:w="680" w:type="dxa"/>
            <w:tcBorders>
              <w:top w:val="nil"/>
              <w:left w:val="single" w:sz="12" w:space="0" w:color="auto"/>
              <w:bottom w:val="single" w:sz="12" w:space="0" w:color="auto"/>
            </w:tcBorders>
            <w:shd w:val="clear" w:color="auto" w:fill="auto"/>
            <w:vAlign w:val="center"/>
          </w:tcPr>
          <w:p w14:paraId="22376EF3" w14:textId="77777777" w:rsidR="003D32B1" w:rsidRPr="006070EA" w:rsidRDefault="003D32B1" w:rsidP="00A864A7">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2011</w:t>
            </w:r>
          </w:p>
        </w:tc>
      </w:tr>
      <w:tr w:rsidR="003D32B1" w:rsidRPr="006070EA" w14:paraId="6BAEAC1E" w14:textId="4374F176" w:rsidTr="003D32B1">
        <w:trPr>
          <w:trHeight w:val="283"/>
          <w:jc w:val="center"/>
        </w:trPr>
        <w:tc>
          <w:tcPr>
            <w:tcW w:w="2835" w:type="dxa"/>
            <w:tcBorders>
              <w:top w:val="single" w:sz="12" w:space="0" w:color="auto"/>
              <w:left w:val="nil"/>
              <w:bottom w:val="nil"/>
              <w:right w:val="single" w:sz="4" w:space="0" w:color="auto"/>
            </w:tcBorders>
            <w:shd w:val="clear" w:color="auto" w:fill="auto"/>
            <w:vAlign w:val="center"/>
            <w:hideMark/>
          </w:tcPr>
          <w:p w14:paraId="53A1449C" w14:textId="241495E7" w:rsidR="003D32B1" w:rsidRPr="006070EA" w:rsidRDefault="003D32B1" w:rsidP="00A864A7">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Počet dokončených bytů</w:t>
            </w:r>
          </w:p>
        </w:tc>
        <w:tc>
          <w:tcPr>
            <w:tcW w:w="680" w:type="dxa"/>
            <w:tcBorders>
              <w:top w:val="single" w:sz="12" w:space="0" w:color="auto"/>
              <w:left w:val="single" w:sz="4" w:space="0" w:color="auto"/>
              <w:bottom w:val="nil"/>
              <w:right w:val="single" w:sz="4" w:space="0" w:color="auto"/>
            </w:tcBorders>
            <w:vAlign w:val="center"/>
          </w:tcPr>
          <w:p w14:paraId="6CD2024A" w14:textId="77777777" w:rsidR="003D32B1" w:rsidRPr="006070EA" w:rsidRDefault="003D32B1" w:rsidP="00A864A7">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3</w:t>
            </w:r>
          </w:p>
        </w:tc>
        <w:tc>
          <w:tcPr>
            <w:tcW w:w="680" w:type="dxa"/>
            <w:tcBorders>
              <w:top w:val="single" w:sz="12" w:space="0" w:color="auto"/>
              <w:left w:val="single" w:sz="4" w:space="0" w:color="auto"/>
              <w:bottom w:val="nil"/>
              <w:right w:val="single" w:sz="4" w:space="0" w:color="auto"/>
            </w:tcBorders>
            <w:shd w:val="clear" w:color="auto" w:fill="auto"/>
            <w:vAlign w:val="center"/>
          </w:tcPr>
          <w:p w14:paraId="4FAEC71E" w14:textId="77777777" w:rsidR="003D32B1" w:rsidRPr="006070EA" w:rsidRDefault="003D32B1" w:rsidP="00A864A7">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2</w:t>
            </w:r>
          </w:p>
        </w:tc>
        <w:tc>
          <w:tcPr>
            <w:tcW w:w="680" w:type="dxa"/>
            <w:tcBorders>
              <w:top w:val="single" w:sz="12" w:space="0" w:color="auto"/>
              <w:left w:val="single" w:sz="4" w:space="0" w:color="auto"/>
              <w:bottom w:val="nil"/>
              <w:right w:val="single" w:sz="4" w:space="0" w:color="auto"/>
            </w:tcBorders>
            <w:shd w:val="clear" w:color="auto" w:fill="auto"/>
            <w:vAlign w:val="center"/>
          </w:tcPr>
          <w:p w14:paraId="7F19BC03" w14:textId="77777777" w:rsidR="003D32B1" w:rsidRPr="006070EA" w:rsidRDefault="003D32B1" w:rsidP="00A864A7">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2</w:t>
            </w:r>
          </w:p>
        </w:tc>
        <w:tc>
          <w:tcPr>
            <w:tcW w:w="680" w:type="dxa"/>
            <w:tcBorders>
              <w:top w:val="single" w:sz="12" w:space="0" w:color="auto"/>
              <w:left w:val="single" w:sz="4" w:space="0" w:color="auto"/>
              <w:bottom w:val="nil"/>
              <w:right w:val="single" w:sz="4" w:space="0" w:color="auto"/>
            </w:tcBorders>
            <w:shd w:val="clear" w:color="auto" w:fill="auto"/>
            <w:vAlign w:val="center"/>
          </w:tcPr>
          <w:p w14:paraId="194EB16F" w14:textId="77777777" w:rsidR="003D32B1" w:rsidRPr="006070EA" w:rsidRDefault="003D32B1" w:rsidP="00A864A7">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w:t>
            </w:r>
          </w:p>
        </w:tc>
        <w:tc>
          <w:tcPr>
            <w:tcW w:w="680" w:type="dxa"/>
            <w:tcBorders>
              <w:top w:val="single" w:sz="12" w:space="0" w:color="auto"/>
              <w:left w:val="single" w:sz="4" w:space="0" w:color="auto"/>
              <w:bottom w:val="nil"/>
              <w:right w:val="single" w:sz="4" w:space="0" w:color="auto"/>
            </w:tcBorders>
            <w:shd w:val="clear" w:color="auto" w:fill="auto"/>
            <w:vAlign w:val="center"/>
          </w:tcPr>
          <w:p w14:paraId="7AF9A9FD" w14:textId="77777777" w:rsidR="003D32B1" w:rsidRPr="006070EA" w:rsidRDefault="003D32B1" w:rsidP="00A864A7">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1</w:t>
            </w:r>
          </w:p>
        </w:tc>
        <w:tc>
          <w:tcPr>
            <w:tcW w:w="680" w:type="dxa"/>
            <w:tcBorders>
              <w:top w:val="single" w:sz="12" w:space="0" w:color="auto"/>
              <w:left w:val="single" w:sz="4" w:space="0" w:color="auto"/>
              <w:bottom w:val="nil"/>
              <w:right w:val="single" w:sz="4" w:space="0" w:color="auto"/>
            </w:tcBorders>
            <w:shd w:val="clear" w:color="auto" w:fill="auto"/>
            <w:vAlign w:val="center"/>
          </w:tcPr>
          <w:p w14:paraId="56FB57BA" w14:textId="77777777" w:rsidR="003D32B1" w:rsidRPr="006070EA" w:rsidRDefault="003D32B1" w:rsidP="00A864A7">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15</w:t>
            </w:r>
          </w:p>
        </w:tc>
        <w:tc>
          <w:tcPr>
            <w:tcW w:w="680" w:type="dxa"/>
            <w:tcBorders>
              <w:top w:val="single" w:sz="12" w:space="0" w:color="auto"/>
              <w:left w:val="single" w:sz="4" w:space="0" w:color="auto"/>
              <w:bottom w:val="nil"/>
              <w:right w:val="single" w:sz="4" w:space="0" w:color="auto"/>
            </w:tcBorders>
            <w:shd w:val="clear" w:color="auto" w:fill="auto"/>
            <w:vAlign w:val="center"/>
          </w:tcPr>
          <w:p w14:paraId="03616E7D" w14:textId="77777777" w:rsidR="003D32B1" w:rsidRPr="006070EA" w:rsidRDefault="003D32B1" w:rsidP="00A864A7">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11</w:t>
            </w:r>
          </w:p>
        </w:tc>
        <w:tc>
          <w:tcPr>
            <w:tcW w:w="680" w:type="dxa"/>
            <w:tcBorders>
              <w:top w:val="single" w:sz="12" w:space="0" w:color="auto"/>
              <w:left w:val="single" w:sz="4" w:space="0" w:color="auto"/>
              <w:bottom w:val="nil"/>
              <w:right w:val="single" w:sz="4" w:space="0" w:color="auto"/>
            </w:tcBorders>
            <w:shd w:val="clear" w:color="auto" w:fill="auto"/>
            <w:vAlign w:val="center"/>
          </w:tcPr>
          <w:p w14:paraId="4BD864D0" w14:textId="77777777" w:rsidR="003D32B1" w:rsidRPr="006070EA" w:rsidRDefault="003D32B1" w:rsidP="00A864A7">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3</w:t>
            </w:r>
          </w:p>
        </w:tc>
        <w:tc>
          <w:tcPr>
            <w:tcW w:w="680" w:type="dxa"/>
            <w:tcBorders>
              <w:top w:val="single" w:sz="12" w:space="0" w:color="auto"/>
              <w:left w:val="single" w:sz="4" w:space="0" w:color="auto"/>
              <w:bottom w:val="single" w:sz="12" w:space="0" w:color="auto"/>
            </w:tcBorders>
            <w:shd w:val="clear" w:color="auto" w:fill="auto"/>
            <w:vAlign w:val="center"/>
          </w:tcPr>
          <w:p w14:paraId="47A04A44" w14:textId="77777777" w:rsidR="003D32B1" w:rsidRPr="006070EA" w:rsidRDefault="003D32B1" w:rsidP="00A864A7">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22</w:t>
            </w:r>
          </w:p>
        </w:tc>
      </w:tr>
      <w:tr w:rsidR="003D32B1" w:rsidRPr="006070EA" w14:paraId="42E527E0" w14:textId="77777777" w:rsidTr="003D32B1">
        <w:trPr>
          <w:trHeight w:val="283"/>
          <w:jc w:val="center"/>
        </w:trPr>
        <w:tc>
          <w:tcPr>
            <w:tcW w:w="2835" w:type="dxa"/>
            <w:tcBorders>
              <w:top w:val="single" w:sz="12" w:space="0" w:color="auto"/>
              <w:left w:val="nil"/>
              <w:bottom w:val="nil"/>
              <w:right w:val="single" w:sz="4" w:space="0" w:color="auto"/>
            </w:tcBorders>
            <w:shd w:val="clear" w:color="auto" w:fill="auto"/>
            <w:vAlign w:val="center"/>
            <w:hideMark/>
          </w:tcPr>
          <w:p w14:paraId="499A492B" w14:textId="77777777" w:rsidR="003D32B1" w:rsidRPr="006070EA" w:rsidRDefault="003D32B1" w:rsidP="003D32B1">
            <w:pPr>
              <w:pStyle w:val="Bezmezer"/>
              <w:jc w:val="center"/>
              <w:rPr>
                <w:rFonts w:asciiTheme="majorHAnsi" w:hAnsiTheme="majorHAnsi" w:cstheme="majorHAnsi"/>
                <w:b/>
                <w:bCs/>
                <w:color w:val="000000"/>
                <w:szCs w:val="18"/>
                <w:lang w:val="cs-CZ"/>
              </w:rPr>
            </w:pPr>
            <w:r w:rsidRPr="006070EA">
              <w:rPr>
                <w:rFonts w:asciiTheme="majorHAnsi" w:hAnsiTheme="majorHAnsi" w:cstheme="majorHAnsi"/>
                <w:b/>
                <w:bCs/>
                <w:color w:val="000000"/>
                <w:szCs w:val="18"/>
                <w:lang w:val="cs-CZ"/>
              </w:rPr>
              <w:t>rok</w:t>
            </w:r>
          </w:p>
        </w:tc>
        <w:tc>
          <w:tcPr>
            <w:tcW w:w="680" w:type="dxa"/>
            <w:tcBorders>
              <w:top w:val="single" w:sz="12" w:space="0" w:color="auto"/>
              <w:left w:val="single" w:sz="4" w:space="0" w:color="auto"/>
              <w:bottom w:val="nil"/>
              <w:right w:val="single" w:sz="4" w:space="0" w:color="auto"/>
            </w:tcBorders>
            <w:vAlign w:val="center"/>
          </w:tcPr>
          <w:p w14:paraId="3EF5C5F8" w14:textId="683F620A" w:rsidR="003D32B1" w:rsidRPr="006070EA" w:rsidRDefault="003D32B1" w:rsidP="003D32B1">
            <w:pPr>
              <w:pStyle w:val="Bezmezer"/>
              <w:jc w:val="center"/>
              <w:rPr>
                <w:rFonts w:asciiTheme="majorHAnsi" w:hAnsiTheme="majorHAnsi" w:cstheme="majorHAnsi"/>
                <w:b/>
                <w:bCs/>
                <w:color w:val="000000"/>
                <w:szCs w:val="18"/>
                <w:lang w:val="cs-CZ"/>
              </w:rPr>
            </w:pPr>
            <w:r w:rsidRPr="006070EA">
              <w:rPr>
                <w:rFonts w:asciiTheme="majorHAnsi" w:hAnsiTheme="majorHAnsi" w:cstheme="majorHAnsi"/>
                <w:b/>
                <w:color w:val="000000"/>
                <w:szCs w:val="18"/>
                <w:lang w:val="cs-CZ"/>
              </w:rPr>
              <w:t>2012</w:t>
            </w:r>
          </w:p>
        </w:tc>
        <w:tc>
          <w:tcPr>
            <w:tcW w:w="680" w:type="dxa"/>
            <w:tcBorders>
              <w:top w:val="single" w:sz="12" w:space="0" w:color="auto"/>
              <w:left w:val="single" w:sz="4" w:space="0" w:color="auto"/>
              <w:bottom w:val="nil"/>
              <w:right w:val="single" w:sz="4" w:space="0" w:color="auto"/>
            </w:tcBorders>
            <w:shd w:val="clear" w:color="auto" w:fill="auto"/>
            <w:vAlign w:val="center"/>
          </w:tcPr>
          <w:p w14:paraId="75B8A2A4" w14:textId="552D492B" w:rsidR="003D32B1" w:rsidRPr="006070EA" w:rsidRDefault="003D32B1" w:rsidP="003D32B1">
            <w:pPr>
              <w:pStyle w:val="Bezmezer"/>
              <w:jc w:val="center"/>
              <w:rPr>
                <w:rFonts w:asciiTheme="majorHAnsi" w:hAnsiTheme="majorHAnsi" w:cstheme="majorHAnsi"/>
                <w:b/>
                <w:bCs/>
                <w:color w:val="000000"/>
                <w:szCs w:val="18"/>
                <w:lang w:val="cs-CZ"/>
              </w:rPr>
            </w:pPr>
            <w:r w:rsidRPr="006070EA">
              <w:rPr>
                <w:rFonts w:asciiTheme="majorHAnsi" w:hAnsiTheme="majorHAnsi" w:cstheme="majorHAnsi"/>
                <w:b/>
                <w:color w:val="000000"/>
                <w:szCs w:val="18"/>
                <w:lang w:val="cs-CZ"/>
              </w:rPr>
              <w:t>2013</w:t>
            </w:r>
          </w:p>
        </w:tc>
        <w:tc>
          <w:tcPr>
            <w:tcW w:w="680" w:type="dxa"/>
            <w:tcBorders>
              <w:top w:val="single" w:sz="12" w:space="0" w:color="auto"/>
              <w:left w:val="single" w:sz="4" w:space="0" w:color="auto"/>
              <w:bottom w:val="nil"/>
              <w:right w:val="single" w:sz="4" w:space="0" w:color="auto"/>
            </w:tcBorders>
            <w:shd w:val="clear" w:color="auto" w:fill="auto"/>
            <w:vAlign w:val="center"/>
          </w:tcPr>
          <w:p w14:paraId="47446ED4" w14:textId="1781D057" w:rsidR="003D32B1" w:rsidRPr="006070EA" w:rsidRDefault="003D32B1" w:rsidP="003D32B1">
            <w:pPr>
              <w:pStyle w:val="Bezmezer"/>
              <w:jc w:val="center"/>
              <w:rPr>
                <w:rFonts w:asciiTheme="majorHAnsi" w:hAnsiTheme="majorHAnsi" w:cstheme="majorHAnsi"/>
                <w:b/>
                <w:bCs/>
                <w:color w:val="000000"/>
                <w:szCs w:val="18"/>
                <w:lang w:val="cs-CZ"/>
              </w:rPr>
            </w:pPr>
            <w:r w:rsidRPr="006070EA">
              <w:rPr>
                <w:rFonts w:asciiTheme="majorHAnsi" w:hAnsiTheme="majorHAnsi" w:cstheme="majorHAnsi"/>
                <w:b/>
                <w:color w:val="000000"/>
                <w:szCs w:val="18"/>
                <w:lang w:val="cs-CZ"/>
              </w:rPr>
              <w:t>2015</w:t>
            </w:r>
          </w:p>
        </w:tc>
        <w:tc>
          <w:tcPr>
            <w:tcW w:w="680" w:type="dxa"/>
            <w:tcBorders>
              <w:top w:val="single" w:sz="12" w:space="0" w:color="auto"/>
              <w:left w:val="single" w:sz="4" w:space="0" w:color="auto"/>
              <w:bottom w:val="nil"/>
              <w:right w:val="single" w:sz="4" w:space="0" w:color="auto"/>
            </w:tcBorders>
            <w:shd w:val="clear" w:color="auto" w:fill="auto"/>
            <w:vAlign w:val="center"/>
          </w:tcPr>
          <w:p w14:paraId="275CA198" w14:textId="42558065" w:rsidR="003D32B1" w:rsidRPr="006070EA" w:rsidRDefault="003D32B1" w:rsidP="003D32B1">
            <w:pPr>
              <w:pStyle w:val="Bezmezer"/>
              <w:jc w:val="center"/>
              <w:rPr>
                <w:rFonts w:asciiTheme="majorHAnsi" w:hAnsiTheme="majorHAnsi" w:cstheme="majorHAnsi"/>
                <w:b/>
                <w:bCs/>
                <w:color w:val="000000"/>
                <w:szCs w:val="18"/>
                <w:lang w:val="cs-CZ"/>
              </w:rPr>
            </w:pPr>
            <w:r w:rsidRPr="006070EA">
              <w:rPr>
                <w:rFonts w:asciiTheme="majorHAnsi" w:hAnsiTheme="majorHAnsi" w:cstheme="majorHAnsi"/>
                <w:b/>
                <w:color w:val="000000"/>
                <w:szCs w:val="18"/>
                <w:lang w:val="cs-CZ"/>
              </w:rPr>
              <w:t>2016</w:t>
            </w:r>
          </w:p>
        </w:tc>
        <w:tc>
          <w:tcPr>
            <w:tcW w:w="680" w:type="dxa"/>
            <w:tcBorders>
              <w:top w:val="single" w:sz="12" w:space="0" w:color="auto"/>
              <w:left w:val="single" w:sz="4" w:space="0" w:color="auto"/>
              <w:bottom w:val="nil"/>
              <w:right w:val="single" w:sz="4" w:space="0" w:color="auto"/>
            </w:tcBorders>
            <w:shd w:val="clear" w:color="auto" w:fill="auto"/>
            <w:vAlign w:val="center"/>
          </w:tcPr>
          <w:p w14:paraId="27B0113F" w14:textId="4F0AADF3" w:rsidR="003D32B1" w:rsidRPr="006070EA" w:rsidRDefault="003D32B1" w:rsidP="003D32B1">
            <w:pPr>
              <w:pStyle w:val="Bezmezer"/>
              <w:jc w:val="center"/>
              <w:rPr>
                <w:rFonts w:asciiTheme="majorHAnsi" w:hAnsiTheme="majorHAnsi" w:cstheme="majorHAnsi"/>
                <w:b/>
                <w:bCs/>
                <w:color w:val="000000"/>
                <w:szCs w:val="18"/>
                <w:lang w:val="cs-CZ"/>
              </w:rPr>
            </w:pPr>
            <w:r w:rsidRPr="006070EA">
              <w:rPr>
                <w:rFonts w:asciiTheme="majorHAnsi" w:hAnsiTheme="majorHAnsi" w:cstheme="majorHAnsi"/>
                <w:b/>
                <w:color w:val="000000"/>
                <w:szCs w:val="18"/>
                <w:lang w:val="cs-CZ"/>
              </w:rPr>
              <w:t>2017</w:t>
            </w:r>
          </w:p>
        </w:tc>
        <w:tc>
          <w:tcPr>
            <w:tcW w:w="680" w:type="dxa"/>
            <w:tcBorders>
              <w:top w:val="single" w:sz="12" w:space="0" w:color="auto"/>
              <w:left w:val="single" w:sz="4" w:space="0" w:color="auto"/>
              <w:bottom w:val="nil"/>
              <w:right w:val="single" w:sz="4" w:space="0" w:color="auto"/>
            </w:tcBorders>
            <w:shd w:val="clear" w:color="auto" w:fill="auto"/>
            <w:vAlign w:val="center"/>
          </w:tcPr>
          <w:p w14:paraId="28926D3D" w14:textId="5220E2F0" w:rsidR="003D32B1" w:rsidRPr="006070EA" w:rsidRDefault="003D32B1" w:rsidP="003D32B1">
            <w:pPr>
              <w:pStyle w:val="Bezmezer"/>
              <w:jc w:val="center"/>
              <w:rPr>
                <w:rFonts w:asciiTheme="majorHAnsi" w:hAnsiTheme="majorHAnsi" w:cstheme="majorHAnsi"/>
                <w:b/>
                <w:bCs/>
                <w:color w:val="000000"/>
                <w:szCs w:val="18"/>
                <w:lang w:val="cs-CZ"/>
              </w:rPr>
            </w:pPr>
            <w:r w:rsidRPr="006070EA">
              <w:rPr>
                <w:rFonts w:asciiTheme="majorHAnsi" w:hAnsiTheme="majorHAnsi" w:cstheme="majorHAnsi"/>
                <w:b/>
                <w:color w:val="000000"/>
                <w:szCs w:val="18"/>
                <w:lang w:val="cs-CZ"/>
              </w:rPr>
              <w:t>2018</w:t>
            </w:r>
          </w:p>
        </w:tc>
        <w:tc>
          <w:tcPr>
            <w:tcW w:w="680" w:type="dxa"/>
            <w:tcBorders>
              <w:top w:val="single" w:sz="12" w:space="0" w:color="auto"/>
              <w:left w:val="single" w:sz="4" w:space="0" w:color="auto"/>
              <w:bottom w:val="nil"/>
              <w:right w:val="single" w:sz="4" w:space="0" w:color="auto"/>
            </w:tcBorders>
            <w:shd w:val="clear" w:color="auto" w:fill="auto"/>
            <w:vAlign w:val="center"/>
          </w:tcPr>
          <w:p w14:paraId="14757E5A" w14:textId="1C9210AC" w:rsidR="003D32B1" w:rsidRPr="006070EA" w:rsidRDefault="003D32B1" w:rsidP="003D32B1">
            <w:pPr>
              <w:pStyle w:val="Bezmezer"/>
              <w:jc w:val="center"/>
              <w:rPr>
                <w:rFonts w:asciiTheme="majorHAnsi" w:hAnsiTheme="majorHAnsi" w:cstheme="majorHAnsi"/>
                <w:b/>
                <w:bCs/>
                <w:color w:val="000000"/>
                <w:szCs w:val="18"/>
                <w:lang w:val="cs-CZ"/>
              </w:rPr>
            </w:pPr>
            <w:r w:rsidRPr="006070EA">
              <w:rPr>
                <w:rFonts w:asciiTheme="majorHAnsi" w:hAnsiTheme="majorHAnsi" w:cstheme="majorHAnsi"/>
                <w:b/>
                <w:color w:val="000000"/>
                <w:szCs w:val="18"/>
                <w:lang w:val="cs-CZ"/>
              </w:rPr>
              <w:t>2019</w:t>
            </w:r>
          </w:p>
        </w:tc>
        <w:tc>
          <w:tcPr>
            <w:tcW w:w="680" w:type="dxa"/>
            <w:tcBorders>
              <w:top w:val="single" w:sz="12" w:space="0" w:color="auto"/>
              <w:left w:val="single" w:sz="4" w:space="0" w:color="auto"/>
              <w:bottom w:val="nil"/>
              <w:right w:val="single" w:sz="4" w:space="0" w:color="auto"/>
            </w:tcBorders>
            <w:shd w:val="clear" w:color="auto" w:fill="auto"/>
            <w:vAlign w:val="center"/>
          </w:tcPr>
          <w:p w14:paraId="7A7CF738" w14:textId="65E4AE67" w:rsidR="003D32B1" w:rsidRPr="006070EA" w:rsidRDefault="003D32B1" w:rsidP="003D32B1">
            <w:pPr>
              <w:pStyle w:val="Bezmezer"/>
              <w:jc w:val="center"/>
              <w:rPr>
                <w:rFonts w:asciiTheme="majorHAnsi" w:hAnsiTheme="majorHAnsi" w:cstheme="majorHAnsi"/>
                <w:b/>
                <w:bCs/>
                <w:color w:val="000000"/>
                <w:szCs w:val="18"/>
                <w:lang w:val="cs-CZ"/>
              </w:rPr>
            </w:pPr>
            <w:r w:rsidRPr="006070EA">
              <w:rPr>
                <w:rFonts w:asciiTheme="majorHAnsi" w:hAnsiTheme="majorHAnsi" w:cstheme="majorHAnsi"/>
                <w:b/>
                <w:color w:val="000000"/>
                <w:szCs w:val="18"/>
                <w:lang w:val="cs-CZ"/>
              </w:rPr>
              <w:t>2020</w:t>
            </w:r>
          </w:p>
        </w:tc>
        <w:tc>
          <w:tcPr>
            <w:tcW w:w="680" w:type="dxa"/>
            <w:tcBorders>
              <w:top w:val="single" w:sz="12" w:space="0" w:color="auto"/>
              <w:left w:val="single" w:sz="4" w:space="0" w:color="auto"/>
              <w:bottom w:val="single" w:sz="12" w:space="0" w:color="auto"/>
            </w:tcBorders>
            <w:shd w:val="clear" w:color="auto" w:fill="auto"/>
            <w:vAlign w:val="center"/>
          </w:tcPr>
          <w:p w14:paraId="272505D9" w14:textId="7D660277" w:rsidR="003D32B1" w:rsidRPr="006070EA" w:rsidRDefault="003D32B1" w:rsidP="003D32B1">
            <w:pPr>
              <w:pStyle w:val="Bezmezer"/>
              <w:jc w:val="center"/>
              <w:rPr>
                <w:rFonts w:asciiTheme="majorHAnsi" w:hAnsiTheme="majorHAnsi" w:cstheme="majorHAnsi"/>
                <w:b/>
                <w:bCs/>
                <w:color w:val="000000"/>
                <w:szCs w:val="18"/>
                <w:lang w:val="cs-CZ"/>
              </w:rPr>
            </w:pPr>
            <w:r w:rsidRPr="006070EA">
              <w:rPr>
                <w:rFonts w:asciiTheme="majorHAnsi" w:hAnsiTheme="majorHAnsi" w:cstheme="majorHAnsi"/>
                <w:b/>
                <w:bCs/>
                <w:color w:val="000000"/>
                <w:szCs w:val="18"/>
                <w:lang w:val="cs-CZ"/>
              </w:rPr>
              <w:t>-</w:t>
            </w:r>
          </w:p>
        </w:tc>
      </w:tr>
      <w:tr w:rsidR="003D32B1" w:rsidRPr="006070EA" w14:paraId="733221E6" w14:textId="77777777" w:rsidTr="003D32B1">
        <w:trPr>
          <w:trHeight w:val="283"/>
          <w:jc w:val="center"/>
        </w:trPr>
        <w:tc>
          <w:tcPr>
            <w:tcW w:w="2835" w:type="dxa"/>
            <w:tcBorders>
              <w:top w:val="single" w:sz="12" w:space="0" w:color="auto"/>
              <w:left w:val="nil"/>
              <w:bottom w:val="nil"/>
              <w:right w:val="single" w:sz="4" w:space="0" w:color="auto"/>
            </w:tcBorders>
            <w:shd w:val="clear" w:color="auto" w:fill="auto"/>
            <w:vAlign w:val="center"/>
            <w:hideMark/>
          </w:tcPr>
          <w:p w14:paraId="6C379E4E" w14:textId="77777777" w:rsidR="003D32B1" w:rsidRPr="006070EA" w:rsidRDefault="003D32B1" w:rsidP="003D32B1">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Počet dokončených bytů</w:t>
            </w:r>
          </w:p>
        </w:tc>
        <w:tc>
          <w:tcPr>
            <w:tcW w:w="680" w:type="dxa"/>
            <w:tcBorders>
              <w:top w:val="single" w:sz="12" w:space="0" w:color="auto"/>
              <w:left w:val="single" w:sz="4" w:space="0" w:color="auto"/>
              <w:bottom w:val="nil"/>
              <w:right w:val="single" w:sz="4" w:space="0" w:color="auto"/>
            </w:tcBorders>
            <w:vAlign w:val="center"/>
          </w:tcPr>
          <w:p w14:paraId="2CC0FFB0" w14:textId="52660869" w:rsidR="003D32B1" w:rsidRPr="006070EA" w:rsidRDefault="003D32B1" w:rsidP="003D32B1">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6</w:t>
            </w:r>
          </w:p>
        </w:tc>
        <w:tc>
          <w:tcPr>
            <w:tcW w:w="680" w:type="dxa"/>
            <w:tcBorders>
              <w:top w:val="single" w:sz="12" w:space="0" w:color="auto"/>
              <w:left w:val="single" w:sz="4" w:space="0" w:color="auto"/>
              <w:bottom w:val="nil"/>
              <w:right w:val="single" w:sz="4" w:space="0" w:color="auto"/>
            </w:tcBorders>
            <w:shd w:val="clear" w:color="auto" w:fill="auto"/>
            <w:vAlign w:val="center"/>
          </w:tcPr>
          <w:p w14:paraId="031DC567" w14:textId="30412386" w:rsidR="003D32B1" w:rsidRPr="006070EA" w:rsidRDefault="003D32B1" w:rsidP="003D32B1">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7</w:t>
            </w:r>
          </w:p>
        </w:tc>
        <w:tc>
          <w:tcPr>
            <w:tcW w:w="680" w:type="dxa"/>
            <w:tcBorders>
              <w:top w:val="single" w:sz="12" w:space="0" w:color="auto"/>
              <w:left w:val="single" w:sz="4" w:space="0" w:color="auto"/>
              <w:bottom w:val="nil"/>
              <w:right w:val="single" w:sz="4" w:space="0" w:color="auto"/>
            </w:tcBorders>
            <w:shd w:val="clear" w:color="auto" w:fill="auto"/>
            <w:vAlign w:val="center"/>
          </w:tcPr>
          <w:p w14:paraId="282AB851" w14:textId="6CE8B935" w:rsidR="003D32B1" w:rsidRPr="006070EA" w:rsidRDefault="003D32B1" w:rsidP="003D32B1">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3</w:t>
            </w:r>
          </w:p>
        </w:tc>
        <w:tc>
          <w:tcPr>
            <w:tcW w:w="680" w:type="dxa"/>
            <w:tcBorders>
              <w:top w:val="single" w:sz="12" w:space="0" w:color="auto"/>
              <w:left w:val="single" w:sz="4" w:space="0" w:color="auto"/>
              <w:bottom w:val="nil"/>
              <w:right w:val="single" w:sz="4" w:space="0" w:color="auto"/>
            </w:tcBorders>
            <w:shd w:val="clear" w:color="auto" w:fill="auto"/>
            <w:vAlign w:val="center"/>
          </w:tcPr>
          <w:p w14:paraId="09EDC23D" w14:textId="6455F049" w:rsidR="003D32B1" w:rsidRPr="006070EA" w:rsidRDefault="003D32B1" w:rsidP="003D32B1">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w:t>
            </w:r>
          </w:p>
        </w:tc>
        <w:tc>
          <w:tcPr>
            <w:tcW w:w="680" w:type="dxa"/>
            <w:tcBorders>
              <w:top w:val="single" w:sz="12" w:space="0" w:color="auto"/>
              <w:left w:val="single" w:sz="4" w:space="0" w:color="auto"/>
              <w:bottom w:val="nil"/>
              <w:right w:val="single" w:sz="4" w:space="0" w:color="auto"/>
            </w:tcBorders>
            <w:shd w:val="clear" w:color="auto" w:fill="auto"/>
            <w:vAlign w:val="center"/>
          </w:tcPr>
          <w:p w14:paraId="01415B3B" w14:textId="47866903" w:rsidR="003D32B1" w:rsidRPr="006070EA" w:rsidRDefault="003D32B1" w:rsidP="003D32B1">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w:t>
            </w:r>
          </w:p>
        </w:tc>
        <w:tc>
          <w:tcPr>
            <w:tcW w:w="680" w:type="dxa"/>
            <w:tcBorders>
              <w:top w:val="single" w:sz="12" w:space="0" w:color="auto"/>
              <w:left w:val="single" w:sz="4" w:space="0" w:color="auto"/>
              <w:bottom w:val="nil"/>
              <w:right w:val="single" w:sz="4" w:space="0" w:color="auto"/>
            </w:tcBorders>
            <w:shd w:val="clear" w:color="auto" w:fill="auto"/>
            <w:vAlign w:val="center"/>
          </w:tcPr>
          <w:p w14:paraId="43559B55" w14:textId="237467F9" w:rsidR="003D32B1" w:rsidRPr="006070EA" w:rsidRDefault="003D32B1" w:rsidP="003D32B1">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w:t>
            </w:r>
          </w:p>
        </w:tc>
        <w:tc>
          <w:tcPr>
            <w:tcW w:w="680" w:type="dxa"/>
            <w:tcBorders>
              <w:top w:val="single" w:sz="12" w:space="0" w:color="auto"/>
              <w:left w:val="single" w:sz="4" w:space="0" w:color="auto"/>
              <w:bottom w:val="nil"/>
              <w:right w:val="single" w:sz="4" w:space="0" w:color="auto"/>
            </w:tcBorders>
            <w:shd w:val="clear" w:color="auto" w:fill="auto"/>
            <w:vAlign w:val="center"/>
          </w:tcPr>
          <w:p w14:paraId="4634EEDC" w14:textId="085D3714" w:rsidR="003D32B1" w:rsidRPr="006070EA" w:rsidRDefault="003D32B1" w:rsidP="003D32B1">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1</w:t>
            </w:r>
          </w:p>
        </w:tc>
        <w:tc>
          <w:tcPr>
            <w:tcW w:w="680" w:type="dxa"/>
            <w:tcBorders>
              <w:top w:val="single" w:sz="12" w:space="0" w:color="auto"/>
              <w:left w:val="single" w:sz="4" w:space="0" w:color="auto"/>
              <w:bottom w:val="nil"/>
              <w:right w:val="single" w:sz="4" w:space="0" w:color="auto"/>
            </w:tcBorders>
            <w:shd w:val="clear" w:color="auto" w:fill="auto"/>
            <w:vAlign w:val="center"/>
          </w:tcPr>
          <w:p w14:paraId="77BC5133" w14:textId="2EF79080" w:rsidR="003D32B1" w:rsidRPr="006070EA" w:rsidRDefault="003D32B1" w:rsidP="003D32B1">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8</w:t>
            </w:r>
          </w:p>
        </w:tc>
        <w:tc>
          <w:tcPr>
            <w:tcW w:w="680" w:type="dxa"/>
            <w:tcBorders>
              <w:top w:val="single" w:sz="12" w:space="0" w:color="auto"/>
              <w:left w:val="single" w:sz="4" w:space="0" w:color="auto"/>
              <w:bottom w:val="nil"/>
            </w:tcBorders>
            <w:shd w:val="clear" w:color="auto" w:fill="auto"/>
            <w:vAlign w:val="center"/>
          </w:tcPr>
          <w:p w14:paraId="0E840538" w14:textId="4D799D25" w:rsidR="003D32B1" w:rsidRPr="006070EA" w:rsidRDefault="003D32B1" w:rsidP="003D32B1">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w:t>
            </w:r>
          </w:p>
        </w:tc>
      </w:tr>
    </w:tbl>
    <w:p w14:paraId="50B37F2F" w14:textId="24633149" w:rsidR="00B87807" w:rsidRPr="006070EA" w:rsidRDefault="00B87807" w:rsidP="00B87807">
      <w:pPr>
        <w:pStyle w:val="Atext"/>
        <w:rPr>
          <w:rFonts w:asciiTheme="majorHAnsi" w:hAnsiTheme="majorHAnsi" w:cstheme="majorHAnsi"/>
          <w:color w:val="000000"/>
          <w:szCs w:val="18"/>
        </w:rPr>
      </w:pPr>
      <w:r w:rsidRPr="006070EA">
        <w:rPr>
          <w:rFonts w:asciiTheme="majorHAnsi" w:hAnsiTheme="majorHAnsi" w:cstheme="majorHAnsi"/>
          <w:color w:val="000000"/>
          <w:szCs w:val="18"/>
        </w:rPr>
        <w:t>Z údajů o stáří domovního fondu (viz tabulka níže) je zřejmé, že tempo výstavby bylo nejintenzivnější v letech 1971 – 1980. V tomto desetiletí bylo realizováno téměř 22 % bytů v území. V následujících třiceti letech (1981 – 2011) činilo tempo přírůstku obydlených bytů cca 12-13 % za deset let.</w:t>
      </w:r>
    </w:p>
    <w:p w14:paraId="270DFC4D" w14:textId="74A09CFD" w:rsidR="002F3880" w:rsidRPr="006070EA" w:rsidRDefault="002F3880" w:rsidP="002F3880">
      <w:pPr>
        <w:pStyle w:val="Atextkurzva"/>
        <w:keepNext/>
        <w:rPr>
          <w:rFonts w:asciiTheme="majorHAnsi" w:hAnsiTheme="majorHAnsi" w:cstheme="majorHAnsi"/>
          <w:color w:val="000000"/>
          <w:szCs w:val="18"/>
        </w:rPr>
      </w:pPr>
      <w:r w:rsidRPr="006070EA">
        <w:rPr>
          <w:rFonts w:asciiTheme="majorHAnsi" w:hAnsiTheme="majorHAnsi" w:cstheme="majorHAnsi"/>
          <w:color w:val="000000"/>
          <w:szCs w:val="18"/>
        </w:rPr>
        <w:t>Tab</w:t>
      </w:r>
      <w:r w:rsidR="00B87807" w:rsidRPr="006070EA">
        <w:rPr>
          <w:rFonts w:asciiTheme="majorHAnsi" w:hAnsiTheme="majorHAnsi" w:cstheme="majorHAnsi"/>
          <w:color w:val="000000"/>
          <w:szCs w:val="18"/>
        </w:rPr>
        <w:t>.</w:t>
      </w:r>
      <w:r w:rsidRPr="006070EA">
        <w:rPr>
          <w:rFonts w:asciiTheme="majorHAnsi" w:hAnsiTheme="majorHAnsi" w:cstheme="majorHAnsi"/>
          <w:color w:val="000000"/>
          <w:szCs w:val="18"/>
        </w:rPr>
        <w:t xml:space="preserve">: Podíl obydlených bytů postavených do roku 2011, údaje SLDB 2011 </w:t>
      </w:r>
    </w:p>
    <w:tbl>
      <w:tblPr>
        <w:tblW w:w="0" w:type="auto"/>
        <w:tblBorders>
          <w:insideH w:val="single" w:sz="6" w:space="0" w:color="000000"/>
          <w:insideV w:val="single" w:sz="6" w:space="0" w:color="000000"/>
        </w:tblBorders>
        <w:tblLook w:val="0000" w:firstRow="0" w:lastRow="0" w:firstColumn="0" w:lastColumn="0" w:noHBand="0" w:noVBand="0"/>
      </w:tblPr>
      <w:tblGrid>
        <w:gridCol w:w="1162"/>
        <w:gridCol w:w="1528"/>
        <w:gridCol w:w="1595"/>
        <w:gridCol w:w="1595"/>
        <w:gridCol w:w="1595"/>
        <w:gridCol w:w="1595"/>
      </w:tblGrid>
      <w:tr w:rsidR="002F3880" w:rsidRPr="006070EA" w14:paraId="7AE21380" w14:textId="77777777" w:rsidTr="00B87807">
        <w:trPr>
          <w:trHeight w:val="20"/>
        </w:trPr>
        <w:tc>
          <w:tcPr>
            <w:tcW w:w="0" w:type="auto"/>
            <w:shd w:val="clear" w:color="auto" w:fill="auto"/>
            <w:vAlign w:val="center"/>
          </w:tcPr>
          <w:p w14:paraId="1100646A" w14:textId="77777777" w:rsidR="002F3880" w:rsidRPr="006070EA" w:rsidRDefault="002F3880" w:rsidP="003D32B1">
            <w:pPr>
              <w:keepNext/>
              <w:autoSpaceDE w:val="0"/>
              <w:autoSpaceDN w:val="0"/>
              <w:adjustRightInd w:val="0"/>
              <w:spacing w:after="0"/>
              <w:jc w:val="center"/>
              <w:rPr>
                <w:rFonts w:asciiTheme="majorHAnsi" w:hAnsiTheme="majorHAnsi" w:cstheme="majorHAnsi"/>
                <w:color w:val="000000"/>
                <w:sz w:val="18"/>
                <w:szCs w:val="18"/>
              </w:rPr>
            </w:pPr>
            <w:r w:rsidRPr="006070EA">
              <w:rPr>
                <w:rFonts w:asciiTheme="majorHAnsi" w:hAnsiTheme="majorHAnsi" w:cstheme="majorHAnsi"/>
                <w:b/>
                <w:bCs/>
                <w:color w:val="000000"/>
                <w:sz w:val="18"/>
                <w:szCs w:val="18"/>
              </w:rPr>
              <w:t>Obec</w:t>
            </w:r>
          </w:p>
        </w:tc>
        <w:tc>
          <w:tcPr>
            <w:tcW w:w="0" w:type="auto"/>
            <w:shd w:val="clear" w:color="auto" w:fill="auto"/>
            <w:vAlign w:val="center"/>
          </w:tcPr>
          <w:p w14:paraId="5718E03E" w14:textId="3B1109F6" w:rsidR="002F3880" w:rsidRPr="006070EA" w:rsidRDefault="002F3880" w:rsidP="003D32B1">
            <w:pPr>
              <w:keepNext/>
              <w:autoSpaceDE w:val="0"/>
              <w:autoSpaceDN w:val="0"/>
              <w:adjustRightInd w:val="0"/>
              <w:spacing w:after="0"/>
              <w:jc w:val="center"/>
              <w:rPr>
                <w:rFonts w:asciiTheme="majorHAnsi" w:hAnsiTheme="majorHAnsi" w:cstheme="majorHAnsi"/>
                <w:color w:val="000000"/>
                <w:sz w:val="18"/>
                <w:szCs w:val="18"/>
              </w:rPr>
            </w:pPr>
            <w:r w:rsidRPr="006070EA">
              <w:rPr>
                <w:rFonts w:asciiTheme="majorHAnsi" w:hAnsiTheme="majorHAnsi" w:cstheme="majorHAnsi"/>
                <w:b/>
                <w:bCs/>
                <w:color w:val="000000"/>
                <w:sz w:val="18"/>
                <w:szCs w:val="18"/>
              </w:rPr>
              <w:t>Podíl obydl.</w:t>
            </w:r>
            <w:r w:rsidR="00B87807" w:rsidRPr="006070EA">
              <w:rPr>
                <w:rFonts w:asciiTheme="majorHAnsi" w:hAnsiTheme="majorHAnsi" w:cstheme="majorHAnsi"/>
                <w:b/>
                <w:bCs/>
                <w:color w:val="000000"/>
                <w:sz w:val="18"/>
                <w:szCs w:val="18"/>
              </w:rPr>
              <w:t xml:space="preserve"> </w:t>
            </w:r>
            <w:r w:rsidRPr="006070EA">
              <w:rPr>
                <w:rFonts w:asciiTheme="majorHAnsi" w:hAnsiTheme="majorHAnsi" w:cstheme="majorHAnsi"/>
                <w:b/>
                <w:bCs/>
                <w:color w:val="000000"/>
                <w:sz w:val="18"/>
                <w:szCs w:val="18"/>
              </w:rPr>
              <w:t>bytů postavených do roku 1919 (%)</w:t>
            </w:r>
          </w:p>
        </w:tc>
        <w:tc>
          <w:tcPr>
            <w:tcW w:w="0" w:type="auto"/>
            <w:shd w:val="clear" w:color="auto" w:fill="auto"/>
            <w:vAlign w:val="center"/>
          </w:tcPr>
          <w:p w14:paraId="705F8B07" w14:textId="17B7F41E" w:rsidR="002F3880" w:rsidRPr="006070EA" w:rsidRDefault="002F3880" w:rsidP="003D32B1">
            <w:pPr>
              <w:keepNext/>
              <w:autoSpaceDE w:val="0"/>
              <w:autoSpaceDN w:val="0"/>
              <w:adjustRightInd w:val="0"/>
              <w:spacing w:after="0"/>
              <w:jc w:val="center"/>
              <w:rPr>
                <w:rFonts w:asciiTheme="majorHAnsi" w:hAnsiTheme="majorHAnsi" w:cstheme="majorHAnsi"/>
                <w:color w:val="000000"/>
                <w:sz w:val="18"/>
                <w:szCs w:val="18"/>
              </w:rPr>
            </w:pPr>
            <w:r w:rsidRPr="006070EA">
              <w:rPr>
                <w:rFonts w:asciiTheme="majorHAnsi" w:hAnsiTheme="majorHAnsi" w:cstheme="majorHAnsi"/>
                <w:b/>
                <w:bCs/>
                <w:color w:val="000000"/>
                <w:sz w:val="18"/>
                <w:szCs w:val="18"/>
              </w:rPr>
              <w:t>Podíl obydl.</w:t>
            </w:r>
            <w:r w:rsidR="00B87807" w:rsidRPr="006070EA">
              <w:rPr>
                <w:rFonts w:asciiTheme="majorHAnsi" w:hAnsiTheme="majorHAnsi" w:cstheme="majorHAnsi"/>
                <w:b/>
                <w:bCs/>
                <w:color w:val="000000"/>
                <w:sz w:val="18"/>
                <w:szCs w:val="18"/>
              </w:rPr>
              <w:t xml:space="preserve"> </w:t>
            </w:r>
            <w:r w:rsidRPr="006070EA">
              <w:rPr>
                <w:rFonts w:asciiTheme="majorHAnsi" w:hAnsiTheme="majorHAnsi" w:cstheme="majorHAnsi"/>
                <w:b/>
                <w:bCs/>
                <w:color w:val="000000"/>
                <w:sz w:val="18"/>
                <w:szCs w:val="18"/>
              </w:rPr>
              <w:t>bytů postavených v letech 1920-1970 (%)</w:t>
            </w:r>
          </w:p>
        </w:tc>
        <w:tc>
          <w:tcPr>
            <w:tcW w:w="0" w:type="auto"/>
            <w:shd w:val="clear" w:color="auto" w:fill="auto"/>
            <w:vAlign w:val="center"/>
          </w:tcPr>
          <w:p w14:paraId="1C6589F3" w14:textId="071CDCE6" w:rsidR="002F3880" w:rsidRPr="006070EA" w:rsidRDefault="002F3880" w:rsidP="003D32B1">
            <w:pPr>
              <w:keepNext/>
              <w:autoSpaceDE w:val="0"/>
              <w:autoSpaceDN w:val="0"/>
              <w:adjustRightInd w:val="0"/>
              <w:spacing w:after="0"/>
              <w:jc w:val="center"/>
              <w:rPr>
                <w:rFonts w:asciiTheme="majorHAnsi" w:hAnsiTheme="majorHAnsi" w:cstheme="majorHAnsi"/>
                <w:color w:val="000000"/>
                <w:sz w:val="18"/>
                <w:szCs w:val="18"/>
              </w:rPr>
            </w:pPr>
            <w:r w:rsidRPr="006070EA">
              <w:rPr>
                <w:rFonts w:asciiTheme="majorHAnsi" w:hAnsiTheme="majorHAnsi" w:cstheme="majorHAnsi"/>
                <w:b/>
                <w:bCs/>
                <w:color w:val="000000"/>
                <w:sz w:val="18"/>
                <w:szCs w:val="18"/>
              </w:rPr>
              <w:t>Podíl obydl.</w:t>
            </w:r>
            <w:r w:rsidR="00B87807" w:rsidRPr="006070EA">
              <w:rPr>
                <w:rFonts w:asciiTheme="majorHAnsi" w:hAnsiTheme="majorHAnsi" w:cstheme="majorHAnsi"/>
                <w:b/>
                <w:bCs/>
                <w:color w:val="000000"/>
                <w:sz w:val="18"/>
                <w:szCs w:val="18"/>
              </w:rPr>
              <w:t xml:space="preserve"> </w:t>
            </w:r>
            <w:r w:rsidRPr="006070EA">
              <w:rPr>
                <w:rFonts w:asciiTheme="majorHAnsi" w:hAnsiTheme="majorHAnsi" w:cstheme="majorHAnsi"/>
                <w:b/>
                <w:bCs/>
                <w:color w:val="000000"/>
                <w:sz w:val="18"/>
                <w:szCs w:val="18"/>
              </w:rPr>
              <w:t>bytů postavených v letech 1971-1980 (%)</w:t>
            </w:r>
          </w:p>
        </w:tc>
        <w:tc>
          <w:tcPr>
            <w:tcW w:w="0" w:type="auto"/>
            <w:shd w:val="clear" w:color="auto" w:fill="auto"/>
            <w:vAlign w:val="center"/>
          </w:tcPr>
          <w:p w14:paraId="7E69F33C" w14:textId="7953074B" w:rsidR="002F3880" w:rsidRPr="006070EA" w:rsidRDefault="002F3880" w:rsidP="003D32B1">
            <w:pPr>
              <w:keepNext/>
              <w:autoSpaceDE w:val="0"/>
              <w:autoSpaceDN w:val="0"/>
              <w:adjustRightInd w:val="0"/>
              <w:spacing w:after="0"/>
              <w:jc w:val="center"/>
              <w:rPr>
                <w:rFonts w:asciiTheme="majorHAnsi" w:hAnsiTheme="majorHAnsi" w:cstheme="majorHAnsi"/>
                <w:color w:val="000000"/>
                <w:sz w:val="18"/>
                <w:szCs w:val="18"/>
              </w:rPr>
            </w:pPr>
            <w:r w:rsidRPr="006070EA">
              <w:rPr>
                <w:rFonts w:asciiTheme="majorHAnsi" w:hAnsiTheme="majorHAnsi" w:cstheme="majorHAnsi"/>
                <w:b/>
                <w:bCs/>
                <w:color w:val="000000"/>
                <w:sz w:val="18"/>
                <w:szCs w:val="18"/>
              </w:rPr>
              <w:t>Podíl obydl.</w:t>
            </w:r>
            <w:r w:rsidR="00B87807" w:rsidRPr="006070EA">
              <w:rPr>
                <w:rFonts w:asciiTheme="majorHAnsi" w:hAnsiTheme="majorHAnsi" w:cstheme="majorHAnsi"/>
                <w:b/>
                <w:bCs/>
                <w:color w:val="000000"/>
                <w:sz w:val="18"/>
                <w:szCs w:val="18"/>
              </w:rPr>
              <w:t xml:space="preserve"> </w:t>
            </w:r>
            <w:r w:rsidRPr="006070EA">
              <w:rPr>
                <w:rFonts w:asciiTheme="majorHAnsi" w:hAnsiTheme="majorHAnsi" w:cstheme="majorHAnsi"/>
                <w:b/>
                <w:bCs/>
                <w:color w:val="000000"/>
                <w:sz w:val="18"/>
                <w:szCs w:val="18"/>
              </w:rPr>
              <w:t>bytů postavených v letech 1981-2000 (%)</w:t>
            </w:r>
          </w:p>
        </w:tc>
        <w:tc>
          <w:tcPr>
            <w:tcW w:w="0" w:type="auto"/>
            <w:shd w:val="clear" w:color="auto" w:fill="auto"/>
            <w:vAlign w:val="center"/>
          </w:tcPr>
          <w:p w14:paraId="41A53B55" w14:textId="014BBABE" w:rsidR="002F3880" w:rsidRPr="006070EA" w:rsidRDefault="002F3880" w:rsidP="003D32B1">
            <w:pPr>
              <w:keepNext/>
              <w:autoSpaceDE w:val="0"/>
              <w:autoSpaceDN w:val="0"/>
              <w:adjustRightInd w:val="0"/>
              <w:spacing w:after="0"/>
              <w:jc w:val="center"/>
              <w:rPr>
                <w:rFonts w:asciiTheme="majorHAnsi" w:hAnsiTheme="majorHAnsi" w:cstheme="majorHAnsi"/>
                <w:color w:val="000000"/>
                <w:sz w:val="18"/>
                <w:szCs w:val="18"/>
              </w:rPr>
            </w:pPr>
            <w:r w:rsidRPr="006070EA">
              <w:rPr>
                <w:rFonts w:asciiTheme="majorHAnsi" w:hAnsiTheme="majorHAnsi" w:cstheme="majorHAnsi"/>
                <w:b/>
                <w:bCs/>
                <w:color w:val="000000"/>
                <w:sz w:val="18"/>
                <w:szCs w:val="18"/>
              </w:rPr>
              <w:t>Podíl obydl.</w:t>
            </w:r>
            <w:r w:rsidR="00B87807" w:rsidRPr="006070EA">
              <w:rPr>
                <w:rFonts w:asciiTheme="majorHAnsi" w:hAnsiTheme="majorHAnsi" w:cstheme="majorHAnsi"/>
                <w:b/>
                <w:bCs/>
                <w:color w:val="000000"/>
                <w:sz w:val="18"/>
                <w:szCs w:val="18"/>
              </w:rPr>
              <w:t xml:space="preserve"> </w:t>
            </w:r>
            <w:r w:rsidRPr="006070EA">
              <w:rPr>
                <w:rFonts w:asciiTheme="majorHAnsi" w:hAnsiTheme="majorHAnsi" w:cstheme="majorHAnsi"/>
                <w:b/>
                <w:bCs/>
                <w:color w:val="000000"/>
                <w:sz w:val="18"/>
                <w:szCs w:val="18"/>
              </w:rPr>
              <w:t>bytů postavených v letech 2001-2011 (%)</w:t>
            </w:r>
          </w:p>
        </w:tc>
      </w:tr>
      <w:tr w:rsidR="002F3880" w:rsidRPr="006070EA" w14:paraId="064F3D2B" w14:textId="77777777" w:rsidTr="00B87807">
        <w:trPr>
          <w:trHeight w:val="20"/>
        </w:trPr>
        <w:tc>
          <w:tcPr>
            <w:tcW w:w="0" w:type="auto"/>
            <w:shd w:val="clear" w:color="auto" w:fill="auto"/>
            <w:vAlign w:val="center"/>
          </w:tcPr>
          <w:p w14:paraId="4E131DB8" w14:textId="77777777" w:rsidR="002F3880" w:rsidRPr="006070EA" w:rsidRDefault="002F3880" w:rsidP="00B87807">
            <w:pPr>
              <w:autoSpaceDE w:val="0"/>
              <w:autoSpaceDN w:val="0"/>
              <w:adjustRightInd w:val="0"/>
              <w:spacing w:after="0"/>
              <w:jc w:val="center"/>
              <w:rPr>
                <w:rFonts w:asciiTheme="majorHAnsi" w:hAnsiTheme="majorHAnsi" w:cstheme="majorHAnsi"/>
                <w:color w:val="000000"/>
                <w:sz w:val="18"/>
                <w:szCs w:val="18"/>
              </w:rPr>
            </w:pPr>
            <w:r w:rsidRPr="006070EA">
              <w:rPr>
                <w:rFonts w:asciiTheme="majorHAnsi" w:hAnsiTheme="majorHAnsi" w:cstheme="majorHAnsi"/>
                <w:color w:val="000000"/>
                <w:sz w:val="18"/>
                <w:szCs w:val="18"/>
              </w:rPr>
              <w:t>Kostomlaty nad Labem</w:t>
            </w:r>
          </w:p>
        </w:tc>
        <w:tc>
          <w:tcPr>
            <w:tcW w:w="0" w:type="auto"/>
            <w:shd w:val="clear" w:color="auto" w:fill="auto"/>
            <w:vAlign w:val="center"/>
          </w:tcPr>
          <w:p w14:paraId="4E67FE60" w14:textId="77777777" w:rsidR="002F3880" w:rsidRPr="006070EA" w:rsidRDefault="002F3880" w:rsidP="00B87807">
            <w:pPr>
              <w:autoSpaceDE w:val="0"/>
              <w:autoSpaceDN w:val="0"/>
              <w:adjustRightInd w:val="0"/>
              <w:spacing w:after="0"/>
              <w:jc w:val="center"/>
              <w:rPr>
                <w:rFonts w:asciiTheme="majorHAnsi" w:hAnsiTheme="majorHAnsi" w:cstheme="majorHAnsi"/>
                <w:color w:val="000000"/>
                <w:sz w:val="18"/>
                <w:szCs w:val="18"/>
              </w:rPr>
            </w:pPr>
            <w:r w:rsidRPr="006070EA">
              <w:rPr>
                <w:rFonts w:asciiTheme="majorHAnsi" w:hAnsiTheme="majorHAnsi" w:cstheme="majorHAnsi"/>
                <w:color w:val="000000"/>
                <w:sz w:val="18"/>
                <w:szCs w:val="18"/>
              </w:rPr>
              <w:t>10,9</w:t>
            </w:r>
          </w:p>
        </w:tc>
        <w:tc>
          <w:tcPr>
            <w:tcW w:w="0" w:type="auto"/>
            <w:shd w:val="clear" w:color="auto" w:fill="auto"/>
            <w:vAlign w:val="center"/>
          </w:tcPr>
          <w:p w14:paraId="06967D40" w14:textId="77777777" w:rsidR="002F3880" w:rsidRPr="006070EA" w:rsidRDefault="002F3880" w:rsidP="00B87807">
            <w:pPr>
              <w:autoSpaceDE w:val="0"/>
              <w:autoSpaceDN w:val="0"/>
              <w:adjustRightInd w:val="0"/>
              <w:spacing w:after="0"/>
              <w:jc w:val="center"/>
              <w:rPr>
                <w:rFonts w:asciiTheme="majorHAnsi" w:hAnsiTheme="majorHAnsi" w:cstheme="majorHAnsi"/>
                <w:color w:val="000000"/>
                <w:sz w:val="18"/>
                <w:szCs w:val="18"/>
              </w:rPr>
            </w:pPr>
            <w:r w:rsidRPr="006070EA">
              <w:rPr>
                <w:rFonts w:asciiTheme="majorHAnsi" w:hAnsiTheme="majorHAnsi" w:cstheme="majorHAnsi"/>
                <w:color w:val="000000"/>
                <w:sz w:val="18"/>
                <w:szCs w:val="18"/>
              </w:rPr>
              <w:t>29,7</w:t>
            </w:r>
          </w:p>
        </w:tc>
        <w:tc>
          <w:tcPr>
            <w:tcW w:w="0" w:type="auto"/>
            <w:shd w:val="clear" w:color="auto" w:fill="auto"/>
            <w:vAlign w:val="center"/>
          </w:tcPr>
          <w:p w14:paraId="564FA198" w14:textId="77777777" w:rsidR="002F3880" w:rsidRPr="006070EA" w:rsidRDefault="002F3880" w:rsidP="00B87807">
            <w:pPr>
              <w:autoSpaceDE w:val="0"/>
              <w:autoSpaceDN w:val="0"/>
              <w:adjustRightInd w:val="0"/>
              <w:spacing w:after="0"/>
              <w:jc w:val="center"/>
              <w:rPr>
                <w:rFonts w:asciiTheme="majorHAnsi" w:hAnsiTheme="majorHAnsi" w:cstheme="majorHAnsi"/>
                <w:color w:val="000000"/>
                <w:sz w:val="18"/>
                <w:szCs w:val="18"/>
              </w:rPr>
            </w:pPr>
            <w:r w:rsidRPr="006070EA">
              <w:rPr>
                <w:rFonts w:asciiTheme="majorHAnsi" w:hAnsiTheme="majorHAnsi" w:cstheme="majorHAnsi"/>
                <w:color w:val="000000"/>
                <w:sz w:val="18"/>
                <w:szCs w:val="18"/>
              </w:rPr>
              <w:t>21,6</w:t>
            </w:r>
          </w:p>
        </w:tc>
        <w:tc>
          <w:tcPr>
            <w:tcW w:w="0" w:type="auto"/>
            <w:shd w:val="clear" w:color="auto" w:fill="auto"/>
            <w:vAlign w:val="center"/>
          </w:tcPr>
          <w:p w14:paraId="47F7178A" w14:textId="77777777" w:rsidR="002F3880" w:rsidRPr="006070EA" w:rsidRDefault="002F3880" w:rsidP="00B87807">
            <w:pPr>
              <w:autoSpaceDE w:val="0"/>
              <w:autoSpaceDN w:val="0"/>
              <w:adjustRightInd w:val="0"/>
              <w:spacing w:after="0"/>
              <w:jc w:val="center"/>
              <w:rPr>
                <w:rFonts w:asciiTheme="majorHAnsi" w:hAnsiTheme="majorHAnsi" w:cstheme="majorHAnsi"/>
                <w:color w:val="000000"/>
                <w:sz w:val="18"/>
                <w:szCs w:val="18"/>
              </w:rPr>
            </w:pPr>
            <w:r w:rsidRPr="006070EA">
              <w:rPr>
                <w:rFonts w:asciiTheme="majorHAnsi" w:hAnsiTheme="majorHAnsi" w:cstheme="majorHAnsi"/>
                <w:color w:val="000000"/>
                <w:sz w:val="18"/>
                <w:szCs w:val="18"/>
              </w:rPr>
              <w:t>25,0</w:t>
            </w:r>
          </w:p>
        </w:tc>
        <w:tc>
          <w:tcPr>
            <w:tcW w:w="0" w:type="auto"/>
            <w:shd w:val="clear" w:color="auto" w:fill="auto"/>
            <w:vAlign w:val="center"/>
          </w:tcPr>
          <w:p w14:paraId="6D4EE25F" w14:textId="77777777" w:rsidR="002F3880" w:rsidRPr="006070EA" w:rsidRDefault="002F3880" w:rsidP="00B87807">
            <w:pPr>
              <w:autoSpaceDE w:val="0"/>
              <w:autoSpaceDN w:val="0"/>
              <w:adjustRightInd w:val="0"/>
              <w:spacing w:after="0"/>
              <w:jc w:val="center"/>
              <w:rPr>
                <w:rFonts w:asciiTheme="majorHAnsi" w:hAnsiTheme="majorHAnsi" w:cstheme="majorHAnsi"/>
                <w:color w:val="000000"/>
                <w:sz w:val="18"/>
                <w:szCs w:val="18"/>
              </w:rPr>
            </w:pPr>
            <w:r w:rsidRPr="006070EA">
              <w:rPr>
                <w:rFonts w:asciiTheme="majorHAnsi" w:hAnsiTheme="majorHAnsi" w:cstheme="majorHAnsi"/>
                <w:color w:val="000000"/>
                <w:sz w:val="18"/>
                <w:szCs w:val="18"/>
              </w:rPr>
              <w:t>12,2</w:t>
            </w:r>
          </w:p>
        </w:tc>
      </w:tr>
    </w:tbl>
    <w:p w14:paraId="567113D2" w14:textId="77777777" w:rsidR="000E15FE" w:rsidRPr="006070EA" w:rsidRDefault="000E15FE" w:rsidP="003D32B1">
      <w:pPr>
        <w:spacing w:before="120" w:after="120" w:line="240" w:lineRule="auto"/>
        <w:ind w:firstLine="709"/>
        <w:jc w:val="both"/>
        <w:rPr>
          <w:rFonts w:asciiTheme="majorHAnsi" w:hAnsiTheme="majorHAnsi" w:cstheme="majorHAnsi"/>
          <w:sz w:val="18"/>
          <w:szCs w:val="18"/>
        </w:rPr>
      </w:pPr>
      <w:r w:rsidRPr="006070EA">
        <w:rPr>
          <w:rFonts w:asciiTheme="majorHAnsi" w:hAnsiTheme="majorHAnsi" w:cstheme="majorHAnsi"/>
          <w:sz w:val="18"/>
          <w:szCs w:val="18"/>
        </w:rPr>
        <w:t>Při stanovení vývoje počtu bytů je nezbytné počítat s tzv. odpadem bytů, který v dotčeném území představuje zejména slučování bytů a změna využití bytů. Sloučení bytů lze předpokládat v rodinných domech s vyšším počtem bytů, případně také v</w:t>
      </w:r>
      <w:r w:rsidR="005818C6" w:rsidRPr="006070EA">
        <w:rPr>
          <w:rFonts w:asciiTheme="majorHAnsi" w:hAnsiTheme="majorHAnsi" w:cstheme="majorHAnsi"/>
          <w:sz w:val="18"/>
          <w:szCs w:val="18"/>
        </w:rPr>
        <w:t xml:space="preserve"> </w:t>
      </w:r>
      <w:r w:rsidRPr="006070EA">
        <w:rPr>
          <w:rFonts w:asciiTheme="majorHAnsi" w:hAnsiTheme="majorHAnsi" w:cstheme="majorHAnsi"/>
          <w:sz w:val="18"/>
          <w:szCs w:val="18"/>
        </w:rPr>
        <w:t>bytových domech, za účelem zvýšení kvality bydlení z třígeneračního na dvougenerační a zvětšení celkové obytné plochy. Změna využití bytů může v řešeném území spočívat v konverzi obytných rodinných domů na rekreační objekty, případně jejich využití pro podnikání.</w:t>
      </w:r>
    </w:p>
    <w:p w14:paraId="4B123A07" w14:textId="58AB9023" w:rsidR="009049E5" w:rsidRPr="006070EA" w:rsidRDefault="009049E5" w:rsidP="003A4B1E">
      <w:pPr>
        <w:pStyle w:val="Odstavecseseznamem"/>
        <w:keepNext/>
        <w:numPr>
          <w:ilvl w:val="1"/>
          <w:numId w:val="29"/>
        </w:numPr>
        <w:spacing w:before="160" w:after="120" w:line="240" w:lineRule="auto"/>
        <w:ind w:left="709" w:hanging="709"/>
        <w:contextualSpacing w:val="0"/>
        <w:jc w:val="both"/>
        <w:outlineLvl w:val="1"/>
        <w:rPr>
          <w:rFonts w:asciiTheme="majorHAnsi" w:hAnsiTheme="majorHAnsi" w:cstheme="majorHAnsi"/>
          <w:b/>
          <w:sz w:val="24"/>
          <w:szCs w:val="20"/>
        </w:rPr>
      </w:pPr>
      <w:bookmarkStart w:id="188" w:name="_Toc204678182"/>
      <w:bookmarkEnd w:id="186"/>
      <w:r w:rsidRPr="006070EA">
        <w:rPr>
          <w:rFonts w:asciiTheme="majorHAnsi" w:hAnsiTheme="majorHAnsi" w:cstheme="majorHAnsi"/>
          <w:b/>
          <w:sz w:val="24"/>
          <w:szCs w:val="20"/>
        </w:rPr>
        <w:t xml:space="preserve">Vyhodnocení využití zastavitelných ploch vymezených </w:t>
      </w:r>
      <w:r w:rsidR="00BB50A7" w:rsidRPr="006070EA">
        <w:rPr>
          <w:rFonts w:asciiTheme="majorHAnsi" w:hAnsiTheme="majorHAnsi" w:cstheme="majorHAnsi"/>
          <w:b/>
          <w:sz w:val="24"/>
          <w:szCs w:val="20"/>
        </w:rPr>
        <w:t xml:space="preserve">ve schválené ÚPD </w:t>
      </w:r>
      <w:r w:rsidR="00FA4811" w:rsidRPr="006070EA">
        <w:rPr>
          <w:rFonts w:asciiTheme="majorHAnsi" w:hAnsiTheme="majorHAnsi" w:cstheme="majorHAnsi"/>
          <w:b/>
          <w:sz w:val="24"/>
          <w:szCs w:val="20"/>
        </w:rPr>
        <w:t xml:space="preserve">obce </w:t>
      </w:r>
      <w:r w:rsidR="003D32B1" w:rsidRPr="006070EA">
        <w:rPr>
          <w:rFonts w:asciiTheme="majorHAnsi" w:hAnsiTheme="majorHAnsi" w:cstheme="majorHAnsi"/>
          <w:b/>
          <w:sz w:val="24"/>
          <w:szCs w:val="20"/>
        </w:rPr>
        <w:t>Kostomlaty nad Labem</w:t>
      </w:r>
      <w:bookmarkEnd w:id="188"/>
    </w:p>
    <w:p w14:paraId="1548F71C" w14:textId="738996E3" w:rsidR="009049E5" w:rsidRPr="006070EA" w:rsidRDefault="00B344B7" w:rsidP="001F2074">
      <w:pPr>
        <w:spacing w:after="120" w:line="240" w:lineRule="auto"/>
        <w:ind w:firstLine="709"/>
        <w:jc w:val="both"/>
        <w:rPr>
          <w:rFonts w:asciiTheme="majorHAnsi" w:hAnsiTheme="majorHAnsi" w:cstheme="majorHAnsi"/>
          <w:sz w:val="18"/>
          <w:szCs w:val="18"/>
        </w:rPr>
      </w:pPr>
      <w:r w:rsidRPr="006070EA">
        <w:rPr>
          <w:rFonts w:asciiTheme="majorHAnsi" w:hAnsiTheme="majorHAnsi" w:cstheme="majorHAnsi"/>
          <w:sz w:val="18"/>
          <w:szCs w:val="18"/>
        </w:rPr>
        <w:t xml:space="preserve">V rámci správního území obce </w:t>
      </w:r>
      <w:r w:rsidR="003D32B1" w:rsidRPr="006070EA">
        <w:rPr>
          <w:rFonts w:asciiTheme="majorHAnsi" w:hAnsiTheme="majorHAnsi" w:cstheme="majorHAnsi"/>
          <w:sz w:val="18"/>
          <w:szCs w:val="18"/>
        </w:rPr>
        <w:t>Kostomlaty nad Labem</w:t>
      </w:r>
      <w:r w:rsidRPr="006070EA">
        <w:rPr>
          <w:rFonts w:asciiTheme="majorHAnsi" w:hAnsiTheme="majorHAnsi" w:cstheme="majorHAnsi"/>
          <w:sz w:val="18"/>
          <w:szCs w:val="18"/>
        </w:rPr>
        <w:t xml:space="preserve"> byla dosud zpracována tato územně plánovací dokumentace:</w:t>
      </w:r>
    </w:p>
    <w:tbl>
      <w:tblPr>
        <w:tblStyle w:val="Mkatabulky"/>
        <w:tblW w:w="0" w:type="auto"/>
        <w:jc w:val="center"/>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2268"/>
        <w:gridCol w:w="2268"/>
        <w:gridCol w:w="2267"/>
        <w:gridCol w:w="2267"/>
      </w:tblGrid>
      <w:tr w:rsidR="003D32B1" w:rsidRPr="006070EA" w14:paraId="0E236E53" w14:textId="77777777" w:rsidTr="00AD6D48">
        <w:trPr>
          <w:jc w:val="center"/>
        </w:trPr>
        <w:tc>
          <w:tcPr>
            <w:tcW w:w="2268" w:type="dxa"/>
            <w:tcBorders>
              <w:top w:val="nil"/>
              <w:bottom w:val="single" w:sz="12" w:space="0" w:color="auto"/>
              <w:right w:val="single" w:sz="12" w:space="0" w:color="auto"/>
            </w:tcBorders>
            <w:vAlign w:val="center"/>
          </w:tcPr>
          <w:p w14:paraId="2B3CBB79" w14:textId="77777777" w:rsidR="00B344B7" w:rsidRPr="006070EA" w:rsidRDefault="00B344B7" w:rsidP="009E07E1">
            <w:pPr>
              <w:jc w:val="center"/>
              <w:rPr>
                <w:rFonts w:asciiTheme="majorHAnsi" w:hAnsiTheme="majorHAnsi" w:cstheme="majorHAnsi"/>
                <w:b/>
                <w:sz w:val="18"/>
                <w:szCs w:val="18"/>
              </w:rPr>
            </w:pPr>
            <w:r w:rsidRPr="006070EA">
              <w:rPr>
                <w:rFonts w:asciiTheme="majorHAnsi" w:hAnsiTheme="majorHAnsi" w:cstheme="majorHAnsi"/>
                <w:b/>
                <w:sz w:val="18"/>
                <w:szCs w:val="18"/>
              </w:rPr>
              <w:t>Územně plánovací dokumentace</w:t>
            </w:r>
          </w:p>
        </w:tc>
        <w:tc>
          <w:tcPr>
            <w:tcW w:w="2268" w:type="dxa"/>
            <w:tcBorders>
              <w:top w:val="nil"/>
              <w:left w:val="single" w:sz="12" w:space="0" w:color="auto"/>
              <w:bottom w:val="single" w:sz="12" w:space="0" w:color="auto"/>
              <w:right w:val="single" w:sz="12" w:space="0" w:color="auto"/>
            </w:tcBorders>
            <w:vAlign w:val="center"/>
          </w:tcPr>
          <w:p w14:paraId="53F0E3AD" w14:textId="77777777" w:rsidR="00B344B7" w:rsidRPr="006070EA" w:rsidRDefault="00B344B7" w:rsidP="009E07E1">
            <w:pPr>
              <w:jc w:val="center"/>
              <w:rPr>
                <w:rFonts w:asciiTheme="majorHAnsi" w:hAnsiTheme="majorHAnsi" w:cstheme="majorHAnsi"/>
                <w:b/>
                <w:sz w:val="18"/>
                <w:szCs w:val="18"/>
              </w:rPr>
            </w:pPr>
            <w:r w:rsidRPr="006070EA">
              <w:rPr>
                <w:rFonts w:asciiTheme="majorHAnsi" w:hAnsiTheme="majorHAnsi" w:cstheme="majorHAnsi"/>
                <w:b/>
                <w:sz w:val="18"/>
                <w:szCs w:val="18"/>
              </w:rPr>
              <w:t>zpracovatel</w:t>
            </w:r>
          </w:p>
        </w:tc>
        <w:tc>
          <w:tcPr>
            <w:tcW w:w="2268" w:type="dxa"/>
            <w:tcBorders>
              <w:top w:val="nil"/>
              <w:left w:val="single" w:sz="12" w:space="0" w:color="auto"/>
              <w:bottom w:val="single" w:sz="12" w:space="0" w:color="auto"/>
              <w:right w:val="single" w:sz="12" w:space="0" w:color="auto"/>
            </w:tcBorders>
            <w:vAlign w:val="center"/>
          </w:tcPr>
          <w:p w14:paraId="5B5B5211" w14:textId="77777777" w:rsidR="00B344B7" w:rsidRPr="006070EA" w:rsidRDefault="00B344B7" w:rsidP="009E07E1">
            <w:pPr>
              <w:jc w:val="center"/>
              <w:rPr>
                <w:rFonts w:asciiTheme="majorHAnsi" w:hAnsiTheme="majorHAnsi" w:cstheme="majorHAnsi"/>
                <w:b/>
                <w:sz w:val="18"/>
                <w:szCs w:val="18"/>
              </w:rPr>
            </w:pPr>
            <w:r w:rsidRPr="006070EA">
              <w:rPr>
                <w:rFonts w:asciiTheme="majorHAnsi" w:hAnsiTheme="majorHAnsi" w:cstheme="majorHAnsi"/>
                <w:b/>
                <w:sz w:val="18"/>
                <w:szCs w:val="18"/>
              </w:rPr>
              <w:t>schválení</w:t>
            </w:r>
            <w:r w:rsidR="00CD0BB2" w:rsidRPr="006070EA">
              <w:rPr>
                <w:rFonts w:asciiTheme="majorHAnsi" w:hAnsiTheme="majorHAnsi" w:cstheme="majorHAnsi"/>
                <w:b/>
                <w:sz w:val="18"/>
                <w:szCs w:val="18"/>
              </w:rPr>
              <w:t xml:space="preserve"> / vydání</w:t>
            </w:r>
          </w:p>
        </w:tc>
        <w:tc>
          <w:tcPr>
            <w:tcW w:w="2268" w:type="dxa"/>
            <w:tcBorders>
              <w:top w:val="nil"/>
              <w:left w:val="single" w:sz="12" w:space="0" w:color="auto"/>
              <w:bottom w:val="single" w:sz="12" w:space="0" w:color="auto"/>
            </w:tcBorders>
            <w:vAlign w:val="center"/>
          </w:tcPr>
          <w:p w14:paraId="5968376E" w14:textId="77777777" w:rsidR="00B344B7" w:rsidRPr="006070EA" w:rsidRDefault="00B344B7" w:rsidP="009E07E1">
            <w:pPr>
              <w:jc w:val="center"/>
              <w:rPr>
                <w:rFonts w:asciiTheme="majorHAnsi" w:hAnsiTheme="majorHAnsi" w:cstheme="majorHAnsi"/>
                <w:b/>
                <w:sz w:val="18"/>
                <w:szCs w:val="18"/>
              </w:rPr>
            </w:pPr>
            <w:r w:rsidRPr="006070EA">
              <w:rPr>
                <w:rFonts w:asciiTheme="majorHAnsi" w:hAnsiTheme="majorHAnsi" w:cstheme="majorHAnsi"/>
                <w:b/>
                <w:sz w:val="18"/>
                <w:szCs w:val="18"/>
              </w:rPr>
              <w:t>nabytí účinnosti</w:t>
            </w:r>
          </w:p>
        </w:tc>
      </w:tr>
      <w:tr w:rsidR="003F10E5" w:rsidRPr="006070EA" w14:paraId="4B44A527" w14:textId="77777777" w:rsidTr="00AD6D48">
        <w:trPr>
          <w:jc w:val="center"/>
        </w:trPr>
        <w:tc>
          <w:tcPr>
            <w:tcW w:w="2268" w:type="dxa"/>
            <w:tcBorders>
              <w:top w:val="single" w:sz="12" w:space="0" w:color="auto"/>
            </w:tcBorders>
            <w:vAlign w:val="center"/>
          </w:tcPr>
          <w:p w14:paraId="004C2732" w14:textId="07088C33" w:rsidR="0057541B" w:rsidRPr="006070EA" w:rsidRDefault="00205C66" w:rsidP="00205C66">
            <w:pPr>
              <w:jc w:val="center"/>
              <w:rPr>
                <w:rFonts w:asciiTheme="majorHAnsi" w:hAnsiTheme="majorHAnsi" w:cstheme="majorHAnsi"/>
                <w:sz w:val="18"/>
                <w:szCs w:val="18"/>
              </w:rPr>
            </w:pPr>
            <w:r w:rsidRPr="006070EA">
              <w:rPr>
                <w:rFonts w:asciiTheme="majorHAnsi" w:hAnsiTheme="majorHAnsi" w:cstheme="majorHAnsi"/>
                <w:sz w:val="18"/>
                <w:szCs w:val="18"/>
              </w:rPr>
              <w:t>Územní plán</w:t>
            </w:r>
            <w:r w:rsidR="0057541B" w:rsidRPr="006070EA">
              <w:rPr>
                <w:rFonts w:asciiTheme="majorHAnsi" w:hAnsiTheme="majorHAnsi" w:cstheme="majorHAnsi"/>
                <w:sz w:val="18"/>
                <w:szCs w:val="18"/>
              </w:rPr>
              <w:t xml:space="preserve"> obce </w:t>
            </w:r>
            <w:r w:rsidR="003D32B1" w:rsidRPr="006070EA">
              <w:rPr>
                <w:rFonts w:asciiTheme="majorHAnsi" w:hAnsiTheme="majorHAnsi" w:cstheme="majorHAnsi"/>
                <w:sz w:val="18"/>
                <w:szCs w:val="18"/>
              </w:rPr>
              <w:t>Kostomlaty nad Labem</w:t>
            </w:r>
          </w:p>
        </w:tc>
        <w:tc>
          <w:tcPr>
            <w:tcW w:w="2268" w:type="dxa"/>
            <w:tcBorders>
              <w:top w:val="single" w:sz="12" w:space="0" w:color="auto"/>
            </w:tcBorders>
            <w:vAlign w:val="center"/>
          </w:tcPr>
          <w:p w14:paraId="04884FC2" w14:textId="5AAB28A2" w:rsidR="00B344B7" w:rsidRPr="006070EA" w:rsidRDefault="003D32B1" w:rsidP="00205C66">
            <w:pPr>
              <w:jc w:val="center"/>
              <w:rPr>
                <w:rFonts w:asciiTheme="majorHAnsi" w:hAnsiTheme="majorHAnsi" w:cstheme="majorHAnsi"/>
                <w:sz w:val="18"/>
                <w:szCs w:val="18"/>
              </w:rPr>
            </w:pPr>
            <w:r w:rsidRPr="006070EA">
              <w:rPr>
                <w:rFonts w:asciiTheme="majorHAnsi" w:hAnsiTheme="majorHAnsi" w:cstheme="majorHAnsi"/>
                <w:sz w:val="18"/>
                <w:szCs w:val="18"/>
              </w:rPr>
              <w:t>Atelier CONTEC, Ing. arch. Jiří Vít</w:t>
            </w:r>
          </w:p>
        </w:tc>
        <w:tc>
          <w:tcPr>
            <w:tcW w:w="2268" w:type="dxa"/>
            <w:tcBorders>
              <w:top w:val="single" w:sz="12" w:space="0" w:color="auto"/>
            </w:tcBorders>
            <w:vAlign w:val="center"/>
          </w:tcPr>
          <w:p w14:paraId="7C68677E" w14:textId="5A71EDB8" w:rsidR="00B344B7" w:rsidRPr="006070EA" w:rsidRDefault="003D32B1" w:rsidP="009E07E1">
            <w:pPr>
              <w:jc w:val="center"/>
              <w:rPr>
                <w:rFonts w:asciiTheme="majorHAnsi" w:hAnsiTheme="majorHAnsi" w:cstheme="majorHAnsi"/>
                <w:sz w:val="18"/>
                <w:szCs w:val="18"/>
              </w:rPr>
            </w:pPr>
            <w:r w:rsidRPr="006070EA">
              <w:rPr>
                <w:rFonts w:asciiTheme="majorHAnsi" w:hAnsiTheme="majorHAnsi" w:cstheme="majorHAnsi"/>
                <w:sz w:val="18"/>
                <w:szCs w:val="18"/>
              </w:rPr>
              <w:t>24. 4. 2003</w:t>
            </w:r>
          </w:p>
        </w:tc>
        <w:tc>
          <w:tcPr>
            <w:tcW w:w="2268" w:type="dxa"/>
            <w:tcBorders>
              <w:top w:val="single" w:sz="12" w:space="0" w:color="auto"/>
            </w:tcBorders>
            <w:vAlign w:val="center"/>
          </w:tcPr>
          <w:p w14:paraId="4C5746D1" w14:textId="0303D185" w:rsidR="00B344B7" w:rsidRPr="006070EA" w:rsidRDefault="003D32B1" w:rsidP="009E07E1">
            <w:pPr>
              <w:jc w:val="center"/>
              <w:rPr>
                <w:rFonts w:asciiTheme="majorHAnsi" w:hAnsiTheme="majorHAnsi" w:cstheme="majorHAnsi"/>
                <w:sz w:val="18"/>
                <w:szCs w:val="18"/>
              </w:rPr>
            </w:pPr>
            <w:r w:rsidRPr="006070EA">
              <w:rPr>
                <w:rFonts w:asciiTheme="majorHAnsi" w:hAnsiTheme="majorHAnsi" w:cstheme="majorHAnsi"/>
                <w:sz w:val="18"/>
                <w:szCs w:val="18"/>
              </w:rPr>
              <w:t>15. 5. 2003</w:t>
            </w:r>
          </w:p>
        </w:tc>
      </w:tr>
    </w:tbl>
    <w:p w14:paraId="699B63DD" w14:textId="10EBABC9" w:rsidR="0080735E" w:rsidRPr="006070EA" w:rsidRDefault="00227C15" w:rsidP="00F4234C">
      <w:pPr>
        <w:spacing w:before="120" w:after="120" w:line="240" w:lineRule="auto"/>
        <w:ind w:firstLine="709"/>
        <w:jc w:val="both"/>
        <w:rPr>
          <w:rFonts w:asciiTheme="majorHAnsi" w:hAnsiTheme="majorHAnsi" w:cstheme="majorHAnsi"/>
          <w:sz w:val="18"/>
          <w:szCs w:val="18"/>
        </w:rPr>
      </w:pPr>
      <w:r w:rsidRPr="006070EA">
        <w:rPr>
          <w:rFonts w:asciiTheme="majorHAnsi" w:hAnsiTheme="majorHAnsi" w:cstheme="majorHAnsi"/>
          <w:sz w:val="18"/>
          <w:szCs w:val="18"/>
        </w:rPr>
        <w:t xml:space="preserve">Vyhodnocení využití </w:t>
      </w:r>
      <w:r w:rsidR="00F23A42" w:rsidRPr="006070EA">
        <w:rPr>
          <w:rFonts w:asciiTheme="majorHAnsi" w:hAnsiTheme="majorHAnsi" w:cstheme="majorHAnsi"/>
          <w:sz w:val="18"/>
          <w:szCs w:val="18"/>
        </w:rPr>
        <w:t xml:space="preserve">rozvojových ploch vymezených </w:t>
      </w:r>
      <w:r w:rsidR="008645FA" w:rsidRPr="006070EA">
        <w:rPr>
          <w:rFonts w:asciiTheme="majorHAnsi" w:hAnsiTheme="majorHAnsi" w:cstheme="majorHAnsi"/>
          <w:sz w:val="18"/>
          <w:szCs w:val="18"/>
        </w:rPr>
        <w:t>v platném ÚPO Kostomlaty nad Labem</w:t>
      </w:r>
      <w:r w:rsidR="00F23A42" w:rsidRPr="006070EA">
        <w:rPr>
          <w:rFonts w:asciiTheme="majorHAnsi" w:hAnsiTheme="majorHAnsi" w:cstheme="majorHAnsi"/>
          <w:sz w:val="18"/>
          <w:szCs w:val="18"/>
        </w:rPr>
        <w:t>, spolu s</w:t>
      </w:r>
      <w:r w:rsidRPr="006070EA">
        <w:rPr>
          <w:rFonts w:asciiTheme="majorHAnsi" w:hAnsiTheme="majorHAnsi" w:cstheme="majorHAnsi"/>
          <w:sz w:val="18"/>
          <w:szCs w:val="18"/>
        </w:rPr>
        <w:t> popisem způsobu, jakým bylo s jednotlivými plochami naloženo v</w:t>
      </w:r>
      <w:r w:rsidR="008645FA" w:rsidRPr="006070EA">
        <w:rPr>
          <w:rFonts w:asciiTheme="majorHAnsi" w:hAnsiTheme="majorHAnsi" w:cstheme="majorHAnsi"/>
          <w:sz w:val="18"/>
          <w:szCs w:val="18"/>
        </w:rPr>
        <w:t xml:space="preserve"> návrhu </w:t>
      </w:r>
      <w:r w:rsidRPr="006070EA">
        <w:rPr>
          <w:rFonts w:asciiTheme="majorHAnsi" w:hAnsiTheme="majorHAnsi" w:cstheme="majorHAnsi"/>
          <w:sz w:val="18"/>
          <w:szCs w:val="18"/>
        </w:rPr>
        <w:t>Územní</w:t>
      </w:r>
      <w:r w:rsidR="008645FA" w:rsidRPr="006070EA">
        <w:rPr>
          <w:rFonts w:asciiTheme="majorHAnsi" w:hAnsiTheme="majorHAnsi" w:cstheme="majorHAnsi"/>
          <w:sz w:val="18"/>
          <w:szCs w:val="18"/>
        </w:rPr>
        <w:t>ho</w:t>
      </w:r>
      <w:r w:rsidRPr="006070EA">
        <w:rPr>
          <w:rFonts w:asciiTheme="majorHAnsi" w:hAnsiTheme="majorHAnsi" w:cstheme="majorHAnsi"/>
          <w:sz w:val="18"/>
          <w:szCs w:val="18"/>
        </w:rPr>
        <w:t xml:space="preserve"> plánu </w:t>
      </w:r>
      <w:r w:rsidR="008645FA" w:rsidRPr="006070EA">
        <w:rPr>
          <w:rFonts w:asciiTheme="majorHAnsi" w:hAnsiTheme="majorHAnsi" w:cstheme="majorHAnsi"/>
          <w:sz w:val="18"/>
          <w:szCs w:val="18"/>
        </w:rPr>
        <w:t>Kostomlaty nad Labem</w:t>
      </w:r>
      <w:r w:rsidRPr="006070EA">
        <w:rPr>
          <w:rFonts w:asciiTheme="majorHAnsi" w:hAnsiTheme="majorHAnsi" w:cstheme="majorHAnsi"/>
          <w:sz w:val="18"/>
          <w:szCs w:val="18"/>
        </w:rPr>
        <w:t>, uvádí tabulka níže.</w:t>
      </w:r>
    </w:p>
    <w:p w14:paraId="0952F2CD" w14:textId="581472A0" w:rsidR="0080735E" w:rsidRPr="006070EA" w:rsidRDefault="009C2FBB" w:rsidP="009E07E1">
      <w:pPr>
        <w:keepNext/>
        <w:spacing w:after="60" w:line="240" w:lineRule="auto"/>
        <w:jc w:val="both"/>
        <w:rPr>
          <w:rFonts w:asciiTheme="majorHAnsi" w:hAnsiTheme="majorHAnsi" w:cstheme="majorHAnsi"/>
          <w:i/>
          <w:sz w:val="18"/>
          <w:szCs w:val="18"/>
        </w:rPr>
      </w:pPr>
      <w:r w:rsidRPr="006070EA">
        <w:rPr>
          <w:rFonts w:asciiTheme="majorHAnsi" w:hAnsiTheme="majorHAnsi" w:cstheme="majorHAnsi"/>
          <w:i/>
          <w:sz w:val="18"/>
          <w:szCs w:val="18"/>
        </w:rPr>
        <w:t xml:space="preserve">Tab.: </w:t>
      </w:r>
      <w:r w:rsidR="001A7820" w:rsidRPr="006070EA">
        <w:rPr>
          <w:rFonts w:asciiTheme="majorHAnsi" w:hAnsiTheme="majorHAnsi" w:cstheme="majorHAnsi"/>
          <w:i/>
          <w:sz w:val="18"/>
          <w:szCs w:val="18"/>
        </w:rPr>
        <w:t xml:space="preserve">Rozvojové plochy vymezené v </w:t>
      </w:r>
      <w:r w:rsidR="00CD0BB2" w:rsidRPr="006070EA">
        <w:rPr>
          <w:rFonts w:asciiTheme="majorHAnsi" w:hAnsiTheme="majorHAnsi" w:cstheme="majorHAnsi"/>
          <w:i/>
          <w:sz w:val="18"/>
          <w:szCs w:val="18"/>
        </w:rPr>
        <w:t>ÚP</w:t>
      </w:r>
      <w:r w:rsidR="001A7820" w:rsidRPr="006070EA">
        <w:rPr>
          <w:rFonts w:asciiTheme="majorHAnsi" w:hAnsiTheme="majorHAnsi" w:cstheme="majorHAnsi"/>
          <w:i/>
          <w:sz w:val="18"/>
          <w:szCs w:val="18"/>
        </w:rPr>
        <w:t>O</w:t>
      </w:r>
      <w:r w:rsidR="0080735E" w:rsidRPr="006070EA">
        <w:rPr>
          <w:rFonts w:asciiTheme="majorHAnsi" w:hAnsiTheme="majorHAnsi" w:cstheme="majorHAnsi"/>
          <w:i/>
          <w:sz w:val="18"/>
          <w:szCs w:val="18"/>
        </w:rPr>
        <w:t xml:space="preserve"> </w:t>
      </w:r>
      <w:r w:rsidR="008645FA" w:rsidRPr="006070EA">
        <w:rPr>
          <w:rFonts w:asciiTheme="majorHAnsi" w:hAnsiTheme="majorHAnsi" w:cstheme="majorHAnsi"/>
          <w:i/>
          <w:sz w:val="18"/>
          <w:szCs w:val="18"/>
        </w:rPr>
        <w:t>Kostomlaty nad Labem</w:t>
      </w:r>
    </w:p>
    <w:p w14:paraId="237E4E73" w14:textId="7E816756" w:rsidR="008645FA" w:rsidRPr="006070EA" w:rsidRDefault="008645FA" w:rsidP="003D2F14">
      <w:pPr>
        <w:keepNext/>
        <w:spacing w:before="120" w:after="60" w:line="240" w:lineRule="auto"/>
        <w:jc w:val="both"/>
        <w:rPr>
          <w:rFonts w:asciiTheme="majorHAnsi" w:hAnsiTheme="majorHAnsi" w:cstheme="majorHAnsi"/>
          <w:i/>
          <w:sz w:val="18"/>
          <w:szCs w:val="18"/>
          <w:u w:val="single"/>
        </w:rPr>
      </w:pPr>
      <w:r w:rsidRPr="006070EA">
        <w:rPr>
          <w:rFonts w:asciiTheme="majorHAnsi" w:hAnsiTheme="majorHAnsi" w:cstheme="majorHAnsi"/>
          <w:i/>
          <w:sz w:val="18"/>
          <w:szCs w:val="18"/>
          <w:u w:val="single"/>
        </w:rPr>
        <w:t>Část obce Kostomlaty nad Labem</w:t>
      </w:r>
    </w:p>
    <w:tbl>
      <w:tblPr>
        <w:tblStyle w:val="Mkatabulky"/>
        <w:tblW w:w="8787" w:type="dxa"/>
        <w:jc w:val="center"/>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850"/>
        <w:gridCol w:w="2551"/>
        <w:gridCol w:w="1134"/>
        <w:gridCol w:w="1134"/>
        <w:gridCol w:w="3118"/>
      </w:tblGrid>
      <w:tr w:rsidR="003D2F14" w:rsidRPr="006070EA" w14:paraId="4388C443" w14:textId="77777777" w:rsidTr="00DD30A4">
        <w:trPr>
          <w:cantSplit/>
          <w:tblHeader/>
          <w:jc w:val="center"/>
        </w:trPr>
        <w:tc>
          <w:tcPr>
            <w:tcW w:w="850" w:type="dxa"/>
            <w:tcBorders>
              <w:top w:val="nil"/>
              <w:bottom w:val="single" w:sz="12" w:space="0" w:color="auto"/>
              <w:right w:val="single" w:sz="12" w:space="0" w:color="auto"/>
            </w:tcBorders>
            <w:vAlign w:val="center"/>
          </w:tcPr>
          <w:p w14:paraId="4E3949F6" w14:textId="77777777" w:rsidR="001A7820" w:rsidRPr="006070EA" w:rsidRDefault="001A7820" w:rsidP="001A7820">
            <w:pPr>
              <w:jc w:val="center"/>
              <w:rPr>
                <w:rFonts w:asciiTheme="majorHAnsi" w:hAnsiTheme="majorHAnsi" w:cstheme="majorHAnsi"/>
                <w:b/>
                <w:sz w:val="18"/>
                <w:szCs w:val="18"/>
              </w:rPr>
            </w:pPr>
            <w:r w:rsidRPr="006070EA">
              <w:rPr>
                <w:rFonts w:asciiTheme="majorHAnsi" w:hAnsiTheme="majorHAnsi" w:cstheme="majorHAnsi"/>
                <w:b/>
                <w:sz w:val="18"/>
                <w:szCs w:val="18"/>
              </w:rPr>
              <w:t>Ozn. plochy v ÚPO</w:t>
            </w:r>
          </w:p>
        </w:tc>
        <w:tc>
          <w:tcPr>
            <w:tcW w:w="2551" w:type="dxa"/>
            <w:tcBorders>
              <w:top w:val="nil"/>
              <w:left w:val="single" w:sz="12" w:space="0" w:color="auto"/>
              <w:bottom w:val="single" w:sz="12" w:space="0" w:color="auto"/>
              <w:right w:val="single" w:sz="12" w:space="0" w:color="auto"/>
            </w:tcBorders>
            <w:vAlign w:val="center"/>
          </w:tcPr>
          <w:p w14:paraId="06D731A5" w14:textId="77777777" w:rsidR="001A7820" w:rsidRPr="006070EA" w:rsidRDefault="001A7820" w:rsidP="001A7820">
            <w:pPr>
              <w:jc w:val="center"/>
              <w:rPr>
                <w:rFonts w:asciiTheme="majorHAnsi" w:hAnsiTheme="majorHAnsi" w:cstheme="majorHAnsi"/>
                <w:b/>
                <w:sz w:val="18"/>
                <w:szCs w:val="18"/>
              </w:rPr>
            </w:pPr>
            <w:r w:rsidRPr="006070EA">
              <w:rPr>
                <w:rFonts w:asciiTheme="majorHAnsi" w:hAnsiTheme="majorHAnsi" w:cstheme="majorHAnsi"/>
                <w:b/>
                <w:sz w:val="18"/>
                <w:szCs w:val="18"/>
              </w:rPr>
              <w:t>Způsob využití v ÚPO</w:t>
            </w:r>
          </w:p>
          <w:p w14:paraId="0898412A" w14:textId="79C23446" w:rsidR="001A7820" w:rsidRPr="006070EA" w:rsidRDefault="008645FA" w:rsidP="001A7820">
            <w:pPr>
              <w:jc w:val="center"/>
              <w:rPr>
                <w:rFonts w:asciiTheme="majorHAnsi" w:hAnsiTheme="majorHAnsi" w:cstheme="majorHAnsi"/>
                <w:b/>
                <w:sz w:val="18"/>
                <w:szCs w:val="18"/>
              </w:rPr>
            </w:pPr>
            <w:r w:rsidRPr="006070EA">
              <w:rPr>
                <w:rFonts w:asciiTheme="majorHAnsi" w:hAnsiTheme="majorHAnsi" w:cstheme="majorHAnsi"/>
                <w:b/>
                <w:sz w:val="18"/>
                <w:szCs w:val="18"/>
              </w:rPr>
              <w:t>P</w:t>
            </w:r>
            <w:r w:rsidR="001A7820" w:rsidRPr="006070EA">
              <w:rPr>
                <w:rFonts w:asciiTheme="majorHAnsi" w:hAnsiTheme="majorHAnsi" w:cstheme="majorHAnsi"/>
                <w:b/>
                <w:sz w:val="18"/>
                <w:szCs w:val="18"/>
              </w:rPr>
              <w:t>opis</w:t>
            </w:r>
            <w:r w:rsidRPr="006070EA">
              <w:rPr>
                <w:rFonts w:asciiTheme="majorHAnsi" w:hAnsiTheme="majorHAnsi" w:cstheme="majorHAnsi"/>
                <w:b/>
                <w:sz w:val="18"/>
                <w:szCs w:val="18"/>
              </w:rPr>
              <w:t xml:space="preserve"> / charakter</w:t>
            </w:r>
          </w:p>
        </w:tc>
        <w:tc>
          <w:tcPr>
            <w:tcW w:w="1134" w:type="dxa"/>
            <w:tcBorders>
              <w:top w:val="nil"/>
              <w:left w:val="single" w:sz="12" w:space="0" w:color="auto"/>
              <w:bottom w:val="single" w:sz="12" w:space="0" w:color="auto"/>
              <w:right w:val="single" w:sz="12" w:space="0" w:color="auto"/>
            </w:tcBorders>
            <w:vAlign w:val="center"/>
          </w:tcPr>
          <w:p w14:paraId="5408A0E7" w14:textId="20568D4B" w:rsidR="001A7820" w:rsidRPr="006070EA" w:rsidRDefault="008645FA" w:rsidP="001A7820">
            <w:pPr>
              <w:jc w:val="center"/>
              <w:rPr>
                <w:rFonts w:asciiTheme="majorHAnsi" w:hAnsiTheme="majorHAnsi" w:cstheme="majorHAnsi"/>
                <w:b/>
                <w:sz w:val="18"/>
                <w:szCs w:val="18"/>
              </w:rPr>
            </w:pPr>
            <w:r w:rsidRPr="006070EA">
              <w:rPr>
                <w:rFonts w:asciiTheme="majorHAnsi" w:hAnsiTheme="majorHAnsi" w:cstheme="majorHAnsi"/>
                <w:b/>
                <w:sz w:val="18"/>
                <w:szCs w:val="18"/>
              </w:rPr>
              <w:t>Odhad počtu RD</w:t>
            </w:r>
          </w:p>
        </w:tc>
        <w:tc>
          <w:tcPr>
            <w:tcW w:w="1134" w:type="dxa"/>
            <w:tcBorders>
              <w:top w:val="nil"/>
              <w:left w:val="single" w:sz="12" w:space="0" w:color="auto"/>
              <w:bottom w:val="single" w:sz="12" w:space="0" w:color="auto"/>
              <w:right w:val="single" w:sz="12" w:space="0" w:color="auto"/>
            </w:tcBorders>
            <w:vAlign w:val="center"/>
          </w:tcPr>
          <w:p w14:paraId="6A11A40B" w14:textId="77777777" w:rsidR="001A7820" w:rsidRPr="006070EA" w:rsidRDefault="001A7820" w:rsidP="001A7820">
            <w:pPr>
              <w:jc w:val="center"/>
              <w:rPr>
                <w:rFonts w:asciiTheme="majorHAnsi" w:hAnsiTheme="majorHAnsi" w:cstheme="majorHAnsi"/>
                <w:b/>
                <w:sz w:val="18"/>
                <w:szCs w:val="18"/>
              </w:rPr>
            </w:pPr>
            <w:r w:rsidRPr="006070EA">
              <w:rPr>
                <w:rFonts w:asciiTheme="majorHAnsi" w:hAnsiTheme="majorHAnsi" w:cstheme="majorHAnsi"/>
                <w:b/>
                <w:sz w:val="18"/>
                <w:szCs w:val="18"/>
              </w:rPr>
              <w:t>Využití zastavitelné plochy</w:t>
            </w:r>
          </w:p>
        </w:tc>
        <w:tc>
          <w:tcPr>
            <w:tcW w:w="3118" w:type="dxa"/>
            <w:tcBorders>
              <w:top w:val="nil"/>
              <w:left w:val="single" w:sz="12" w:space="0" w:color="auto"/>
              <w:bottom w:val="single" w:sz="12" w:space="0" w:color="auto"/>
            </w:tcBorders>
            <w:vAlign w:val="center"/>
          </w:tcPr>
          <w:p w14:paraId="41CF29F0" w14:textId="2D983BAB" w:rsidR="001A7820" w:rsidRPr="006070EA" w:rsidRDefault="008645FA" w:rsidP="001A7820">
            <w:pPr>
              <w:jc w:val="center"/>
              <w:rPr>
                <w:rFonts w:asciiTheme="majorHAnsi" w:hAnsiTheme="majorHAnsi" w:cstheme="majorHAnsi"/>
                <w:b/>
                <w:sz w:val="18"/>
                <w:szCs w:val="18"/>
              </w:rPr>
            </w:pPr>
            <w:r w:rsidRPr="006070EA">
              <w:rPr>
                <w:rFonts w:asciiTheme="majorHAnsi" w:hAnsiTheme="majorHAnsi" w:cstheme="majorHAnsi"/>
                <w:b/>
                <w:sz w:val="18"/>
                <w:szCs w:val="18"/>
              </w:rPr>
              <w:t>Způsob vymezení</w:t>
            </w:r>
            <w:r w:rsidR="001A7820" w:rsidRPr="006070EA">
              <w:rPr>
                <w:rFonts w:asciiTheme="majorHAnsi" w:hAnsiTheme="majorHAnsi" w:cstheme="majorHAnsi"/>
                <w:b/>
                <w:sz w:val="18"/>
                <w:szCs w:val="18"/>
              </w:rPr>
              <w:t xml:space="preserve"> plochy v</w:t>
            </w:r>
            <w:r w:rsidRPr="006070EA">
              <w:rPr>
                <w:rFonts w:asciiTheme="majorHAnsi" w:hAnsiTheme="majorHAnsi" w:cstheme="majorHAnsi"/>
                <w:b/>
                <w:sz w:val="18"/>
                <w:szCs w:val="18"/>
              </w:rPr>
              <w:t> </w:t>
            </w:r>
            <w:r w:rsidR="001A7820" w:rsidRPr="006070EA">
              <w:rPr>
                <w:rFonts w:asciiTheme="majorHAnsi" w:hAnsiTheme="majorHAnsi" w:cstheme="majorHAnsi"/>
                <w:b/>
                <w:sz w:val="18"/>
                <w:szCs w:val="18"/>
              </w:rPr>
              <w:t>ÚP</w:t>
            </w:r>
            <w:r w:rsidRPr="006070EA">
              <w:rPr>
                <w:rFonts w:asciiTheme="majorHAnsi" w:hAnsiTheme="majorHAnsi" w:cstheme="majorHAnsi"/>
                <w:b/>
                <w:sz w:val="18"/>
                <w:szCs w:val="18"/>
              </w:rPr>
              <w:t> Kostomlaty nad Labem</w:t>
            </w:r>
          </w:p>
        </w:tc>
      </w:tr>
      <w:tr w:rsidR="003D2F14" w:rsidRPr="006070EA" w14:paraId="3F62F752" w14:textId="77777777" w:rsidTr="00235FC7">
        <w:trPr>
          <w:cantSplit/>
          <w:jc w:val="center"/>
        </w:trPr>
        <w:tc>
          <w:tcPr>
            <w:tcW w:w="850" w:type="dxa"/>
            <w:tcBorders>
              <w:top w:val="single" w:sz="12" w:space="0" w:color="auto"/>
            </w:tcBorders>
            <w:vAlign w:val="center"/>
          </w:tcPr>
          <w:p w14:paraId="70DE23A4" w14:textId="77777777" w:rsidR="008645FA" w:rsidRPr="006070EA" w:rsidRDefault="008645FA" w:rsidP="008645FA">
            <w:pPr>
              <w:jc w:val="center"/>
              <w:rPr>
                <w:rFonts w:asciiTheme="majorHAnsi" w:hAnsiTheme="majorHAnsi" w:cstheme="majorHAnsi"/>
                <w:sz w:val="18"/>
                <w:szCs w:val="18"/>
              </w:rPr>
            </w:pPr>
            <w:r w:rsidRPr="006070EA">
              <w:rPr>
                <w:rFonts w:asciiTheme="majorHAnsi" w:hAnsiTheme="majorHAnsi" w:cstheme="majorHAnsi"/>
                <w:sz w:val="18"/>
                <w:szCs w:val="18"/>
              </w:rPr>
              <w:t>1</w:t>
            </w:r>
          </w:p>
        </w:tc>
        <w:tc>
          <w:tcPr>
            <w:tcW w:w="2551" w:type="dxa"/>
            <w:tcBorders>
              <w:top w:val="single" w:sz="12" w:space="0" w:color="auto"/>
            </w:tcBorders>
            <w:vAlign w:val="center"/>
          </w:tcPr>
          <w:p w14:paraId="5338F1A1" w14:textId="77777777" w:rsidR="008645FA" w:rsidRPr="006070EA" w:rsidRDefault="008645FA" w:rsidP="008645FA">
            <w:pPr>
              <w:jc w:val="center"/>
              <w:rPr>
                <w:rFonts w:asciiTheme="majorHAnsi" w:hAnsiTheme="majorHAnsi" w:cstheme="majorHAnsi"/>
                <w:sz w:val="18"/>
                <w:szCs w:val="18"/>
              </w:rPr>
            </w:pPr>
            <w:r w:rsidRPr="006070EA">
              <w:rPr>
                <w:rFonts w:asciiTheme="majorHAnsi" w:hAnsiTheme="majorHAnsi" w:cstheme="majorHAnsi"/>
                <w:sz w:val="18"/>
                <w:szCs w:val="18"/>
              </w:rPr>
              <w:t>Rodinné domy</w:t>
            </w:r>
          </w:p>
          <w:p w14:paraId="4476C856" w14:textId="69AB045D" w:rsidR="008645FA" w:rsidRPr="006070EA" w:rsidRDefault="008645FA" w:rsidP="008645FA">
            <w:pPr>
              <w:jc w:val="center"/>
              <w:rPr>
                <w:rFonts w:asciiTheme="majorHAnsi" w:hAnsiTheme="majorHAnsi" w:cstheme="majorHAnsi"/>
                <w:sz w:val="18"/>
                <w:szCs w:val="18"/>
              </w:rPr>
            </w:pPr>
            <w:r w:rsidRPr="006070EA">
              <w:rPr>
                <w:rFonts w:asciiTheme="majorHAnsi" w:hAnsiTheme="majorHAnsi" w:cstheme="majorHAnsi"/>
                <w:sz w:val="18"/>
                <w:szCs w:val="18"/>
              </w:rPr>
              <w:t xml:space="preserve">Isolované </w:t>
            </w:r>
            <w:r w:rsidR="003F10E5" w:rsidRPr="006070EA">
              <w:rPr>
                <w:rFonts w:asciiTheme="majorHAnsi" w:hAnsiTheme="majorHAnsi" w:cstheme="majorHAnsi"/>
                <w:sz w:val="18"/>
                <w:szCs w:val="18"/>
              </w:rPr>
              <w:t>RD</w:t>
            </w:r>
          </w:p>
        </w:tc>
        <w:tc>
          <w:tcPr>
            <w:tcW w:w="1134" w:type="dxa"/>
            <w:tcBorders>
              <w:top w:val="single" w:sz="12" w:space="0" w:color="auto"/>
            </w:tcBorders>
            <w:vAlign w:val="center"/>
          </w:tcPr>
          <w:p w14:paraId="1BF07365" w14:textId="013B35E3" w:rsidR="008645FA" w:rsidRPr="006070EA" w:rsidRDefault="008645FA" w:rsidP="008645FA">
            <w:pPr>
              <w:jc w:val="center"/>
              <w:rPr>
                <w:rFonts w:asciiTheme="majorHAnsi" w:hAnsiTheme="majorHAnsi" w:cstheme="majorHAnsi"/>
                <w:sz w:val="18"/>
                <w:szCs w:val="18"/>
              </w:rPr>
            </w:pPr>
            <w:r w:rsidRPr="006070EA">
              <w:rPr>
                <w:rFonts w:asciiTheme="majorHAnsi" w:hAnsiTheme="majorHAnsi" w:cstheme="majorHAnsi"/>
                <w:sz w:val="18"/>
                <w:szCs w:val="18"/>
              </w:rPr>
              <w:t>21</w:t>
            </w:r>
          </w:p>
        </w:tc>
        <w:tc>
          <w:tcPr>
            <w:tcW w:w="1134" w:type="dxa"/>
            <w:tcBorders>
              <w:top w:val="single" w:sz="12" w:space="0" w:color="auto"/>
            </w:tcBorders>
            <w:vAlign w:val="center"/>
          </w:tcPr>
          <w:p w14:paraId="7287AF99" w14:textId="1661528C" w:rsidR="008645FA" w:rsidRPr="006070EA" w:rsidRDefault="008645FA" w:rsidP="008645FA">
            <w:pPr>
              <w:jc w:val="center"/>
              <w:rPr>
                <w:rFonts w:asciiTheme="majorHAnsi" w:hAnsiTheme="majorHAnsi" w:cstheme="majorHAnsi"/>
                <w:sz w:val="18"/>
                <w:szCs w:val="18"/>
              </w:rPr>
            </w:pPr>
            <w:r w:rsidRPr="006070EA">
              <w:rPr>
                <w:rFonts w:asciiTheme="majorHAnsi" w:hAnsiTheme="majorHAnsi" w:cstheme="majorHAnsi"/>
                <w:sz w:val="18"/>
                <w:szCs w:val="18"/>
              </w:rPr>
              <w:t>100 %</w:t>
            </w:r>
          </w:p>
        </w:tc>
        <w:tc>
          <w:tcPr>
            <w:tcW w:w="3118" w:type="dxa"/>
            <w:tcBorders>
              <w:top w:val="single" w:sz="12" w:space="0" w:color="auto"/>
            </w:tcBorders>
            <w:shd w:val="clear" w:color="auto" w:fill="auto"/>
            <w:vAlign w:val="center"/>
          </w:tcPr>
          <w:p w14:paraId="731673BC" w14:textId="18C2FC53" w:rsidR="008645FA" w:rsidRPr="006070EA" w:rsidRDefault="008645FA" w:rsidP="008645FA">
            <w:pPr>
              <w:jc w:val="center"/>
              <w:rPr>
                <w:rFonts w:asciiTheme="majorHAnsi" w:hAnsiTheme="majorHAnsi" w:cstheme="majorHAnsi"/>
                <w:sz w:val="18"/>
                <w:szCs w:val="18"/>
              </w:rPr>
            </w:pPr>
            <w:r w:rsidRPr="006070EA">
              <w:rPr>
                <w:rFonts w:asciiTheme="majorHAnsi" w:hAnsiTheme="majorHAnsi" w:cstheme="majorHAnsi"/>
                <w:sz w:val="18"/>
                <w:szCs w:val="18"/>
              </w:rPr>
              <w:t>Plocha zahrnuta do zastavěného území jako stabilizovaná plocha (</w:t>
            </w:r>
            <w:r w:rsidR="003F10E5" w:rsidRPr="006070EA">
              <w:rPr>
                <w:rFonts w:asciiTheme="majorHAnsi" w:hAnsiTheme="majorHAnsi" w:cstheme="majorHAnsi"/>
                <w:sz w:val="18"/>
                <w:szCs w:val="18"/>
              </w:rPr>
              <w:t>BI</w:t>
            </w:r>
            <w:r w:rsidRPr="006070EA">
              <w:rPr>
                <w:rFonts w:asciiTheme="majorHAnsi" w:hAnsiTheme="majorHAnsi" w:cstheme="majorHAnsi"/>
                <w:sz w:val="18"/>
                <w:szCs w:val="18"/>
              </w:rPr>
              <w:t>)</w:t>
            </w:r>
          </w:p>
        </w:tc>
      </w:tr>
      <w:tr w:rsidR="003D2F14" w:rsidRPr="006070EA" w14:paraId="407B9A4B" w14:textId="77777777" w:rsidTr="00DD30A4">
        <w:trPr>
          <w:cantSplit/>
          <w:jc w:val="center"/>
        </w:trPr>
        <w:tc>
          <w:tcPr>
            <w:tcW w:w="850" w:type="dxa"/>
            <w:vAlign w:val="center"/>
          </w:tcPr>
          <w:p w14:paraId="52B6E0BA" w14:textId="77777777" w:rsidR="001A7820" w:rsidRPr="006070EA" w:rsidRDefault="001A7820" w:rsidP="001A7820">
            <w:pPr>
              <w:jc w:val="center"/>
              <w:rPr>
                <w:rFonts w:asciiTheme="majorHAnsi" w:hAnsiTheme="majorHAnsi" w:cstheme="majorHAnsi"/>
                <w:sz w:val="18"/>
                <w:szCs w:val="18"/>
              </w:rPr>
            </w:pPr>
            <w:r w:rsidRPr="006070EA">
              <w:rPr>
                <w:rFonts w:asciiTheme="majorHAnsi" w:hAnsiTheme="majorHAnsi" w:cstheme="majorHAnsi"/>
                <w:sz w:val="18"/>
                <w:szCs w:val="18"/>
              </w:rPr>
              <w:t>2</w:t>
            </w:r>
          </w:p>
        </w:tc>
        <w:tc>
          <w:tcPr>
            <w:tcW w:w="2551" w:type="dxa"/>
            <w:vAlign w:val="center"/>
          </w:tcPr>
          <w:p w14:paraId="3ADBEF9E" w14:textId="77777777" w:rsidR="001A7820" w:rsidRPr="006070EA" w:rsidRDefault="003F10E5" w:rsidP="001A7820">
            <w:pPr>
              <w:jc w:val="center"/>
              <w:rPr>
                <w:rFonts w:asciiTheme="majorHAnsi" w:hAnsiTheme="majorHAnsi" w:cstheme="majorHAnsi"/>
                <w:sz w:val="18"/>
                <w:szCs w:val="18"/>
              </w:rPr>
            </w:pPr>
            <w:r w:rsidRPr="006070EA">
              <w:rPr>
                <w:rFonts w:asciiTheme="majorHAnsi" w:hAnsiTheme="majorHAnsi" w:cstheme="majorHAnsi"/>
                <w:sz w:val="18"/>
                <w:szCs w:val="18"/>
              </w:rPr>
              <w:t>Rodinné domy</w:t>
            </w:r>
          </w:p>
          <w:p w14:paraId="1898CB3A" w14:textId="6B9CE054" w:rsidR="003F10E5" w:rsidRPr="006070EA" w:rsidRDefault="003F10E5" w:rsidP="001A7820">
            <w:pPr>
              <w:jc w:val="center"/>
              <w:rPr>
                <w:rFonts w:asciiTheme="majorHAnsi" w:hAnsiTheme="majorHAnsi" w:cstheme="majorHAnsi"/>
                <w:sz w:val="18"/>
                <w:szCs w:val="18"/>
              </w:rPr>
            </w:pPr>
            <w:r w:rsidRPr="006070EA">
              <w:rPr>
                <w:rFonts w:asciiTheme="majorHAnsi" w:hAnsiTheme="majorHAnsi" w:cstheme="majorHAnsi"/>
                <w:sz w:val="18"/>
                <w:szCs w:val="18"/>
              </w:rPr>
              <w:t xml:space="preserve">Isolované RD a plocha parkové zeleně s dětským hřištěm a vodní plochou </w:t>
            </w:r>
          </w:p>
        </w:tc>
        <w:tc>
          <w:tcPr>
            <w:tcW w:w="1134" w:type="dxa"/>
            <w:vAlign w:val="center"/>
          </w:tcPr>
          <w:p w14:paraId="38B9226C" w14:textId="14D7C379" w:rsidR="001A7820" w:rsidRPr="006070EA" w:rsidRDefault="003F10E5" w:rsidP="001A7820">
            <w:pPr>
              <w:jc w:val="center"/>
              <w:rPr>
                <w:rFonts w:asciiTheme="majorHAnsi" w:hAnsiTheme="majorHAnsi" w:cstheme="majorHAnsi"/>
                <w:sz w:val="18"/>
                <w:szCs w:val="18"/>
              </w:rPr>
            </w:pPr>
            <w:r w:rsidRPr="006070EA">
              <w:rPr>
                <w:rFonts w:asciiTheme="majorHAnsi" w:hAnsiTheme="majorHAnsi" w:cstheme="majorHAnsi"/>
                <w:sz w:val="18"/>
                <w:szCs w:val="18"/>
              </w:rPr>
              <w:t>30</w:t>
            </w:r>
          </w:p>
        </w:tc>
        <w:tc>
          <w:tcPr>
            <w:tcW w:w="1134" w:type="dxa"/>
            <w:vAlign w:val="center"/>
          </w:tcPr>
          <w:p w14:paraId="316A6579" w14:textId="3F51A117" w:rsidR="001A7820" w:rsidRPr="006070EA" w:rsidRDefault="003F10E5" w:rsidP="001A7820">
            <w:pPr>
              <w:jc w:val="center"/>
              <w:rPr>
                <w:rFonts w:asciiTheme="majorHAnsi" w:hAnsiTheme="majorHAnsi" w:cstheme="majorHAnsi"/>
                <w:sz w:val="18"/>
                <w:szCs w:val="18"/>
              </w:rPr>
            </w:pPr>
            <w:r w:rsidRPr="006070EA">
              <w:rPr>
                <w:rFonts w:asciiTheme="majorHAnsi" w:hAnsiTheme="majorHAnsi" w:cstheme="majorHAnsi"/>
                <w:sz w:val="18"/>
                <w:szCs w:val="18"/>
              </w:rPr>
              <w:t>100 %</w:t>
            </w:r>
          </w:p>
        </w:tc>
        <w:tc>
          <w:tcPr>
            <w:tcW w:w="3118" w:type="dxa"/>
            <w:vAlign w:val="center"/>
          </w:tcPr>
          <w:p w14:paraId="59C39D6F" w14:textId="7DC4EE0A" w:rsidR="001A7820" w:rsidRPr="006070EA" w:rsidRDefault="003F10E5" w:rsidP="001A7820">
            <w:pPr>
              <w:jc w:val="center"/>
              <w:rPr>
                <w:rFonts w:asciiTheme="majorHAnsi" w:hAnsiTheme="majorHAnsi" w:cstheme="majorHAnsi"/>
                <w:sz w:val="18"/>
                <w:szCs w:val="18"/>
              </w:rPr>
            </w:pPr>
            <w:r w:rsidRPr="006070EA">
              <w:rPr>
                <w:rFonts w:asciiTheme="majorHAnsi" w:hAnsiTheme="majorHAnsi" w:cstheme="majorHAnsi"/>
                <w:sz w:val="18"/>
                <w:szCs w:val="18"/>
              </w:rPr>
              <w:t>Plocha zahrnuta do zastavěného území jako stabilizovaná plocha (BI)</w:t>
            </w:r>
          </w:p>
        </w:tc>
      </w:tr>
      <w:tr w:rsidR="003D2F14" w:rsidRPr="006070EA" w14:paraId="2EB7D5EE" w14:textId="77777777" w:rsidTr="00DD30A4">
        <w:trPr>
          <w:cantSplit/>
          <w:jc w:val="center"/>
        </w:trPr>
        <w:tc>
          <w:tcPr>
            <w:tcW w:w="850" w:type="dxa"/>
            <w:vAlign w:val="center"/>
          </w:tcPr>
          <w:p w14:paraId="60DB0975" w14:textId="77777777" w:rsidR="003F10E5" w:rsidRPr="006070EA" w:rsidRDefault="003F10E5" w:rsidP="003F10E5">
            <w:pPr>
              <w:jc w:val="center"/>
              <w:rPr>
                <w:rFonts w:asciiTheme="majorHAnsi" w:hAnsiTheme="majorHAnsi" w:cstheme="majorHAnsi"/>
                <w:sz w:val="18"/>
                <w:szCs w:val="18"/>
              </w:rPr>
            </w:pPr>
            <w:r w:rsidRPr="006070EA">
              <w:rPr>
                <w:rFonts w:asciiTheme="majorHAnsi" w:hAnsiTheme="majorHAnsi" w:cstheme="majorHAnsi"/>
                <w:sz w:val="18"/>
                <w:szCs w:val="18"/>
              </w:rPr>
              <w:t>3</w:t>
            </w:r>
          </w:p>
        </w:tc>
        <w:tc>
          <w:tcPr>
            <w:tcW w:w="2551" w:type="dxa"/>
            <w:vAlign w:val="center"/>
          </w:tcPr>
          <w:p w14:paraId="5EDE0016" w14:textId="77777777" w:rsidR="003F10E5" w:rsidRPr="006070EA" w:rsidRDefault="003F10E5" w:rsidP="003F10E5">
            <w:pPr>
              <w:jc w:val="center"/>
              <w:rPr>
                <w:rFonts w:asciiTheme="majorHAnsi" w:hAnsiTheme="majorHAnsi" w:cstheme="majorHAnsi"/>
                <w:sz w:val="18"/>
                <w:szCs w:val="18"/>
              </w:rPr>
            </w:pPr>
            <w:r w:rsidRPr="006070EA">
              <w:rPr>
                <w:rFonts w:asciiTheme="majorHAnsi" w:hAnsiTheme="majorHAnsi" w:cstheme="majorHAnsi"/>
                <w:sz w:val="18"/>
                <w:szCs w:val="18"/>
              </w:rPr>
              <w:t>Rodinné domy</w:t>
            </w:r>
          </w:p>
          <w:p w14:paraId="744DFE99" w14:textId="474E0153" w:rsidR="003F10E5" w:rsidRPr="006070EA" w:rsidRDefault="003F10E5" w:rsidP="003F10E5">
            <w:pPr>
              <w:jc w:val="center"/>
              <w:rPr>
                <w:rFonts w:asciiTheme="majorHAnsi" w:hAnsiTheme="majorHAnsi" w:cstheme="majorHAnsi"/>
                <w:sz w:val="18"/>
                <w:szCs w:val="18"/>
              </w:rPr>
            </w:pPr>
            <w:r w:rsidRPr="006070EA">
              <w:rPr>
                <w:rFonts w:asciiTheme="majorHAnsi" w:hAnsiTheme="majorHAnsi" w:cstheme="majorHAnsi"/>
                <w:sz w:val="18"/>
                <w:szCs w:val="18"/>
              </w:rPr>
              <w:t>Isolované RD a plocha parkové zeleně</w:t>
            </w:r>
          </w:p>
        </w:tc>
        <w:tc>
          <w:tcPr>
            <w:tcW w:w="1134" w:type="dxa"/>
            <w:vAlign w:val="center"/>
          </w:tcPr>
          <w:p w14:paraId="6F2D2A0B" w14:textId="63AF3297" w:rsidR="003F10E5" w:rsidRPr="006070EA" w:rsidRDefault="003F10E5" w:rsidP="003F10E5">
            <w:pPr>
              <w:jc w:val="center"/>
              <w:rPr>
                <w:rFonts w:asciiTheme="majorHAnsi" w:hAnsiTheme="majorHAnsi" w:cstheme="majorHAnsi"/>
                <w:sz w:val="18"/>
                <w:szCs w:val="18"/>
              </w:rPr>
            </w:pPr>
            <w:r w:rsidRPr="006070EA">
              <w:rPr>
                <w:rFonts w:asciiTheme="majorHAnsi" w:hAnsiTheme="majorHAnsi" w:cstheme="majorHAnsi"/>
                <w:sz w:val="18"/>
                <w:szCs w:val="18"/>
              </w:rPr>
              <w:t>14</w:t>
            </w:r>
          </w:p>
        </w:tc>
        <w:tc>
          <w:tcPr>
            <w:tcW w:w="1134" w:type="dxa"/>
            <w:vAlign w:val="center"/>
          </w:tcPr>
          <w:p w14:paraId="32B2C894" w14:textId="05365014" w:rsidR="003F10E5" w:rsidRPr="006070EA" w:rsidRDefault="003F10E5" w:rsidP="003F10E5">
            <w:pPr>
              <w:jc w:val="center"/>
              <w:rPr>
                <w:rFonts w:asciiTheme="majorHAnsi" w:hAnsiTheme="majorHAnsi" w:cstheme="majorHAnsi"/>
                <w:sz w:val="18"/>
                <w:szCs w:val="18"/>
              </w:rPr>
            </w:pPr>
            <w:r w:rsidRPr="006070EA">
              <w:rPr>
                <w:rFonts w:asciiTheme="majorHAnsi" w:hAnsiTheme="majorHAnsi" w:cstheme="majorHAnsi"/>
                <w:sz w:val="18"/>
                <w:szCs w:val="18"/>
              </w:rPr>
              <w:t>0 %</w:t>
            </w:r>
          </w:p>
        </w:tc>
        <w:tc>
          <w:tcPr>
            <w:tcW w:w="3118" w:type="dxa"/>
            <w:vAlign w:val="center"/>
          </w:tcPr>
          <w:p w14:paraId="0FC5B4DA" w14:textId="3749A5C2" w:rsidR="003F10E5" w:rsidRPr="006070EA" w:rsidRDefault="003F10E5" w:rsidP="003F10E5">
            <w:pPr>
              <w:jc w:val="center"/>
              <w:rPr>
                <w:rFonts w:asciiTheme="majorHAnsi" w:hAnsiTheme="majorHAnsi" w:cstheme="majorHAnsi"/>
                <w:sz w:val="18"/>
                <w:szCs w:val="18"/>
              </w:rPr>
            </w:pPr>
            <w:r w:rsidRPr="006070EA">
              <w:rPr>
                <w:rFonts w:asciiTheme="majorHAnsi" w:hAnsiTheme="majorHAnsi" w:cstheme="majorHAnsi"/>
                <w:sz w:val="18"/>
                <w:szCs w:val="18"/>
              </w:rPr>
              <w:t>Plocha převzata – vymezena jako zastavitelná plocha Z14 (BI)</w:t>
            </w:r>
          </w:p>
        </w:tc>
      </w:tr>
      <w:tr w:rsidR="003D2F14" w:rsidRPr="006070EA" w14:paraId="241F22F5" w14:textId="77777777" w:rsidTr="00DD30A4">
        <w:trPr>
          <w:cantSplit/>
          <w:jc w:val="center"/>
        </w:trPr>
        <w:tc>
          <w:tcPr>
            <w:tcW w:w="850" w:type="dxa"/>
            <w:vAlign w:val="center"/>
          </w:tcPr>
          <w:p w14:paraId="5D96D0EB" w14:textId="77777777" w:rsidR="003F10E5" w:rsidRPr="006070EA" w:rsidRDefault="003F10E5" w:rsidP="003F10E5">
            <w:pPr>
              <w:jc w:val="center"/>
              <w:rPr>
                <w:rFonts w:asciiTheme="majorHAnsi" w:hAnsiTheme="majorHAnsi" w:cstheme="majorHAnsi"/>
                <w:sz w:val="18"/>
                <w:szCs w:val="18"/>
              </w:rPr>
            </w:pPr>
            <w:r w:rsidRPr="006070EA">
              <w:rPr>
                <w:rFonts w:asciiTheme="majorHAnsi" w:hAnsiTheme="majorHAnsi" w:cstheme="majorHAnsi"/>
                <w:sz w:val="18"/>
                <w:szCs w:val="18"/>
              </w:rPr>
              <w:t>4</w:t>
            </w:r>
          </w:p>
        </w:tc>
        <w:tc>
          <w:tcPr>
            <w:tcW w:w="2551" w:type="dxa"/>
            <w:vAlign w:val="center"/>
          </w:tcPr>
          <w:p w14:paraId="41AB8C00" w14:textId="77777777" w:rsidR="003F10E5" w:rsidRPr="006070EA" w:rsidRDefault="003F10E5" w:rsidP="003F10E5">
            <w:pPr>
              <w:jc w:val="center"/>
              <w:rPr>
                <w:rFonts w:asciiTheme="majorHAnsi" w:hAnsiTheme="majorHAnsi" w:cstheme="majorHAnsi"/>
                <w:sz w:val="18"/>
                <w:szCs w:val="18"/>
              </w:rPr>
            </w:pPr>
            <w:r w:rsidRPr="006070EA">
              <w:rPr>
                <w:rFonts w:asciiTheme="majorHAnsi" w:hAnsiTheme="majorHAnsi" w:cstheme="majorHAnsi"/>
                <w:sz w:val="18"/>
                <w:szCs w:val="18"/>
              </w:rPr>
              <w:t>Rodinné domy</w:t>
            </w:r>
          </w:p>
          <w:p w14:paraId="233AED13" w14:textId="6D26BEC1" w:rsidR="003F10E5" w:rsidRPr="006070EA" w:rsidRDefault="003F10E5" w:rsidP="003F10E5">
            <w:pPr>
              <w:jc w:val="center"/>
              <w:rPr>
                <w:rFonts w:asciiTheme="majorHAnsi" w:hAnsiTheme="majorHAnsi" w:cstheme="majorHAnsi"/>
                <w:sz w:val="18"/>
                <w:szCs w:val="18"/>
              </w:rPr>
            </w:pPr>
            <w:r w:rsidRPr="006070EA">
              <w:rPr>
                <w:rFonts w:asciiTheme="majorHAnsi" w:hAnsiTheme="majorHAnsi" w:cstheme="majorHAnsi"/>
                <w:sz w:val="18"/>
                <w:szCs w:val="18"/>
              </w:rPr>
              <w:t>Isolované RD</w:t>
            </w:r>
          </w:p>
        </w:tc>
        <w:tc>
          <w:tcPr>
            <w:tcW w:w="1134" w:type="dxa"/>
            <w:vAlign w:val="center"/>
          </w:tcPr>
          <w:p w14:paraId="26A5A707" w14:textId="2659590D" w:rsidR="003F10E5" w:rsidRPr="006070EA" w:rsidRDefault="003F10E5" w:rsidP="003F10E5">
            <w:pPr>
              <w:jc w:val="center"/>
              <w:rPr>
                <w:rFonts w:asciiTheme="majorHAnsi" w:hAnsiTheme="majorHAnsi" w:cstheme="majorHAnsi"/>
                <w:sz w:val="18"/>
                <w:szCs w:val="18"/>
              </w:rPr>
            </w:pPr>
            <w:r w:rsidRPr="006070EA">
              <w:rPr>
                <w:rFonts w:asciiTheme="majorHAnsi" w:hAnsiTheme="majorHAnsi" w:cstheme="majorHAnsi"/>
                <w:sz w:val="18"/>
                <w:szCs w:val="18"/>
              </w:rPr>
              <w:t>1-2</w:t>
            </w:r>
          </w:p>
        </w:tc>
        <w:tc>
          <w:tcPr>
            <w:tcW w:w="1134" w:type="dxa"/>
            <w:vAlign w:val="center"/>
          </w:tcPr>
          <w:p w14:paraId="3C058911" w14:textId="39CC0DAE" w:rsidR="003F10E5" w:rsidRPr="006070EA" w:rsidRDefault="003F10E5" w:rsidP="003F10E5">
            <w:pPr>
              <w:jc w:val="center"/>
              <w:rPr>
                <w:rFonts w:asciiTheme="majorHAnsi" w:hAnsiTheme="majorHAnsi" w:cstheme="majorHAnsi"/>
                <w:sz w:val="18"/>
                <w:szCs w:val="18"/>
              </w:rPr>
            </w:pPr>
            <w:r w:rsidRPr="006070EA">
              <w:rPr>
                <w:rFonts w:asciiTheme="majorHAnsi" w:hAnsiTheme="majorHAnsi" w:cstheme="majorHAnsi"/>
                <w:sz w:val="18"/>
                <w:szCs w:val="18"/>
              </w:rPr>
              <w:t>100 %</w:t>
            </w:r>
          </w:p>
        </w:tc>
        <w:tc>
          <w:tcPr>
            <w:tcW w:w="3118" w:type="dxa"/>
            <w:vAlign w:val="center"/>
          </w:tcPr>
          <w:p w14:paraId="3B681CA1" w14:textId="32C97BFE" w:rsidR="003F10E5" w:rsidRPr="006070EA" w:rsidRDefault="003F10E5" w:rsidP="003F10E5">
            <w:pPr>
              <w:jc w:val="center"/>
              <w:rPr>
                <w:rFonts w:asciiTheme="majorHAnsi" w:hAnsiTheme="majorHAnsi" w:cstheme="majorHAnsi"/>
                <w:sz w:val="18"/>
                <w:szCs w:val="18"/>
              </w:rPr>
            </w:pPr>
            <w:r w:rsidRPr="006070EA">
              <w:rPr>
                <w:rFonts w:asciiTheme="majorHAnsi" w:hAnsiTheme="majorHAnsi" w:cstheme="majorHAnsi"/>
                <w:sz w:val="18"/>
                <w:szCs w:val="18"/>
              </w:rPr>
              <w:t>Plocha zahrnuta do zastavěného území jako stabilizovaná plocha (BI)</w:t>
            </w:r>
          </w:p>
        </w:tc>
      </w:tr>
      <w:tr w:rsidR="003D2F14" w:rsidRPr="006070EA" w14:paraId="5990D8C1" w14:textId="77777777" w:rsidTr="00DD30A4">
        <w:trPr>
          <w:cantSplit/>
          <w:jc w:val="center"/>
        </w:trPr>
        <w:tc>
          <w:tcPr>
            <w:tcW w:w="850" w:type="dxa"/>
            <w:vAlign w:val="center"/>
          </w:tcPr>
          <w:p w14:paraId="598CDC02" w14:textId="77777777" w:rsidR="003F10E5" w:rsidRPr="006070EA" w:rsidRDefault="003F10E5" w:rsidP="003F10E5">
            <w:pPr>
              <w:jc w:val="center"/>
              <w:rPr>
                <w:rFonts w:asciiTheme="majorHAnsi" w:hAnsiTheme="majorHAnsi" w:cstheme="majorHAnsi"/>
                <w:sz w:val="18"/>
                <w:szCs w:val="18"/>
              </w:rPr>
            </w:pPr>
            <w:r w:rsidRPr="006070EA">
              <w:rPr>
                <w:rFonts w:asciiTheme="majorHAnsi" w:hAnsiTheme="majorHAnsi" w:cstheme="majorHAnsi"/>
                <w:sz w:val="18"/>
                <w:szCs w:val="18"/>
              </w:rPr>
              <w:t>5</w:t>
            </w:r>
          </w:p>
        </w:tc>
        <w:tc>
          <w:tcPr>
            <w:tcW w:w="2551" w:type="dxa"/>
            <w:vAlign w:val="center"/>
          </w:tcPr>
          <w:p w14:paraId="10C3A06E" w14:textId="77777777" w:rsidR="003F10E5" w:rsidRPr="006070EA" w:rsidRDefault="003F10E5" w:rsidP="003F10E5">
            <w:pPr>
              <w:jc w:val="center"/>
              <w:rPr>
                <w:rFonts w:asciiTheme="majorHAnsi" w:hAnsiTheme="majorHAnsi" w:cstheme="majorHAnsi"/>
                <w:sz w:val="18"/>
                <w:szCs w:val="18"/>
              </w:rPr>
            </w:pPr>
            <w:r w:rsidRPr="006070EA">
              <w:rPr>
                <w:rFonts w:asciiTheme="majorHAnsi" w:hAnsiTheme="majorHAnsi" w:cstheme="majorHAnsi"/>
                <w:sz w:val="18"/>
                <w:szCs w:val="18"/>
              </w:rPr>
              <w:t>Rodinné domy</w:t>
            </w:r>
          </w:p>
          <w:p w14:paraId="538C821E" w14:textId="3BEE440C" w:rsidR="003F10E5" w:rsidRPr="006070EA" w:rsidRDefault="003F10E5" w:rsidP="003F10E5">
            <w:pPr>
              <w:jc w:val="center"/>
              <w:rPr>
                <w:rFonts w:asciiTheme="majorHAnsi" w:hAnsiTheme="majorHAnsi" w:cstheme="majorHAnsi"/>
                <w:sz w:val="18"/>
                <w:szCs w:val="18"/>
              </w:rPr>
            </w:pPr>
            <w:r w:rsidRPr="006070EA">
              <w:rPr>
                <w:rFonts w:asciiTheme="majorHAnsi" w:hAnsiTheme="majorHAnsi" w:cstheme="majorHAnsi"/>
                <w:sz w:val="18"/>
                <w:szCs w:val="18"/>
              </w:rPr>
              <w:t>Isolované RD</w:t>
            </w:r>
          </w:p>
        </w:tc>
        <w:tc>
          <w:tcPr>
            <w:tcW w:w="1134" w:type="dxa"/>
            <w:vAlign w:val="center"/>
          </w:tcPr>
          <w:p w14:paraId="506889AC" w14:textId="633299D2" w:rsidR="003F10E5" w:rsidRPr="006070EA" w:rsidRDefault="003F10E5" w:rsidP="003F10E5">
            <w:pPr>
              <w:jc w:val="center"/>
              <w:rPr>
                <w:rFonts w:asciiTheme="majorHAnsi" w:hAnsiTheme="majorHAnsi" w:cstheme="majorHAnsi"/>
                <w:sz w:val="18"/>
                <w:szCs w:val="18"/>
              </w:rPr>
            </w:pPr>
            <w:r w:rsidRPr="006070EA">
              <w:rPr>
                <w:rFonts w:asciiTheme="majorHAnsi" w:hAnsiTheme="majorHAnsi" w:cstheme="majorHAnsi"/>
                <w:sz w:val="18"/>
                <w:szCs w:val="18"/>
              </w:rPr>
              <w:t>10-12</w:t>
            </w:r>
          </w:p>
        </w:tc>
        <w:tc>
          <w:tcPr>
            <w:tcW w:w="1134" w:type="dxa"/>
            <w:vAlign w:val="center"/>
          </w:tcPr>
          <w:p w14:paraId="55765DFB" w14:textId="77777777" w:rsidR="003F10E5" w:rsidRPr="006070EA" w:rsidRDefault="003F10E5" w:rsidP="003F10E5">
            <w:pPr>
              <w:jc w:val="center"/>
              <w:rPr>
                <w:rFonts w:asciiTheme="majorHAnsi" w:hAnsiTheme="majorHAnsi" w:cstheme="majorHAnsi"/>
                <w:sz w:val="18"/>
                <w:szCs w:val="18"/>
              </w:rPr>
            </w:pPr>
            <w:r w:rsidRPr="006070EA">
              <w:rPr>
                <w:rFonts w:asciiTheme="majorHAnsi" w:hAnsiTheme="majorHAnsi" w:cstheme="majorHAnsi"/>
                <w:sz w:val="18"/>
                <w:szCs w:val="18"/>
              </w:rPr>
              <w:t>0 %</w:t>
            </w:r>
          </w:p>
        </w:tc>
        <w:tc>
          <w:tcPr>
            <w:tcW w:w="3118" w:type="dxa"/>
            <w:vAlign w:val="center"/>
          </w:tcPr>
          <w:p w14:paraId="513A692B" w14:textId="77777777" w:rsidR="003F10E5" w:rsidRPr="006070EA" w:rsidRDefault="003F10E5" w:rsidP="003F10E5">
            <w:pPr>
              <w:jc w:val="center"/>
              <w:rPr>
                <w:rFonts w:asciiTheme="majorHAnsi" w:hAnsiTheme="majorHAnsi" w:cstheme="majorHAnsi"/>
                <w:sz w:val="18"/>
                <w:szCs w:val="18"/>
              </w:rPr>
            </w:pPr>
            <w:r w:rsidRPr="006070EA">
              <w:rPr>
                <w:rFonts w:asciiTheme="majorHAnsi" w:hAnsiTheme="majorHAnsi" w:cstheme="majorHAnsi"/>
                <w:sz w:val="18"/>
                <w:szCs w:val="18"/>
              </w:rPr>
              <w:t>Plocha částečně převzata – vymezena jako zastavitelná plocha Z06 (BI)</w:t>
            </w:r>
          </w:p>
          <w:p w14:paraId="39003F80" w14:textId="1763ACDE" w:rsidR="003F10E5" w:rsidRPr="006070EA" w:rsidRDefault="003F10E5" w:rsidP="003F10E5">
            <w:pPr>
              <w:jc w:val="center"/>
              <w:rPr>
                <w:rFonts w:asciiTheme="majorHAnsi" w:hAnsiTheme="majorHAnsi" w:cstheme="majorHAnsi"/>
                <w:sz w:val="18"/>
                <w:szCs w:val="18"/>
              </w:rPr>
            </w:pPr>
            <w:r w:rsidRPr="006070EA">
              <w:rPr>
                <w:rFonts w:asciiTheme="majorHAnsi" w:hAnsiTheme="majorHAnsi" w:cstheme="majorHAnsi"/>
                <w:sz w:val="18"/>
                <w:szCs w:val="18"/>
              </w:rPr>
              <w:t>Část plochy stabilizována v rámci ploch nezastavěného území (NZ)</w:t>
            </w:r>
          </w:p>
        </w:tc>
      </w:tr>
    </w:tbl>
    <w:p w14:paraId="6C532CFC" w14:textId="1B75972A" w:rsidR="003F10E5" w:rsidRPr="006070EA" w:rsidRDefault="003F10E5" w:rsidP="003D2F14">
      <w:pPr>
        <w:keepNext/>
        <w:spacing w:before="120" w:after="120" w:line="240" w:lineRule="auto"/>
        <w:jc w:val="both"/>
        <w:rPr>
          <w:rFonts w:asciiTheme="majorHAnsi" w:hAnsiTheme="majorHAnsi" w:cstheme="majorHAnsi"/>
          <w:iCs/>
          <w:sz w:val="18"/>
          <w:szCs w:val="18"/>
        </w:rPr>
      </w:pPr>
      <w:r w:rsidRPr="006070EA">
        <w:rPr>
          <w:rFonts w:asciiTheme="majorHAnsi" w:hAnsiTheme="majorHAnsi" w:cstheme="majorHAnsi"/>
          <w:i/>
          <w:sz w:val="18"/>
          <w:szCs w:val="18"/>
        </w:rPr>
        <w:t>Závěrečné zhodnocení</w:t>
      </w:r>
      <w:r w:rsidR="003D2F14" w:rsidRPr="006070EA">
        <w:rPr>
          <w:rFonts w:asciiTheme="majorHAnsi" w:hAnsiTheme="majorHAnsi" w:cstheme="majorHAnsi"/>
          <w:iCs/>
          <w:sz w:val="18"/>
          <w:szCs w:val="18"/>
        </w:rPr>
        <w:t>: z</w:t>
      </w:r>
      <w:r w:rsidRPr="006070EA">
        <w:rPr>
          <w:rFonts w:asciiTheme="majorHAnsi" w:hAnsiTheme="majorHAnsi" w:cstheme="majorHAnsi"/>
          <w:iCs/>
          <w:sz w:val="18"/>
          <w:szCs w:val="18"/>
        </w:rPr>
        <w:t>astavitelné plochy vymezené v ÚPO v rámci sídla Kostomlaty nad Labem jsou převážně využity. Nevyužité části zastavitelných lokalit s ozn. 3 a 5 jsou převzaty a vymezeny jako součásti nových zastavitelných ploch v návrhu ÚP Kostomlaty nad Labem.</w:t>
      </w:r>
      <w:r w:rsidR="00391794" w:rsidRPr="006070EA">
        <w:rPr>
          <w:rFonts w:asciiTheme="majorHAnsi" w:hAnsiTheme="majorHAnsi" w:cstheme="majorHAnsi"/>
          <w:iCs/>
          <w:sz w:val="18"/>
          <w:szCs w:val="18"/>
        </w:rPr>
        <w:t xml:space="preserve"> ÚPO Kostomlaty nad Labem dále vymezuje jednu zastavitelnou plochu výroby a skladů bez označení. Tato plocha byla v období účinnosti ÚPO částečně využita a tato část byla stabilizována a zahrnuta do zastavěného území. </w:t>
      </w:r>
      <w:r w:rsidR="00391794" w:rsidRPr="006070EA">
        <w:rPr>
          <w:rFonts w:asciiTheme="majorHAnsi" w:hAnsiTheme="majorHAnsi" w:cstheme="majorHAnsi"/>
          <w:iCs/>
          <w:sz w:val="18"/>
          <w:szCs w:val="18"/>
        </w:rPr>
        <w:lastRenderedPageBreak/>
        <w:t>Zbývající, nevyužitá část plochy výroby a skladů byla převzata do ÚP Kostomlaty nad Labem jako zastavitelná plocha výroby a skladování – lehký průmysl s označením Z13 (VL).</w:t>
      </w:r>
    </w:p>
    <w:p w14:paraId="3C477478" w14:textId="732B9FFB" w:rsidR="003D2F14" w:rsidRPr="006070EA" w:rsidRDefault="003D2F14" w:rsidP="003D2F14">
      <w:pPr>
        <w:keepNext/>
        <w:spacing w:before="120" w:after="60" w:line="240" w:lineRule="auto"/>
        <w:jc w:val="both"/>
        <w:rPr>
          <w:rFonts w:asciiTheme="majorHAnsi" w:hAnsiTheme="majorHAnsi" w:cstheme="majorHAnsi"/>
          <w:i/>
          <w:sz w:val="18"/>
          <w:szCs w:val="18"/>
          <w:u w:val="single"/>
        </w:rPr>
      </w:pPr>
      <w:r w:rsidRPr="006070EA">
        <w:rPr>
          <w:rFonts w:asciiTheme="majorHAnsi" w:hAnsiTheme="majorHAnsi" w:cstheme="majorHAnsi"/>
          <w:i/>
          <w:sz w:val="18"/>
          <w:szCs w:val="18"/>
          <w:u w:val="single"/>
        </w:rPr>
        <w:t>Část obce Lány</w:t>
      </w:r>
    </w:p>
    <w:tbl>
      <w:tblPr>
        <w:tblStyle w:val="Mkatabulky"/>
        <w:tblW w:w="8787" w:type="dxa"/>
        <w:jc w:val="center"/>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850"/>
        <w:gridCol w:w="2551"/>
        <w:gridCol w:w="1134"/>
        <w:gridCol w:w="1134"/>
        <w:gridCol w:w="3118"/>
      </w:tblGrid>
      <w:tr w:rsidR="003D2F14" w:rsidRPr="006070EA" w14:paraId="6A5CC656" w14:textId="77777777" w:rsidTr="00ED4388">
        <w:trPr>
          <w:cantSplit/>
          <w:tblHeader/>
          <w:jc w:val="center"/>
        </w:trPr>
        <w:tc>
          <w:tcPr>
            <w:tcW w:w="850" w:type="dxa"/>
            <w:tcBorders>
              <w:top w:val="nil"/>
              <w:bottom w:val="single" w:sz="12" w:space="0" w:color="auto"/>
              <w:right w:val="single" w:sz="12" w:space="0" w:color="auto"/>
            </w:tcBorders>
            <w:vAlign w:val="center"/>
          </w:tcPr>
          <w:p w14:paraId="1C4BF2C4" w14:textId="77777777" w:rsidR="003D2F14" w:rsidRPr="006070EA" w:rsidRDefault="003D2F14" w:rsidP="00ED4388">
            <w:pPr>
              <w:jc w:val="center"/>
              <w:rPr>
                <w:rFonts w:asciiTheme="majorHAnsi" w:hAnsiTheme="majorHAnsi" w:cstheme="majorHAnsi"/>
                <w:b/>
                <w:sz w:val="18"/>
                <w:szCs w:val="18"/>
              </w:rPr>
            </w:pPr>
            <w:r w:rsidRPr="006070EA">
              <w:rPr>
                <w:rFonts w:asciiTheme="majorHAnsi" w:hAnsiTheme="majorHAnsi" w:cstheme="majorHAnsi"/>
                <w:b/>
                <w:sz w:val="18"/>
                <w:szCs w:val="18"/>
              </w:rPr>
              <w:t>Ozn. plochy v ÚPO</w:t>
            </w:r>
          </w:p>
        </w:tc>
        <w:tc>
          <w:tcPr>
            <w:tcW w:w="2551" w:type="dxa"/>
            <w:tcBorders>
              <w:top w:val="nil"/>
              <w:left w:val="single" w:sz="12" w:space="0" w:color="auto"/>
              <w:bottom w:val="single" w:sz="12" w:space="0" w:color="auto"/>
              <w:right w:val="single" w:sz="12" w:space="0" w:color="auto"/>
            </w:tcBorders>
            <w:vAlign w:val="center"/>
          </w:tcPr>
          <w:p w14:paraId="28AD1482" w14:textId="77777777" w:rsidR="003D2F14" w:rsidRPr="006070EA" w:rsidRDefault="003D2F14" w:rsidP="00ED4388">
            <w:pPr>
              <w:jc w:val="center"/>
              <w:rPr>
                <w:rFonts w:asciiTheme="majorHAnsi" w:hAnsiTheme="majorHAnsi" w:cstheme="majorHAnsi"/>
                <w:b/>
                <w:sz w:val="18"/>
                <w:szCs w:val="18"/>
              </w:rPr>
            </w:pPr>
            <w:r w:rsidRPr="006070EA">
              <w:rPr>
                <w:rFonts w:asciiTheme="majorHAnsi" w:hAnsiTheme="majorHAnsi" w:cstheme="majorHAnsi"/>
                <w:b/>
                <w:sz w:val="18"/>
                <w:szCs w:val="18"/>
              </w:rPr>
              <w:t>Způsob využití v ÚPO</w:t>
            </w:r>
          </w:p>
          <w:p w14:paraId="12F887C3" w14:textId="77777777" w:rsidR="003D2F14" w:rsidRPr="006070EA" w:rsidRDefault="003D2F14" w:rsidP="00ED4388">
            <w:pPr>
              <w:jc w:val="center"/>
              <w:rPr>
                <w:rFonts w:asciiTheme="majorHAnsi" w:hAnsiTheme="majorHAnsi" w:cstheme="majorHAnsi"/>
                <w:b/>
                <w:sz w:val="18"/>
                <w:szCs w:val="18"/>
              </w:rPr>
            </w:pPr>
            <w:r w:rsidRPr="006070EA">
              <w:rPr>
                <w:rFonts w:asciiTheme="majorHAnsi" w:hAnsiTheme="majorHAnsi" w:cstheme="majorHAnsi"/>
                <w:b/>
                <w:sz w:val="18"/>
                <w:szCs w:val="18"/>
              </w:rPr>
              <w:t>Popis / charakter</w:t>
            </w:r>
          </w:p>
        </w:tc>
        <w:tc>
          <w:tcPr>
            <w:tcW w:w="1134" w:type="dxa"/>
            <w:tcBorders>
              <w:top w:val="nil"/>
              <w:left w:val="single" w:sz="12" w:space="0" w:color="auto"/>
              <w:bottom w:val="single" w:sz="12" w:space="0" w:color="auto"/>
              <w:right w:val="single" w:sz="12" w:space="0" w:color="auto"/>
            </w:tcBorders>
            <w:vAlign w:val="center"/>
          </w:tcPr>
          <w:p w14:paraId="637CF0B8" w14:textId="77777777" w:rsidR="003D2F14" w:rsidRPr="006070EA" w:rsidRDefault="003D2F14" w:rsidP="00ED4388">
            <w:pPr>
              <w:jc w:val="center"/>
              <w:rPr>
                <w:rFonts w:asciiTheme="majorHAnsi" w:hAnsiTheme="majorHAnsi" w:cstheme="majorHAnsi"/>
                <w:b/>
                <w:sz w:val="18"/>
                <w:szCs w:val="18"/>
              </w:rPr>
            </w:pPr>
            <w:r w:rsidRPr="006070EA">
              <w:rPr>
                <w:rFonts w:asciiTheme="majorHAnsi" w:hAnsiTheme="majorHAnsi" w:cstheme="majorHAnsi"/>
                <w:b/>
                <w:sz w:val="18"/>
                <w:szCs w:val="18"/>
              </w:rPr>
              <w:t>Odhad počtu RD</w:t>
            </w:r>
          </w:p>
        </w:tc>
        <w:tc>
          <w:tcPr>
            <w:tcW w:w="1134" w:type="dxa"/>
            <w:tcBorders>
              <w:top w:val="nil"/>
              <w:left w:val="single" w:sz="12" w:space="0" w:color="auto"/>
              <w:bottom w:val="single" w:sz="12" w:space="0" w:color="auto"/>
              <w:right w:val="single" w:sz="12" w:space="0" w:color="auto"/>
            </w:tcBorders>
            <w:vAlign w:val="center"/>
          </w:tcPr>
          <w:p w14:paraId="4B2BBB7A" w14:textId="77777777" w:rsidR="003D2F14" w:rsidRPr="006070EA" w:rsidRDefault="003D2F14" w:rsidP="00ED4388">
            <w:pPr>
              <w:jc w:val="center"/>
              <w:rPr>
                <w:rFonts w:asciiTheme="majorHAnsi" w:hAnsiTheme="majorHAnsi" w:cstheme="majorHAnsi"/>
                <w:b/>
                <w:sz w:val="18"/>
                <w:szCs w:val="18"/>
              </w:rPr>
            </w:pPr>
            <w:r w:rsidRPr="006070EA">
              <w:rPr>
                <w:rFonts w:asciiTheme="majorHAnsi" w:hAnsiTheme="majorHAnsi" w:cstheme="majorHAnsi"/>
                <w:b/>
                <w:sz w:val="18"/>
                <w:szCs w:val="18"/>
              </w:rPr>
              <w:t>Využití zastavitelné plochy</w:t>
            </w:r>
          </w:p>
        </w:tc>
        <w:tc>
          <w:tcPr>
            <w:tcW w:w="3118" w:type="dxa"/>
            <w:tcBorders>
              <w:top w:val="nil"/>
              <w:left w:val="single" w:sz="12" w:space="0" w:color="auto"/>
              <w:bottom w:val="single" w:sz="12" w:space="0" w:color="auto"/>
            </w:tcBorders>
            <w:vAlign w:val="center"/>
          </w:tcPr>
          <w:p w14:paraId="67C42217" w14:textId="77777777" w:rsidR="003D2F14" w:rsidRPr="006070EA" w:rsidRDefault="003D2F14" w:rsidP="00ED4388">
            <w:pPr>
              <w:jc w:val="center"/>
              <w:rPr>
                <w:rFonts w:asciiTheme="majorHAnsi" w:hAnsiTheme="majorHAnsi" w:cstheme="majorHAnsi"/>
                <w:b/>
                <w:sz w:val="18"/>
                <w:szCs w:val="18"/>
              </w:rPr>
            </w:pPr>
            <w:r w:rsidRPr="006070EA">
              <w:rPr>
                <w:rFonts w:asciiTheme="majorHAnsi" w:hAnsiTheme="majorHAnsi" w:cstheme="majorHAnsi"/>
                <w:b/>
                <w:sz w:val="18"/>
                <w:szCs w:val="18"/>
              </w:rPr>
              <w:t>Způsob vymezení plochy v ÚP Kostomlaty nad Labem</w:t>
            </w:r>
          </w:p>
        </w:tc>
      </w:tr>
      <w:tr w:rsidR="003D2F14" w:rsidRPr="006070EA" w14:paraId="0F180586" w14:textId="77777777" w:rsidTr="00ED4388">
        <w:trPr>
          <w:cantSplit/>
          <w:jc w:val="center"/>
        </w:trPr>
        <w:tc>
          <w:tcPr>
            <w:tcW w:w="850" w:type="dxa"/>
            <w:tcBorders>
              <w:top w:val="single" w:sz="12" w:space="0" w:color="auto"/>
            </w:tcBorders>
            <w:vAlign w:val="center"/>
          </w:tcPr>
          <w:p w14:paraId="0431C65C" w14:textId="43617EAD" w:rsidR="003D2F14" w:rsidRPr="006070EA" w:rsidRDefault="003D2F14" w:rsidP="003D2F14">
            <w:pPr>
              <w:jc w:val="center"/>
              <w:rPr>
                <w:rFonts w:asciiTheme="majorHAnsi" w:hAnsiTheme="majorHAnsi" w:cstheme="majorHAnsi"/>
                <w:sz w:val="18"/>
                <w:szCs w:val="18"/>
              </w:rPr>
            </w:pPr>
            <w:r w:rsidRPr="006070EA">
              <w:rPr>
                <w:rFonts w:asciiTheme="majorHAnsi" w:hAnsiTheme="majorHAnsi" w:cstheme="majorHAnsi"/>
                <w:sz w:val="18"/>
                <w:szCs w:val="18"/>
              </w:rPr>
              <w:t>6</w:t>
            </w:r>
          </w:p>
        </w:tc>
        <w:tc>
          <w:tcPr>
            <w:tcW w:w="2551" w:type="dxa"/>
            <w:tcBorders>
              <w:top w:val="single" w:sz="12" w:space="0" w:color="auto"/>
            </w:tcBorders>
            <w:vAlign w:val="center"/>
          </w:tcPr>
          <w:p w14:paraId="0493673B" w14:textId="77777777" w:rsidR="003D2F14" w:rsidRPr="006070EA" w:rsidRDefault="003D2F14" w:rsidP="003D2F14">
            <w:pPr>
              <w:jc w:val="center"/>
              <w:rPr>
                <w:rFonts w:asciiTheme="majorHAnsi" w:hAnsiTheme="majorHAnsi" w:cstheme="majorHAnsi"/>
                <w:sz w:val="18"/>
                <w:szCs w:val="18"/>
              </w:rPr>
            </w:pPr>
            <w:r w:rsidRPr="006070EA">
              <w:rPr>
                <w:rFonts w:asciiTheme="majorHAnsi" w:hAnsiTheme="majorHAnsi" w:cstheme="majorHAnsi"/>
                <w:sz w:val="18"/>
                <w:szCs w:val="18"/>
              </w:rPr>
              <w:t>Rodinné domy</w:t>
            </w:r>
          </w:p>
          <w:p w14:paraId="25EBF191" w14:textId="77777777" w:rsidR="003D2F14" w:rsidRPr="006070EA" w:rsidRDefault="003D2F14" w:rsidP="003D2F14">
            <w:pPr>
              <w:jc w:val="center"/>
              <w:rPr>
                <w:rFonts w:asciiTheme="majorHAnsi" w:hAnsiTheme="majorHAnsi" w:cstheme="majorHAnsi"/>
                <w:sz w:val="18"/>
                <w:szCs w:val="18"/>
              </w:rPr>
            </w:pPr>
            <w:r w:rsidRPr="006070EA">
              <w:rPr>
                <w:rFonts w:asciiTheme="majorHAnsi" w:hAnsiTheme="majorHAnsi" w:cstheme="majorHAnsi"/>
                <w:sz w:val="18"/>
                <w:szCs w:val="18"/>
              </w:rPr>
              <w:t>Isolované RD</w:t>
            </w:r>
          </w:p>
        </w:tc>
        <w:tc>
          <w:tcPr>
            <w:tcW w:w="1134" w:type="dxa"/>
            <w:tcBorders>
              <w:top w:val="single" w:sz="12" w:space="0" w:color="auto"/>
            </w:tcBorders>
            <w:vAlign w:val="center"/>
          </w:tcPr>
          <w:p w14:paraId="679F04D1" w14:textId="2B924790" w:rsidR="003D2F14" w:rsidRPr="006070EA" w:rsidRDefault="003D2F14" w:rsidP="003D2F14">
            <w:pPr>
              <w:jc w:val="center"/>
              <w:rPr>
                <w:rFonts w:asciiTheme="majorHAnsi" w:hAnsiTheme="majorHAnsi" w:cstheme="majorHAnsi"/>
                <w:sz w:val="18"/>
                <w:szCs w:val="18"/>
              </w:rPr>
            </w:pPr>
            <w:r w:rsidRPr="006070EA">
              <w:rPr>
                <w:rFonts w:asciiTheme="majorHAnsi" w:hAnsiTheme="majorHAnsi" w:cstheme="majorHAnsi"/>
                <w:sz w:val="18"/>
                <w:szCs w:val="18"/>
              </w:rPr>
              <w:t>2-3</w:t>
            </w:r>
          </w:p>
        </w:tc>
        <w:tc>
          <w:tcPr>
            <w:tcW w:w="1134" w:type="dxa"/>
            <w:tcBorders>
              <w:top w:val="single" w:sz="12" w:space="0" w:color="auto"/>
            </w:tcBorders>
            <w:vAlign w:val="center"/>
          </w:tcPr>
          <w:p w14:paraId="5A88A828" w14:textId="453131D6" w:rsidR="003D2F14" w:rsidRPr="006070EA" w:rsidRDefault="003D2F14" w:rsidP="003D2F14">
            <w:pPr>
              <w:jc w:val="center"/>
              <w:rPr>
                <w:rFonts w:asciiTheme="majorHAnsi" w:hAnsiTheme="majorHAnsi" w:cstheme="majorHAnsi"/>
                <w:sz w:val="18"/>
                <w:szCs w:val="18"/>
              </w:rPr>
            </w:pPr>
            <w:r w:rsidRPr="006070EA">
              <w:rPr>
                <w:rFonts w:asciiTheme="majorHAnsi" w:hAnsiTheme="majorHAnsi" w:cstheme="majorHAnsi"/>
                <w:sz w:val="18"/>
                <w:szCs w:val="18"/>
              </w:rPr>
              <w:t>0 %</w:t>
            </w:r>
          </w:p>
        </w:tc>
        <w:tc>
          <w:tcPr>
            <w:tcW w:w="3118" w:type="dxa"/>
            <w:tcBorders>
              <w:top w:val="single" w:sz="12" w:space="0" w:color="auto"/>
            </w:tcBorders>
            <w:shd w:val="clear" w:color="auto" w:fill="auto"/>
            <w:vAlign w:val="center"/>
          </w:tcPr>
          <w:p w14:paraId="47A7E564" w14:textId="679190D1" w:rsidR="003D2F14" w:rsidRPr="006070EA" w:rsidRDefault="003D2F14" w:rsidP="003D2F14">
            <w:pPr>
              <w:jc w:val="center"/>
              <w:rPr>
                <w:rFonts w:asciiTheme="majorHAnsi" w:hAnsiTheme="majorHAnsi" w:cstheme="majorHAnsi"/>
                <w:sz w:val="18"/>
                <w:szCs w:val="18"/>
              </w:rPr>
            </w:pPr>
            <w:r w:rsidRPr="006070EA">
              <w:rPr>
                <w:rFonts w:asciiTheme="majorHAnsi" w:hAnsiTheme="majorHAnsi" w:cstheme="majorHAnsi"/>
                <w:sz w:val="18"/>
                <w:szCs w:val="18"/>
              </w:rPr>
              <w:t>Plocha převzata – vymezena jako zastavitelná plocha Z16 (SV)</w:t>
            </w:r>
          </w:p>
        </w:tc>
      </w:tr>
      <w:tr w:rsidR="003D2F14" w:rsidRPr="006070EA" w14:paraId="06462CA1" w14:textId="77777777" w:rsidTr="00ED4388">
        <w:trPr>
          <w:cantSplit/>
          <w:jc w:val="center"/>
        </w:trPr>
        <w:tc>
          <w:tcPr>
            <w:tcW w:w="850" w:type="dxa"/>
            <w:vAlign w:val="center"/>
          </w:tcPr>
          <w:p w14:paraId="27989124" w14:textId="1D8949BB" w:rsidR="003D2F14" w:rsidRPr="006070EA" w:rsidRDefault="003D2F14" w:rsidP="003D2F14">
            <w:pPr>
              <w:jc w:val="center"/>
              <w:rPr>
                <w:rFonts w:asciiTheme="majorHAnsi" w:hAnsiTheme="majorHAnsi" w:cstheme="majorHAnsi"/>
                <w:sz w:val="18"/>
                <w:szCs w:val="18"/>
              </w:rPr>
            </w:pPr>
            <w:r w:rsidRPr="006070EA">
              <w:rPr>
                <w:rFonts w:asciiTheme="majorHAnsi" w:hAnsiTheme="majorHAnsi" w:cstheme="majorHAnsi"/>
                <w:sz w:val="18"/>
                <w:szCs w:val="18"/>
              </w:rPr>
              <w:t>7</w:t>
            </w:r>
          </w:p>
        </w:tc>
        <w:tc>
          <w:tcPr>
            <w:tcW w:w="2551" w:type="dxa"/>
            <w:vAlign w:val="center"/>
          </w:tcPr>
          <w:p w14:paraId="13B97047" w14:textId="77777777" w:rsidR="003D2F14" w:rsidRPr="006070EA" w:rsidRDefault="003D2F14" w:rsidP="003D2F14">
            <w:pPr>
              <w:jc w:val="center"/>
              <w:rPr>
                <w:rFonts w:asciiTheme="majorHAnsi" w:hAnsiTheme="majorHAnsi" w:cstheme="majorHAnsi"/>
                <w:sz w:val="18"/>
                <w:szCs w:val="18"/>
              </w:rPr>
            </w:pPr>
            <w:r w:rsidRPr="006070EA">
              <w:rPr>
                <w:rFonts w:asciiTheme="majorHAnsi" w:hAnsiTheme="majorHAnsi" w:cstheme="majorHAnsi"/>
                <w:sz w:val="18"/>
                <w:szCs w:val="18"/>
              </w:rPr>
              <w:t>Rodinné domy</w:t>
            </w:r>
          </w:p>
          <w:p w14:paraId="0B2112FC" w14:textId="4C150638" w:rsidR="003D2F14" w:rsidRPr="006070EA" w:rsidRDefault="003D2F14" w:rsidP="003D2F14">
            <w:pPr>
              <w:jc w:val="center"/>
              <w:rPr>
                <w:rFonts w:asciiTheme="majorHAnsi" w:hAnsiTheme="majorHAnsi" w:cstheme="majorHAnsi"/>
                <w:sz w:val="18"/>
                <w:szCs w:val="18"/>
              </w:rPr>
            </w:pPr>
            <w:r w:rsidRPr="006070EA">
              <w:rPr>
                <w:rFonts w:asciiTheme="majorHAnsi" w:hAnsiTheme="majorHAnsi" w:cstheme="majorHAnsi"/>
                <w:sz w:val="18"/>
                <w:szCs w:val="18"/>
              </w:rPr>
              <w:t>Isolované RD</w:t>
            </w:r>
          </w:p>
        </w:tc>
        <w:tc>
          <w:tcPr>
            <w:tcW w:w="1134" w:type="dxa"/>
            <w:vAlign w:val="center"/>
          </w:tcPr>
          <w:p w14:paraId="0EE1F3B0" w14:textId="56566894" w:rsidR="003D2F14" w:rsidRPr="006070EA" w:rsidRDefault="003D2F14" w:rsidP="003D2F14">
            <w:pPr>
              <w:jc w:val="center"/>
              <w:rPr>
                <w:rFonts w:asciiTheme="majorHAnsi" w:hAnsiTheme="majorHAnsi" w:cstheme="majorHAnsi"/>
                <w:sz w:val="18"/>
                <w:szCs w:val="18"/>
              </w:rPr>
            </w:pPr>
            <w:r w:rsidRPr="006070EA">
              <w:rPr>
                <w:rFonts w:asciiTheme="majorHAnsi" w:hAnsiTheme="majorHAnsi" w:cstheme="majorHAnsi"/>
                <w:sz w:val="18"/>
                <w:szCs w:val="18"/>
              </w:rPr>
              <w:t>2</w:t>
            </w:r>
          </w:p>
        </w:tc>
        <w:tc>
          <w:tcPr>
            <w:tcW w:w="1134" w:type="dxa"/>
            <w:vAlign w:val="center"/>
          </w:tcPr>
          <w:p w14:paraId="0D4E6BE0" w14:textId="102717A1" w:rsidR="003D2F14" w:rsidRPr="006070EA" w:rsidRDefault="003D2F14" w:rsidP="003D2F14">
            <w:pPr>
              <w:jc w:val="center"/>
              <w:rPr>
                <w:rFonts w:asciiTheme="majorHAnsi" w:hAnsiTheme="majorHAnsi" w:cstheme="majorHAnsi"/>
                <w:color w:val="FF0000"/>
                <w:sz w:val="18"/>
                <w:szCs w:val="18"/>
              </w:rPr>
            </w:pPr>
            <w:r w:rsidRPr="006070EA">
              <w:rPr>
                <w:rFonts w:asciiTheme="majorHAnsi" w:hAnsiTheme="majorHAnsi" w:cstheme="majorHAnsi"/>
                <w:sz w:val="18"/>
                <w:szCs w:val="18"/>
              </w:rPr>
              <w:t>0 %</w:t>
            </w:r>
          </w:p>
        </w:tc>
        <w:tc>
          <w:tcPr>
            <w:tcW w:w="3118" w:type="dxa"/>
            <w:vAlign w:val="center"/>
          </w:tcPr>
          <w:p w14:paraId="148D280D" w14:textId="019543F2" w:rsidR="003D2F14" w:rsidRPr="006070EA" w:rsidRDefault="003D2F14" w:rsidP="003D2F14">
            <w:pPr>
              <w:jc w:val="center"/>
              <w:rPr>
                <w:rFonts w:asciiTheme="majorHAnsi" w:hAnsiTheme="majorHAnsi" w:cstheme="majorHAnsi"/>
                <w:color w:val="FF0000"/>
                <w:sz w:val="18"/>
                <w:szCs w:val="18"/>
              </w:rPr>
            </w:pPr>
            <w:r w:rsidRPr="006070EA">
              <w:rPr>
                <w:rFonts w:asciiTheme="majorHAnsi" w:hAnsiTheme="majorHAnsi" w:cstheme="majorHAnsi"/>
                <w:sz w:val="18"/>
                <w:szCs w:val="18"/>
              </w:rPr>
              <w:t>Plocha převzata – vymezena jako součást zastavitelné plochy Z18 (SV)</w:t>
            </w:r>
          </w:p>
        </w:tc>
      </w:tr>
      <w:tr w:rsidR="003D2F14" w:rsidRPr="006070EA" w14:paraId="13BD3F4D" w14:textId="77777777" w:rsidTr="00ED4388">
        <w:trPr>
          <w:cantSplit/>
          <w:jc w:val="center"/>
        </w:trPr>
        <w:tc>
          <w:tcPr>
            <w:tcW w:w="850" w:type="dxa"/>
            <w:vAlign w:val="center"/>
          </w:tcPr>
          <w:p w14:paraId="4D2ACEEA" w14:textId="0B73E120" w:rsidR="003D2F14" w:rsidRPr="006070EA" w:rsidRDefault="003D2F14" w:rsidP="003D2F14">
            <w:pPr>
              <w:jc w:val="center"/>
              <w:rPr>
                <w:rFonts w:asciiTheme="majorHAnsi" w:hAnsiTheme="majorHAnsi" w:cstheme="majorHAnsi"/>
                <w:sz w:val="18"/>
                <w:szCs w:val="18"/>
              </w:rPr>
            </w:pPr>
            <w:r w:rsidRPr="006070EA">
              <w:rPr>
                <w:rFonts w:asciiTheme="majorHAnsi" w:hAnsiTheme="majorHAnsi" w:cstheme="majorHAnsi"/>
                <w:sz w:val="18"/>
                <w:szCs w:val="18"/>
              </w:rPr>
              <w:t>8</w:t>
            </w:r>
          </w:p>
        </w:tc>
        <w:tc>
          <w:tcPr>
            <w:tcW w:w="2551" w:type="dxa"/>
            <w:vAlign w:val="center"/>
          </w:tcPr>
          <w:p w14:paraId="273BD7AD" w14:textId="77777777" w:rsidR="003D2F14" w:rsidRPr="006070EA" w:rsidRDefault="003D2F14" w:rsidP="003D2F14">
            <w:pPr>
              <w:jc w:val="center"/>
              <w:rPr>
                <w:rFonts w:asciiTheme="majorHAnsi" w:hAnsiTheme="majorHAnsi" w:cstheme="majorHAnsi"/>
                <w:sz w:val="18"/>
                <w:szCs w:val="18"/>
              </w:rPr>
            </w:pPr>
            <w:r w:rsidRPr="006070EA">
              <w:rPr>
                <w:rFonts w:asciiTheme="majorHAnsi" w:hAnsiTheme="majorHAnsi" w:cstheme="majorHAnsi"/>
                <w:sz w:val="18"/>
                <w:szCs w:val="18"/>
              </w:rPr>
              <w:t>Rodinné domy</w:t>
            </w:r>
          </w:p>
          <w:p w14:paraId="7C6A6656" w14:textId="3DCDC511" w:rsidR="003D2F14" w:rsidRPr="006070EA" w:rsidRDefault="003D2F14" w:rsidP="003D2F14">
            <w:pPr>
              <w:jc w:val="center"/>
              <w:rPr>
                <w:rFonts w:asciiTheme="majorHAnsi" w:hAnsiTheme="majorHAnsi" w:cstheme="majorHAnsi"/>
                <w:sz w:val="18"/>
                <w:szCs w:val="18"/>
              </w:rPr>
            </w:pPr>
            <w:r w:rsidRPr="006070EA">
              <w:rPr>
                <w:rFonts w:asciiTheme="majorHAnsi" w:hAnsiTheme="majorHAnsi" w:cstheme="majorHAnsi"/>
                <w:sz w:val="18"/>
                <w:szCs w:val="18"/>
              </w:rPr>
              <w:t>Isolované RD</w:t>
            </w:r>
          </w:p>
        </w:tc>
        <w:tc>
          <w:tcPr>
            <w:tcW w:w="1134" w:type="dxa"/>
            <w:vAlign w:val="center"/>
          </w:tcPr>
          <w:p w14:paraId="18E4E0AA" w14:textId="6E44EAAC" w:rsidR="003D2F14" w:rsidRPr="006070EA" w:rsidRDefault="003D2F14" w:rsidP="003D2F14">
            <w:pPr>
              <w:jc w:val="center"/>
              <w:rPr>
                <w:rFonts w:asciiTheme="majorHAnsi" w:hAnsiTheme="majorHAnsi" w:cstheme="majorHAnsi"/>
                <w:sz w:val="18"/>
                <w:szCs w:val="18"/>
              </w:rPr>
            </w:pPr>
            <w:r w:rsidRPr="006070EA">
              <w:rPr>
                <w:rFonts w:asciiTheme="majorHAnsi" w:hAnsiTheme="majorHAnsi" w:cstheme="majorHAnsi"/>
                <w:sz w:val="18"/>
                <w:szCs w:val="18"/>
              </w:rPr>
              <w:t>2-3</w:t>
            </w:r>
          </w:p>
        </w:tc>
        <w:tc>
          <w:tcPr>
            <w:tcW w:w="1134" w:type="dxa"/>
            <w:vAlign w:val="center"/>
          </w:tcPr>
          <w:p w14:paraId="1F8B9122" w14:textId="447DA6B1" w:rsidR="003D2F14" w:rsidRPr="006070EA" w:rsidRDefault="003D2F14" w:rsidP="003D2F14">
            <w:pPr>
              <w:jc w:val="center"/>
              <w:rPr>
                <w:rFonts w:asciiTheme="majorHAnsi" w:hAnsiTheme="majorHAnsi" w:cstheme="majorHAnsi"/>
                <w:color w:val="FF0000"/>
                <w:sz w:val="18"/>
                <w:szCs w:val="18"/>
              </w:rPr>
            </w:pPr>
            <w:r w:rsidRPr="006070EA">
              <w:rPr>
                <w:rFonts w:asciiTheme="majorHAnsi" w:hAnsiTheme="majorHAnsi" w:cstheme="majorHAnsi"/>
                <w:sz w:val="18"/>
                <w:szCs w:val="18"/>
              </w:rPr>
              <w:t>0 %</w:t>
            </w:r>
          </w:p>
        </w:tc>
        <w:tc>
          <w:tcPr>
            <w:tcW w:w="3118" w:type="dxa"/>
            <w:vAlign w:val="center"/>
          </w:tcPr>
          <w:p w14:paraId="484B81BE" w14:textId="32294B88" w:rsidR="003D2F14" w:rsidRPr="006070EA" w:rsidRDefault="003D2F14" w:rsidP="003D2F14">
            <w:pPr>
              <w:jc w:val="center"/>
              <w:rPr>
                <w:rFonts w:asciiTheme="majorHAnsi" w:hAnsiTheme="majorHAnsi" w:cstheme="majorHAnsi"/>
                <w:color w:val="FF0000"/>
                <w:sz w:val="18"/>
                <w:szCs w:val="18"/>
              </w:rPr>
            </w:pPr>
            <w:r w:rsidRPr="006070EA">
              <w:rPr>
                <w:rFonts w:asciiTheme="majorHAnsi" w:hAnsiTheme="majorHAnsi" w:cstheme="majorHAnsi"/>
                <w:sz w:val="18"/>
                <w:szCs w:val="18"/>
              </w:rPr>
              <w:t>Plocha převzata – vymezena jako součást zastavitelné plochy Z18 (SV)</w:t>
            </w:r>
          </w:p>
        </w:tc>
      </w:tr>
      <w:tr w:rsidR="003D2F14" w:rsidRPr="006070EA" w14:paraId="029DDD97" w14:textId="77777777" w:rsidTr="00ED4388">
        <w:trPr>
          <w:cantSplit/>
          <w:jc w:val="center"/>
        </w:trPr>
        <w:tc>
          <w:tcPr>
            <w:tcW w:w="850" w:type="dxa"/>
            <w:vAlign w:val="center"/>
          </w:tcPr>
          <w:p w14:paraId="5E322850" w14:textId="72AC4B22" w:rsidR="003D2F14" w:rsidRPr="006070EA" w:rsidRDefault="003D2F14" w:rsidP="003D2F14">
            <w:pPr>
              <w:jc w:val="center"/>
              <w:rPr>
                <w:rFonts w:asciiTheme="majorHAnsi" w:hAnsiTheme="majorHAnsi" w:cstheme="majorHAnsi"/>
                <w:sz w:val="18"/>
                <w:szCs w:val="18"/>
              </w:rPr>
            </w:pPr>
            <w:r w:rsidRPr="006070EA">
              <w:rPr>
                <w:rFonts w:asciiTheme="majorHAnsi" w:hAnsiTheme="majorHAnsi" w:cstheme="majorHAnsi"/>
                <w:sz w:val="18"/>
                <w:szCs w:val="18"/>
              </w:rPr>
              <w:t>9</w:t>
            </w:r>
          </w:p>
        </w:tc>
        <w:tc>
          <w:tcPr>
            <w:tcW w:w="2551" w:type="dxa"/>
            <w:vAlign w:val="center"/>
          </w:tcPr>
          <w:p w14:paraId="2157ADD5" w14:textId="77777777" w:rsidR="003D2F14" w:rsidRPr="006070EA" w:rsidRDefault="003D2F14" w:rsidP="003D2F14">
            <w:pPr>
              <w:jc w:val="center"/>
              <w:rPr>
                <w:rFonts w:asciiTheme="majorHAnsi" w:hAnsiTheme="majorHAnsi" w:cstheme="majorHAnsi"/>
                <w:sz w:val="18"/>
                <w:szCs w:val="18"/>
              </w:rPr>
            </w:pPr>
            <w:r w:rsidRPr="006070EA">
              <w:rPr>
                <w:rFonts w:asciiTheme="majorHAnsi" w:hAnsiTheme="majorHAnsi" w:cstheme="majorHAnsi"/>
                <w:sz w:val="18"/>
                <w:szCs w:val="18"/>
              </w:rPr>
              <w:t>Rodinné domy</w:t>
            </w:r>
          </w:p>
          <w:p w14:paraId="7CD35CAF" w14:textId="3BB47695" w:rsidR="003D2F14" w:rsidRPr="006070EA" w:rsidRDefault="003D2F14" w:rsidP="003D2F14">
            <w:pPr>
              <w:jc w:val="center"/>
              <w:rPr>
                <w:rFonts w:asciiTheme="majorHAnsi" w:hAnsiTheme="majorHAnsi" w:cstheme="majorHAnsi"/>
                <w:sz w:val="18"/>
                <w:szCs w:val="18"/>
              </w:rPr>
            </w:pPr>
            <w:r w:rsidRPr="006070EA">
              <w:rPr>
                <w:rFonts w:asciiTheme="majorHAnsi" w:hAnsiTheme="majorHAnsi" w:cstheme="majorHAnsi"/>
                <w:sz w:val="18"/>
                <w:szCs w:val="18"/>
              </w:rPr>
              <w:t>Isolované RD</w:t>
            </w:r>
          </w:p>
        </w:tc>
        <w:tc>
          <w:tcPr>
            <w:tcW w:w="1134" w:type="dxa"/>
            <w:vAlign w:val="center"/>
          </w:tcPr>
          <w:p w14:paraId="53979B23" w14:textId="02CDB1B5" w:rsidR="003D2F14" w:rsidRPr="006070EA" w:rsidRDefault="003D2F14" w:rsidP="003D2F14">
            <w:pPr>
              <w:jc w:val="center"/>
              <w:rPr>
                <w:rFonts w:asciiTheme="majorHAnsi" w:hAnsiTheme="majorHAnsi" w:cstheme="majorHAnsi"/>
                <w:sz w:val="18"/>
                <w:szCs w:val="18"/>
              </w:rPr>
            </w:pPr>
            <w:r w:rsidRPr="006070EA">
              <w:rPr>
                <w:rFonts w:asciiTheme="majorHAnsi" w:hAnsiTheme="majorHAnsi" w:cstheme="majorHAnsi"/>
                <w:sz w:val="18"/>
                <w:szCs w:val="18"/>
              </w:rPr>
              <w:t>5</w:t>
            </w:r>
          </w:p>
        </w:tc>
        <w:tc>
          <w:tcPr>
            <w:tcW w:w="1134" w:type="dxa"/>
            <w:vAlign w:val="center"/>
          </w:tcPr>
          <w:p w14:paraId="7A276767" w14:textId="16652F3D" w:rsidR="003D2F14" w:rsidRPr="006070EA" w:rsidRDefault="003D2F14" w:rsidP="003D2F14">
            <w:pPr>
              <w:jc w:val="center"/>
              <w:rPr>
                <w:rFonts w:asciiTheme="majorHAnsi" w:hAnsiTheme="majorHAnsi" w:cstheme="majorHAnsi"/>
                <w:color w:val="FF0000"/>
                <w:sz w:val="18"/>
                <w:szCs w:val="18"/>
              </w:rPr>
            </w:pPr>
            <w:r w:rsidRPr="006070EA">
              <w:rPr>
                <w:rFonts w:asciiTheme="majorHAnsi" w:hAnsiTheme="majorHAnsi" w:cstheme="majorHAnsi"/>
                <w:sz w:val="18"/>
                <w:szCs w:val="18"/>
              </w:rPr>
              <w:t>0 %</w:t>
            </w:r>
          </w:p>
        </w:tc>
        <w:tc>
          <w:tcPr>
            <w:tcW w:w="3118" w:type="dxa"/>
            <w:vAlign w:val="center"/>
          </w:tcPr>
          <w:p w14:paraId="54B6C484" w14:textId="5DEA422E" w:rsidR="003D2F14" w:rsidRPr="006070EA" w:rsidRDefault="003D2F14" w:rsidP="003D2F14">
            <w:pPr>
              <w:jc w:val="center"/>
              <w:rPr>
                <w:rFonts w:asciiTheme="majorHAnsi" w:hAnsiTheme="majorHAnsi" w:cstheme="majorHAnsi"/>
                <w:color w:val="FF0000"/>
                <w:sz w:val="18"/>
                <w:szCs w:val="18"/>
              </w:rPr>
            </w:pPr>
            <w:r w:rsidRPr="006070EA">
              <w:rPr>
                <w:rFonts w:asciiTheme="majorHAnsi" w:hAnsiTheme="majorHAnsi" w:cstheme="majorHAnsi"/>
                <w:sz w:val="18"/>
                <w:szCs w:val="18"/>
              </w:rPr>
              <w:t>Plocha převzata – vymezena jako součást zastavitelné plochy Z19 (SV)</w:t>
            </w:r>
          </w:p>
        </w:tc>
      </w:tr>
      <w:tr w:rsidR="005D116A" w:rsidRPr="006070EA" w14:paraId="60A4186B" w14:textId="77777777" w:rsidTr="00ED4388">
        <w:trPr>
          <w:cantSplit/>
          <w:jc w:val="center"/>
        </w:trPr>
        <w:tc>
          <w:tcPr>
            <w:tcW w:w="850" w:type="dxa"/>
            <w:vAlign w:val="center"/>
          </w:tcPr>
          <w:p w14:paraId="7D4A90F7" w14:textId="2A928CEB" w:rsidR="005D116A" w:rsidRPr="006070EA" w:rsidRDefault="005D116A" w:rsidP="005D116A">
            <w:pPr>
              <w:jc w:val="center"/>
              <w:rPr>
                <w:rFonts w:asciiTheme="majorHAnsi" w:hAnsiTheme="majorHAnsi" w:cstheme="majorHAnsi"/>
                <w:sz w:val="18"/>
                <w:szCs w:val="18"/>
              </w:rPr>
            </w:pPr>
            <w:r w:rsidRPr="006070EA">
              <w:rPr>
                <w:rFonts w:asciiTheme="majorHAnsi" w:hAnsiTheme="majorHAnsi" w:cstheme="majorHAnsi"/>
                <w:sz w:val="18"/>
                <w:szCs w:val="18"/>
              </w:rPr>
              <w:t>10</w:t>
            </w:r>
          </w:p>
        </w:tc>
        <w:tc>
          <w:tcPr>
            <w:tcW w:w="2551" w:type="dxa"/>
            <w:vAlign w:val="center"/>
          </w:tcPr>
          <w:p w14:paraId="53BB4EAE" w14:textId="77777777" w:rsidR="005D116A" w:rsidRPr="006070EA" w:rsidRDefault="005D116A" w:rsidP="005D116A">
            <w:pPr>
              <w:jc w:val="center"/>
              <w:rPr>
                <w:rFonts w:asciiTheme="majorHAnsi" w:hAnsiTheme="majorHAnsi" w:cstheme="majorHAnsi"/>
                <w:sz w:val="18"/>
                <w:szCs w:val="18"/>
              </w:rPr>
            </w:pPr>
            <w:r w:rsidRPr="006070EA">
              <w:rPr>
                <w:rFonts w:asciiTheme="majorHAnsi" w:hAnsiTheme="majorHAnsi" w:cstheme="majorHAnsi"/>
                <w:sz w:val="18"/>
                <w:szCs w:val="18"/>
              </w:rPr>
              <w:t>Rodinné domy</w:t>
            </w:r>
          </w:p>
          <w:p w14:paraId="439AACA8" w14:textId="53C6576E" w:rsidR="005D116A" w:rsidRPr="006070EA" w:rsidRDefault="005D116A" w:rsidP="005D116A">
            <w:pPr>
              <w:jc w:val="center"/>
              <w:rPr>
                <w:rFonts w:asciiTheme="majorHAnsi" w:hAnsiTheme="majorHAnsi" w:cstheme="majorHAnsi"/>
                <w:sz w:val="18"/>
                <w:szCs w:val="18"/>
              </w:rPr>
            </w:pPr>
            <w:r w:rsidRPr="006070EA">
              <w:rPr>
                <w:rFonts w:asciiTheme="majorHAnsi" w:hAnsiTheme="majorHAnsi" w:cstheme="majorHAnsi"/>
                <w:sz w:val="18"/>
                <w:szCs w:val="18"/>
              </w:rPr>
              <w:t>Isolované RD</w:t>
            </w:r>
          </w:p>
        </w:tc>
        <w:tc>
          <w:tcPr>
            <w:tcW w:w="1134" w:type="dxa"/>
            <w:vAlign w:val="center"/>
          </w:tcPr>
          <w:p w14:paraId="1FDE7D1A" w14:textId="2D03D3B6" w:rsidR="005D116A" w:rsidRPr="006070EA" w:rsidRDefault="005D116A" w:rsidP="005D116A">
            <w:pPr>
              <w:jc w:val="center"/>
              <w:rPr>
                <w:rFonts w:asciiTheme="majorHAnsi" w:hAnsiTheme="majorHAnsi" w:cstheme="majorHAnsi"/>
                <w:sz w:val="18"/>
                <w:szCs w:val="18"/>
              </w:rPr>
            </w:pPr>
            <w:r w:rsidRPr="006070EA">
              <w:rPr>
                <w:rFonts w:asciiTheme="majorHAnsi" w:hAnsiTheme="majorHAnsi" w:cstheme="majorHAnsi"/>
                <w:sz w:val="18"/>
                <w:szCs w:val="18"/>
              </w:rPr>
              <w:t>2</w:t>
            </w:r>
          </w:p>
        </w:tc>
        <w:tc>
          <w:tcPr>
            <w:tcW w:w="1134" w:type="dxa"/>
            <w:vAlign w:val="center"/>
          </w:tcPr>
          <w:p w14:paraId="357220A5" w14:textId="77777777" w:rsidR="005D116A" w:rsidRPr="006070EA" w:rsidRDefault="005D116A" w:rsidP="005D116A">
            <w:pPr>
              <w:jc w:val="center"/>
              <w:rPr>
                <w:rFonts w:asciiTheme="majorHAnsi" w:hAnsiTheme="majorHAnsi" w:cstheme="majorHAnsi"/>
                <w:sz w:val="18"/>
                <w:szCs w:val="18"/>
              </w:rPr>
            </w:pPr>
            <w:r w:rsidRPr="006070EA">
              <w:rPr>
                <w:rFonts w:asciiTheme="majorHAnsi" w:hAnsiTheme="majorHAnsi" w:cstheme="majorHAnsi"/>
                <w:sz w:val="18"/>
                <w:szCs w:val="18"/>
              </w:rPr>
              <w:t>0 %</w:t>
            </w:r>
          </w:p>
        </w:tc>
        <w:tc>
          <w:tcPr>
            <w:tcW w:w="3118" w:type="dxa"/>
            <w:vAlign w:val="center"/>
          </w:tcPr>
          <w:p w14:paraId="1F9CE258" w14:textId="7011B28D" w:rsidR="005D116A" w:rsidRPr="006070EA" w:rsidRDefault="005D116A" w:rsidP="005D116A">
            <w:pPr>
              <w:jc w:val="center"/>
              <w:rPr>
                <w:rFonts w:asciiTheme="majorHAnsi" w:hAnsiTheme="majorHAnsi" w:cstheme="majorHAnsi"/>
                <w:sz w:val="18"/>
                <w:szCs w:val="18"/>
              </w:rPr>
            </w:pPr>
            <w:r w:rsidRPr="006070EA">
              <w:rPr>
                <w:rFonts w:asciiTheme="majorHAnsi" w:hAnsiTheme="majorHAnsi" w:cstheme="majorHAnsi"/>
                <w:sz w:val="18"/>
                <w:szCs w:val="18"/>
              </w:rPr>
              <w:t>Plocha zahrnuta do zastavěného území jako stabilizovaná plocha (SV) – rezerva v zastavěném území (viz kapitola 10.1)</w:t>
            </w:r>
          </w:p>
        </w:tc>
      </w:tr>
      <w:tr w:rsidR="005D116A" w:rsidRPr="006070EA" w14:paraId="0152F176" w14:textId="77777777" w:rsidTr="00ED4388">
        <w:trPr>
          <w:cantSplit/>
          <w:jc w:val="center"/>
        </w:trPr>
        <w:tc>
          <w:tcPr>
            <w:tcW w:w="850" w:type="dxa"/>
            <w:vAlign w:val="center"/>
          </w:tcPr>
          <w:p w14:paraId="61E8BE0B" w14:textId="0C5CF8EA" w:rsidR="005D116A" w:rsidRPr="006070EA" w:rsidRDefault="005D116A" w:rsidP="005D116A">
            <w:pPr>
              <w:jc w:val="center"/>
              <w:rPr>
                <w:rFonts w:asciiTheme="majorHAnsi" w:hAnsiTheme="majorHAnsi" w:cstheme="majorHAnsi"/>
                <w:sz w:val="18"/>
                <w:szCs w:val="18"/>
              </w:rPr>
            </w:pPr>
            <w:r w:rsidRPr="006070EA">
              <w:rPr>
                <w:rFonts w:asciiTheme="majorHAnsi" w:hAnsiTheme="majorHAnsi" w:cstheme="majorHAnsi"/>
                <w:sz w:val="18"/>
                <w:szCs w:val="18"/>
              </w:rPr>
              <w:t>14</w:t>
            </w:r>
          </w:p>
        </w:tc>
        <w:tc>
          <w:tcPr>
            <w:tcW w:w="2551" w:type="dxa"/>
            <w:vAlign w:val="center"/>
          </w:tcPr>
          <w:p w14:paraId="6B1B825B" w14:textId="77777777" w:rsidR="005D116A" w:rsidRPr="006070EA" w:rsidRDefault="005D116A" w:rsidP="005D116A">
            <w:pPr>
              <w:jc w:val="center"/>
              <w:rPr>
                <w:rFonts w:asciiTheme="majorHAnsi" w:hAnsiTheme="majorHAnsi" w:cstheme="majorHAnsi"/>
                <w:sz w:val="18"/>
                <w:szCs w:val="18"/>
              </w:rPr>
            </w:pPr>
            <w:r w:rsidRPr="006070EA">
              <w:rPr>
                <w:rFonts w:asciiTheme="majorHAnsi" w:hAnsiTheme="majorHAnsi" w:cstheme="majorHAnsi"/>
                <w:sz w:val="18"/>
                <w:szCs w:val="18"/>
              </w:rPr>
              <w:t>Rodinné domy</w:t>
            </w:r>
          </w:p>
          <w:p w14:paraId="38CF853D" w14:textId="30E08BDA" w:rsidR="005D116A" w:rsidRPr="006070EA" w:rsidRDefault="005D116A" w:rsidP="005D116A">
            <w:pPr>
              <w:jc w:val="center"/>
              <w:rPr>
                <w:rFonts w:asciiTheme="majorHAnsi" w:hAnsiTheme="majorHAnsi" w:cstheme="majorHAnsi"/>
                <w:sz w:val="18"/>
                <w:szCs w:val="18"/>
              </w:rPr>
            </w:pPr>
            <w:r w:rsidRPr="006070EA">
              <w:rPr>
                <w:rFonts w:asciiTheme="majorHAnsi" w:hAnsiTheme="majorHAnsi" w:cstheme="majorHAnsi"/>
                <w:sz w:val="18"/>
                <w:szCs w:val="18"/>
              </w:rPr>
              <w:t>Isolovaný</w:t>
            </w:r>
          </w:p>
        </w:tc>
        <w:tc>
          <w:tcPr>
            <w:tcW w:w="1134" w:type="dxa"/>
            <w:vAlign w:val="center"/>
          </w:tcPr>
          <w:p w14:paraId="0C373574" w14:textId="3161EC35" w:rsidR="005D116A" w:rsidRPr="006070EA" w:rsidRDefault="005D116A" w:rsidP="005D116A">
            <w:pPr>
              <w:jc w:val="center"/>
              <w:rPr>
                <w:rFonts w:asciiTheme="majorHAnsi" w:hAnsiTheme="majorHAnsi" w:cstheme="majorHAnsi"/>
                <w:sz w:val="18"/>
                <w:szCs w:val="18"/>
              </w:rPr>
            </w:pPr>
            <w:r w:rsidRPr="006070EA">
              <w:rPr>
                <w:rFonts w:asciiTheme="majorHAnsi" w:hAnsiTheme="majorHAnsi" w:cstheme="majorHAnsi"/>
                <w:sz w:val="18"/>
                <w:szCs w:val="18"/>
              </w:rPr>
              <w:t>1</w:t>
            </w:r>
          </w:p>
        </w:tc>
        <w:tc>
          <w:tcPr>
            <w:tcW w:w="1134" w:type="dxa"/>
            <w:vAlign w:val="center"/>
          </w:tcPr>
          <w:p w14:paraId="3D0A50C6" w14:textId="3F003949" w:rsidR="005D116A" w:rsidRPr="006070EA" w:rsidRDefault="005D116A" w:rsidP="005D116A">
            <w:pPr>
              <w:jc w:val="center"/>
              <w:rPr>
                <w:rFonts w:asciiTheme="majorHAnsi" w:hAnsiTheme="majorHAnsi" w:cstheme="majorHAnsi"/>
                <w:sz w:val="18"/>
                <w:szCs w:val="18"/>
              </w:rPr>
            </w:pPr>
            <w:r w:rsidRPr="006070EA">
              <w:rPr>
                <w:rFonts w:asciiTheme="majorHAnsi" w:hAnsiTheme="majorHAnsi" w:cstheme="majorHAnsi"/>
                <w:sz w:val="18"/>
                <w:szCs w:val="18"/>
              </w:rPr>
              <w:t>0 %</w:t>
            </w:r>
          </w:p>
        </w:tc>
        <w:tc>
          <w:tcPr>
            <w:tcW w:w="3118" w:type="dxa"/>
            <w:vAlign w:val="center"/>
          </w:tcPr>
          <w:p w14:paraId="4FC98728" w14:textId="5F5F7851" w:rsidR="005D116A" w:rsidRPr="006070EA" w:rsidRDefault="005D116A" w:rsidP="005D116A">
            <w:pPr>
              <w:jc w:val="center"/>
              <w:rPr>
                <w:rFonts w:asciiTheme="majorHAnsi" w:hAnsiTheme="majorHAnsi" w:cstheme="majorHAnsi"/>
                <w:sz w:val="18"/>
                <w:szCs w:val="18"/>
              </w:rPr>
            </w:pPr>
            <w:r w:rsidRPr="006070EA">
              <w:rPr>
                <w:rFonts w:asciiTheme="majorHAnsi" w:hAnsiTheme="majorHAnsi" w:cstheme="majorHAnsi"/>
                <w:sz w:val="18"/>
                <w:szCs w:val="18"/>
              </w:rPr>
              <w:t xml:space="preserve">Plocha převzata – vymezena jako součást zastavitelné plochy Z17 (SV) </w:t>
            </w:r>
          </w:p>
        </w:tc>
      </w:tr>
    </w:tbl>
    <w:p w14:paraId="1249A188" w14:textId="3FBED59C" w:rsidR="003D2F14" w:rsidRPr="006070EA" w:rsidRDefault="003D2F14" w:rsidP="003D2F14">
      <w:pPr>
        <w:keepNext/>
        <w:spacing w:before="120" w:after="120" w:line="240" w:lineRule="auto"/>
        <w:jc w:val="both"/>
        <w:rPr>
          <w:rFonts w:asciiTheme="majorHAnsi" w:hAnsiTheme="majorHAnsi" w:cstheme="majorHAnsi"/>
          <w:iCs/>
          <w:sz w:val="18"/>
          <w:szCs w:val="18"/>
        </w:rPr>
      </w:pPr>
      <w:r w:rsidRPr="006070EA">
        <w:rPr>
          <w:rFonts w:asciiTheme="majorHAnsi" w:hAnsiTheme="majorHAnsi" w:cstheme="majorHAnsi"/>
          <w:i/>
          <w:sz w:val="18"/>
          <w:szCs w:val="18"/>
        </w:rPr>
        <w:t>Závěrečné zhodnocení</w:t>
      </w:r>
      <w:r w:rsidRPr="006070EA">
        <w:rPr>
          <w:rFonts w:asciiTheme="majorHAnsi" w:hAnsiTheme="majorHAnsi" w:cstheme="majorHAnsi"/>
          <w:iCs/>
          <w:sz w:val="18"/>
          <w:szCs w:val="18"/>
        </w:rPr>
        <w:t xml:space="preserve">: zastavitelné plochy vymezené v ÚPO v rámci sídla </w:t>
      </w:r>
      <w:r w:rsidR="005D116A" w:rsidRPr="006070EA">
        <w:rPr>
          <w:rFonts w:asciiTheme="majorHAnsi" w:hAnsiTheme="majorHAnsi" w:cstheme="majorHAnsi"/>
          <w:iCs/>
          <w:sz w:val="18"/>
          <w:szCs w:val="18"/>
        </w:rPr>
        <w:t>Lány nebyly dosud</w:t>
      </w:r>
      <w:r w:rsidRPr="006070EA">
        <w:rPr>
          <w:rFonts w:asciiTheme="majorHAnsi" w:hAnsiTheme="majorHAnsi" w:cstheme="majorHAnsi"/>
          <w:iCs/>
          <w:sz w:val="18"/>
          <w:szCs w:val="18"/>
        </w:rPr>
        <w:t xml:space="preserve"> využity</w:t>
      </w:r>
      <w:r w:rsidR="005D116A" w:rsidRPr="006070EA">
        <w:rPr>
          <w:rFonts w:asciiTheme="majorHAnsi" w:hAnsiTheme="majorHAnsi" w:cstheme="majorHAnsi"/>
          <w:iCs/>
          <w:sz w:val="18"/>
          <w:szCs w:val="18"/>
        </w:rPr>
        <w:t xml:space="preserve"> </w:t>
      </w:r>
      <w:r w:rsidRPr="006070EA">
        <w:rPr>
          <w:rFonts w:asciiTheme="majorHAnsi" w:hAnsiTheme="majorHAnsi" w:cstheme="majorHAnsi"/>
          <w:iCs/>
          <w:sz w:val="18"/>
          <w:szCs w:val="18"/>
        </w:rPr>
        <w:t>a jsou převzaty a</w:t>
      </w:r>
      <w:r w:rsidR="005D116A" w:rsidRPr="006070EA">
        <w:rPr>
          <w:rFonts w:asciiTheme="majorHAnsi" w:hAnsiTheme="majorHAnsi" w:cstheme="majorHAnsi"/>
          <w:iCs/>
          <w:sz w:val="18"/>
          <w:szCs w:val="18"/>
        </w:rPr>
        <w:t> </w:t>
      </w:r>
      <w:r w:rsidRPr="006070EA">
        <w:rPr>
          <w:rFonts w:asciiTheme="majorHAnsi" w:hAnsiTheme="majorHAnsi" w:cstheme="majorHAnsi"/>
          <w:iCs/>
          <w:sz w:val="18"/>
          <w:szCs w:val="18"/>
        </w:rPr>
        <w:t>vymezeny jako součásti nových zastavitelných ploch v návrhu ÚP Kostomlaty nad Labem</w:t>
      </w:r>
      <w:r w:rsidR="005D116A" w:rsidRPr="006070EA">
        <w:rPr>
          <w:rFonts w:asciiTheme="majorHAnsi" w:hAnsiTheme="majorHAnsi" w:cstheme="majorHAnsi"/>
          <w:iCs/>
          <w:sz w:val="18"/>
          <w:szCs w:val="18"/>
        </w:rPr>
        <w:t xml:space="preserve"> v souvislosti s vyhodnocením žádostí na změnu využití v této části území (viz kapitola 10.5).</w:t>
      </w:r>
    </w:p>
    <w:p w14:paraId="0027C37D" w14:textId="4CD63E32" w:rsidR="005D116A" w:rsidRPr="006070EA" w:rsidRDefault="005D116A" w:rsidP="005D116A">
      <w:pPr>
        <w:keepNext/>
        <w:spacing w:before="120" w:after="60" w:line="240" w:lineRule="auto"/>
        <w:jc w:val="both"/>
        <w:rPr>
          <w:rFonts w:asciiTheme="majorHAnsi" w:hAnsiTheme="majorHAnsi" w:cstheme="majorHAnsi"/>
          <w:i/>
          <w:sz w:val="18"/>
          <w:szCs w:val="18"/>
          <w:u w:val="single"/>
        </w:rPr>
      </w:pPr>
      <w:r w:rsidRPr="006070EA">
        <w:rPr>
          <w:rFonts w:asciiTheme="majorHAnsi" w:hAnsiTheme="majorHAnsi" w:cstheme="majorHAnsi"/>
          <w:i/>
          <w:sz w:val="18"/>
          <w:szCs w:val="18"/>
          <w:u w:val="single"/>
        </w:rPr>
        <w:t>Část obce Hronětice</w:t>
      </w:r>
    </w:p>
    <w:tbl>
      <w:tblPr>
        <w:tblStyle w:val="Mkatabulky"/>
        <w:tblW w:w="8787" w:type="dxa"/>
        <w:jc w:val="center"/>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850"/>
        <w:gridCol w:w="2551"/>
        <w:gridCol w:w="1134"/>
        <w:gridCol w:w="1134"/>
        <w:gridCol w:w="3118"/>
      </w:tblGrid>
      <w:tr w:rsidR="005D116A" w:rsidRPr="006070EA" w14:paraId="33568594" w14:textId="77777777" w:rsidTr="00ED4388">
        <w:trPr>
          <w:cantSplit/>
          <w:tblHeader/>
          <w:jc w:val="center"/>
        </w:trPr>
        <w:tc>
          <w:tcPr>
            <w:tcW w:w="850" w:type="dxa"/>
            <w:tcBorders>
              <w:top w:val="nil"/>
              <w:bottom w:val="single" w:sz="12" w:space="0" w:color="auto"/>
              <w:right w:val="single" w:sz="12" w:space="0" w:color="auto"/>
            </w:tcBorders>
            <w:vAlign w:val="center"/>
          </w:tcPr>
          <w:p w14:paraId="10833ACD" w14:textId="77777777" w:rsidR="005D116A" w:rsidRPr="006070EA" w:rsidRDefault="005D116A" w:rsidP="00ED4388">
            <w:pPr>
              <w:jc w:val="center"/>
              <w:rPr>
                <w:rFonts w:asciiTheme="majorHAnsi" w:hAnsiTheme="majorHAnsi" w:cstheme="majorHAnsi"/>
                <w:b/>
                <w:sz w:val="18"/>
                <w:szCs w:val="18"/>
              </w:rPr>
            </w:pPr>
            <w:r w:rsidRPr="006070EA">
              <w:rPr>
                <w:rFonts w:asciiTheme="majorHAnsi" w:hAnsiTheme="majorHAnsi" w:cstheme="majorHAnsi"/>
                <w:b/>
                <w:sz w:val="18"/>
                <w:szCs w:val="18"/>
              </w:rPr>
              <w:t>Ozn. plochy v ÚPO</w:t>
            </w:r>
          </w:p>
        </w:tc>
        <w:tc>
          <w:tcPr>
            <w:tcW w:w="2551" w:type="dxa"/>
            <w:tcBorders>
              <w:top w:val="nil"/>
              <w:left w:val="single" w:sz="12" w:space="0" w:color="auto"/>
              <w:bottom w:val="single" w:sz="12" w:space="0" w:color="auto"/>
              <w:right w:val="single" w:sz="12" w:space="0" w:color="auto"/>
            </w:tcBorders>
            <w:vAlign w:val="center"/>
          </w:tcPr>
          <w:p w14:paraId="15737A48" w14:textId="77777777" w:rsidR="005D116A" w:rsidRPr="006070EA" w:rsidRDefault="005D116A" w:rsidP="00ED4388">
            <w:pPr>
              <w:jc w:val="center"/>
              <w:rPr>
                <w:rFonts w:asciiTheme="majorHAnsi" w:hAnsiTheme="majorHAnsi" w:cstheme="majorHAnsi"/>
                <w:b/>
                <w:sz w:val="18"/>
                <w:szCs w:val="18"/>
              </w:rPr>
            </w:pPr>
            <w:r w:rsidRPr="006070EA">
              <w:rPr>
                <w:rFonts w:asciiTheme="majorHAnsi" w:hAnsiTheme="majorHAnsi" w:cstheme="majorHAnsi"/>
                <w:b/>
                <w:sz w:val="18"/>
                <w:szCs w:val="18"/>
              </w:rPr>
              <w:t>Způsob využití v ÚPO</w:t>
            </w:r>
          </w:p>
          <w:p w14:paraId="0A26D9A8" w14:textId="77777777" w:rsidR="005D116A" w:rsidRPr="006070EA" w:rsidRDefault="005D116A" w:rsidP="00ED4388">
            <w:pPr>
              <w:jc w:val="center"/>
              <w:rPr>
                <w:rFonts w:asciiTheme="majorHAnsi" w:hAnsiTheme="majorHAnsi" w:cstheme="majorHAnsi"/>
                <w:b/>
                <w:sz w:val="18"/>
                <w:szCs w:val="18"/>
              </w:rPr>
            </w:pPr>
            <w:r w:rsidRPr="006070EA">
              <w:rPr>
                <w:rFonts w:asciiTheme="majorHAnsi" w:hAnsiTheme="majorHAnsi" w:cstheme="majorHAnsi"/>
                <w:b/>
                <w:sz w:val="18"/>
                <w:szCs w:val="18"/>
              </w:rPr>
              <w:t>Popis / charakter</w:t>
            </w:r>
          </w:p>
        </w:tc>
        <w:tc>
          <w:tcPr>
            <w:tcW w:w="1134" w:type="dxa"/>
            <w:tcBorders>
              <w:top w:val="nil"/>
              <w:left w:val="single" w:sz="12" w:space="0" w:color="auto"/>
              <w:bottom w:val="single" w:sz="12" w:space="0" w:color="auto"/>
              <w:right w:val="single" w:sz="12" w:space="0" w:color="auto"/>
            </w:tcBorders>
            <w:vAlign w:val="center"/>
          </w:tcPr>
          <w:p w14:paraId="0F78C23B" w14:textId="77777777" w:rsidR="005D116A" w:rsidRPr="006070EA" w:rsidRDefault="005D116A" w:rsidP="00ED4388">
            <w:pPr>
              <w:jc w:val="center"/>
              <w:rPr>
                <w:rFonts w:asciiTheme="majorHAnsi" w:hAnsiTheme="majorHAnsi" w:cstheme="majorHAnsi"/>
                <w:b/>
                <w:sz w:val="18"/>
                <w:szCs w:val="18"/>
              </w:rPr>
            </w:pPr>
            <w:r w:rsidRPr="006070EA">
              <w:rPr>
                <w:rFonts w:asciiTheme="majorHAnsi" w:hAnsiTheme="majorHAnsi" w:cstheme="majorHAnsi"/>
                <w:b/>
                <w:sz w:val="18"/>
                <w:szCs w:val="18"/>
              </w:rPr>
              <w:t>Odhad počtu RD</w:t>
            </w:r>
          </w:p>
        </w:tc>
        <w:tc>
          <w:tcPr>
            <w:tcW w:w="1134" w:type="dxa"/>
            <w:tcBorders>
              <w:top w:val="nil"/>
              <w:left w:val="single" w:sz="12" w:space="0" w:color="auto"/>
              <w:bottom w:val="single" w:sz="12" w:space="0" w:color="auto"/>
              <w:right w:val="single" w:sz="12" w:space="0" w:color="auto"/>
            </w:tcBorders>
            <w:vAlign w:val="center"/>
          </w:tcPr>
          <w:p w14:paraId="26BFFFF2" w14:textId="77777777" w:rsidR="005D116A" w:rsidRPr="006070EA" w:rsidRDefault="005D116A" w:rsidP="00ED4388">
            <w:pPr>
              <w:jc w:val="center"/>
              <w:rPr>
                <w:rFonts w:asciiTheme="majorHAnsi" w:hAnsiTheme="majorHAnsi" w:cstheme="majorHAnsi"/>
                <w:b/>
                <w:sz w:val="18"/>
                <w:szCs w:val="18"/>
              </w:rPr>
            </w:pPr>
            <w:r w:rsidRPr="006070EA">
              <w:rPr>
                <w:rFonts w:asciiTheme="majorHAnsi" w:hAnsiTheme="majorHAnsi" w:cstheme="majorHAnsi"/>
                <w:b/>
                <w:sz w:val="18"/>
                <w:szCs w:val="18"/>
              </w:rPr>
              <w:t>Využití zastavitelné plochy</w:t>
            </w:r>
          </w:p>
        </w:tc>
        <w:tc>
          <w:tcPr>
            <w:tcW w:w="3118" w:type="dxa"/>
            <w:tcBorders>
              <w:top w:val="nil"/>
              <w:left w:val="single" w:sz="12" w:space="0" w:color="auto"/>
              <w:bottom w:val="single" w:sz="12" w:space="0" w:color="auto"/>
            </w:tcBorders>
            <w:vAlign w:val="center"/>
          </w:tcPr>
          <w:p w14:paraId="2ECAC0E3" w14:textId="77777777" w:rsidR="005D116A" w:rsidRPr="006070EA" w:rsidRDefault="005D116A" w:rsidP="00ED4388">
            <w:pPr>
              <w:jc w:val="center"/>
              <w:rPr>
                <w:rFonts w:asciiTheme="majorHAnsi" w:hAnsiTheme="majorHAnsi" w:cstheme="majorHAnsi"/>
                <w:b/>
                <w:sz w:val="18"/>
                <w:szCs w:val="18"/>
              </w:rPr>
            </w:pPr>
            <w:r w:rsidRPr="006070EA">
              <w:rPr>
                <w:rFonts w:asciiTheme="majorHAnsi" w:hAnsiTheme="majorHAnsi" w:cstheme="majorHAnsi"/>
                <w:b/>
                <w:sz w:val="18"/>
                <w:szCs w:val="18"/>
              </w:rPr>
              <w:t>Způsob vymezení plochy v ÚP Kostomlaty nad Labem</w:t>
            </w:r>
          </w:p>
        </w:tc>
      </w:tr>
      <w:tr w:rsidR="005D116A" w:rsidRPr="006070EA" w14:paraId="2DB0532E" w14:textId="77777777" w:rsidTr="00ED4388">
        <w:trPr>
          <w:cantSplit/>
          <w:jc w:val="center"/>
        </w:trPr>
        <w:tc>
          <w:tcPr>
            <w:tcW w:w="850" w:type="dxa"/>
            <w:tcBorders>
              <w:top w:val="single" w:sz="12" w:space="0" w:color="auto"/>
            </w:tcBorders>
            <w:vAlign w:val="center"/>
          </w:tcPr>
          <w:p w14:paraId="194F52B0" w14:textId="614185FB" w:rsidR="005D116A" w:rsidRPr="006070EA" w:rsidRDefault="005D116A" w:rsidP="005D116A">
            <w:pPr>
              <w:jc w:val="center"/>
              <w:rPr>
                <w:rFonts w:asciiTheme="majorHAnsi" w:hAnsiTheme="majorHAnsi" w:cstheme="majorHAnsi"/>
                <w:sz w:val="18"/>
                <w:szCs w:val="18"/>
              </w:rPr>
            </w:pPr>
            <w:r w:rsidRPr="006070EA">
              <w:rPr>
                <w:rFonts w:asciiTheme="majorHAnsi" w:hAnsiTheme="majorHAnsi" w:cstheme="majorHAnsi"/>
                <w:sz w:val="18"/>
                <w:szCs w:val="18"/>
              </w:rPr>
              <w:t>11</w:t>
            </w:r>
          </w:p>
        </w:tc>
        <w:tc>
          <w:tcPr>
            <w:tcW w:w="2551" w:type="dxa"/>
            <w:tcBorders>
              <w:top w:val="single" w:sz="12" w:space="0" w:color="auto"/>
            </w:tcBorders>
            <w:vAlign w:val="center"/>
          </w:tcPr>
          <w:p w14:paraId="1323EE33" w14:textId="77777777" w:rsidR="005D116A" w:rsidRPr="006070EA" w:rsidRDefault="005D116A" w:rsidP="005D116A">
            <w:pPr>
              <w:jc w:val="center"/>
              <w:rPr>
                <w:rFonts w:asciiTheme="majorHAnsi" w:hAnsiTheme="majorHAnsi" w:cstheme="majorHAnsi"/>
                <w:sz w:val="18"/>
                <w:szCs w:val="18"/>
              </w:rPr>
            </w:pPr>
            <w:r w:rsidRPr="006070EA">
              <w:rPr>
                <w:rFonts w:asciiTheme="majorHAnsi" w:hAnsiTheme="majorHAnsi" w:cstheme="majorHAnsi"/>
                <w:sz w:val="18"/>
                <w:szCs w:val="18"/>
              </w:rPr>
              <w:t>Rodinné domy</w:t>
            </w:r>
          </w:p>
          <w:p w14:paraId="6475E035" w14:textId="77777777" w:rsidR="005D116A" w:rsidRPr="006070EA" w:rsidRDefault="005D116A" w:rsidP="005D116A">
            <w:pPr>
              <w:jc w:val="center"/>
              <w:rPr>
                <w:rFonts w:asciiTheme="majorHAnsi" w:hAnsiTheme="majorHAnsi" w:cstheme="majorHAnsi"/>
                <w:sz w:val="18"/>
                <w:szCs w:val="18"/>
              </w:rPr>
            </w:pPr>
            <w:r w:rsidRPr="006070EA">
              <w:rPr>
                <w:rFonts w:asciiTheme="majorHAnsi" w:hAnsiTheme="majorHAnsi" w:cstheme="majorHAnsi"/>
                <w:sz w:val="18"/>
                <w:szCs w:val="18"/>
              </w:rPr>
              <w:t>Isolované RD</w:t>
            </w:r>
          </w:p>
        </w:tc>
        <w:tc>
          <w:tcPr>
            <w:tcW w:w="1134" w:type="dxa"/>
            <w:tcBorders>
              <w:top w:val="single" w:sz="12" w:space="0" w:color="auto"/>
            </w:tcBorders>
            <w:vAlign w:val="center"/>
          </w:tcPr>
          <w:p w14:paraId="19274E9D" w14:textId="4FF41581" w:rsidR="005D116A" w:rsidRPr="006070EA" w:rsidRDefault="005D116A" w:rsidP="005D116A">
            <w:pPr>
              <w:jc w:val="center"/>
              <w:rPr>
                <w:rFonts w:asciiTheme="majorHAnsi" w:hAnsiTheme="majorHAnsi" w:cstheme="majorHAnsi"/>
                <w:sz w:val="18"/>
                <w:szCs w:val="18"/>
              </w:rPr>
            </w:pPr>
            <w:r w:rsidRPr="006070EA">
              <w:rPr>
                <w:rFonts w:asciiTheme="majorHAnsi" w:hAnsiTheme="majorHAnsi" w:cstheme="majorHAnsi"/>
                <w:sz w:val="18"/>
                <w:szCs w:val="18"/>
              </w:rPr>
              <w:t>10-12</w:t>
            </w:r>
          </w:p>
        </w:tc>
        <w:tc>
          <w:tcPr>
            <w:tcW w:w="1134" w:type="dxa"/>
            <w:tcBorders>
              <w:top w:val="single" w:sz="12" w:space="0" w:color="auto"/>
            </w:tcBorders>
            <w:vAlign w:val="center"/>
          </w:tcPr>
          <w:p w14:paraId="13FF8C18" w14:textId="4D7E7D7C" w:rsidR="005D116A" w:rsidRPr="006070EA" w:rsidRDefault="005D116A" w:rsidP="005D116A">
            <w:pPr>
              <w:jc w:val="center"/>
              <w:rPr>
                <w:rFonts w:asciiTheme="majorHAnsi" w:hAnsiTheme="majorHAnsi" w:cstheme="majorHAnsi"/>
                <w:sz w:val="18"/>
                <w:szCs w:val="18"/>
              </w:rPr>
            </w:pPr>
            <w:r w:rsidRPr="006070EA">
              <w:rPr>
                <w:rFonts w:asciiTheme="majorHAnsi" w:hAnsiTheme="majorHAnsi" w:cstheme="majorHAnsi"/>
                <w:sz w:val="18"/>
                <w:szCs w:val="18"/>
              </w:rPr>
              <w:t>10 %</w:t>
            </w:r>
          </w:p>
        </w:tc>
        <w:tc>
          <w:tcPr>
            <w:tcW w:w="3118" w:type="dxa"/>
            <w:tcBorders>
              <w:top w:val="single" w:sz="12" w:space="0" w:color="auto"/>
            </w:tcBorders>
            <w:shd w:val="clear" w:color="auto" w:fill="auto"/>
            <w:vAlign w:val="center"/>
          </w:tcPr>
          <w:p w14:paraId="4DAE2AE4" w14:textId="30D5B71C" w:rsidR="005D116A" w:rsidRPr="006070EA" w:rsidRDefault="005D116A" w:rsidP="005D116A">
            <w:pPr>
              <w:jc w:val="center"/>
              <w:rPr>
                <w:rFonts w:asciiTheme="majorHAnsi" w:hAnsiTheme="majorHAnsi" w:cstheme="majorHAnsi"/>
                <w:sz w:val="18"/>
                <w:szCs w:val="18"/>
              </w:rPr>
            </w:pPr>
            <w:r w:rsidRPr="006070EA">
              <w:rPr>
                <w:rFonts w:asciiTheme="majorHAnsi" w:hAnsiTheme="majorHAnsi" w:cstheme="majorHAnsi"/>
                <w:sz w:val="18"/>
                <w:szCs w:val="18"/>
              </w:rPr>
              <w:t>Plocha zahrnuta do zastavěného území jako stabilizovaná plocha (SV) – rezerva v zastavěném území (viz kapitola 10.1)</w:t>
            </w:r>
          </w:p>
        </w:tc>
      </w:tr>
    </w:tbl>
    <w:p w14:paraId="505CFD17" w14:textId="71165F21" w:rsidR="005D116A" w:rsidRPr="006070EA" w:rsidRDefault="005D116A" w:rsidP="005D116A">
      <w:pPr>
        <w:keepNext/>
        <w:spacing w:before="120" w:after="120" w:line="240" w:lineRule="auto"/>
        <w:jc w:val="both"/>
        <w:rPr>
          <w:rFonts w:asciiTheme="majorHAnsi" w:hAnsiTheme="majorHAnsi" w:cstheme="majorHAnsi"/>
          <w:iCs/>
          <w:sz w:val="18"/>
          <w:szCs w:val="18"/>
        </w:rPr>
      </w:pPr>
      <w:r w:rsidRPr="006070EA">
        <w:rPr>
          <w:rFonts w:asciiTheme="majorHAnsi" w:hAnsiTheme="majorHAnsi" w:cstheme="majorHAnsi"/>
          <w:i/>
          <w:sz w:val="18"/>
          <w:szCs w:val="18"/>
        </w:rPr>
        <w:t>Závěrečné zhodnocení</w:t>
      </w:r>
      <w:r w:rsidRPr="006070EA">
        <w:rPr>
          <w:rFonts w:asciiTheme="majorHAnsi" w:hAnsiTheme="majorHAnsi" w:cstheme="majorHAnsi"/>
          <w:iCs/>
          <w:sz w:val="18"/>
          <w:szCs w:val="18"/>
        </w:rPr>
        <w:t>: zastavitelná plocha vymezená v ÚPO v rámci sídla Hronětice nebyly dosud plně využita</w:t>
      </w:r>
      <w:r w:rsidR="00391794" w:rsidRPr="006070EA">
        <w:rPr>
          <w:rFonts w:asciiTheme="majorHAnsi" w:hAnsiTheme="majorHAnsi" w:cstheme="majorHAnsi"/>
          <w:iCs/>
          <w:sz w:val="18"/>
          <w:szCs w:val="18"/>
        </w:rPr>
        <w:t>. Vzhledem ke skutečnosti, že předmětná plocha se nachází v intravilánu, byla stabilizována v rámci vymezeného zastavěného území</w:t>
      </w:r>
      <w:r w:rsidRPr="006070EA">
        <w:rPr>
          <w:rFonts w:asciiTheme="majorHAnsi" w:hAnsiTheme="majorHAnsi" w:cstheme="majorHAnsi"/>
          <w:iCs/>
          <w:sz w:val="18"/>
          <w:szCs w:val="18"/>
        </w:rPr>
        <w:t xml:space="preserve"> </w:t>
      </w:r>
      <w:r w:rsidR="00391794" w:rsidRPr="006070EA">
        <w:rPr>
          <w:rFonts w:asciiTheme="majorHAnsi" w:hAnsiTheme="majorHAnsi" w:cstheme="majorHAnsi"/>
          <w:iCs/>
          <w:sz w:val="18"/>
          <w:szCs w:val="18"/>
        </w:rPr>
        <w:t xml:space="preserve">(v souladu s § 58 stavebního zákona) a její kapacita je zohledněna jako rezerva v zastavěném území. </w:t>
      </w:r>
    </w:p>
    <w:p w14:paraId="688E73E2" w14:textId="2D1E640F" w:rsidR="00BA6341" w:rsidRPr="006070EA" w:rsidRDefault="00BA6341" w:rsidP="003A4B1E">
      <w:pPr>
        <w:pStyle w:val="Odstavecseseznamem"/>
        <w:keepNext/>
        <w:numPr>
          <w:ilvl w:val="1"/>
          <w:numId w:val="29"/>
        </w:numPr>
        <w:spacing w:before="160" w:after="120" w:line="240" w:lineRule="auto"/>
        <w:ind w:left="709" w:hanging="709"/>
        <w:contextualSpacing w:val="0"/>
        <w:jc w:val="both"/>
        <w:outlineLvl w:val="1"/>
        <w:rPr>
          <w:rFonts w:asciiTheme="majorHAnsi" w:hAnsiTheme="majorHAnsi" w:cstheme="majorHAnsi"/>
          <w:b/>
          <w:sz w:val="24"/>
          <w:szCs w:val="20"/>
        </w:rPr>
      </w:pPr>
      <w:bookmarkStart w:id="189" w:name="_Toc204678183"/>
      <w:r w:rsidRPr="006070EA">
        <w:rPr>
          <w:rFonts w:asciiTheme="majorHAnsi" w:hAnsiTheme="majorHAnsi" w:cstheme="majorHAnsi"/>
          <w:b/>
          <w:sz w:val="24"/>
          <w:szCs w:val="20"/>
        </w:rPr>
        <w:t>Vyhodnocení podaných žádostí o změnu ÚPD (žádosti soukromých vlastníků) a</w:t>
      </w:r>
      <w:r w:rsidR="001A7820" w:rsidRPr="006070EA">
        <w:rPr>
          <w:rFonts w:asciiTheme="majorHAnsi" w:hAnsiTheme="majorHAnsi" w:cstheme="majorHAnsi"/>
          <w:b/>
          <w:sz w:val="24"/>
          <w:szCs w:val="20"/>
        </w:rPr>
        <w:t> </w:t>
      </w:r>
      <w:r w:rsidRPr="006070EA">
        <w:rPr>
          <w:rFonts w:asciiTheme="majorHAnsi" w:hAnsiTheme="majorHAnsi" w:cstheme="majorHAnsi"/>
          <w:b/>
          <w:sz w:val="24"/>
          <w:szCs w:val="20"/>
        </w:rPr>
        <w:t>způsob</w:t>
      </w:r>
      <w:r w:rsidR="00546B52" w:rsidRPr="006070EA">
        <w:rPr>
          <w:rFonts w:asciiTheme="majorHAnsi" w:hAnsiTheme="majorHAnsi" w:cstheme="majorHAnsi"/>
          <w:b/>
          <w:sz w:val="24"/>
          <w:szCs w:val="20"/>
        </w:rPr>
        <w:t> </w:t>
      </w:r>
      <w:r w:rsidRPr="006070EA">
        <w:rPr>
          <w:rFonts w:asciiTheme="majorHAnsi" w:hAnsiTheme="majorHAnsi" w:cstheme="majorHAnsi"/>
          <w:b/>
          <w:sz w:val="24"/>
          <w:szCs w:val="20"/>
        </w:rPr>
        <w:t>jejich vypořádání</w:t>
      </w:r>
      <w:bookmarkEnd w:id="189"/>
      <w:r w:rsidRPr="006070EA">
        <w:rPr>
          <w:rFonts w:asciiTheme="majorHAnsi" w:hAnsiTheme="majorHAnsi" w:cstheme="majorHAnsi"/>
          <w:b/>
          <w:sz w:val="24"/>
          <w:szCs w:val="20"/>
        </w:rPr>
        <w:t xml:space="preserve"> </w:t>
      </w:r>
    </w:p>
    <w:p w14:paraId="3C009E69" w14:textId="06C14BBB" w:rsidR="001A7820" w:rsidRPr="006070EA" w:rsidRDefault="00F4234C" w:rsidP="00205C66">
      <w:pPr>
        <w:pStyle w:val="Atext"/>
        <w:rPr>
          <w:rFonts w:asciiTheme="majorHAnsi" w:hAnsiTheme="majorHAnsi" w:cstheme="majorHAnsi"/>
          <w:szCs w:val="18"/>
        </w:rPr>
      </w:pPr>
      <w:r w:rsidRPr="006070EA">
        <w:rPr>
          <w:rFonts w:asciiTheme="majorHAnsi" w:hAnsiTheme="majorHAnsi" w:cstheme="majorHAnsi"/>
          <w:szCs w:val="18"/>
        </w:rPr>
        <w:t>V</w:t>
      </w:r>
      <w:r w:rsidR="00BA1D67" w:rsidRPr="006070EA">
        <w:rPr>
          <w:rFonts w:asciiTheme="majorHAnsi" w:hAnsiTheme="majorHAnsi" w:cstheme="majorHAnsi"/>
          <w:szCs w:val="18"/>
        </w:rPr>
        <w:t> </w:t>
      </w:r>
      <w:r w:rsidRPr="006070EA">
        <w:rPr>
          <w:rFonts w:asciiTheme="majorHAnsi" w:hAnsiTheme="majorHAnsi" w:cstheme="majorHAnsi"/>
          <w:szCs w:val="18"/>
        </w:rPr>
        <w:t xml:space="preserve">rámci procesu zpracování návrhu ÚP </w:t>
      </w:r>
      <w:r w:rsidR="008159BA" w:rsidRPr="006070EA">
        <w:rPr>
          <w:rFonts w:asciiTheme="majorHAnsi" w:hAnsiTheme="majorHAnsi" w:cstheme="majorHAnsi"/>
          <w:szCs w:val="18"/>
        </w:rPr>
        <w:t>Kostomlaty nad Labem</w:t>
      </w:r>
      <w:r w:rsidRPr="006070EA">
        <w:rPr>
          <w:rFonts w:asciiTheme="majorHAnsi" w:hAnsiTheme="majorHAnsi" w:cstheme="majorHAnsi"/>
          <w:szCs w:val="18"/>
        </w:rPr>
        <w:t xml:space="preserve"> pro společné jednání byly předány žádosti soukromých vlastníků o změnu využití území. Evidence těchto žádostí</w:t>
      </w:r>
      <w:r w:rsidR="008159BA" w:rsidRPr="006070EA">
        <w:rPr>
          <w:rFonts w:asciiTheme="majorHAnsi" w:hAnsiTheme="majorHAnsi" w:cstheme="majorHAnsi"/>
          <w:szCs w:val="18"/>
        </w:rPr>
        <w:t xml:space="preserve"> a</w:t>
      </w:r>
      <w:r w:rsidRPr="006070EA">
        <w:rPr>
          <w:rFonts w:asciiTheme="majorHAnsi" w:hAnsiTheme="majorHAnsi" w:cstheme="majorHAnsi"/>
          <w:szCs w:val="18"/>
        </w:rPr>
        <w:t xml:space="preserve"> způsob </w:t>
      </w:r>
      <w:r w:rsidR="008159BA" w:rsidRPr="006070EA">
        <w:rPr>
          <w:rFonts w:asciiTheme="majorHAnsi" w:hAnsiTheme="majorHAnsi" w:cstheme="majorHAnsi"/>
          <w:szCs w:val="18"/>
        </w:rPr>
        <w:t xml:space="preserve">jejich </w:t>
      </w:r>
      <w:r w:rsidRPr="006070EA">
        <w:rPr>
          <w:rFonts w:asciiTheme="majorHAnsi" w:hAnsiTheme="majorHAnsi" w:cstheme="majorHAnsi"/>
          <w:szCs w:val="18"/>
        </w:rPr>
        <w:t>zohlednění js</w:t>
      </w:r>
      <w:r w:rsidR="001A7820" w:rsidRPr="006070EA">
        <w:rPr>
          <w:rFonts w:asciiTheme="majorHAnsi" w:hAnsiTheme="majorHAnsi" w:cstheme="majorHAnsi"/>
          <w:szCs w:val="18"/>
        </w:rPr>
        <w:t>ou obsahem následující tabulky:</w:t>
      </w:r>
    </w:p>
    <w:tbl>
      <w:tblPr>
        <w:tblW w:w="9119" w:type="dxa"/>
        <w:jc w:val="center"/>
        <w:tblBorders>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60"/>
        <w:gridCol w:w="958"/>
        <w:gridCol w:w="804"/>
        <w:gridCol w:w="953"/>
        <w:gridCol w:w="1417"/>
        <w:gridCol w:w="950"/>
        <w:gridCol w:w="1139"/>
        <w:gridCol w:w="2438"/>
      </w:tblGrid>
      <w:tr w:rsidR="00112B62" w:rsidRPr="006070EA" w14:paraId="477D8E92" w14:textId="77777777" w:rsidTr="00A13D9A">
        <w:trPr>
          <w:cantSplit/>
          <w:trHeight w:val="720"/>
          <w:tblHeader/>
          <w:jc w:val="center"/>
        </w:trPr>
        <w:tc>
          <w:tcPr>
            <w:tcW w:w="460" w:type="dxa"/>
            <w:shd w:val="clear" w:color="auto" w:fill="auto"/>
            <w:vAlign w:val="center"/>
            <w:hideMark/>
          </w:tcPr>
          <w:p w14:paraId="7AEF24F9" w14:textId="1490588B" w:rsidR="00CF1108" w:rsidRPr="006070EA" w:rsidRDefault="00CF1108" w:rsidP="00CF1108">
            <w:pPr>
              <w:spacing w:after="0" w:line="240" w:lineRule="auto"/>
              <w:jc w:val="center"/>
              <w:rPr>
                <w:rFonts w:asciiTheme="majorHAnsi" w:eastAsia="Times New Roman" w:hAnsiTheme="majorHAnsi" w:cstheme="majorHAnsi"/>
                <w:b/>
                <w:bCs/>
                <w:color w:val="000000"/>
                <w:sz w:val="18"/>
                <w:szCs w:val="18"/>
                <w:lang w:eastAsia="cs-CZ"/>
              </w:rPr>
            </w:pPr>
            <w:r w:rsidRPr="006070EA">
              <w:rPr>
                <w:rFonts w:asciiTheme="majorHAnsi" w:eastAsia="Times New Roman" w:hAnsiTheme="majorHAnsi" w:cstheme="majorHAnsi"/>
                <w:b/>
                <w:bCs/>
                <w:color w:val="000000"/>
                <w:sz w:val="18"/>
                <w:szCs w:val="18"/>
                <w:lang w:eastAsia="cs-CZ"/>
              </w:rPr>
              <w:t>Poř</w:t>
            </w:r>
            <w:r w:rsidR="00112B62" w:rsidRPr="006070EA">
              <w:rPr>
                <w:rFonts w:asciiTheme="majorHAnsi" w:eastAsia="Times New Roman" w:hAnsiTheme="majorHAnsi" w:cstheme="majorHAnsi"/>
                <w:b/>
                <w:bCs/>
                <w:color w:val="000000"/>
                <w:sz w:val="18"/>
                <w:szCs w:val="18"/>
                <w:lang w:eastAsia="cs-CZ"/>
              </w:rPr>
              <w:t>.</w:t>
            </w:r>
            <w:r w:rsidRPr="006070EA">
              <w:rPr>
                <w:rFonts w:asciiTheme="majorHAnsi" w:eastAsia="Times New Roman" w:hAnsiTheme="majorHAnsi" w:cstheme="majorHAnsi"/>
                <w:b/>
                <w:bCs/>
                <w:color w:val="000000"/>
                <w:sz w:val="18"/>
                <w:szCs w:val="18"/>
                <w:lang w:eastAsia="cs-CZ"/>
              </w:rPr>
              <w:t xml:space="preserve"> číslo</w:t>
            </w:r>
          </w:p>
        </w:tc>
        <w:tc>
          <w:tcPr>
            <w:tcW w:w="958" w:type="dxa"/>
            <w:shd w:val="clear" w:color="auto" w:fill="auto"/>
            <w:vAlign w:val="center"/>
            <w:hideMark/>
          </w:tcPr>
          <w:p w14:paraId="436A4C4F" w14:textId="77777777" w:rsidR="00CF1108" w:rsidRPr="006070EA" w:rsidRDefault="00CF1108" w:rsidP="00CF1108">
            <w:pPr>
              <w:spacing w:after="0" w:line="240" w:lineRule="auto"/>
              <w:jc w:val="center"/>
              <w:rPr>
                <w:rFonts w:asciiTheme="majorHAnsi" w:eastAsia="Times New Roman" w:hAnsiTheme="majorHAnsi" w:cstheme="majorHAnsi"/>
                <w:b/>
                <w:bCs/>
                <w:color w:val="000000"/>
                <w:sz w:val="18"/>
                <w:szCs w:val="18"/>
                <w:lang w:eastAsia="cs-CZ"/>
              </w:rPr>
            </w:pPr>
            <w:r w:rsidRPr="006070EA">
              <w:rPr>
                <w:rFonts w:asciiTheme="majorHAnsi" w:eastAsia="Times New Roman" w:hAnsiTheme="majorHAnsi" w:cstheme="majorHAnsi"/>
                <w:b/>
                <w:bCs/>
                <w:color w:val="000000"/>
                <w:sz w:val="18"/>
                <w:szCs w:val="18"/>
                <w:lang w:eastAsia="cs-CZ"/>
              </w:rPr>
              <w:t>Datum podání žádosti</w:t>
            </w:r>
          </w:p>
        </w:tc>
        <w:tc>
          <w:tcPr>
            <w:tcW w:w="804" w:type="dxa"/>
            <w:shd w:val="clear" w:color="auto" w:fill="auto"/>
            <w:vAlign w:val="center"/>
            <w:hideMark/>
          </w:tcPr>
          <w:p w14:paraId="5FFE433F" w14:textId="77777777" w:rsidR="00CF1108" w:rsidRPr="006070EA" w:rsidRDefault="00CF1108" w:rsidP="00CF1108">
            <w:pPr>
              <w:spacing w:after="0" w:line="240" w:lineRule="auto"/>
              <w:jc w:val="center"/>
              <w:rPr>
                <w:rFonts w:asciiTheme="majorHAnsi" w:eastAsia="Times New Roman" w:hAnsiTheme="majorHAnsi" w:cstheme="majorHAnsi"/>
                <w:b/>
                <w:bCs/>
                <w:color w:val="000000"/>
                <w:sz w:val="18"/>
                <w:szCs w:val="18"/>
                <w:lang w:eastAsia="cs-CZ"/>
              </w:rPr>
            </w:pPr>
            <w:r w:rsidRPr="006070EA">
              <w:rPr>
                <w:rFonts w:asciiTheme="majorHAnsi" w:eastAsia="Times New Roman" w:hAnsiTheme="majorHAnsi" w:cstheme="majorHAnsi"/>
                <w:b/>
                <w:bCs/>
                <w:color w:val="000000"/>
                <w:sz w:val="18"/>
                <w:szCs w:val="18"/>
                <w:lang w:eastAsia="cs-CZ"/>
              </w:rPr>
              <w:t>Číslo pozemku</w:t>
            </w:r>
          </w:p>
        </w:tc>
        <w:tc>
          <w:tcPr>
            <w:tcW w:w="953" w:type="dxa"/>
            <w:shd w:val="clear" w:color="auto" w:fill="auto"/>
            <w:vAlign w:val="center"/>
            <w:hideMark/>
          </w:tcPr>
          <w:p w14:paraId="3866ABD8" w14:textId="6B595250" w:rsidR="00CF1108" w:rsidRPr="006070EA" w:rsidRDefault="00CF1108" w:rsidP="00CF1108">
            <w:pPr>
              <w:spacing w:after="0" w:line="240" w:lineRule="auto"/>
              <w:jc w:val="center"/>
              <w:rPr>
                <w:rFonts w:asciiTheme="majorHAnsi" w:eastAsia="Times New Roman" w:hAnsiTheme="majorHAnsi" w:cstheme="majorHAnsi"/>
                <w:b/>
                <w:bCs/>
                <w:color w:val="000000"/>
                <w:sz w:val="18"/>
                <w:szCs w:val="18"/>
                <w:lang w:eastAsia="cs-CZ"/>
              </w:rPr>
            </w:pPr>
            <w:r w:rsidRPr="006070EA">
              <w:rPr>
                <w:rFonts w:asciiTheme="majorHAnsi" w:eastAsia="Times New Roman" w:hAnsiTheme="majorHAnsi" w:cstheme="majorHAnsi"/>
                <w:b/>
                <w:bCs/>
                <w:color w:val="000000"/>
                <w:sz w:val="18"/>
                <w:szCs w:val="18"/>
                <w:lang w:eastAsia="cs-CZ"/>
              </w:rPr>
              <w:t>Katastrální území</w:t>
            </w:r>
          </w:p>
        </w:tc>
        <w:tc>
          <w:tcPr>
            <w:tcW w:w="1417" w:type="dxa"/>
            <w:shd w:val="clear" w:color="auto" w:fill="auto"/>
            <w:vAlign w:val="center"/>
            <w:hideMark/>
          </w:tcPr>
          <w:p w14:paraId="55DB3CC8" w14:textId="19806CB8" w:rsidR="00CF1108" w:rsidRPr="006070EA" w:rsidRDefault="00CF1108" w:rsidP="00CF1108">
            <w:pPr>
              <w:spacing w:after="0" w:line="240" w:lineRule="auto"/>
              <w:jc w:val="center"/>
              <w:rPr>
                <w:rFonts w:asciiTheme="majorHAnsi" w:eastAsia="Times New Roman" w:hAnsiTheme="majorHAnsi" w:cstheme="majorHAnsi"/>
                <w:b/>
                <w:bCs/>
                <w:color w:val="000000"/>
                <w:sz w:val="18"/>
                <w:szCs w:val="18"/>
                <w:lang w:eastAsia="cs-CZ"/>
              </w:rPr>
            </w:pPr>
            <w:r w:rsidRPr="006070EA">
              <w:rPr>
                <w:rFonts w:asciiTheme="majorHAnsi" w:eastAsia="Times New Roman" w:hAnsiTheme="majorHAnsi" w:cstheme="majorHAnsi"/>
                <w:b/>
                <w:bCs/>
                <w:color w:val="000000"/>
                <w:sz w:val="18"/>
                <w:szCs w:val="18"/>
                <w:lang w:eastAsia="cs-CZ"/>
              </w:rPr>
              <w:t>Návrh úpravy – obsah žádosti</w:t>
            </w:r>
          </w:p>
        </w:tc>
        <w:tc>
          <w:tcPr>
            <w:tcW w:w="950" w:type="dxa"/>
            <w:shd w:val="clear" w:color="auto" w:fill="auto"/>
            <w:vAlign w:val="center"/>
            <w:hideMark/>
          </w:tcPr>
          <w:p w14:paraId="56B7B127" w14:textId="77777777" w:rsidR="00CF1108" w:rsidRPr="006070EA" w:rsidRDefault="00CF1108" w:rsidP="00CF1108">
            <w:pPr>
              <w:spacing w:after="0" w:line="240" w:lineRule="auto"/>
              <w:jc w:val="center"/>
              <w:rPr>
                <w:rFonts w:asciiTheme="majorHAnsi" w:eastAsia="Times New Roman" w:hAnsiTheme="majorHAnsi" w:cstheme="majorHAnsi"/>
                <w:b/>
                <w:bCs/>
                <w:color w:val="000000"/>
                <w:sz w:val="18"/>
                <w:szCs w:val="18"/>
                <w:lang w:eastAsia="cs-CZ"/>
              </w:rPr>
            </w:pPr>
            <w:r w:rsidRPr="006070EA">
              <w:rPr>
                <w:rFonts w:asciiTheme="majorHAnsi" w:eastAsia="Times New Roman" w:hAnsiTheme="majorHAnsi" w:cstheme="majorHAnsi"/>
                <w:b/>
                <w:bCs/>
                <w:color w:val="000000"/>
                <w:sz w:val="18"/>
                <w:szCs w:val="18"/>
                <w:lang w:eastAsia="cs-CZ"/>
              </w:rPr>
              <w:t>Zohlednění požadavku</w:t>
            </w:r>
          </w:p>
        </w:tc>
        <w:tc>
          <w:tcPr>
            <w:tcW w:w="1139" w:type="dxa"/>
            <w:shd w:val="clear" w:color="auto" w:fill="auto"/>
            <w:vAlign w:val="center"/>
            <w:hideMark/>
          </w:tcPr>
          <w:p w14:paraId="6013FF9B" w14:textId="77777777" w:rsidR="00CF1108" w:rsidRPr="006070EA" w:rsidRDefault="00CF1108" w:rsidP="00CF1108">
            <w:pPr>
              <w:spacing w:after="0" w:line="240" w:lineRule="auto"/>
              <w:jc w:val="center"/>
              <w:rPr>
                <w:rFonts w:asciiTheme="majorHAnsi" w:eastAsia="Times New Roman" w:hAnsiTheme="majorHAnsi" w:cstheme="majorHAnsi"/>
                <w:b/>
                <w:bCs/>
                <w:color w:val="000000"/>
                <w:sz w:val="18"/>
                <w:szCs w:val="18"/>
                <w:lang w:eastAsia="cs-CZ"/>
              </w:rPr>
            </w:pPr>
            <w:r w:rsidRPr="006070EA">
              <w:rPr>
                <w:rFonts w:asciiTheme="majorHAnsi" w:eastAsia="Times New Roman" w:hAnsiTheme="majorHAnsi" w:cstheme="majorHAnsi"/>
                <w:b/>
                <w:bCs/>
                <w:color w:val="000000"/>
                <w:sz w:val="18"/>
                <w:szCs w:val="18"/>
                <w:lang w:eastAsia="cs-CZ"/>
              </w:rPr>
              <w:t>Způsob zapracování do ÚP</w:t>
            </w:r>
          </w:p>
        </w:tc>
        <w:tc>
          <w:tcPr>
            <w:tcW w:w="2438" w:type="dxa"/>
            <w:shd w:val="clear" w:color="auto" w:fill="auto"/>
            <w:vAlign w:val="center"/>
            <w:hideMark/>
          </w:tcPr>
          <w:p w14:paraId="7A41C05C" w14:textId="77777777" w:rsidR="00CF1108" w:rsidRPr="006070EA" w:rsidRDefault="00CF1108" w:rsidP="00CF1108">
            <w:pPr>
              <w:spacing w:after="0" w:line="240" w:lineRule="auto"/>
              <w:jc w:val="center"/>
              <w:rPr>
                <w:rFonts w:asciiTheme="majorHAnsi" w:eastAsia="Times New Roman" w:hAnsiTheme="majorHAnsi" w:cstheme="majorHAnsi"/>
                <w:b/>
                <w:bCs/>
                <w:color w:val="000000"/>
                <w:sz w:val="18"/>
                <w:szCs w:val="18"/>
                <w:lang w:eastAsia="cs-CZ"/>
              </w:rPr>
            </w:pPr>
            <w:r w:rsidRPr="006070EA">
              <w:rPr>
                <w:rFonts w:asciiTheme="majorHAnsi" w:eastAsia="Times New Roman" w:hAnsiTheme="majorHAnsi" w:cstheme="majorHAnsi"/>
                <w:b/>
                <w:bCs/>
                <w:color w:val="000000"/>
                <w:sz w:val="18"/>
                <w:szCs w:val="18"/>
                <w:lang w:eastAsia="cs-CZ"/>
              </w:rPr>
              <w:t>pozn., odůvodnění</w:t>
            </w:r>
          </w:p>
        </w:tc>
      </w:tr>
      <w:tr w:rsidR="00CF1108" w:rsidRPr="006070EA" w14:paraId="390924FA" w14:textId="77777777" w:rsidTr="00A13D9A">
        <w:trPr>
          <w:cantSplit/>
          <w:trHeight w:val="300"/>
          <w:jc w:val="center"/>
        </w:trPr>
        <w:tc>
          <w:tcPr>
            <w:tcW w:w="460" w:type="dxa"/>
            <w:vMerge w:val="restart"/>
            <w:shd w:val="clear" w:color="auto" w:fill="auto"/>
            <w:noWrap/>
            <w:vAlign w:val="center"/>
            <w:hideMark/>
          </w:tcPr>
          <w:p w14:paraId="36D34856"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1</w:t>
            </w:r>
          </w:p>
        </w:tc>
        <w:tc>
          <w:tcPr>
            <w:tcW w:w="958" w:type="dxa"/>
            <w:vMerge w:val="restart"/>
            <w:shd w:val="clear" w:color="auto" w:fill="auto"/>
            <w:noWrap/>
            <w:vAlign w:val="center"/>
            <w:hideMark/>
          </w:tcPr>
          <w:p w14:paraId="628AE827"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17.12.2018</w:t>
            </w:r>
          </w:p>
        </w:tc>
        <w:tc>
          <w:tcPr>
            <w:tcW w:w="804" w:type="dxa"/>
            <w:shd w:val="clear" w:color="auto" w:fill="auto"/>
            <w:noWrap/>
            <w:vAlign w:val="center"/>
            <w:hideMark/>
          </w:tcPr>
          <w:p w14:paraId="05F90301"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230/23</w:t>
            </w:r>
          </w:p>
        </w:tc>
        <w:tc>
          <w:tcPr>
            <w:tcW w:w="953" w:type="dxa"/>
            <w:shd w:val="clear" w:color="auto" w:fill="auto"/>
            <w:noWrap/>
            <w:vAlign w:val="center"/>
            <w:hideMark/>
          </w:tcPr>
          <w:p w14:paraId="3CF4E0E1"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Lány u Kostomlat</w:t>
            </w:r>
          </w:p>
        </w:tc>
        <w:tc>
          <w:tcPr>
            <w:tcW w:w="1417" w:type="dxa"/>
            <w:shd w:val="clear" w:color="auto" w:fill="auto"/>
            <w:noWrap/>
            <w:vAlign w:val="center"/>
            <w:hideMark/>
          </w:tcPr>
          <w:p w14:paraId="1963F554"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do plochy pro bydlení</w:t>
            </w:r>
          </w:p>
        </w:tc>
        <w:tc>
          <w:tcPr>
            <w:tcW w:w="950" w:type="dxa"/>
            <w:shd w:val="clear" w:color="auto" w:fill="auto"/>
            <w:noWrap/>
            <w:vAlign w:val="center"/>
            <w:hideMark/>
          </w:tcPr>
          <w:p w14:paraId="2AC745F9"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NE</w:t>
            </w:r>
          </w:p>
        </w:tc>
        <w:tc>
          <w:tcPr>
            <w:tcW w:w="1139" w:type="dxa"/>
            <w:shd w:val="clear" w:color="auto" w:fill="auto"/>
            <w:noWrap/>
            <w:vAlign w:val="center"/>
            <w:hideMark/>
          </w:tcPr>
          <w:p w14:paraId="39D42C9C" w14:textId="1DACF28F"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 xml:space="preserve">zařazeno do </w:t>
            </w:r>
            <w:r w:rsidR="004F5B3B" w:rsidRPr="006070EA">
              <w:rPr>
                <w:rFonts w:asciiTheme="majorHAnsi" w:eastAsia="Times New Roman" w:hAnsiTheme="majorHAnsi" w:cstheme="majorHAnsi"/>
                <w:color w:val="000000"/>
                <w:sz w:val="18"/>
                <w:szCs w:val="18"/>
                <w:lang w:eastAsia="cs-CZ"/>
              </w:rPr>
              <w:t>MU.zp</w:t>
            </w:r>
          </w:p>
        </w:tc>
        <w:tc>
          <w:tcPr>
            <w:tcW w:w="2438" w:type="dxa"/>
            <w:shd w:val="clear" w:color="auto" w:fill="auto"/>
            <w:noWrap/>
            <w:vAlign w:val="center"/>
            <w:hideMark/>
          </w:tcPr>
          <w:p w14:paraId="1BC03DA2" w14:textId="7EC909F3"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 xml:space="preserve">konflikt s koridorem </w:t>
            </w:r>
            <w:r w:rsidR="004F5B3B" w:rsidRPr="006070EA">
              <w:rPr>
                <w:rFonts w:asciiTheme="majorHAnsi" w:eastAsia="Times New Roman" w:hAnsiTheme="majorHAnsi" w:cstheme="majorHAnsi"/>
                <w:color w:val="000000"/>
                <w:sz w:val="18"/>
                <w:szCs w:val="18"/>
                <w:lang w:eastAsia="cs-CZ"/>
              </w:rPr>
              <w:t>CNU.</w:t>
            </w:r>
            <w:r w:rsidRPr="006070EA">
              <w:rPr>
                <w:rFonts w:asciiTheme="majorHAnsi" w:eastAsia="Times New Roman" w:hAnsiTheme="majorHAnsi" w:cstheme="majorHAnsi"/>
                <w:color w:val="000000"/>
                <w:sz w:val="18"/>
                <w:szCs w:val="18"/>
                <w:lang w:eastAsia="cs-CZ"/>
              </w:rPr>
              <w:t>KD1</w:t>
            </w:r>
          </w:p>
        </w:tc>
      </w:tr>
      <w:tr w:rsidR="004F5B3B" w:rsidRPr="006070EA" w14:paraId="47AEDE85" w14:textId="77777777" w:rsidTr="00A13D9A">
        <w:trPr>
          <w:cantSplit/>
          <w:trHeight w:val="300"/>
          <w:jc w:val="center"/>
        </w:trPr>
        <w:tc>
          <w:tcPr>
            <w:tcW w:w="460" w:type="dxa"/>
            <w:vMerge/>
            <w:vAlign w:val="center"/>
            <w:hideMark/>
          </w:tcPr>
          <w:p w14:paraId="2EDC5C58" w14:textId="77777777" w:rsidR="004F5B3B" w:rsidRPr="006070EA" w:rsidRDefault="004F5B3B" w:rsidP="004F5B3B">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56CF676C" w14:textId="77777777" w:rsidR="004F5B3B" w:rsidRPr="006070EA" w:rsidRDefault="004F5B3B" w:rsidP="004F5B3B">
            <w:pPr>
              <w:spacing w:after="0" w:line="240" w:lineRule="auto"/>
              <w:jc w:val="center"/>
              <w:rPr>
                <w:rFonts w:asciiTheme="majorHAnsi" w:eastAsia="Times New Roman" w:hAnsiTheme="majorHAnsi" w:cstheme="majorHAnsi"/>
                <w:color w:val="000000"/>
                <w:sz w:val="18"/>
                <w:szCs w:val="18"/>
                <w:lang w:eastAsia="cs-CZ"/>
              </w:rPr>
            </w:pPr>
          </w:p>
        </w:tc>
        <w:tc>
          <w:tcPr>
            <w:tcW w:w="804" w:type="dxa"/>
            <w:shd w:val="clear" w:color="auto" w:fill="auto"/>
            <w:noWrap/>
            <w:vAlign w:val="center"/>
            <w:hideMark/>
          </w:tcPr>
          <w:p w14:paraId="6DBF70B3" w14:textId="77777777" w:rsidR="004F5B3B" w:rsidRPr="006070EA" w:rsidRDefault="004F5B3B" w:rsidP="004F5B3B">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279</w:t>
            </w:r>
          </w:p>
        </w:tc>
        <w:tc>
          <w:tcPr>
            <w:tcW w:w="953" w:type="dxa"/>
            <w:shd w:val="clear" w:color="auto" w:fill="auto"/>
            <w:noWrap/>
            <w:vAlign w:val="center"/>
            <w:hideMark/>
          </w:tcPr>
          <w:p w14:paraId="64537464" w14:textId="77777777" w:rsidR="004F5B3B" w:rsidRPr="006070EA" w:rsidRDefault="004F5B3B" w:rsidP="004F5B3B">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Lány u Kostomlat</w:t>
            </w:r>
          </w:p>
        </w:tc>
        <w:tc>
          <w:tcPr>
            <w:tcW w:w="1417" w:type="dxa"/>
            <w:shd w:val="clear" w:color="auto" w:fill="auto"/>
            <w:noWrap/>
            <w:vAlign w:val="center"/>
            <w:hideMark/>
          </w:tcPr>
          <w:p w14:paraId="70A519C9" w14:textId="77777777" w:rsidR="004F5B3B" w:rsidRPr="006070EA" w:rsidRDefault="004F5B3B" w:rsidP="004F5B3B">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do plochy pro bydlení</w:t>
            </w:r>
          </w:p>
        </w:tc>
        <w:tc>
          <w:tcPr>
            <w:tcW w:w="950" w:type="dxa"/>
            <w:shd w:val="clear" w:color="auto" w:fill="auto"/>
            <w:noWrap/>
            <w:vAlign w:val="center"/>
            <w:hideMark/>
          </w:tcPr>
          <w:p w14:paraId="08DB1EB9" w14:textId="77777777" w:rsidR="004F5B3B" w:rsidRPr="006070EA" w:rsidRDefault="004F5B3B" w:rsidP="004F5B3B">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NE</w:t>
            </w:r>
          </w:p>
        </w:tc>
        <w:tc>
          <w:tcPr>
            <w:tcW w:w="1139" w:type="dxa"/>
            <w:shd w:val="clear" w:color="auto" w:fill="auto"/>
            <w:noWrap/>
            <w:vAlign w:val="center"/>
            <w:hideMark/>
          </w:tcPr>
          <w:p w14:paraId="5936457F" w14:textId="65E0A609" w:rsidR="004F5B3B" w:rsidRPr="006070EA" w:rsidRDefault="004F5B3B" w:rsidP="004F5B3B">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MU.zp</w:t>
            </w:r>
          </w:p>
        </w:tc>
        <w:tc>
          <w:tcPr>
            <w:tcW w:w="2438" w:type="dxa"/>
            <w:shd w:val="clear" w:color="auto" w:fill="auto"/>
            <w:vAlign w:val="center"/>
            <w:hideMark/>
          </w:tcPr>
          <w:p w14:paraId="1214EC03" w14:textId="018F9F26" w:rsidR="004F5B3B" w:rsidRPr="006070EA" w:rsidRDefault="004F5B3B" w:rsidP="004F5B3B">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konflikt s koridorem CNU.KD1</w:t>
            </w:r>
          </w:p>
        </w:tc>
      </w:tr>
      <w:tr w:rsidR="004F5B3B" w:rsidRPr="006070EA" w14:paraId="66A6EBCD" w14:textId="77777777" w:rsidTr="00A13D9A">
        <w:trPr>
          <w:cantSplit/>
          <w:trHeight w:val="300"/>
          <w:jc w:val="center"/>
        </w:trPr>
        <w:tc>
          <w:tcPr>
            <w:tcW w:w="460" w:type="dxa"/>
            <w:vMerge w:val="restart"/>
            <w:shd w:val="clear" w:color="auto" w:fill="auto"/>
            <w:noWrap/>
            <w:vAlign w:val="center"/>
            <w:hideMark/>
          </w:tcPr>
          <w:p w14:paraId="1A9B6D55" w14:textId="77777777" w:rsidR="004F5B3B" w:rsidRPr="006070EA" w:rsidRDefault="004F5B3B" w:rsidP="004F5B3B">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2</w:t>
            </w:r>
          </w:p>
        </w:tc>
        <w:tc>
          <w:tcPr>
            <w:tcW w:w="958" w:type="dxa"/>
            <w:vMerge w:val="restart"/>
            <w:shd w:val="clear" w:color="auto" w:fill="auto"/>
            <w:noWrap/>
            <w:vAlign w:val="center"/>
            <w:hideMark/>
          </w:tcPr>
          <w:p w14:paraId="57BE27A0" w14:textId="77777777" w:rsidR="004F5B3B" w:rsidRPr="006070EA" w:rsidRDefault="004F5B3B" w:rsidP="004F5B3B">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18.02.2019</w:t>
            </w:r>
          </w:p>
        </w:tc>
        <w:tc>
          <w:tcPr>
            <w:tcW w:w="804" w:type="dxa"/>
            <w:shd w:val="clear" w:color="auto" w:fill="auto"/>
            <w:noWrap/>
            <w:vAlign w:val="center"/>
            <w:hideMark/>
          </w:tcPr>
          <w:p w14:paraId="3503057C" w14:textId="77777777" w:rsidR="004F5B3B" w:rsidRPr="006070EA" w:rsidRDefault="004F5B3B" w:rsidP="004F5B3B">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179/2</w:t>
            </w:r>
          </w:p>
        </w:tc>
        <w:tc>
          <w:tcPr>
            <w:tcW w:w="953" w:type="dxa"/>
            <w:shd w:val="clear" w:color="auto" w:fill="auto"/>
            <w:noWrap/>
            <w:vAlign w:val="center"/>
            <w:hideMark/>
          </w:tcPr>
          <w:p w14:paraId="4FF63026" w14:textId="77777777" w:rsidR="004F5B3B" w:rsidRPr="006070EA" w:rsidRDefault="004F5B3B" w:rsidP="004F5B3B">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Lány u Kostomlat</w:t>
            </w:r>
          </w:p>
        </w:tc>
        <w:tc>
          <w:tcPr>
            <w:tcW w:w="1417" w:type="dxa"/>
            <w:shd w:val="clear" w:color="auto" w:fill="auto"/>
            <w:noWrap/>
            <w:vAlign w:val="center"/>
            <w:hideMark/>
          </w:tcPr>
          <w:p w14:paraId="32A2144C" w14:textId="77777777" w:rsidR="004F5B3B" w:rsidRPr="006070EA" w:rsidRDefault="004F5B3B" w:rsidP="004F5B3B">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pro bytovou zástavbu</w:t>
            </w:r>
          </w:p>
        </w:tc>
        <w:tc>
          <w:tcPr>
            <w:tcW w:w="950" w:type="dxa"/>
            <w:shd w:val="clear" w:color="auto" w:fill="auto"/>
            <w:noWrap/>
            <w:vAlign w:val="center"/>
            <w:hideMark/>
          </w:tcPr>
          <w:p w14:paraId="0EF17011" w14:textId="77777777" w:rsidR="004F5B3B" w:rsidRPr="006070EA" w:rsidRDefault="004F5B3B" w:rsidP="004F5B3B">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NE</w:t>
            </w:r>
          </w:p>
        </w:tc>
        <w:tc>
          <w:tcPr>
            <w:tcW w:w="1139" w:type="dxa"/>
            <w:shd w:val="clear" w:color="auto" w:fill="auto"/>
            <w:noWrap/>
            <w:vAlign w:val="center"/>
            <w:hideMark/>
          </w:tcPr>
          <w:p w14:paraId="5F650874" w14:textId="4133ED5F" w:rsidR="004F5B3B" w:rsidRPr="006070EA" w:rsidRDefault="004F5B3B" w:rsidP="004F5B3B">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MU.zp</w:t>
            </w:r>
          </w:p>
        </w:tc>
        <w:tc>
          <w:tcPr>
            <w:tcW w:w="2438" w:type="dxa"/>
            <w:shd w:val="clear" w:color="auto" w:fill="auto"/>
            <w:noWrap/>
            <w:vAlign w:val="center"/>
            <w:hideMark/>
          </w:tcPr>
          <w:p w14:paraId="42022088" w14:textId="7DD92F9F" w:rsidR="004F5B3B" w:rsidRPr="006070EA" w:rsidRDefault="004F5B3B" w:rsidP="004F5B3B">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konflikt s koridorem CNU.KD1, mimo kontakt se zastavěným územím, problém srůstání sídel</w:t>
            </w:r>
          </w:p>
        </w:tc>
      </w:tr>
      <w:tr w:rsidR="004F5B3B" w:rsidRPr="006070EA" w14:paraId="1306234A" w14:textId="77777777" w:rsidTr="00A13D9A">
        <w:trPr>
          <w:cantSplit/>
          <w:trHeight w:val="300"/>
          <w:jc w:val="center"/>
        </w:trPr>
        <w:tc>
          <w:tcPr>
            <w:tcW w:w="460" w:type="dxa"/>
            <w:vMerge/>
            <w:vAlign w:val="center"/>
            <w:hideMark/>
          </w:tcPr>
          <w:p w14:paraId="2CB114FB" w14:textId="77777777" w:rsidR="004F5B3B" w:rsidRPr="006070EA" w:rsidRDefault="004F5B3B" w:rsidP="004F5B3B">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207E9E2D" w14:textId="77777777" w:rsidR="004F5B3B" w:rsidRPr="006070EA" w:rsidRDefault="004F5B3B" w:rsidP="004F5B3B">
            <w:pPr>
              <w:spacing w:after="0" w:line="240" w:lineRule="auto"/>
              <w:jc w:val="center"/>
              <w:rPr>
                <w:rFonts w:asciiTheme="majorHAnsi" w:eastAsia="Times New Roman" w:hAnsiTheme="majorHAnsi" w:cstheme="majorHAnsi"/>
                <w:color w:val="000000"/>
                <w:sz w:val="18"/>
                <w:szCs w:val="18"/>
                <w:lang w:eastAsia="cs-CZ"/>
              </w:rPr>
            </w:pPr>
          </w:p>
        </w:tc>
        <w:tc>
          <w:tcPr>
            <w:tcW w:w="804" w:type="dxa"/>
            <w:shd w:val="clear" w:color="auto" w:fill="auto"/>
            <w:noWrap/>
            <w:vAlign w:val="center"/>
            <w:hideMark/>
          </w:tcPr>
          <w:p w14:paraId="3486F8A5" w14:textId="77777777" w:rsidR="004F5B3B" w:rsidRPr="006070EA" w:rsidRDefault="004F5B3B" w:rsidP="004F5B3B">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178/1</w:t>
            </w:r>
          </w:p>
        </w:tc>
        <w:tc>
          <w:tcPr>
            <w:tcW w:w="953" w:type="dxa"/>
            <w:shd w:val="clear" w:color="auto" w:fill="auto"/>
            <w:noWrap/>
            <w:vAlign w:val="center"/>
            <w:hideMark/>
          </w:tcPr>
          <w:p w14:paraId="38FD92AE" w14:textId="77777777" w:rsidR="004F5B3B" w:rsidRPr="006070EA" w:rsidRDefault="004F5B3B" w:rsidP="004F5B3B">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Lány u Kostomlat</w:t>
            </w:r>
          </w:p>
        </w:tc>
        <w:tc>
          <w:tcPr>
            <w:tcW w:w="1417" w:type="dxa"/>
            <w:shd w:val="clear" w:color="auto" w:fill="auto"/>
            <w:noWrap/>
            <w:vAlign w:val="center"/>
            <w:hideMark/>
          </w:tcPr>
          <w:p w14:paraId="72F0F4A6" w14:textId="77777777" w:rsidR="004F5B3B" w:rsidRPr="006070EA" w:rsidRDefault="004F5B3B" w:rsidP="004F5B3B">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pro bytovou zástavbu</w:t>
            </w:r>
          </w:p>
        </w:tc>
        <w:tc>
          <w:tcPr>
            <w:tcW w:w="950" w:type="dxa"/>
            <w:shd w:val="clear" w:color="auto" w:fill="auto"/>
            <w:noWrap/>
            <w:vAlign w:val="center"/>
            <w:hideMark/>
          </w:tcPr>
          <w:p w14:paraId="20E68389" w14:textId="77777777" w:rsidR="004F5B3B" w:rsidRPr="006070EA" w:rsidRDefault="004F5B3B" w:rsidP="004F5B3B">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NE</w:t>
            </w:r>
          </w:p>
        </w:tc>
        <w:tc>
          <w:tcPr>
            <w:tcW w:w="1139" w:type="dxa"/>
            <w:shd w:val="clear" w:color="auto" w:fill="auto"/>
            <w:noWrap/>
            <w:vAlign w:val="center"/>
            <w:hideMark/>
          </w:tcPr>
          <w:p w14:paraId="4650E2BB" w14:textId="554C51D9" w:rsidR="004F5B3B" w:rsidRPr="006070EA" w:rsidRDefault="004F5B3B" w:rsidP="004F5B3B">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MU.zp</w:t>
            </w:r>
          </w:p>
        </w:tc>
        <w:tc>
          <w:tcPr>
            <w:tcW w:w="2438" w:type="dxa"/>
            <w:shd w:val="clear" w:color="auto" w:fill="auto"/>
            <w:vAlign w:val="center"/>
            <w:hideMark/>
          </w:tcPr>
          <w:p w14:paraId="2816F01C" w14:textId="1004D729" w:rsidR="004F5B3B" w:rsidRPr="006070EA" w:rsidRDefault="004F5B3B" w:rsidP="004F5B3B">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konflikt s koridorem CNU.KD1, mimo kontakt se zastavěným územím, problém srůstání sídel</w:t>
            </w:r>
          </w:p>
        </w:tc>
      </w:tr>
      <w:tr w:rsidR="00CF1108" w:rsidRPr="006070EA" w14:paraId="3C2D4426" w14:textId="77777777" w:rsidTr="00A13D9A">
        <w:trPr>
          <w:cantSplit/>
          <w:trHeight w:val="300"/>
          <w:jc w:val="center"/>
        </w:trPr>
        <w:tc>
          <w:tcPr>
            <w:tcW w:w="460" w:type="dxa"/>
            <w:shd w:val="clear" w:color="auto" w:fill="auto"/>
            <w:noWrap/>
            <w:vAlign w:val="center"/>
            <w:hideMark/>
          </w:tcPr>
          <w:p w14:paraId="6D847B70"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3</w:t>
            </w:r>
          </w:p>
        </w:tc>
        <w:tc>
          <w:tcPr>
            <w:tcW w:w="958" w:type="dxa"/>
            <w:shd w:val="clear" w:color="auto" w:fill="auto"/>
            <w:noWrap/>
            <w:vAlign w:val="center"/>
            <w:hideMark/>
          </w:tcPr>
          <w:p w14:paraId="0E806250"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08.01.2018</w:t>
            </w:r>
          </w:p>
        </w:tc>
        <w:tc>
          <w:tcPr>
            <w:tcW w:w="804" w:type="dxa"/>
            <w:shd w:val="clear" w:color="auto" w:fill="auto"/>
            <w:noWrap/>
            <w:vAlign w:val="center"/>
            <w:hideMark/>
          </w:tcPr>
          <w:p w14:paraId="6E485CD1"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159</w:t>
            </w:r>
          </w:p>
        </w:tc>
        <w:tc>
          <w:tcPr>
            <w:tcW w:w="953" w:type="dxa"/>
            <w:shd w:val="clear" w:color="auto" w:fill="auto"/>
            <w:noWrap/>
            <w:vAlign w:val="center"/>
            <w:hideMark/>
          </w:tcPr>
          <w:p w14:paraId="691DC23F"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Hronětice</w:t>
            </w:r>
          </w:p>
        </w:tc>
        <w:tc>
          <w:tcPr>
            <w:tcW w:w="1417" w:type="dxa"/>
            <w:shd w:val="clear" w:color="auto" w:fill="auto"/>
            <w:noWrap/>
            <w:vAlign w:val="center"/>
            <w:hideMark/>
          </w:tcPr>
          <w:p w14:paraId="35B1E2B3"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shd w:val="clear" w:color="auto" w:fill="auto"/>
            <w:noWrap/>
            <w:vAlign w:val="center"/>
            <w:hideMark/>
          </w:tcPr>
          <w:p w14:paraId="0452B184"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ANO</w:t>
            </w:r>
          </w:p>
        </w:tc>
        <w:tc>
          <w:tcPr>
            <w:tcW w:w="1139" w:type="dxa"/>
            <w:shd w:val="clear" w:color="auto" w:fill="auto"/>
            <w:noWrap/>
            <w:vAlign w:val="center"/>
            <w:hideMark/>
          </w:tcPr>
          <w:p w14:paraId="7370C92D" w14:textId="5CB7BE1F"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SV</w:t>
            </w:r>
          </w:p>
        </w:tc>
        <w:tc>
          <w:tcPr>
            <w:tcW w:w="2438" w:type="dxa"/>
            <w:shd w:val="clear" w:color="auto" w:fill="auto"/>
            <w:noWrap/>
            <w:vAlign w:val="center"/>
            <w:hideMark/>
          </w:tcPr>
          <w:p w14:paraId="48E2B457" w14:textId="2877B1B2"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součást zastavitelné plochy Z</w:t>
            </w:r>
            <w:r w:rsidR="004F5B3B" w:rsidRPr="006070EA">
              <w:rPr>
                <w:rFonts w:asciiTheme="majorHAnsi" w:eastAsia="Times New Roman" w:hAnsiTheme="majorHAnsi" w:cstheme="majorHAnsi"/>
                <w:color w:val="000000"/>
                <w:sz w:val="18"/>
                <w:szCs w:val="18"/>
                <w:lang w:eastAsia="cs-CZ"/>
              </w:rPr>
              <w:t>.</w:t>
            </w:r>
            <w:r w:rsidRPr="006070EA">
              <w:rPr>
                <w:rFonts w:asciiTheme="majorHAnsi" w:eastAsia="Times New Roman" w:hAnsiTheme="majorHAnsi" w:cstheme="majorHAnsi"/>
                <w:color w:val="000000"/>
                <w:sz w:val="18"/>
                <w:szCs w:val="18"/>
                <w:lang w:eastAsia="cs-CZ"/>
              </w:rPr>
              <w:t>20</w:t>
            </w:r>
          </w:p>
        </w:tc>
      </w:tr>
      <w:tr w:rsidR="00CF1108" w:rsidRPr="006070EA" w14:paraId="5244C26C" w14:textId="77777777" w:rsidTr="00A13D9A">
        <w:trPr>
          <w:cantSplit/>
          <w:trHeight w:val="300"/>
          <w:jc w:val="center"/>
        </w:trPr>
        <w:tc>
          <w:tcPr>
            <w:tcW w:w="460" w:type="dxa"/>
            <w:shd w:val="clear" w:color="auto" w:fill="auto"/>
            <w:noWrap/>
            <w:vAlign w:val="center"/>
            <w:hideMark/>
          </w:tcPr>
          <w:p w14:paraId="2F9C37C7"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4</w:t>
            </w:r>
          </w:p>
        </w:tc>
        <w:tc>
          <w:tcPr>
            <w:tcW w:w="958" w:type="dxa"/>
            <w:shd w:val="clear" w:color="auto" w:fill="auto"/>
            <w:noWrap/>
            <w:vAlign w:val="center"/>
            <w:hideMark/>
          </w:tcPr>
          <w:p w14:paraId="17149C32"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31.01.2018</w:t>
            </w:r>
          </w:p>
        </w:tc>
        <w:tc>
          <w:tcPr>
            <w:tcW w:w="804" w:type="dxa"/>
            <w:shd w:val="clear" w:color="auto" w:fill="auto"/>
            <w:noWrap/>
            <w:vAlign w:val="center"/>
            <w:hideMark/>
          </w:tcPr>
          <w:p w14:paraId="0CB8E7E9"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189</w:t>
            </w:r>
          </w:p>
        </w:tc>
        <w:tc>
          <w:tcPr>
            <w:tcW w:w="953" w:type="dxa"/>
            <w:shd w:val="clear" w:color="auto" w:fill="auto"/>
            <w:noWrap/>
            <w:vAlign w:val="center"/>
            <w:hideMark/>
          </w:tcPr>
          <w:p w14:paraId="2CA57C89"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Hronětice</w:t>
            </w:r>
          </w:p>
        </w:tc>
        <w:tc>
          <w:tcPr>
            <w:tcW w:w="1417" w:type="dxa"/>
            <w:shd w:val="clear" w:color="auto" w:fill="auto"/>
            <w:noWrap/>
            <w:vAlign w:val="center"/>
            <w:hideMark/>
          </w:tcPr>
          <w:p w14:paraId="63A751A9"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výroba a sklady s objekty</w:t>
            </w:r>
          </w:p>
        </w:tc>
        <w:tc>
          <w:tcPr>
            <w:tcW w:w="950" w:type="dxa"/>
            <w:shd w:val="clear" w:color="auto" w:fill="auto"/>
            <w:noWrap/>
            <w:vAlign w:val="center"/>
            <w:hideMark/>
          </w:tcPr>
          <w:p w14:paraId="24F49B96"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ANO</w:t>
            </w:r>
          </w:p>
        </w:tc>
        <w:tc>
          <w:tcPr>
            <w:tcW w:w="1139" w:type="dxa"/>
            <w:shd w:val="clear" w:color="auto" w:fill="auto"/>
            <w:noWrap/>
            <w:vAlign w:val="center"/>
            <w:hideMark/>
          </w:tcPr>
          <w:p w14:paraId="57017F24"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VL</w:t>
            </w:r>
          </w:p>
        </w:tc>
        <w:tc>
          <w:tcPr>
            <w:tcW w:w="2438" w:type="dxa"/>
            <w:shd w:val="clear" w:color="auto" w:fill="auto"/>
            <w:noWrap/>
            <w:vAlign w:val="center"/>
            <w:hideMark/>
          </w:tcPr>
          <w:p w14:paraId="6F776403"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součást stabilizované plochy v ZÚ</w:t>
            </w:r>
          </w:p>
        </w:tc>
      </w:tr>
      <w:tr w:rsidR="00CF1108" w:rsidRPr="006070EA" w14:paraId="016C0CFF" w14:textId="77777777" w:rsidTr="00A13D9A">
        <w:trPr>
          <w:cantSplit/>
          <w:trHeight w:val="300"/>
          <w:jc w:val="center"/>
        </w:trPr>
        <w:tc>
          <w:tcPr>
            <w:tcW w:w="460" w:type="dxa"/>
            <w:vMerge w:val="restart"/>
            <w:shd w:val="clear" w:color="auto" w:fill="auto"/>
            <w:noWrap/>
            <w:vAlign w:val="center"/>
            <w:hideMark/>
          </w:tcPr>
          <w:p w14:paraId="32E3827A"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5</w:t>
            </w:r>
          </w:p>
        </w:tc>
        <w:tc>
          <w:tcPr>
            <w:tcW w:w="958" w:type="dxa"/>
            <w:vMerge w:val="restart"/>
            <w:shd w:val="clear" w:color="auto" w:fill="auto"/>
            <w:noWrap/>
            <w:vAlign w:val="center"/>
            <w:hideMark/>
          </w:tcPr>
          <w:p w14:paraId="5D11429B"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26.01.2018</w:t>
            </w:r>
          </w:p>
        </w:tc>
        <w:tc>
          <w:tcPr>
            <w:tcW w:w="804" w:type="dxa"/>
            <w:shd w:val="clear" w:color="auto" w:fill="auto"/>
            <w:noWrap/>
            <w:vAlign w:val="center"/>
            <w:hideMark/>
          </w:tcPr>
          <w:p w14:paraId="7A352EAA"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st. 379</w:t>
            </w:r>
          </w:p>
        </w:tc>
        <w:tc>
          <w:tcPr>
            <w:tcW w:w="953" w:type="dxa"/>
            <w:shd w:val="clear" w:color="auto" w:fill="auto"/>
            <w:noWrap/>
            <w:vAlign w:val="center"/>
            <w:hideMark/>
          </w:tcPr>
          <w:p w14:paraId="654C2159"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Hronětice</w:t>
            </w:r>
          </w:p>
        </w:tc>
        <w:tc>
          <w:tcPr>
            <w:tcW w:w="1417" w:type="dxa"/>
            <w:shd w:val="clear" w:color="auto" w:fill="auto"/>
            <w:noWrap/>
            <w:vAlign w:val="center"/>
            <w:hideMark/>
          </w:tcPr>
          <w:p w14:paraId="34A83B42"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kombinované pro bydlení a komerční</w:t>
            </w:r>
          </w:p>
        </w:tc>
        <w:tc>
          <w:tcPr>
            <w:tcW w:w="950" w:type="dxa"/>
            <w:shd w:val="clear" w:color="auto" w:fill="auto"/>
            <w:noWrap/>
            <w:vAlign w:val="center"/>
            <w:hideMark/>
          </w:tcPr>
          <w:p w14:paraId="34F62A58"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ANO</w:t>
            </w:r>
          </w:p>
        </w:tc>
        <w:tc>
          <w:tcPr>
            <w:tcW w:w="1139" w:type="dxa"/>
            <w:shd w:val="clear" w:color="auto" w:fill="auto"/>
            <w:noWrap/>
            <w:vAlign w:val="center"/>
            <w:hideMark/>
          </w:tcPr>
          <w:p w14:paraId="62C343DD"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SV</w:t>
            </w:r>
          </w:p>
        </w:tc>
        <w:tc>
          <w:tcPr>
            <w:tcW w:w="2438" w:type="dxa"/>
            <w:shd w:val="clear" w:color="auto" w:fill="auto"/>
            <w:noWrap/>
            <w:vAlign w:val="center"/>
            <w:hideMark/>
          </w:tcPr>
          <w:p w14:paraId="780F6394"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součást stabilizované plochy v ZÚ</w:t>
            </w:r>
          </w:p>
        </w:tc>
      </w:tr>
      <w:tr w:rsidR="00CF1108" w:rsidRPr="006070EA" w14:paraId="55494899" w14:textId="77777777" w:rsidTr="00A13D9A">
        <w:trPr>
          <w:cantSplit/>
          <w:trHeight w:val="300"/>
          <w:jc w:val="center"/>
        </w:trPr>
        <w:tc>
          <w:tcPr>
            <w:tcW w:w="460" w:type="dxa"/>
            <w:vMerge/>
            <w:vAlign w:val="center"/>
            <w:hideMark/>
          </w:tcPr>
          <w:p w14:paraId="293B393A"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600F2E73"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804" w:type="dxa"/>
            <w:shd w:val="clear" w:color="auto" w:fill="auto"/>
            <w:noWrap/>
            <w:vAlign w:val="center"/>
            <w:hideMark/>
          </w:tcPr>
          <w:p w14:paraId="4175E8F3"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24/4</w:t>
            </w:r>
          </w:p>
        </w:tc>
        <w:tc>
          <w:tcPr>
            <w:tcW w:w="953" w:type="dxa"/>
            <w:shd w:val="clear" w:color="auto" w:fill="auto"/>
            <w:noWrap/>
            <w:vAlign w:val="center"/>
            <w:hideMark/>
          </w:tcPr>
          <w:p w14:paraId="63769B7A"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Hronětice</w:t>
            </w:r>
          </w:p>
        </w:tc>
        <w:tc>
          <w:tcPr>
            <w:tcW w:w="1417" w:type="dxa"/>
            <w:shd w:val="clear" w:color="auto" w:fill="auto"/>
            <w:noWrap/>
            <w:vAlign w:val="center"/>
            <w:hideMark/>
          </w:tcPr>
          <w:p w14:paraId="5837720F"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kombinované pro bydlení a komerční</w:t>
            </w:r>
          </w:p>
        </w:tc>
        <w:tc>
          <w:tcPr>
            <w:tcW w:w="950" w:type="dxa"/>
            <w:shd w:val="clear" w:color="auto" w:fill="auto"/>
            <w:noWrap/>
            <w:vAlign w:val="center"/>
            <w:hideMark/>
          </w:tcPr>
          <w:p w14:paraId="621F8203"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ANO</w:t>
            </w:r>
          </w:p>
        </w:tc>
        <w:tc>
          <w:tcPr>
            <w:tcW w:w="1139" w:type="dxa"/>
            <w:shd w:val="clear" w:color="auto" w:fill="auto"/>
            <w:noWrap/>
            <w:vAlign w:val="center"/>
            <w:hideMark/>
          </w:tcPr>
          <w:p w14:paraId="6DCBA1C0"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SV</w:t>
            </w:r>
          </w:p>
        </w:tc>
        <w:tc>
          <w:tcPr>
            <w:tcW w:w="2438" w:type="dxa"/>
            <w:shd w:val="clear" w:color="auto" w:fill="auto"/>
            <w:noWrap/>
            <w:vAlign w:val="center"/>
            <w:hideMark/>
          </w:tcPr>
          <w:p w14:paraId="38093BD6"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součást stabilizované plochy v ZÚ</w:t>
            </w:r>
          </w:p>
        </w:tc>
      </w:tr>
      <w:tr w:rsidR="00CF1108" w:rsidRPr="006070EA" w14:paraId="3EE4157C" w14:textId="77777777" w:rsidTr="00A13D9A">
        <w:trPr>
          <w:cantSplit/>
          <w:trHeight w:val="300"/>
          <w:jc w:val="center"/>
        </w:trPr>
        <w:tc>
          <w:tcPr>
            <w:tcW w:w="460" w:type="dxa"/>
            <w:shd w:val="clear" w:color="auto" w:fill="auto"/>
            <w:noWrap/>
            <w:vAlign w:val="center"/>
            <w:hideMark/>
          </w:tcPr>
          <w:p w14:paraId="7772F6D6"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6</w:t>
            </w:r>
          </w:p>
        </w:tc>
        <w:tc>
          <w:tcPr>
            <w:tcW w:w="958" w:type="dxa"/>
            <w:shd w:val="clear" w:color="auto" w:fill="auto"/>
            <w:noWrap/>
            <w:vAlign w:val="center"/>
            <w:hideMark/>
          </w:tcPr>
          <w:p w14:paraId="1074671B"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01.02.2018</w:t>
            </w:r>
          </w:p>
        </w:tc>
        <w:tc>
          <w:tcPr>
            <w:tcW w:w="804" w:type="dxa"/>
            <w:shd w:val="clear" w:color="auto" w:fill="auto"/>
            <w:noWrap/>
            <w:vAlign w:val="center"/>
            <w:hideMark/>
          </w:tcPr>
          <w:p w14:paraId="5CA437EB"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st. 77</w:t>
            </w:r>
          </w:p>
        </w:tc>
        <w:tc>
          <w:tcPr>
            <w:tcW w:w="953" w:type="dxa"/>
            <w:shd w:val="clear" w:color="auto" w:fill="auto"/>
            <w:noWrap/>
            <w:vAlign w:val="center"/>
            <w:hideMark/>
          </w:tcPr>
          <w:p w14:paraId="23022CA8"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Hronětice</w:t>
            </w:r>
          </w:p>
        </w:tc>
        <w:tc>
          <w:tcPr>
            <w:tcW w:w="1417" w:type="dxa"/>
            <w:shd w:val="clear" w:color="auto" w:fill="auto"/>
            <w:noWrap/>
            <w:vAlign w:val="center"/>
            <w:hideMark/>
          </w:tcPr>
          <w:p w14:paraId="2577ED4B"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pro rodinné bydlení</w:t>
            </w:r>
          </w:p>
        </w:tc>
        <w:tc>
          <w:tcPr>
            <w:tcW w:w="950" w:type="dxa"/>
            <w:shd w:val="clear" w:color="auto" w:fill="auto"/>
            <w:noWrap/>
            <w:vAlign w:val="center"/>
            <w:hideMark/>
          </w:tcPr>
          <w:p w14:paraId="04D71BEF"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ANO</w:t>
            </w:r>
          </w:p>
        </w:tc>
        <w:tc>
          <w:tcPr>
            <w:tcW w:w="1139" w:type="dxa"/>
            <w:shd w:val="clear" w:color="auto" w:fill="auto"/>
            <w:noWrap/>
            <w:vAlign w:val="center"/>
            <w:hideMark/>
          </w:tcPr>
          <w:p w14:paraId="4B575074"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SV</w:t>
            </w:r>
          </w:p>
        </w:tc>
        <w:tc>
          <w:tcPr>
            <w:tcW w:w="2438" w:type="dxa"/>
            <w:shd w:val="clear" w:color="auto" w:fill="auto"/>
            <w:noWrap/>
            <w:vAlign w:val="center"/>
            <w:hideMark/>
          </w:tcPr>
          <w:p w14:paraId="6FB6478E"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součást stabilizované plochy v ZÚ</w:t>
            </w:r>
          </w:p>
        </w:tc>
      </w:tr>
      <w:tr w:rsidR="00CF1108" w:rsidRPr="006070EA" w14:paraId="5219F817" w14:textId="77777777" w:rsidTr="00A13D9A">
        <w:trPr>
          <w:cantSplit/>
          <w:trHeight w:val="300"/>
          <w:jc w:val="center"/>
        </w:trPr>
        <w:tc>
          <w:tcPr>
            <w:tcW w:w="460" w:type="dxa"/>
            <w:vMerge w:val="restart"/>
            <w:shd w:val="clear" w:color="auto" w:fill="auto"/>
            <w:noWrap/>
            <w:vAlign w:val="center"/>
            <w:hideMark/>
          </w:tcPr>
          <w:p w14:paraId="4F191C79"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7</w:t>
            </w:r>
          </w:p>
        </w:tc>
        <w:tc>
          <w:tcPr>
            <w:tcW w:w="958" w:type="dxa"/>
            <w:vMerge w:val="restart"/>
            <w:shd w:val="clear" w:color="auto" w:fill="auto"/>
            <w:noWrap/>
            <w:vAlign w:val="center"/>
            <w:hideMark/>
          </w:tcPr>
          <w:p w14:paraId="1166336A"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01.02.2018</w:t>
            </w:r>
          </w:p>
        </w:tc>
        <w:tc>
          <w:tcPr>
            <w:tcW w:w="804" w:type="dxa"/>
            <w:shd w:val="clear" w:color="auto" w:fill="auto"/>
            <w:noWrap/>
            <w:vAlign w:val="center"/>
            <w:hideMark/>
          </w:tcPr>
          <w:p w14:paraId="18CF1ABD"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190/1</w:t>
            </w:r>
          </w:p>
        </w:tc>
        <w:tc>
          <w:tcPr>
            <w:tcW w:w="953" w:type="dxa"/>
            <w:shd w:val="clear" w:color="auto" w:fill="auto"/>
            <w:noWrap/>
            <w:vAlign w:val="center"/>
            <w:hideMark/>
          </w:tcPr>
          <w:p w14:paraId="5C418519"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Hronětice</w:t>
            </w:r>
          </w:p>
        </w:tc>
        <w:tc>
          <w:tcPr>
            <w:tcW w:w="1417" w:type="dxa"/>
            <w:shd w:val="clear" w:color="auto" w:fill="auto"/>
            <w:noWrap/>
            <w:vAlign w:val="center"/>
            <w:hideMark/>
          </w:tcPr>
          <w:p w14:paraId="589BF203"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komerční prostory, sklad, výroba, st. parcely</w:t>
            </w:r>
          </w:p>
        </w:tc>
        <w:tc>
          <w:tcPr>
            <w:tcW w:w="950" w:type="dxa"/>
            <w:shd w:val="clear" w:color="auto" w:fill="auto"/>
            <w:noWrap/>
            <w:vAlign w:val="center"/>
            <w:hideMark/>
          </w:tcPr>
          <w:p w14:paraId="71A04670"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ANO, část</w:t>
            </w:r>
          </w:p>
        </w:tc>
        <w:tc>
          <w:tcPr>
            <w:tcW w:w="1139" w:type="dxa"/>
            <w:shd w:val="clear" w:color="auto" w:fill="auto"/>
            <w:noWrap/>
            <w:vAlign w:val="center"/>
            <w:hideMark/>
          </w:tcPr>
          <w:p w14:paraId="2CBB1F5D"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VL částečně</w:t>
            </w:r>
          </w:p>
        </w:tc>
        <w:tc>
          <w:tcPr>
            <w:tcW w:w="2438" w:type="dxa"/>
            <w:shd w:val="clear" w:color="auto" w:fill="auto"/>
            <w:noWrap/>
            <w:vAlign w:val="center"/>
            <w:hideMark/>
          </w:tcPr>
          <w:p w14:paraId="21AF032F"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součást stabilizovaných ploch v ZÚ</w:t>
            </w:r>
          </w:p>
        </w:tc>
      </w:tr>
      <w:tr w:rsidR="00CF1108" w:rsidRPr="006070EA" w14:paraId="6A2589AF" w14:textId="77777777" w:rsidTr="00A13D9A">
        <w:trPr>
          <w:cantSplit/>
          <w:trHeight w:val="300"/>
          <w:jc w:val="center"/>
        </w:trPr>
        <w:tc>
          <w:tcPr>
            <w:tcW w:w="460" w:type="dxa"/>
            <w:vMerge/>
            <w:vAlign w:val="center"/>
            <w:hideMark/>
          </w:tcPr>
          <w:p w14:paraId="494F7846"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08C6012E"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804" w:type="dxa"/>
            <w:shd w:val="clear" w:color="auto" w:fill="auto"/>
            <w:noWrap/>
            <w:vAlign w:val="center"/>
            <w:hideMark/>
          </w:tcPr>
          <w:p w14:paraId="2F27FCD5"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190/2</w:t>
            </w:r>
          </w:p>
        </w:tc>
        <w:tc>
          <w:tcPr>
            <w:tcW w:w="953" w:type="dxa"/>
            <w:shd w:val="clear" w:color="auto" w:fill="auto"/>
            <w:noWrap/>
            <w:vAlign w:val="center"/>
            <w:hideMark/>
          </w:tcPr>
          <w:p w14:paraId="2C1B36EB"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Hronětice</w:t>
            </w:r>
          </w:p>
        </w:tc>
        <w:tc>
          <w:tcPr>
            <w:tcW w:w="1417" w:type="dxa"/>
            <w:shd w:val="clear" w:color="auto" w:fill="auto"/>
            <w:noWrap/>
            <w:vAlign w:val="center"/>
            <w:hideMark/>
          </w:tcPr>
          <w:p w14:paraId="2B16B069"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komerční prostory, sklad, výroba, st. parcely</w:t>
            </w:r>
          </w:p>
        </w:tc>
        <w:tc>
          <w:tcPr>
            <w:tcW w:w="950" w:type="dxa"/>
            <w:shd w:val="clear" w:color="auto" w:fill="auto"/>
            <w:noWrap/>
            <w:vAlign w:val="center"/>
            <w:hideMark/>
          </w:tcPr>
          <w:p w14:paraId="207A7A39"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ANO</w:t>
            </w:r>
          </w:p>
        </w:tc>
        <w:tc>
          <w:tcPr>
            <w:tcW w:w="1139" w:type="dxa"/>
            <w:shd w:val="clear" w:color="auto" w:fill="auto"/>
            <w:noWrap/>
            <w:vAlign w:val="center"/>
            <w:hideMark/>
          </w:tcPr>
          <w:p w14:paraId="15AF9A87"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VL</w:t>
            </w:r>
          </w:p>
        </w:tc>
        <w:tc>
          <w:tcPr>
            <w:tcW w:w="2438" w:type="dxa"/>
            <w:shd w:val="clear" w:color="auto" w:fill="auto"/>
            <w:noWrap/>
            <w:vAlign w:val="center"/>
            <w:hideMark/>
          </w:tcPr>
          <w:p w14:paraId="0CC7DAE7"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součást stabilizované plochy v ZÚ</w:t>
            </w:r>
          </w:p>
        </w:tc>
      </w:tr>
      <w:tr w:rsidR="00CF1108" w:rsidRPr="006070EA" w14:paraId="3AA98CED" w14:textId="77777777" w:rsidTr="00A13D9A">
        <w:trPr>
          <w:cantSplit/>
          <w:trHeight w:val="300"/>
          <w:jc w:val="center"/>
        </w:trPr>
        <w:tc>
          <w:tcPr>
            <w:tcW w:w="460" w:type="dxa"/>
            <w:shd w:val="clear" w:color="auto" w:fill="auto"/>
            <w:noWrap/>
            <w:vAlign w:val="center"/>
            <w:hideMark/>
          </w:tcPr>
          <w:p w14:paraId="3D200080"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8</w:t>
            </w:r>
          </w:p>
        </w:tc>
        <w:tc>
          <w:tcPr>
            <w:tcW w:w="958" w:type="dxa"/>
            <w:shd w:val="clear" w:color="auto" w:fill="auto"/>
            <w:noWrap/>
            <w:vAlign w:val="center"/>
            <w:hideMark/>
          </w:tcPr>
          <w:p w14:paraId="0FC006FE"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27.11.2017</w:t>
            </w:r>
          </w:p>
        </w:tc>
        <w:tc>
          <w:tcPr>
            <w:tcW w:w="804" w:type="dxa"/>
            <w:shd w:val="clear" w:color="auto" w:fill="auto"/>
            <w:noWrap/>
            <w:vAlign w:val="center"/>
            <w:hideMark/>
          </w:tcPr>
          <w:p w14:paraId="54D9059B"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142/1</w:t>
            </w:r>
          </w:p>
        </w:tc>
        <w:tc>
          <w:tcPr>
            <w:tcW w:w="953" w:type="dxa"/>
            <w:shd w:val="clear" w:color="auto" w:fill="auto"/>
            <w:noWrap/>
            <w:vAlign w:val="center"/>
            <w:hideMark/>
          </w:tcPr>
          <w:p w14:paraId="24B8E227"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Hronětice</w:t>
            </w:r>
          </w:p>
        </w:tc>
        <w:tc>
          <w:tcPr>
            <w:tcW w:w="1417" w:type="dxa"/>
            <w:shd w:val="clear" w:color="auto" w:fill="auto"/>
            <w:noWrap/>
            <w:vAlign w:val="center"/>
            <w:hideMark/>
          </w:tcPr>
          <w:p w14:paraId="63C8B9A6"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shd w:val="clear" w:color="auto" w:fill="auto"/>
            <w:noWrap/>
            <w:vAlign w:val="center"/>
            <w:hideMark/>
          </w:tcPr>
          <w:p w14:paraId="2686FA16"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ANO</w:t>
            </w:r>
          </w:p>
        </w:tc>
        <w:tc>
          <w:tcPr>
            <w:tcW w:w="1139" w:type="dxa"/>
            <w:shd w:val="clear" w:color="auto" w:fill="auto"/>
            <w:noWrap/>
            <w:vAlign w:val="center"/>
            <w:hideMark/>
          </w:tcPr>
          <w:p w14:paraId="2334DD3C"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SV</w:t>
            </w:r>
          </w:p>
        </w:tc>
        <w:tc>
          <w:tcPr>
            <w:tcW w:w="2438" w:type="dxa"/>
            <w:shd w:val="clear" w:color="auto" w:fill="auto"/>
            <w:noWrap/>
            <w:vAlign w:val="center"/>
            <w:hideMark/>
          </w:tcPr>
          <w:p w14:paraId="3E1805F6"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součást stabilizované plochy v ZÚ</w:t>
            </w:r>
          </w:p>
        </w:tc>
      </w:tr>
      <w:tr w:rsidR="00CF1108" w:rsidRPr="006070EA" w14:paraId="2E775F30" w14:textId="77777777" w:rsidTr="00A13D9A">
        <w:trPr>
          <w:cantSplit/>
          <w:trHeight w:val="300"/>
          <w:jc w:val="center"/>
        </w:trPr>
        <w:tc>
          <w:tcPr>
            <w:tcW w:w="460" w:type="dxa"/>
            <w:shd w:val="clear" w:color="auto" w:fill="auto"/>
            <w:noWrap/>
            <w:vAlign w:val="center"/>
            <w:hideMark/>
          </w:tcPr>
          <w:p w14:paraId="159042C8"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9</w:t>
            </w:r>
          </w:p>
        </w:tc>
        <w:tc>
          <w:tcPr>
            <w:tcW w:w="958" w:type="dxa"/>
            <w:shd w:val="clear" w:color="auto" w:fill="auto"/>
            <w:noWrap/>
            <w:vAlign w:val="center"/>
            <w:hideMark/>
          </w:tcPr>
          <w:p w14:paraId="5A5EAE99"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27.09.2017</w:t>
            </w:r>
          </w:p>
        </w:tc>
        <w:tc>
          <w:tcPr>
            <w:tcW w:w="804" w:type="dxa"/>
            <w:shd w:val="clear" w:color="auto" w:fill="auto"/>
            <w:noWrap/>
            <w:vAlign w:val="center"/>
            <w:hideMark/>
          </w:tcPr>
          <w:p w14:paraId="7D5D0968"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113/1</w:t>
            </w:r>
          </w:p>
        </w:tc>
        <w:tc>
          <w:tcPr>
            <w:tcW w:w="953" w:type="dxa"/>
            <w:shd w:val="clear" w:color="auto" w:fill="auto"/>
            <w:noWrap/>
            <w:vAlign w:val="center"/>
            <w:hideMark/>
          </w:tcPr>
          <w:p w14:paraId="753ED536"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Hronětice</w:t>
            </w:r>
          </w:p>
        </w:tc>
        <w:tc>
          <w:tcPr>
            <w:tcW w:w="1417" w:type="dxa"/>
            <w:shd w:val="clear" w:color="auto" w:fill="auto"/>
            <w:noWrap/>
            <w:vAlign w:val="center"/>
            <w:hideMark/>
          </w:tcPr>
          <w:p w14:paraId="06867155"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část pozemku převést na výstavbu RD</w:t>
            </w:r>
          </w:p>
        </w:tc>
        <w:tc>
          <w:tcPr>
            <w:tcW w:w="950" w:type="dxa"/>
            <w:shd w:val="clear" w:color="auto" w:fill="auto"/>
            <w:noWrap/>
            <w:vAlign w:val="center"/>
            <w:hideMark/>
          </w:tcPr>
          <w:p w14:paraId="6EB66EF7"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ANO</w:t>
            </w:r>
          </w:p>
        </w:tc>
        <w:tc>
          <w:tcPr>
            <w:tcW w:w="1139" w:type="dxa"/>
            <w:shd w:val="clear" w:color="auto" w:fill="auto"/>
            <w:noWrap/>
            <w:vAlign w:val="center"/>
            <w:hideMark/>
          </w:tcPr>
          <w:p w14:paraId="67CBF68F"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SV částečně</w:t>
            </w:r>
          </w:p>
        </w:tc>
        <w:tc>
          <w:tcPr>
            <w:tcW w:w="2438" w:type="dxa"/>
            <w:shd w:val="clear" w:color="auto" w:fill="auto"/>
            <w:noWrap/>
            <w:vAlign w:val="center"/>
            <w:hideMark/>
          </w:tcPr>
          <w:p w14:paraId="16BEBD78" w14:textId="12E8D1A2"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zastavitelná plocha Z</w:t>
            </w:r>
            <w:r w:rsidR="004F5B3B" w:rsidRPr="006070EA">
              <w:rPr>
                <w:rFonts w:asciiTheme="majorHAnsi" w:eastAsia="Times New Roman" w:hAnsiTheme="majorHAnsi" w:cstheme="majorHAnsi"/>
                <w:color w:val="000000"/>
                <w:sz w:val="18"/>
                <w:szCs w:val="18"/>
                <w:lang w:eastAsia="cs-CZ"/>
              </w:rPr>
              <w:t>.</w:t>
            </w:r>
            <w:r w:rsidRPr="006070EA">
              <w:rPr>
                <w:rFonts w:asciiTheme="majorHAnsi" w:eastAsia="Times New Roman" w:hAnsiTheme="majorHAnsi" w:cstheme="majorHAnsi"/>
                <w:color w:val="000000"/>
                <w:sz w:val="18"/>
                <w:szCs w:val="18"/>
                <w:lang w:eastAsia="cs-CZ"/>
              </w:rPr>
              <w:t>21</w:t>
            </w:r>
          </w:p>
        </w:tc>
      </w:tr>
      <w:tr w:rsidR="00CF1108" w:rsidRPr="006070EA" w14:paraId="6188C67F" w14:textId="77777777" w:rsidTr="00A13D9A">
        <w:trPr>
          <w:cantSplit/>
          <w:trHeight w:val="300"/>
          <w:jc w:val="center"/>
        </w:trPr>
        <w:tc>
          <w:tcPr>
            <w:tcW w:w="460" w:type="dxa"/>
            <w:shd w:val="clear" w:color="auto" w:fill="auto"/>
            <w:noWrap/>
            <w:vAlign w:val="center"/>
            <w:hideMark/>
          </w:tcPr>
          <w:p w14:paraId="348B8FED"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10</w:t>
            </w:r>
          </w:p>
        </w:tc>
        <w:tc>
          <w:tcPr>
            <w:tcW w:w="958" w:type="dxa"/>
            <w:shd w:val="clear" w:color="auto" w:fill="auto"/>
            <w:noWrap/>
            <w:vAlign w:val="center"/>
            <w:hideMark/>
          </w:tcPr>
          <w:p w14:paraId="691D489E"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30.09.2016</w:t>
            </w:r>
          </w:p>
        </w:tc>
        <w:tc>
          <w:tcPr>
            <w:tcW w:w="804" w:type="dxa"/>
            <w:shd w:val="clear" w:color="auto" w:fill="auto"/>
            <w:noWrap/>
            <w:vAlign w:val="center"/>
            <w:hideMark/>
          </w:tcPr>
          <w:p w14:paraId="2377C737"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170</w:t>
            </w:r>
          </w:p>
        </w:tc>
        <w:tc>
          <w:tcPr>
            <w:tcW w:w="953" w:type="dxa"/>
            <w:shd w:val="clear" w:color="auto" w:fill="auto"/>
            <w:noWrap/>
            <w:vAlign w:val="center"/>
            <w:hideMark/>
          </w:tcPr>
          <w:p w14:paraId="45225F73"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Hronětice</w:t>
            </w:r>
          </w:p>
        </w:tc>
        <w:tc>
          <w:tcPr>
            <w:tcW w:w="1417" w:type="dxa"/>
            <w:shd w:val="clear" w:color="auto" w:fill="auto"/>
            <w:noWrap/>
            <w:vAlign w:val="center"/>
            <w:hideMark/>
          </w:tcPr>
          <w:p w14:paraId="52B489C8"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 nerušící výrobní činnost</w:t>
            </w:r>
          </w:p>
        </w:tc>
        <w:tc>
          <w:tcPr>
            <w:tcW w:w="950" w:type="dxa"/>
            <w:shd w:val="clear" w:color="auto" w:fill="auto"/>
            <w:noWrap/>
            <w:vAlign w:val="center"/>
            <w:hideMark/>
          </w:tcPr>
          <w:p w14:paraId="731690AD"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ANO</w:t>
            </w:r>
          </w:p>
        </w:tc>
        <w:tc>
          <w:tcPr>
            <w:tcW w:w="1139" w:type="dxa"/>
            <w:shd w:val="clear" w:color="auto" w:fill="auto"/>
            <w:noWrap/>
            <w:vAlign w:val="center"/>
            <w:hideMark/>
          </w:tcPr>
          <w:p w14:paraId="43B92094"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SV</w:t>
            </w:r>
          </w:p>
        </w:tc>
        <w:tc>
          <w:tcPr>
            <w:tcW w:w="2438" w:type="dxa"/>
            <w:shd w:val="clear" w:color="auto" w:fill="auto"/>
            <w:noWrap/>
            <w:vAlign w:val="center"/>
            <w:hideMark/>
          </w:tcPr>
          <w:p w14:paraId="30239E9D" w14:textId="08BEF0C6"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součást zastavitelné plochy Z</w:t>
            </w:r>
            <w:r w:rsidR="004F5B3B" w:rsidRPr="006070EA">
              <w:rPr>
                <w:rFonts w:asciiTheme="majorHAnsi" w:eastAsia="Times New Roman" w:hAnsiTheme="majorHAnsi" w:cstheme="majorHAnsi"/>
                <w:color w:val="000000"/>
                <w:sz w:val="18"/>
                <w:szCs w:val="18"/>
                <w:lang w:eastAsia="cs-CZ"/>
              </w:rPr>
              <w:t>.</w:t>
            </w:r>
            <w:r w:rsidRPr="006070EA">
              <w:rPr>
                <w:rFonts w:asciiTheme="majorHAnsi" w:eastAsia="Times New Roman" w:hAnsiTheme="majorHAnsi" w:cstheme="majorHAnsi"/>
                <w:color w:val="000000"/>
                <w:sz w:val="18"/>
                <w:szCs w:val="18"/>
                <w:lang w:eastAsia="cs-CZ"/>
              </w:rPr>
              <w:t>20</w:t>
            </w:r>
          </w:p>
        </w:tc>
      </w:tr>
      <w:tr w:rsidR="00CF1108" w:rsidRPr="006070EA" w14:paraId="36A4DC27" w14:textId="77777777" w:rsidTr="00A13D9A">
        <w:trPr>
          <w:cantSplit/>
          <w:trHeight w:val="300"/>
          <w:jc w:val="center"/>
        </w:trPr>
        <w:tc>
          <w:tcPr>
            <w:tcW w:w="460" w:type="dxa"/>
            <w:vMerge w:val="restart"/>
            <w:shd w:val="clear" w:color="auto" w:fill="auto"/>
            <w:noWrap/>
            <w:vAlign w:val="center"/>
            <w:hideMark/>
          </w:tcPr>
          <w:p w14:paraId="5733F1B1"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11</w:t>
            </w:r>
          </w:p>
        </w:tc>
        <w:tc>
          <w:tcPr>
            <w:tcW w:w="958" w:type="dxa"/>
            <w:vMerge w:val="restart"/>
            <w:shd w:val="clear" w:color="auto" w:fill="auto"/>
            <w:noWrap/>
            <w:vAlign w:val="center"/>
            <w:hideMark/>
          </w:tcPr>
          <w:p w14:paraId="7ECC014B"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18.10.2017</w:t>
            </w:r>
          </w:p>
        </w:tc>
        <w:tc>
          <w:tcPr>
            <w:tcW w:w="804" w:type="dxa"/>
            <w:shd w:val="clear" w:color="auto" w:fill="auto"/>
            <w:noWrap/>
            <w:vAlign w:val="center"/>
            <w:hideMark/>
          </w:tcPr>
          <w:p w14:paraId="735A8CF5"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309/24</w:t>
            </w:r>
          </w:p>
        </w:tc>
        <w:tc>
          <w:tcPr>
            <w:tcW w:w="953" w:type="dxa"/>
            <w:shd w:val="clear" w:color="auto" w:fill="auto"/>
            <w:noWrap/>
            <w:vAlign w:val="center"/>
            <w:hideMark/>
          </w:tcPr>
          <w:p w14:paraId="73DE96CD"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Hronětice</w:t>
            </w:r>
          </w:p>
        </w:tc>
        <w:tc>
          <w:tcPr>
            <w:tcW w:w="1417" w:type="dxa"/>
            <w:shd w:val="clear" w:color="auto" w:fill="auto"/>
            <w:noWrap/>
            <w:vAlign w:val="center"/>
            <w:hideMark/>
          </w:tcPr>
          <w:p w14:paraId="3D4C23CB"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plocha pro sportovní létající zařízení</w:t>
            </w:r>
          </w:p>
        </w:tc>
        <w:tc>
          <w:tcPr>
            <w:tcW w:w="950" w:type="dxa"/>
            <w:shd w:val="clear" w:color="auto" w:fill="auto"/>
            <w:noWrap/>
            <w:vAlign w:val="center"/>
            <w:hideMark/>
          </w:tcPr>
          <w:p w14:paraId="2D05FD30"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ANO</w:t>
            </w:r>
          </w:p>
        </w:tc>
        <w:tc>
          <w:tcPr>
            <w:tcW w:w="1139" w:type="dxa"/>
            <w:shd w:val="clear" w:color="auto" w:fill="auto"/>
            <w:noWrap/>
            <w:vAlign w:val="center"/>
            <w:hideMark/>
          </w:tcPr>
          <w:p w14:paraId="59CED721" w14:textId="5966BBFB"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 xml:space="preserve">zařazeno do </w:t>
            </w:r>
            <w:r w:rsidR="004F5B3B" w:rsidRPr="006070EA">
              <w:rPr>
                <w:rFonts w:asciiTheme="majorHAnsi" w:eastAsia="Times New Roman" w:hAnsiTheme="majorHAnsi" w:cstheme="majorHAnsi"/>
                <w:color w:val="000000"/>
                <w:sz w:val="18"/>
                <w:szCs w:val="18"/>
                <w:lang w:eastAsia="cs-CZ"/>
              </w:rPr>
              <w:t>MU.s</w:t>
            </w:r>
          </w:p>
        </w:tc>
        <w:tc>
          <w:tcPr>
            <w:tcW w:w="2438" w:type="dxa"/>
            <w:shd w:val="clear" w:color="auto" w:fill="auto"/>
            <w:noWrap/>
            <w:vAlign w:val="center"/>
            <w:hideMark/>
          </w:tcPr>
          <w:p w14:paraId="6F1FEBC5" w14:textId="5D6D8239"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 xml:space="preserve">požadované využití umožněno v rámci podmínek využití ploch </w:t>
            </w:r>
            <w:r w:rsidR="00AA053D" w:rsidRPr="006070EA">
              <w:rPr>
                <w:rFonts w:asciiTheme="majorHAnsi" w:eastAsia="Times New Roman" w:hAnsiTheme="majorHAnsi" w:cstheme="majorHAnsi"/>
                <w:color w:val="000000"/>
                <w:sz w:val="18"/>
                <w:szCs w:val="18"/>
                <w:lang w:eastAsia="cs-CZ"/>
              </w:rPr>
              <w:t>MU.s</w:t>
            </w:r>
          </w:p>
        </w:tc>
      </w:tr>
      <w:tr w:rsidR="00AA053D" w:rsidRPr="006070EA" w14:paraId="2C80E96A" w14:textId="77777777" w:rsidTr="00A13D9A">
        <w:trPr>
          <w:cantSplit/>
          <w:trHeight w:val="300"/>
          <w:jc w:val="center"/>
        </w:trPr>
        <w:tc>
          <w:tcPr>
            <w:tcW w:w="460" w:type="dxa"/>
            <w:vMerge/>
            <w:vAlign w:val="center"/>
            <w:hideMark/>
          </w:tcPr>
          <w:p w14:paraId="6D9E9A1C"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788B0B1F"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p>
        </w:tc>
        <w:tc>
          <w:tcPr>
            <w:tcW w:w="804" w:type="dxa"/>
            <w:shd w:val="clear" w:color="auto" w:fill="auto"/>
            <w:noWrap/>
            <w:vAlign w:val="center"/>
            <w:hideMark/>
          </w:tcPr>
          <w:p w14:paraId="09369448"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309/25</w:t>
            </w:r>
          </w:p>
        </w:tc>
        <w:tc>
          <w:tcPr>
            <w:tcW w:w="953" w:type="dxa"/>
            <w:shd w:val="clear" w:color="auto" w:fill="auto"/>
            <w:noWrap/>
            <w:vAlign w:val="center"/>
            <w:hideMark/>
          </w:tcPr>
          <w:p w14:paraId="0DE356EA"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Hronětice</w:t>
            </w:r>
          </w:p>
        </w:tc>
        <w:tc>
          <w:tcPr>
            <w:tcW w:w="1417" w:type="dxa"/>
            <w:shd w:val="clear" w:color="auto" w:fill="auto"/>
            <w:noWrap/>
            <w:vAlign w:val="center"/>
            <w:hideMark/>
          </w:tcPr>
          <w:p w14:paraId="658A10CB"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plocha pro sportovní létající zařízení</w:t>
            </w:r>
          </w:p>
        </w:tc>
        <w:tc>
          <w:tcPr>
            <w:tcW w:w="950" w:type="dxa"/>
            <w:shd w:val="clear" w:color="auto" w:fill="auto"/>
            <w:noWrap/>
            <w:vAlign w:val="center"/>
            <w:hideMark/>
          </w:tcPr>
          <w:p w14:paraId="7CB32804"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ANO</w:t>
            </w:r>
          </w:p>
        </w:tc>
        <w:tc>
          <w:tcPr>
            <w:tcW w:w="1139" w:type="dxa"/>
            <w:shd w:val="clear" w:color="auto" w:fill="auto"/>
            <w:noWrap/>
            <w:vAlign w:val="center"/>
            <w:hideMark/>
          </w:tcPr>
          <w:p w14:paraId="00130D5B" w14:textId="18450BC2"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MU.s</w:t>
            </w:r>
          </w:p>
        </w:tc>
        <w:tc>
          <w:tcPr>
            <w:tcW w:w="2438" w:type="dxa"/>
            <w:shd w:val="clear" w:color="auto" w:fill="auto"/>
            <w:noWrap/>
            <w:vAlign w:val="center"/>
            <w:hideMark/>
          </w:tcPr>
          <w:p w14:paraId="75F3FEBF" w14:textId="6D714273"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požadované využití umožněno v rámci podmínek využití ploch MU.s</w:t>
            </w:r>
          </w:p>
        </w:tc>
      </w:tr>
      <w:tr w:rsidR="00AA053D" w:rsidRPr="006070EA" w14:paraId="46ABFE74" w14:textId="77777777" w:rsidTr="00A13D9A">
        <w:trPr>
          <w:cantSplit/>
          <w:trHeight w:val="300"/>
          <w:jc w:val="center"/>
        </w:trPr>
        <w:tc>
          <w:tcPr>
            <w:tcW w:w="460" w:type="dxa"/>
            <w:vMerge/>
            <w:vAlign w:val="center"/>
            <w:hideMark/>
          </w:tcPr>
          <w:p w14:paraId="68874AB7"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294A4C10"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p>
        </w:tc>
        <w:tc>
          <w:tcPr>
            <w:tcW w:w="804" w:type="dxa"/>
            <w:shd w:val="clear" w:color="auto" w:fill="auto"/>
            <w:noWrap/>
            <w:vAlign w:val="center"/>
            <w:hideMark/>
          </w:tcPr>
          <w:p w14:paraId="2254C5C6"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309/31</w:t>
            </w:r>
          </w:p>
        </w:tc>
        <w:tc>
          <w:tcPr>
            <w:tcW w:w="953" w:type="dxa"/>
            <w:shd w:val="clear" w:color="auto" w:fill="auto"/>
            <w:noWrap/>
            <w:vAlign w:val="center"/>
            <w:hideMark/>
          </w:tcPr>
          <w:p w14:paraId="29340D1B"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Hronětice</w:t>
            </w:r>
          </w:p>
        </w:tc>
        <w:tc>
          <w:tcPr>
            <w:tcW w:w="1417" w:type="dxa"/>
            <w:shd w:val="clear" w:color="auto" w:fill="auto"/>
            <w:noWrap/>
            <w:vAlign w:val="center"/>
            <w:hideMark/>
          </w:tcPr>
          <w:p w14:paraId="4CE785EC"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plocha pro sportovní létající zařízení</w:t>
            </w:r>
          </w:p>
        </w:tc>
        <w:tc>
          <w:tcPr>
            <w:tcW w:w="950" w:type="dxa"/>
            <w:shd w:val="clear" w:color="auto" w:fill="auto"/>
            <w:noWrap/>
            <w:vAlign w:val="center"/>
            <w:hideMark/>
          </w:tcPr>
          <w:p w14:paraId="690982A7"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ANO</w:t>
            </w:r>
          </w:p>
        </w:tc>
        <w:tc>
          <w:tcPr>
            <w:tcW w:w="1139" w:type="dxa"/>
            <w:shd w:val="clear" w:color="auto" w:fill="auto"/>
            <w:noWrap/>
            <w:vAlign w:val="center"/>
            <w:hideMark/>
          </w:tcPr>
          <w:p w14:paraId="2CE62B4B" w14:textId="3B1555D3"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MU.s</w:t>
            </w:r>
          </w:p>
        </w:tc>
        <w:tc>
          <w:tcPr>
            <w:tcW w:w="2438" w:type="dxa"/>
            <w:shd w:val="clear" w:color="auto" w:fill="auto"/>
            <w:noWrap/>
            <w:vAlign w:val="center"/>
            <w:hideMark/>
          </w:tcPr>
          <w:p w14:paraId="1517A1EF" w14:textId="23A91C29"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požadované využití umožněno v rámci podmínek využití ploch MU.s</w:t>
            </w:r>
          </w:p>
        </w:tc>
      </w:tr>
      <w:tr w:rsidR="00AA053D" w:rsidRPr="006070EA" w14:paraId="3C1BDB05" w14:textId="77777777" w:rsidTr="00A13D9A">
        <w:trPr>
          <w:cantSplit/>
          <w:trHeight w:val="300"/>
          <w:jc w:val="center"/>
        </w:trPr>
        <w:tc>
          <w:tcPr>
            <w:tcW w:w="460" w:type="dxa"/>
            <w:vMerge/>
            <w:vAlign w:val="center"/>
            <w:hideMark/>
          </w:tcPr>
          <w:p w14:paraId="4F4D7D8F"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6AD6B37C"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p>
        </w:tc>
        <w:tc>
          <w:tcPr>
            <w:tcW w:w="804" w:type="dxa"/>
            <w:shd w:val="clear" w:color="auto" w:fill="auto"/>
            <w:noWrap/>
            <w:vAlign w:val="center"/>
            <w:hideMark/>
          </w:tcPr>
          <w:p w14:paraId="49B08266"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114/68</w:t>
            </w:r>
          </w:p>
        </w:tc>
        <w:tc>
          <w:tcPr>
            <w:tcW w:w="953" w:type="dxa"/>
            <w:shd w:val="clear" w:color="auto" w:fill="auto"/>
            <w:noWrap/>
            <w:vAlign w:val="center"/>
            <w:hideMark/>
          </w:tcPr>
          <w:p w14:paraId="138761B1"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Hronětice</w:t>
            </w:r>
          </w:p>
        </w:tc>
        <w:tc>
          <w:tcPr>
            <w:tcW w:w="1417" w:type="dxa"/>
            <w:shd w:val="clear" w:color="auto" w:fill="auto"/>
            <w:noWrap/>
            <w:vAlign w:val="center"/>
            <w:hideMark/>
          </w:tcPr>
          <w:p w14:paraId="4BBB8696"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plocha pro vybudování skladů a kanceláře</w:t>
            </w:r>
          </w:p>
        </w:tc>
        <w:tc>
          <w:tcPr>
            <w:tcW w:w="950" w:type="dxa"/>
            <w:shd w:val="clear" w:color="auto" w:fill="auto"/>
            <w:noWrap/>
            <w:vAlign w:val="center"/>
            <w:hideMark/>
          </w:tcPr>
          <w:p w14:paraId="742706AD" w14:textId="336048F4"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ANO</w:t>
            </w:r>
          </w:p>
        </w:tc>
        <w:tc>
          <w:tcPr>
            <w:tcW w:w="1139" w:type="dxa"/>
            <w:shd w:val="clear" w:color="auto" w:fill="auto"/>
            <w:noWrap/>
            <w:vAlign w:val="center"/>
            <w:hideMark/>
          </w:tcPr>
          <w:p w14:paraId="1838010D" w14:textId="74A954B3"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MU.s</w:t>
            </w:r>
          </w:p>
        </w:tc>
        <w:tc>
          <w:tcPr>
            <w:tcW w:w="2438" w:type="dxa"/>
            <w:shd w:val="clear" w:color="auto" w:fill="auto"/>
            <w:noWrap/>
            <w:vAlign w:val="center"/>
            <w:hideMark/>
          </w:tcPr>
          <w:p w14:paraId="378D2045" w14:textId="276F1FDC"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požadované využití umožněno v rámci podmínek využití ploch MU.s</w:t>
            </w:r>
          </w:p>
        </w:tc>
      </w:tr>
      <w:tr w:rsidR="00CF1108" w:rsidRPr="006070EA" w14:paraId="44A0CA02" w14:textId="77777777" w:rsidTr="00A13D9A">
        <w:trPr>
          <w:cantSplit/>
          <w:trHeight w:val="300"/>
          <w:jc w:val="center"/>
        </w:trPr>
        <w:tc>
          <w:tcPr>
            <w:tcW w:w="460" w:type="dxa"/>
            <w:vMerge/>
            <w:vAlign w:val="center"/>
            <w:hideMark/>
          </w:tcPr>
          <w:p w14:paraId="13AE347F"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1D20B246"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804" w:type="dxa"/>
            <w:shd w:val="clear" w:color="auto" w:fill="auto"/>
            <w:noWrap/>
            <w:vAlign w:val="center"/>
            <w:hideMark/>
          </w:tcPr>
          <w:p w14:paraId="0A63DB82"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75/1</w:t>
            </w:r>
          </w:p>
        </w:tc>
        <w:tc>
          <w:tcPr>
            <w:tcW w:w="953" w:type="dxa"/>
            <w:shd w:val="clear" w:color="auto" w:fill="auto"/>
            <w:noWrap/>
            <w:vAlign w:val="center"/>
            <w:hideMark/>
          </w:tcPr>
          <w:p w14:paraId="33E8C6EB"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Hronětice</w:t>
            </w:r>
          </w:p>
        </w:tc>
        <w:tc>
          <w:tcPr>
            <w:tcW w:w="1417" w:type="dxa"/>
            <w:shd w:val="clear" w:color="auto" w:fill="auto"/>
            <w:noWrap/>
            <w:vAlign w:val="center"/>
            <w:hideMark/>
          </w:tcPr>
          <w:p w14:paraId="04240429"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shd w:val="clear" w:color="auto" w:fill="auto"/>
            <w:noWrap/>
            <w:vAlign w:val="center"/>
            <w:hideMark/>
          </w:tcPr>
          <w:p w14:paraId="74C043C0"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NE</w:t>
            </w:r>
          </w:p>
        </w:tc>
        <w:tc>
          <w:tcPr>
            <w:tcW w:w="1139" w:type="dxa"/>
            <w:shd w:val="clear" w:color="auto" w:fill="auto"/>
            <w:noWrap/>
            <w:vAlign w:val="center"/>
            <w:hideMark/>
          </w:tcPr>
          <w:p w14:paraId="0EF4190F" w14:textId="49FF8A2E"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 xml:space="preserve">zařazeno do </w:t>
            </w:r>
            <w:r w:rsidR="00AA053D" w:rsidRPr="006070EA">
              <w:rPr>
                <w:rFonts w:asciiTheme="majorHAnsi" w:eastAsia="Times New Roman" w:hAnsiTheme="majorHAnsi" w:cstheme="majorHAnsi"/>
                <w:color w:val="000000"/>
                <w:sz w:val="18"/>
                <w:szCs w:val="18"/>
                <w:lang w:eastAsia="cs-CZ"/>
              </w:rPr>
              <w:t>ZK</w:t>
            </w:r>
          </w:p>
        </w:tc>
        <w:tc>
          <w:tcPr>
            <w:tcW w:w="2438" w:type="dxa"/>
            <w:shd w:val="clear" w:color="auto" w:fill="auto"/>
            <w:noWrap/>
            <w:vAlign w:val="center"/>
            <w:hideMark/>
          </w:tcPr>
          <w:p w14:paraId="4572151D" w14:textId="1F880D23"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sousedství vodního toku a lokálního biokoridoru L</w:t>
            </w:r>
            <w:r w:rsidR="00AA053D" w:rsidRPr="006070EA">
              <w:rPr>
                <w:rFonts w:asciiTheme="majorHAnsi" w:eastAsia="Times New Roman" w:hAnsiTheme="majorHAnsi" w:cstheme="majorHAnsi"/>
                <w:color w:val="000000"/>
                <w:sz w:val="18"/>
                <w:szCs w:val="18"/>
                <w:lang w:eastAsia="cs-CZ"/>
              </w:rPr>
              <w:t>B</w:t>
            </w:r>
            <w:r w:rsidRPr="006070EA">
              <w:rPr>
                <w:rFonts w:asciiTheme="majorHAnsi" w:eastAsia="Times New Roman" w:hAnsiTheme="majorHAnsi" w:cstheme="majorHAnsi"/>
                <w:color w:val="000000"/>
                <w:sz w:val="18"/>
                <w:szCs w:val="18"/>
                <w:lang w:eastAsia="cs-CZ"/>
              </w:rPr>
              <w:t>K</w:t>
            </w:r>
            <w:r w:rsidR="00AA053D" w:rsidRPr="006070EA">
              <w:rPr>
                <w:rFonts w:asciiTheme="majorHAnsi" w:eastAsia="Times New Roman" w:hAnsiTheme="majorHAnsi" w:cstheme="majorHAnsi"/>
                <w:color w:val="000000"/>
                <w:sz w:val="18"/>
                <w:szCs w:val="18"/>
                <w:lang w:eastAsia="cs-CZ"/>
              </w:rPr>
              <w:t>.</w:t>
            </w:r>
            <w:r w:rsidRPr="006070EA">
              <w:rPr>
                <w:rFonts w:asciiTheme="majorHAnsi" w:eastAsia="Times New Roman" w:hAnsiTheme="majorHAnsi" w:cstheme="majorHAnsi"/>
                <w:color w:val="000000"/>
                <w:sz w:val="18"/>
                <w:szCs w:val="18"/>
                <w:lang w:eastAsia="cs-CZ"/>
              </w:rPr>
              <w:t>2, rozvoj zástavby do volné krajiny, sídlo má ucelený a kompaktní tvar</w:t>
            </w:r>
          </w:p>
        </w:tc>
      </w:tr>
      <w:tr w:rsidR="00CF1108" w:rsidRPr="006070EA" w14:paraId="363561DD" w14:textId="77777777" w:rsidTr="00A13D9A">
        <w:trPr>
          <w:cantSplit/>
          <w:trHeight w:val="300"/>
          <w:jc w:val="center"/>
        </w:trPr>
        <w:tc>
          <w:tcPr>
            <w:tcW w:w="460" w:type="dxa"/>
            <w:shd w:val="clear" w:color="auto" w:fill="auto"/>
            <w:noWrap/>
            <w:vAlign w:val="center"/>
            <w:hideMark/>
          </w:tcPr>
          <w:p w14:paraId="67728BB6"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12</w:t>
            </w:r>
          </w:p>
        </w:tc>
        <w:tc>
          <w:tcPr>
            <w:tcW w:w="958" w:type="dxa"/>
            <w:shd w:val="clear" w:color="auto" w:fill="auto"/>
            <w:noWrap/>
            <w:vAlign w:val="center"/>
            <w:hideMark/>
          </w:tcPr>
          <w:p w14:paraId="3066AEEB"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15.12.2016</w:t>
            </w:r>
          </w:p>
        </w:tc>
        <w:tc>
          <w:tcPr>
            <w:tcW w:w="804" w:type="dxa"/>
            <w:shd w:val="clear" w:color="auto" w:fill="auto"/>
            <w:noWrap/>
            <w:vAlign w:val="center"/>
            <w:hideMark/>
          </w:tcPr>
          <w:p w14:paraId="6E513320"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265/15</w:t>
            </w:r>
          </w:p>
        </w:tc>
        <w:tc>
          <w:tcPr>
            <w:tcW w:w="953" w:type="dxa"/>
            <w:shd w:val="clear" w:color="auto" w:fill="auto"/>
            <w:noWrap/>
            <w:vAlign w:val="center"/>
            <w:hideMark/>
          </w:tcPr>
          <w:p w14:paraId="3C2356F3"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Lány u Kostomlat</w:t>
            </w:r>
          </w:p>
        </w:tc>
        <w:tc>
          <w:tcPr>
            <w:tcW w:w="1417" w:type="dxa"/>
            <w:shd w:val="clear" w:color="auto" w:fill="auto"/>
            <w:noWrap/>
            <w:vAlign w:val="center"/>
            <w:hideMark/>
          </w:tcPr>
          <w:p w14:paraId="32CB79BA"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shd w:val="clear" w:color="auto" w:fill="auto"/>
            <w:noWrap/>
            <w:vAlign w:val="center"/>
            <w:hideMark/>
          </w:tcPr>
          <w:p w14:paraId="4309990E"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ANO</w:t>
            </w:r>
          </w:p>
        </w:tc>
        <w:tc>
          <w:tcPr>
            <w:tcW w:w="1139" w:type="dxa"/>
            <w:shd w:val="clear" w:color="auto" w:fill="auto"/>
            <w:noWrap/>
            <w:vAlign w:val="center"/>
            <w:hideMark/>
          </w:tcPr>
          <w:p w14:paraId="624188AC"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část pozemku na SV</w:t>
            </w:r>
          </w:p>
        </w:tc>
        <w:tc>
          <w:tcPr>
            <w:tcW w:w="2438" w:type="dxa"/>
            <w:shd w:val="clear" w:color="auto" w:fill="auto"/>
            <w:noWrap/>
            <w:vAlign w:val="center"/>
            <w:hideMark/>
          </w:tcPr>
          <w:p w14:paraId="07251F7B"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součást stabilizované plochy v ZÚ</w:t>
            </w:r>
          </w:p>
        </w:tc>
      </w:tr>
      <w:tr w:rsidR="00CF1108" w:rsidRPr="006070EA" w14:paraId="77463689" w14:textId="77777777" w:rsidTr="00A13D9A">
        <w:trPr>
          <w:cantSplit/>
          <w:trHeight w:val="300"/>
          <w:jc w:val="center"/>
        </w:trPr>
        <w:tc>
          <w:tcPr>
            <w:tcW w:w="460" w:type="dxa"/>
            <w:shd w:val="clear" w:color="auto" w:fill="auto"/>
            <w:noWrap/>
            <w:vAlign w:val="center"/>
            <w:hideMark/>
          </w:tcPr>
          <w:p w14:paraId="38F82D42"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13</w:t>
            </w:r>
          </w:p>
        </w:tc>
        <w:tc>
          <w:tcPr>
            <w:tcW w:w="958" w:type="dxa"/>
            <w:shd w:val="clear" w:color="auto" w:fill="auto"/>
            <w:noWrap/>
            <w:vAlign w:val="center"/>
            <w:hideMark/>
          </w:tcPr>
          <w:p w14:paraId="23ED0BE1"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15.02.2018</w:t>
            </w:r>
          </w:p>
        </w:tc>
        <w:tc>
          <w:tcPr>
            <w:tcW w:w="804" w:type="dxa"/>
            <w:shd w:val="clear" w:color="auto" w:fill="auto"/>
            <w:noWrap/>
            <w:vAlign w:val="center"/>
            <w:hideMark/>
          </w:tcPr>
          <w:p w14:paraId="57ED747A" w14:textId="35AC9F28" w:rsidR="00CF1108" w:rsidRPr="006070EA" w:rsidRDefault="00112B62"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w:t>
            </w:r>
          </w:p>
        </w:tc>
        <w:tc>
          <w:tcPr>
            <w:tcW w:w="953" w:type="dxa"/>
            <w:shd w:val="clear" w:color="auto" w:fill="auto"/>
            <w:noWrap/>
            <w:vAlign w:val="center"/>
            <w:hideMark/>
          </w:tcPr>
          <w:p w14:paraId="4B9A5FEF"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Lány u Kostomlat</w:t>
            </w:r>
          </w:p>
        </w:tc>
        <w:tc>
          <w:tcPr>
            <w:tcW w:w="1417" w:type="dxa"/>
            <w:shd w:val="clear" w:color="auto" w:fill="auto"/>
            <w:noWrap/>
            <w:vAlign w:val="center"/>
            <w:hideMark/>
          </w:tcPr>
          <w:p w14:paraId="7C5F3813"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 lokalita 9 stávajícího ÚP ponechat pro RD</w:t>
            </w:r>
          </w:p>
        </w:tc>
        <w:tc>
          <w:tcPr>
            <w:tcW w:w="950" w:type="dxa"/>
            <w:shd w:val="clear" w:color="auto" w:fill="auto"/>
            <w:noWrap/>
            <w:vAlign w:val="center"/>
            <w:hideMark/>
          </w:tcPr>
          <w:p w14:paraId="6BF73273"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ANO</w:t>
            </w:r>
          </w:p>
        </w:tc>
        <w:tc>
          <w:tcPr>
            <w:tcW w:w="1139" w:type="dxa"/>
            <w:shd w:val="clear" w:color="auto" w:fill="auto"/>
            <w:noWrap/>
            <w:vAlign w:val="center"/>
            <w:hideMark/>
          </w:tcPr>
          <w:p w14:paraId="0557683B"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SV</w:t>
            </w:r>
          </w:p>
        </w:tc>
        <w:tc>
          <w:tcPr>
            <w:tcW w:w="2438" w:type="dxa"/>
            <w:shd w:val="clear" w:color="auto" w:fill="auto"/>
            <w:noWrap/>
            <w:vAlign w:val="center"/>
            <w:hideMark/>
          </w:tcPr>
          <w:p w14:paraId="05465C0E"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řešeno v rámci urbanistické koncepce a vymezení zastavitelných ploch a zastavěného území v sídle Lány</w:t>
            </w:r>
          </w:p>
        </w:tc>
      </w:tr>
      <w:tr w:rsidR="00CF1108" w:rsidRPr="006070EA" w14:paraId="0A0E8F14" w14:textId="77777777" w:rsidTr="00A13D9A">
        <w:trPr>
          <w:cantSplit/>
          <w:trHeight w:val="300"/>
          <w:jc w:val="center"/>
        </w:trPr>
        <w:tc>
          <w:tcPr>
            <w:tcW w:w="460" w:type="dxa"/>
            <w:shd w:val="clear" w:color="auto" w:fill="auto"/>
            <w:noWrap/>
            <w:vAlign w:val="center"/>
            <w:hideMark/>
          </w:tcPr>
          <w:p w14:paraId="5BA7217A"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14</w:t>
            </w:r>
          </w:p>
        </w:tc>
        <w:tc>
          <w:tcPr>
            <w:tcW w:w="958" w:type="dxa"/>
            <w:shd w:val="clear" w:color="auto" w:fill="auto"/>
            <w:noWrap/>
            <w:vAlign w:val="center"/>
            <w:hideMark/>
          </w:tcPr>
          <w:p w14:paraId="35BC1AF7"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31.01.2018</w:t>
            </w:r>
          </w:p>
        </w:tc>
        <w:tc>
          <w:tcPr>
            <w:tcW w:w="804" w:type="dxa"/>
            <w:shd w:val="clear" w:color="auto" w:fill="auto"/>
            <w:noWrap/>
            <w:vAlign w:val="center"/>
            <w:hideMark/>
          </w:tcPr>
          <w:p w14:paraId="0C6340D0"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274/2</w:t>
            </w:r>
          </w:p>
        </w:tc>
        <w:tc>
          <w:tcPr>
            <w:tcW w:w="953" w:type="dxa"/>
            <w:shd w:val="clear" w:color="auto" w:fill="auto"/>
            <w:noWrap/>
            <w:vAlign w:val="center"/>
            <w:hideMark/>
          </w:tcPr>
          <w:p w14:paraId="56BA1F30"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Lány u Kostomlat</w:t>
            </w:r>
          </w:p>
        </w:tc>
        <w:tc>
          <w:tcPr>
            <w:tcW w:w="1417" w:type="dxa"/>
            <w:shd w:val="clear" w:color="auto" w:fill="auto"/>
            <w:noWrap/>
            <w:vAlign w:val="center"/>
            <w:hideMark/>
          </w:tcPr>
          <w:p w14:paraId="3D4B540C"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shd w:val="clear" w:color="auto" w:fill="auto"/>
            <w:noWrap/>
            <w:vAlign w:val="center"/>
            <w:hideMark/>
          </w:tcPr>
          <w:p w14:paraId="0DE42183"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ANO</w:t>
            </w:r>
          </w:p>
        </w:tc>
        <w:tc>
          <w:tcPr>
            <w:tcW w:w="1139" w:type="dxa"/>
            <w:shd w:val="clear" w:color="auto" w:fill="auto"/>
            <w:noWrap/>
            <w:vAlign w:val="center"/>
            <w:hideMark/>
          </w:tcPr>
          <w:p w14:paraId="03E64734"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SV částečně</w:t>
            </w:r>
          </w:p>
        </w:tc>
        <w:tc>
          <w:tcPr>
            <w:tcW w:w="2438" w:type="dxa"/>
            <w:shd w:val="clear" w:color="auto" w:fill="auto"/>
            <w:noWrap/>
            <w:vAlign w:val="center"/>
            <w:hideMark/>
          </w:tcPr>
          <w:p w14:paraId="34465A9A" w14:textId="02657116"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r>
      <w:tr w:rsidR="00CF1108" w:rsidRPr="006070EA" w14:paraId="75371442" w14:textId="77777777" w:rsidTr="00A13D9A">
        <w:trPr>
          <w:cantSplit/>
          <w:trHeight w:val="480"/>
          <w:jc w:val="center"/>
        </w:trPr>
        <w:tc>
          <w:tcPr>
            <w:tcW w:w="460" w:type="dxa"/>
            <w:shd w:val="clear" w:color="auto" w:fill="auto"/>
            <w:noWrap/>
            <w:vAlign w:val="center"/>
            <w:hideMark/>
          </w:tcPr>
          <w:p w14:paraId="6B93B087"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15</w:t>
            </w:r>
          </w:p>
        </w:tc>
        <w:tc>
          <w:tcPr>
            <w:tcW w:w="958" w:type="dxa"/>
            <w:shd w:val="clear" w:color="auto" w:fill="auto"/>
            <w:noWrap/>
            <w:vAlign w:val="center"/>
            <w:hideMark/>
          </w:tcPr>
          <w:p w14:paraId="1BE82913"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14.01.2020</w:t>
            </w:r>
          </w:p>
        </w:tc>
        <w:tc>
          <w:tcPr>
            <w:tcW w:w="804" w:type="dxa"/>
            <w:shd w:val="clear" w:color="auto" w:fill="auto"/>
            <w:noWrap/>
            <w:vAlign w:val="center"/>
            <w:hideMark/>
          </w:tcPr>
          <w:p w14:paraId="347C8576"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184</w:t>
            </w:r>
          </w:p>
        </w:tc>
        <w:tc>
          <w:tcPr>
            <w:tcW w:w="953" w:type="dxa"/>
            <w:shd w:val="clear" w:color="auto" w:fill="auto"/>
            <w:noWrap/>
            <w:vAlign w:val="center"/>
            <w:hideMark/>
          </w:tcPr>
          <w:p w14:paraId="2818C541"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Kostomlaty nad Labem</w:t>
            </w:r>
          </w:p>
        </w:tc>
        <w:tc>
          <w:tcPr>
            <w:tcW w:w="1417" w:type="dxa"/>
            <w:shd w:val="clear" w:color="auto" w:fill="auto"/>
            <w:noWrap/>
            <w:vAlign w:val="center"/>
            <w:hideMark/>
          </w:tcPr>
          <w:p w14:paraId="595409BB"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shd w:val="clear" w:color="auto" w:fill="auto"/>
            <w:noWrap/>
            <w:vAlign w:val="center"/>
            <w:hideMark/>
          </w:tcPr>
          <w:p w14:paraId="080630D7"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NE</w:t>
            </w:r>
          </w:p>
        </w:tc>
        <w:tc>
          <w:tcPr>
            <w:tcW w:w="1139" w:type="dxa"/>
            <w:shd w:val="clear" w:color="auto" w:fill="auto"/>
            <w:vAlign w:val="center"/>
            <w:hideMark/>
          </w:tcPr>
          <w:p w14:paraId="708C5CC7"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NZ</w:t>
            </w:r>
          </w:p>
        </w:tc>
        <w:tc>
          <w:tcPr>
            <w:tcW w:w="2438" w:type="dxa"/>
            <w:shd w:val="clear" w:color="auto" w:fill="auto"/>
            <w:noWrap/>
            <w:vAlign w:val="center"/>
            <w:hideMark/>
          </w:tcPr>
          <w:p w14:paraId="53D032BB" w14:textId="24BEEA3B"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 xml:space="preserve">konflikt s koridorem </w:t>
            </w:r>
            <w:r w:rsidR="00AA053D" w:rsidRPr="006070EA">
              <w:rPr>
                <w:rFonts w:asciiTheme="majorHAnsi" w:eastAsia="Times New Roman" w:hAnsiTheme="majorHAnsi" w:cstheme="majorHAnsi"/>
                <w:color w:val="000000"/>
                <w:sz w:val="18"/>
                <w:szCs w:val="18"/>
                <w:lang w:eastAsia="cs-CZ"/>
              </w:rPr>
              <w:t>CNU.</w:t>
            </w:r>
            <w:r w:rsidRPr="006070EA">
              <w:rPr>
                <w:rFonts w:asciiTheme="majorHAnsi" w:eastAsia="Times New Roman" w:hAnsiTheme="majorHAnsi" w:cstheme="majorHAnsi"/>
                <w:color w:val="000000"/>
                <w:sz w:val="18"/>
                <w:szCs w:val="18"/>
                <w:lang w:eastAsia="cs-CZ"/>
              </w:rPr>
              <w:t>KD1 a s plánovanou přeložkou silnice III. třídy v tomto koridoru, požadavek nemá vztah k platnému ÚPO, blízkost železniční trati</w:t>
            </w:r>
          </w:p>
        </w:tc>
      </w:tr>
      <w:tr w:rsidR="00CF1108" w:rsidRPr="006070EA" w14:paraId="30ED5C93" w14:textId="77777777" w:rsidTr="00A13D9A">
        <w:trPr>
          <w:cantSplit/>
          <w:trHeight w:val="300"/>
          <w:jc w:val="center"/>
        </w:trPr>
        <w:tc>
          <w:tcPr>
            <w:tcW w:w="460" w:type="dxa"/>
            <w:shd w:val="clear" w:color="auto" w:fill="auto"/>
            <w:noWrap/>
            <w:vAlign w:val="center"/>
            <w:hideMark/>
          </w:tcPr>
          <w:p w14:paraId="5D11307F"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16</w:t>
            </w:r>
          </w:p>
        </w:tc>
        <w:tc>
          <w:tcPr>
            <w:tcW w:w="958" w:type="dxa"/>
            <w:shd w:val="clear" w:color="auto" w:fill="auto"/>
            <w:noWrap/>
            <w:vAlign w:val="center"/>
            <w:hideMark/>
          </w:tcPr>
          <w:p w14:paraId="777E502D"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10.01.2018</w:t>
            </w:r>
          </w:p>
        </w:tc>
        <w:tc>
          <w:tcPr>
            <w:tcW w:w="804" w:type="dxa"/>
            <w:shd w:val="clear" w:color="auto" w:fill="auto"/>
            <w:noWrap/>
            <w:vAlign w:val="center"/>
            <w:hideMark/>
          </w:tcPr>
          <w:p w14:paraId="43D6B899"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272/9</w:t>
            </w:r>
          </w:p>
        </w:tc>
        <w:tc>
          <w:tcPr>
            <w:tcW w:w="953" w:type="dxa"/>
            <w:shd w:val="clear" w:color="auto" w:fill="auto"/>
            <w:noWrap/>
            <w:vAlign w:val="center"/>
            <w:hideMark/>
          </w:tcPr>
          <w:p w14:paraId="1F748EF0"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Lány u Kostomlat</w:t>
            </w:r>
          </w:p>
        </w:tc>
        <w:tc>
          <w:tcPr>
            <w:tcW w:w="1417" w:type="dxa"/>
            <w:shd w:val="clear" w:color="auto" w:fill="auto"/>
            <w:noWrap/>
            <w:vAlign w:val="center"/>
            <w:hideMark/>
          </w:tcPr>
          <w:p w14:paraId="559C605B"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shd w:val="clear" w:color="auto" w:fill="auto"/>
            <w:noWrap/>
            <w:vAlign w:val="center"/>
            <w:hideMark/>
          </w:tcPr>
          <w:p w14:paraId="6B2974B9"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ANO, část</w:t>
            </w:r>
          </w:p>
        </w:tc>
        <w:tc>
          <w:tcPr>
            <w:tcW w:w="1139" w:type="dxa"/>
            <w:shd w:val="clear" w:color="auto" w:fill="auto"/>
            <w:noWrap/>
            <w:vAlign w:val="center"/>
            <w:hideMark/>
          </w:tcPr>
          <w:p w14:paraId="306FCC1A"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SV částečně</w:t>
            </w:r>
          </w:p>
        </w:tc>
        <w:tc>
          <w:tcPr>
            <w:tcW w:w="2438" w:type="dxa"/>
            <w:shd w:val="clear" w:color="auto" w:fill="auto"/>
            <w:noWrap/>
            <w:vAlign w:val="center"/>
            <w:hideMark/>
          </w:tcPr>
          <w:p w14:paraId="4BF5D4B1" w14:textId="610F4DDF"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součást zastavitelné plochy Z</w:t>
            </w:r>
            <w:r w:rsidR="00AA053D" w:rsidRPr="006070EA">
              <w:rPr>
                <w:rFonts w:asciiTheme="majorHAnsi" w:eastAsia="Times New Roman" w:hAnsiTheme="majorHAnsi" w:cstheme="majorHAnsi"/>
                <w:color w:val="000000"/>
                <w:sz w:val="18"/>
                <w:szCs w:val="18"/>
                <w:lang w:eastAsia="cs-CZ"/>
              </w:rPr>
              <w:t>.</w:t>
            </w:r>
            <w:r w:rsidRPr="006070EA">
              <w:rPr>
                <w:rFonts w:asciiTheme="majorHAnsi" w:eastAsia="Times New Roman" w:hAnsiTheme="majorHAnsi" w:cstheme="majorHAnsi"/>
                <w:color w:val="000000"/>
                <w:sz w:val="18"/>
                <w:szCs w:val="18"/>
                <w:lang w:eastAsia="cs-CZ"/>
              </w:rPr>
              <w:t>19</w:t>
            </w:r>
          </w:p>
        </w:tc>
      </w:tr>
      <w:tr w:rsidR="00CF1108" w:rsidRPr="006070EA" w14:paraId="1B50D18D" w14:textId="77777777" w:rsidTr="00A13D9A">
        <w:trPr>
          <w:cantSplit/>
          <w:trHeight w:val="300"/>
          <w:jc w:val="center"/>
        </w:trPr>
        <w:tc>
          <w:tcPr>
            <w:tcW w:w="460" w:type="dxa"/>
            <w:vMerge w:val="restart"/>
            <w:shd w:val="clear" w:color="auto" w:fill="auto"/>
            <w:noWrap/>
            <w:vAlign w:val="center"/>
            <w:hideMark/>
          </w:tcPr>
          <w:p w14:paraId="1D0537D0"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17</w:t>
            </w:r>
          </w:p>
        </w:tc>
        <w:tc>
          <w:tcPr>
            <w:tcW w:w="958" w:type="dxa"/>
            <w:vMerge w:val="restart"/>
            <w:shd w:val="clear" w:color="auto" w:fill="auto"/>
            <w:noWrap/>
            <w:vAlign w:val="center"/>
            <w:hideMark/>
          </w:tcPr>
          <w:p w14:paraId="6C3AFA2E"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30.01.2018</w:t>
            </w:r>
          </w:p>
        </w:tc>
        <w:tc>
          <w:tcPr>
            <w:tcW w:w="804" w:type="dxa"/>
            <w:shd w:val="clear" w:color="auto" w:fill="auto"/>
            <w:noWrap/>
            <w:vAlign w:val="center"/>
            <w:hideMark/>
          </w:tcPr>
          <w:p w14:paraId="2D9CABD3"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276/4</w:t>
            </w:r>
          </w:p>
        </w:tc>
        <w:tc>
          <w:tcPr>
            <w:tcW w:w="953" w:type="dxa"/>
            <w:shd w:val="clear" w:color="auto" w:fill="auto"/>
            <w:noWrap/>
            <w:vAlign w:val="center"/>
            <w:hideMark/>
          </w:tcPr>
          <w:p w14:paraId="6E7893E4"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Lány u Kostomlat</w:t>
            </w:r>
          </w:p>
        </w:tc>
        <w:tc>
          <w:tcPr>
            <w:tcW w:w="1417" w:type="dxa"/>
            <w:shd w:val="clear" w:color="auto" w:fill="auto"/>
            <w:noWrap/>
            <w:vAlign w:val="center"/>
            <w:hideMark/>
          </w:tcPr>
          <w:p w14:paraId="22CE94A8"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shd w:val="clear" w:color="auto" w:fill="auto"/>
            <w:noWrap/>
            <w:vAlign w:val="center"/>
            <w:hideMark/>
          </w:tcPr>
          <w:p w14:paraId="6A29AA33"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ANO, část</w:t>
            </w:r>
          </w:p>
        </w:tc>
        <w:tc>
          <w:tcPr>
            <w:tcW w:w="1139" w:type="dxa"/>
            <w:shd w:val="clear" w:color="auto" w:fill="auto"/>
            <w:noWrap/>
            <w:vAlign w:val="center"/>
            <w:hideMark/>
          </w:tcPr>
          <w:p w14:paraId="5B735711"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SV částečně</w:t>
            </w:r>
          </w:p>
        </w:tc>
        <w:tc>
          <w:tcPr>
            <w:tcW w:w="2438" w:type="dxa"/>
            <w:shd w:val="clear" w:color="auto" w:fill="auto"/>
            <w:noWrap/>
            <w:vAlign w:val="center"/>
            <w:hideMark/>
          </w:tcPr>
          <w:p w14:paraId="72E020A2" w14:textId="232B4BB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součást zastavitelné plochy Z</w:t>
            </w:r>
            <w:r w:rsidR="00AA053D" w:rsidRPr="006070EA">
              <w:rPr>
                <w:rFonts w:asciiTheme="majorHAnsi" w:eastAsia="Times New Roman" w:hAnsiTheme="majorHAnsi" w:cstheme="majorHAnsi"/>
                <w:color w:val="000000"/>
                <w:sz w:val="18"/>
                <w:szCs w:val="18"/>
                <w:lang w:eastAsia="cs-CZ"/>
              </w:rPr>
              <w:t>.</w:t>
            </w:r>
            <w:r w:rsidRPr="006070EA">
              <w:rPr>
                <w:rFonts w:asciiTheme="majorHAnsi" w:eastAsia="Times New Roman" w:hAnsiTheme="majorHAnsi" w:cstheme="majorHAnsi"/>
                <w:color w:val="000000"/>
                <w:sz w:val="18"/>
                <w:szCs w:val="18"/>
                <w:lang w:eastAsia="cs-CZ"/>
              </w:rPr>
              <w:t>16</w:t>
            </w:r>
          </w:p>
        </w:tc>
      </w:tr>
      <w:tr w:rsidR="00CF1108" w:rsidRPr="006070EA" w14:paraId="0D0C0DDB" w14:textId="77777777" w:rsidTr="00A13D9A">
        <w:trPr>
          <w:cantSplit/>
          <w:trHeight w:val="300"/>
          <w:jc w:val="center"/>
        </w:trPr>
        <w:tc>
          <w:tcPr>
            <w:tcW w:w="460" w:type="dxa"/>
            <w:vMerge/>
            <w:vAlign w:val="center"/>
            <w:hideMark/>
          </w:tcPr>
          <w:p w14:paraId="0683DAE1"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0B709640"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804" w:type="dxa"/>
            <w:shd w:val="clear" w:color="auto" w:fill="auto"/>
            <w:noWrap/>
            <w:vAlign w:val="center"/>
            <w:hideMark/>
          </w:tcPr>
          <w:p w14:paraId="7940C4AD"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276/5</w:t>
            </w:r>
          </w:p>
        </w:tc>
        <w:tc>
          <w:tcPr>
            <w:tcW w:w="953" w:type="dxa"/>
            <w:shd w:val="clear" w:color="auto" w:fill="auto"/>
            <w:noWrap/>
            <w:vAlign w:val="center"/>
            <w:hideMark/>
          </w:tcPr>
          <w:p w14:paraId="44C6203A"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Lány u Kostomlat</w:t>
            </w:r>
          </w:p>
        </w:tc>
        <w:tc>
          <w:tcPr>
            <w:tcW w:w="1417" w:type="dxa"/>
            <w:shd w:val="clear" w:color="auto" w:fill="auto"/>
            <w:noWrap/>
            <w:vAlign w:val="center"/>
            <w:hideMark/>
          </w:tcPr>
          <w:p w14:paraId="7FCF22D0"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shd w:val="clear" w:color="auto" w:fill="auto"/>
            <w:noWrap/>
            <w:vAlign w:val="center"/>
            <w:hideMark/>
          </w:tcPr>
          <w:p w14:paraId="48778C49"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ANO, část</w:t>
            </w:r>
          </w:p>
        </w:tc>
        <w:tc>
          <w:tcPr>
            <w:tcW w:w="1139" w:type="dxa"/>
            <w:shd w:val="clear" w:color="auto" w:fill="auto"/>
            <w:noWrap/>
            <w:vAlign w:val="center"/>
            <w:hideMark/>
          </w:tcPr>
          <w:p w14:paraId="2D4D96C6"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SV částečně</w:t>
            </w:r>
          </w:p>
        </w:tc>
        <w:tc>
          <w:tcPr>
            <w:tcW w:w="2438" w:type="dxa"/>
            <w:shd w:val="clear" w:color="auto" w:fill="auto"/>
            <w:noWrap/>
            <w:vAlign w:val="center"/>
            <w:hideMark/>
          </w:tcPr>
          <w:p w14:paraId="149E03FF" w14:textId="4F046DF1"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součást zastavitelné plochy Z</w:t>
            </w:r>
            <w:r w:rsidR="00AA053D" w:rsidRPr="006070EA">
              <w:rPr>
                <w:rFonts w:asciiTheme="majorHAnsi" w:eastAsia="Times New Roman" w:hAnsiTheme="majorHAnsi" w:cstheme="majorHAnsi"/>
                <w:color w:val="000000"/>
                <w:sz w:val="18"/>
                <w:szCs w:val="18"/>
                <w:lang w:eastAsia="cs-CZ"/>
              </w:rPr>
              <w:t>.</w:t>
            </w:r>
            <w:r w:rsidRPr="006070EA">
              <w:rPr>
                <w:rFonts w:asciiTheme="majorHAnsi" w:eastAsia="Times New Roman" w:hAnsiTheme="majorHAnsi" w:cstheme="majorHAnsi"/>
                <w:color w:val="000000"/>
                <w:sz w:val="18"/>
                <w:szCs w:val="18"/>
                <w:lang w:eastAsia="cs-CZ"/>
              </w:rPr>
              <w:t>16</w:t>
            </w:r>
          </w:p>
        </w:tc>
      </w:tr>
      <w:tr w:rsidR="00CF1108" w:rsidRPr="006070EA" w14:paraId="4CCC721E" w14:textId="77777777" w:rsidTr="00A13D9A">
        <w:trPr>
          <w:cantSplit/>
          <w:trHeight w:val="300"/>
          <w:jc w:val="center"/>
        </w:trPr>
        <w:tc>
          <w:tcPr>
            <w:tcW w:w="460" w:type="dxa"/>
            <w:vMerge w:val="restart"/>
            <w:shd w:val="clear" w:color="auto" w:fill="auto"/>
            <w:noWrap/>
            <w:vAlign w:val="center"/>
            <w:hideMark/>
          </w:tcPr>
          <w:p w14:paraId="227C3139"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lastRenderedPageBreak/>
              <w:t>18</w:t>
            </w:r>
          </w:p>
        </w:tc>
        <w:tc>
          <w:tcPr>
            <w:tcW w:w="958" w:type="dxa"/>
            <w:vMerge w:val="restart"/>
            <w:shd w:val="clear" w:color="auto" w:fill="auto"/>
            <w:noWrap/>
            <w:vAlign w:val="center"/>
            <w:hideMark/>
          </w:tcPr>
          <w:p w14:paraId="1179270F"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05.02.2018</w:t>
            </w:r>
          </w:p>
        </w:tc>
        <w:tc>
          <w:tcPr>
            <w:tcW w:w="804" w:type="dxa"/>
            <w:shd w:val="clear" w:color="auto" w:fill="auto"/>
            <w:noWrap/>
            <w:vAlign w:val="center"/>
            <w:hideMark/>
          </w:tcPr>
          <w:p w14:paraId="6FDC2BA2"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274/14</w:t>
            </w:r>
          </w:p>
        </w:tc>
        <w:tc>
          <w:tcPr>
            <w:tcW w:w="953" w:type="dxa"/>
            <w:shd w:val="clear" w:color="auto" w:fill="auto"/>
            <w:noWrap/>
            <w:vAlign w:val="center"/>
            <w:hideMark/>
          </w:tcPr>
          <w:p w14:paraId="6C82E71A"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Lány u Kostomlat</w:t>
            </w:r>
          </w:p>
        </w:tc>
        <w:tc>
          <w:tcPr>
            <w:tcW w:w="1417" w:type="dxa"/>
            <w:shd w:val="clear" w:color="auto" w:fill="auto"/>
            <w:noWrap/>
            <w:vAlign w:val="center"/>
            <w:hideMark/>
          </w:tcPr>
          <w:p w14:paraId="74E8B705"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shd w:val="clear" w:color="auto" w:fill="auto"/>
            <w:noWrap/>
            <w:vAlign w:val="center"/>
            <w:hideMark/>
          </w:tcPr>
          <w:p w14:paraId="1EC22E49"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ANO, část</w:t>
            </w:r>
          </w:p>
        </w:tc>
        <w:tc>
          <w:tcPr>
            <w:tcW w:w="1139" w:type="dxa"/>
            <w:shd w:val="clear" w:color="auto" w:fill="auto"/>
            <w:noWrap/>
            <w:vAlign w:val="center"/>
            <w:hideMark/>
          </w:tcPr>
          <w:p w14:paraId="1A76568D"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SV částečně</w:t>
            </w:r>
          </w:p>
        </w:tc>
        <w:tc>
          <w:tcPr>
            <w:tcW w:w="2438" w:type="dxa"/>
            <w:shd w:val="clear" w:color="auto" w:fill="auto"/>
            <w:noWrap/>
            <w:vAlign w:val="center"/>
            <w:hideMark/>
          </w:tcPr>
          <w:p w14:paraId="48E32342" w14:textId="77FA94CF"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součást zastavitelné plochy Z</w:t>
            </w:r>
            <w:r w:rsidR="00AA053D" w:rsidRPr="006070EA">
              <w:rPr>
                <w:rFonts w:asciiTheme="majorHAnsi" w:eastAsia="Times New Roman" w:hAnsiTheme="majorHAnsi" w:cstheme="majorHAnsi"/>
                <w:color w:val="000000"/>
                <w:sz w:val="18"/>
                <w:szCs w:val="18"/>
                <w:lang w:eastAsia="cs-CZ"/>
              </w:rPr>
              <w:t>.</w:t>
            </w:r>
            <w:r w:rsidRPr="006070EA">
              <w:rPr>
                <w:rFonts w:asciiTheme="majorHAnsi" w:eastAsia="Times New Roman" w:hAnsiTheme="majorHAnsi" w:cstheme="majorHAnsi"/>
                <w:color w:val="000000"/>
                <w:sz w:val="18"/>
                <w:szCs w:val="18"/>
                <w:lang w:eastAsia="cs-CZ"/>
              </w:rPr>
              <w:t>18</w:t>
            </w:r>
          </w:p>
        </w:tc>
      </w:tr>
      <w:tr w:rsidR="00CF1108" w:rsidRPr="006070EA" w14:paraId="3321B59D" w14:textId="77777777" w:rsidTr="00A13D9A">
        <w:trPr>
          <w:cantSplit/>
          <w:trHeight w:val="300"/>
          <w:jc w:val="center"/>
        </w:trPr>
        <w:tc>
          <w:tcPr>
            <w:tcW w:w="460" w:type="dxa"/>
            <w:vMerge/>
            <w:vAlign w:val="center"/>
            <w:hideMark/>
          </w:tcPr>
          <w:p w14:paraId="5A42CC41"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4FA2ADE8"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804" w:type="dxa"/>
            <w:shd w:val="clear" w:color="auto" w:fill="auto"/>
            <w:noWrap/>
            <w:vAlign w:val="center"/>
            <w:hideMark/>
          </w:tcPr>
          <w:p w14:paraId="2EF68462"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274/24</w:t>
            </w:r>
          </w:p>
        </w:tc>
        <w:tc>
          <w:tcPr>
            <w:tcW w:w="953" w:type="dxa"/>
            <w:shd w:val="clear" w:color="auto" w:fill="auto"/>
            <w:noWrap/>
            <w:vAlign w:val="center"/>
            <w:hideMark/>
          </w:tcPr>
          <w:p w14:paraId="42417B0B"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Lány u Kostomlat</w:t>
            </w:r>
          </w:p>
        </w:tc>
        <w:tc>
          <w:tcPr>
            <w:tcW w:w="1417" w:type="dxa"/>
            <w:shd w:val="clear" w:color="auto" w:fill="auto"/>
            <w:noWrap/>
            <w:vAlign w:val="center"/>
            <w:hideMark/>
          </w:tcPr>
          <w:p w14:paraId="651A2DDC"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shd w:val="clear" w:color="auto" w:fill="auto"/>
            <w:noWrap/>
            <w:vAlign w:val="center"/>
            <w:hideMark/>
          </w:tcPr>
          <w:p w14:paraId="385E3B19"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ANO, část</w:t>
            </w:r>
          </w:p>
        </w:tc>
        <w:tc>
          <w:tcPr>
            <w:tcW w:w="1139" w:type="dxa"/>
            <w:shd w:val="clear" w:color="auto" w:fill="auto"/>
            <w:noWrap/>
            <w:vAlign w:val="center"/>
            <w:hideMark/>
          </w:tcPr>
          <w:p w14:paraId="120DF052"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SV částečně</w:t>
            </w:r>
          </w:p>
        </w:tc>
        <w:tc>
          <w:tcPr>
            <w:tcW w:w="2438" w:type="dxa"/>
            <w:shd w:val="clear" w:color="auto" w:fill="auto"/>
            <w:noWrap/>
            <w:vAlign w:val="center"/>
            <w:hideMark/>
          </w:tcPr>
          <w:p w14:paraId="3BC94325" w14:textId="632BB65E"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součást zastavitelné plochy Z</w:t>
            </w:r>
            <w:r w:rsidR="00AA053D" w:rsidRPr="006070EA">
              <w:rPr>
                <w:rFonts w:asciiTheme="majorHAnsi" w:eastAsia="Times New Roman" w:hAnsiTheme="majorHAnsi" w:cstheme="majorHAnsi"/>
                <w:color w:val="000000"/>
                <w:sz w:val="18"/>
                <w:szCs w:val="18"/>
                <w:lang w:eastAsia="cs-CZ"/>
              </w:rPr>
              <w:t>.</w:t>
            </w:r>
            <w:r w:rsidRPr="006070EA">
              <w:rPr>
                <w:rFonts w:asciiTheme="majorHAnsi" w:eastAsia="Times New Roman" w:hAnsiTheme="majorHAnsi" w:cstheme="majorHAnsi"/>
                <w:color w:val="000000"/>
                <w:sz w:val="18"/>
                <w:szCs w:val="18"/>
                <w:lang w:eastAsia="cs-CZ"/>
              </w:rPr>
              <w:t>18</w:t>
            </w:r>
          </w:p>
        </w:tc>
      </w:tr>
      <w:tr w:rsidR="00CF1108" w:rsidRPr="006070EA" w14:paraId="5376306D" w14:textId="77777777" w:rsidTr="00A13D9A">
        <w:trPr>
          <w:cantSplit/>
          <w:trHeight w:val="300"/>
          <w:jc w:val="center"/>
        </w:trPr>
        <w:tc>
          <w:tcPr>
            <w:tcW w:w="460" w:type="dxa"/>
            <w:vMerge/>
            <w:vAlign w:val="center"/>
            <w:hideMark/>
          </w:tcPr>
          <w:p w14:paraId="2F411357"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6E8FB922"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804" w:type="dxa"/>
            <w:shd w:val="clear" w:color="auto" w:fill="auto"/>
            <w:noWrap/>
            <w:vAlign w:val="center"/>
            <w:hideMark/>
          </w:tcPr>
          <w:p w14:paraId="1ABE46F6"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275/15</w:t>
            </w:r>
          </w:p>
        </w:tc>
        <w:tc>
          <w:tcPr>
            <w:tcW w:w="953" w:type="dxa"/>
            <w:shd w:val="clear" w:color="auto" w:fill="auto"/>
            <w:noWrap/>
            <w:vAlign w:val="center"/>
            <w:hideMark/>
          </w:tcPr>
          <w:p w14:paraId="10B51DB7"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Lány u Kostomlat</w:t>
            </w:r>
          </w:p>
        </w:tc>
        <w:tc>
          <w:tcPr>
            <w:tcW w:w="1417" w:type="dxa"/>
            <w:shd w:val="clear" w:color="auto" w:fill="auto"/>
            <w:noWrap/>
            <w:vAlign w:val="center"/>
            <w:hideMark/>
          </w:tcPr>
          <w:p w14:paraId="0F41C0DD"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shd w:val="clear" w:color="auto" w:fill="auto"/>
            <w:noWrap/>
            <w:vAlign w:val="center"/>
            <w:hideMark/>
          </w:tcPr>
          <w:p w14:paraId="6890876B"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ANO, část</w:t>
            </w:r>
          </w:p>
        </w:tc>
        <w:tc>
          <w:tcPr>
            <w:tcW w:w="1139" w:type="dxa"/>
            <w:shd w:val="clear" w:color="auto" w:fill="auto"/>
            <w:noWrap/>
            <w:vAlign w:val="center"/>
            <w:hideMark/>
          </w:tcPr>
          <w:p w14:paraId="0BA8095D"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SV částečně</w:t>
            </w:r>
          </w:p>
        </w:tc>
        <w:tc>
          <w:tcPr>
            <w:tcW w:w="2438" w:type="dxa"/>
            <w:shd w:val="clear" w:color="auto" w:fill="auto"/>
            <w:noWrap/>
            <w:vAlign w:val="center"/>
            <w:hideMark/>
          </w:tcPr>
          <w:p w14:paraId="487BE111" w14:textId="1F002704"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součást zastavitelné plochy Z</w:t>
            </w:r>
            <w:r w:rsidR="00AA053D" w:rsidRPr="006070EA">
              <w:rPr>
                <w:rFonts w:asciiTheme="majorHAnsi" w:eastAsia="Times New Roman" w:hAnsiTheme="majorHAnsi" w:cstheme="majorHAnsi"/>
                <w:color w:val="000000"/>
                <w:sz w:val="18"/>
                <w:szCs w:val="18"/>
                <w:lang w:eastAsia="cs-CZ"/>
              </w:rPr>
              <w:t>.</w:t>
            </w:r>
            <w:r w:rsidRPr="006070EA">
              <w:rPr>
                <w:rFonts w:asciiTheme="majorHAnsi" w:eastAsia="Times New Roman" w:hAnsiTheme="majorHAnsi" w:cstheme="majorHAnsi"/>
                <w:color w:val="000000"/>
                <w:sz w:val="18"/>
                <w:szCs w:val="18"/>
                <w:lang w:eastAsia="cs-CZ"/>
              </w:rPr>
              <w:t>17</w:t>
            </w:r>
          </w:p>
        </w:tc>
      </w:tr>
      <w:tr w:rsidR="00CF1108" w:rsidRPr="006070EA" w14:paraId="4E73C6BA" w14:textId="77777777" w:rsidTr="00A13D9A">
        <w:trPr>
          <w:cantSplit/>
          <w:trHeight w:val="300"/>
          <w:jc w:val="center"/>
        </w:trPr>
        <w:tc>
          <w:tcPr>
            <w:tcW w:w="460" w:type="dxa"/>
            <w:vMerge w:val="restart"/>
            <w:shd w:val="clear" w:color="auto" w:fill="auto"/>
            <w:noWrap/>
            <w:vAlign w:val="center"/>
            <w:hideMark/>
          </w:tcPr>
          <w:p w14:paraId="782CAAF9"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19</w:t>
            </w:r>
          </w:p>
        </w:tc>
        <w:tc>
          <w:tcPr>
            <w:tcW w:w="958" w:type="dxa"/>
            <w:vMerge w:val="restart"/>
            <w:shd w:val="clear" w:color="auto" w:fill="auto"/>
            <w:noWrap/>
            <w:vAlign w:val="center"/>
            <w:hideMark/>
          </w:tcPr>
          <w:p w14:paraId="64A80971"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28.08.2019</w:t>
            </w:r>
          </w:p>
        </w:tc>
        <w:tc>
          <w:tcPr>
            <w:tcW w:w="804" w:type="dxa"/>
            <w:shd w:val="clear" w:color="auto" w:fill="auto"/>
            <w:noWrap/>
            <w:vAlign w:val="center"/>
            <w:hideMark/>
          </w:tcPr>
          <w:p w14:paraId="1D7F1EFA"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107/1</w:t>
            </w:r>
          </w:p>
        </w:tc>
        <w:tc>
          <w:tcPr>
            <w:tcW w:w="953" w:type="dxa"/>
            <w:shd w:val="clear" w:color="auto" w:fill="auto"/>
            <w:noWrap/>
            <w:vAlign w:val="center"/>
            <w:hideMark/>
          </w:tcPr>
          <w:p w14:paraId="30D41804"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Lány u Kostomlat</w:t>
            </w:r>
          </w:p>
        </w:tc>
        <w:tc>
          <w:tcPr>
            <w:tcW w:w="1417" w:type="dxa"/>
            <w:shd w:val="clear" w:color="auto" w:fill="auto"/>
            <w:noWrap/>
            <w:vAlign w:val="center"/>
            <w:hideMark/>
          </w:tcPr>
          <w:p w14:paraId="53AA17F6"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 kanceláře</w:t>
            </w:r>
          </w:p>
        </w:tc>
        <w:tc>
          <w:tcPr>
            <w:tcW w:w="950" w:type="dxa"/>
            <w:shd w:val="clear" w:color="auto" w:fill="auto"/>
            <w:noWrap/>
            <w:vAlign w:val="center"/>
            <w:hideMark/>
          </w:tcPr>
          <w:p w14:paraId="3F660F49"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ANO, část</w:t>
            </w:r>
          </w:p>
        </w:tc>
        <w:tc>
          <w:tcPr>
            <w:tcW w:w="1139" w:type="dxa"/>
            <w:shd w:val="clear" w:color="auto" w:fill="auto"/>
            <w:noWrap/>
            <w:vAlign w:val="center"/>
            <w:hideMark/>
          </w:tcPr>
          <w:p w14:paraId="496531F8"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SV částečně</w:t>
            </w:r>
          </w:p>
        </w:tc>
        <w:tc>
          <w:tcPr>
            <w:tcW w:w="2438" w:type="dxa"/>
            <w:shd w:val="clear" w:color="auto" w:fill="auto"/>
            <w:noWrap/>
            <w:vAlign w:val="center"/>
            <w:hideMark/>
          </w:tcPr>
          <w:p w14:paraId="4A3AD7C0" w14:textId="63E58963"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součást zastavitelné plochy Z</w:t>
            </w:r>
            <w:r w:rsidR="00AA053D" w:rsidRPr="006070EA">
              <w:rPr>
                <w:rFonts w:asciiTheme="majorHAnsi" w:eastAsia="Times New Roman" w:hAnsiTheme="majorHAnsi" w:cstheme="majorHAnsi"/>
                <w:color w:val="000000"/>
                <w:sz w:val="18"/>
                <w:szCs w:val="18"/>
                <w:lang w:eastAsia="cs-CZ"/>
              </w:rPr>
              <w:t>.</w:t>
            </w:r>
            <w:r w:rsidRPr="006070EA">
              <w:rPr>
                <w:rFonts w:asciiTheme="majorHAnsi" w:eastAsia="Times New Roman" w:hAnsiTheme="majorHAnsi" w:cstheme="majorHAnsi"/>
                <w:color w:val="000000"/>
                <w:sz w:val="18"/>
                <w:szCs w:val="18"/>
                <w:lang w:eastAsia="cs-CZ"/>
              </w:rPr>
              <w:t>18</w:t>
            </w:r>
          </w:p>
        </w:tc>
      </w:tr>
      <w:tr w:rsidR="00CF1108" w:rsidRPr="006070EA" w14:paraId="6784E776" w14:textId="77777777" w:rsidTr="00A13D9A">
        <w:trPr>
          <w:cantSplit/>
          <w:trHeight w:val="300"/>
          <w:jc w:val="center"/>
        </w:trPr>
        <w:tc>
          <w:tcPr>
            <w:tcW w:w="460" w:type="dxa"/>
            <w:vMerge/>
            <w:vAlign w:val="center"/>
            <w:hideMark/>
          </w:tcPr>
          <w:p w14:paraId="4A9BAF94"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51AB8AB8"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804" w:type="dxa"/>
            <w:shd w:val="clear" w:color="auto" w:fill="auto"/>
            <w:noWrap/>
            <w:vAlign w:val="center"/>
            <w:hideMark/>
          </w:tcPr>
          <w:p w14:paraId="3CF59966"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274/16</w:t>
            </w:r>
          </w:p>
        </w:tc>
        <w:tc>
          <w:tcPr>
            <w:tcW w:w="953" w:type="dxa"/>
            <w:shd w:val="clear" w:color="auto" w:fill="auto"/>
            <w:noWrap/>
            <w:vAlign w:val="center"/>
            <w:hideMark/>
          </w:tcPr>
          <w:p w14:paraId="350AAEC1"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Lány u Kostomlat</w:t>
            </w:r>
          </w:p>
        </w:tc>
        <w:tc>
          <w:tcPr>
            <w:tcW w:w="1417" w:type="dxa"/>
            <w:shd w:val="clear" w:color="auto" w:fill="auto"/>
            <w:noWrap/>
            <w:vAlign w:val="center"/>
            <w:hideMark/>
          </w:tcPr>
          <w:p w14:paraId="75DEEDA3"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 kanceláře</w:t>
            </w:r>
          </w:p>
        </w:tc>
        <w:tc>
          <w:tcPr>
            <w:tcW w:w="950" w:type="dxa"/>
            <w:shd w:val="clear" w:color="auto" w:fill="auto"/>
            <w:noWrap/>
            <w:vAlign w:val="center"/>
            <w:hideMark/>
          </w:tcPr>
          <w:p w14:paraId="044F8A05"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ANO, část</w:t>
            </w:r>
          </w:p>
        </w:tc>
        <w:tc>
          <w:tcPr>
            <w:tcW w:w="1139" w:type="dxa"/>
            <w:shd w:val="clear" w:color="auto" w:fill="auto"/>
            <w:noWrap/>
            <w:vAlign w:val="center"/>
            <w:hideMark/>
          </w:tcPr>
          <w:p w14:paraId="7A6E8268"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SV částečně</w:t>
            </w:r>
          </w:p>
        </w:tc>
        <w:tc>
          <w:tcPr>
            <w:tcW w:w="2438" w:type="dxa"/>
            <w:shd w:val="clear" w:color="auto" w:fill="auto"/>
            <w:noWrap/>
            <w:vAlign w:val="center"/>
            <w:hideMark/>
          </w:tcPr>
          <w:p w14:paraId="7C8DD081" w14:textId="77D478FF"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součást zastavitelné plochy Z</w:t>
            </w:r>
            <w:r w:rsidR="00AA053D" w:rsidRPr="006070EA">
              <w:rPr>
                <w:rFonts w:asciiTheme="majorHAnsi" w:eastAsia="Times New Roman" w:hAnsiTheme="majorHAnsi" w:cstheme="majorHAnsi"/>
                <w:color w:val="000000"/>
                <w:sz w:val="18"/>
                <w:szCs w:val="18"/>
                <w:lang w:eastAsia="cs-CZ"/>
              </w:rPr>
              <w:t>.</w:t>
            </w:r>
            <w:r w:rsidRPr="006070EA">
              <w:rPr>
                <w:rFonts w:asciiTheme="majorHAnsi" w:eastAsia="Times New Roman" w:hAnsiTheme="majorHAnsi" w:cstheme="majorHAnsi"/>
                <w:color w:val="000000"/>
                <w:sz w:val="18"/>
                <w:szCs w:val="18"/>
                <w:lang w:eastAsia="cs-CZ"/>
              </w:rPr>
              <w:t>18</w:t>
            </w:r>
          </w:p>
        </w:tc>
      </w:tr>
      <w:tr w:rsidR="00CF1108" w:rsidRPr="006070EA" w14:paraId="197F46CC" w14:textId="77777777" w:rsidTr="00A13D9A">
        <w:trPr>
          <w:cantSplit/>
          <w:trHeight w:val="300"/>
          <w:jc w:val="center"/>
        </w:trPr>
        <w:tc>
          <w:tcPr>
            <w:tcW w:w="460" w:type="dxa"/>
            <w:vMerge/>
            <w:vAlign w:val="center"/>
            <w:hideMark/>
          </w:tcPr>
          <w:p w14:paraId="70B08AC8"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3FC91098"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804" w:type="dxa"/>
            <w:shd w:val="clear" w:color="auto" w:fill="auto"/>
            <w:noWrap/>
            <w:vAlign w:val="center"/>
            <w:hideMark/>
          </w:tcPr>
          <w:p w14:paraId="1F8E6D77"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374</w:t>
            </w:r>
          </w:p>
        </w:tc>
        <w:tc>
          <w:tcPr>
            <w:tcW w:w="953" w:type="dxa"/>
            <w:shd w:val="clear" w:color="auto" w:fill="auto"/>
            <w:noWrap/>
            <w:vAlign w:val="center"/>
            <w:hideMark/>
          </w:tcPr>
          <w:p w14:paraId="360A2454"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Lány u Kostomlat</w:t>
            </w:r>
          </w:p>
        </w:tc>
        <w:tc>
          <w:tcPr>
            <w:tcW w:w="1417" w:type="dxa"/>
            <w:shd w:val="clear" w:color="auto" w:fill="auto"/>
            <w:noWrap/>
            <w:vAlign w:val="center"/>
            <w:hideMark/>
          </w:tcPr>
          <w:p w14:paraId="3E2089E6"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 kanceláře</w:t>
            </w:r>
          </w:p>
        </w:tc>
        <w:tc>
          <w:tcPr>
            <w:tcW w:w="950" w:type="dxa"/>
            <w:shd w:val="clear" w:color="auto" w:fill="auto"/>
            <w:noWrap/>
            <w:vAlign w:val="center"/>
            <w:hideMark/>
          </w:tcPr>
          <w:p w14:paraId="01571F2A"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ANO, část</w:t>
            </w:r>
          </w:p>
        </w:tc>
        <w:tc>
          <w:tcPr>
            <w:tcW w:w="1139" w:type="dxa"/>
            <w:shd w:val="clear" w:color="auto" w:fill="auto"/>
            <w:noWrap/>
            <w:vAlign w:val="center"/>
            <w:hideMark/>
          </w:tcPr>
          <w:p w14:paraId="0653433C"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SV částečně</w:t>
            </w:r>
          </w:p>
        </w:tc>
        <w:tc>
          <w:tcPr>
            <w:tcW w:w="2438" w:type="dxa"/>
            <w:shd w:val="clear" w:color="auto" w:fill="auto"/>
            <w:noWrap/>
            <w:vAlign w:val="center"/>
            <w:hideMark/>
          </w:tcPr>
          <w:p w14:paraId="43471862" w14:textId="61CEA2E1"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součást zastavitelné plochy Z</w:t>
            </w:r>
            <w:r w:rsidR="00AA053D" w:rsidRPr="006070EA">
              <w:rPr>
                <w:rFonts w:asciiTheme="majorHAnsi" w:eastAsia="Times New Roman" w:hAnsiTheme="majorHAnsi" w:cstheme="majorHAnsi"/>
                <w:color w:val="000000"/>
                <w:sz w:val="18"/>
                <w:szCs w:val="18"/>
                <w:lang w:eastAsia="cs-CZ"/>
              </w:rPr>
              <w:t>.1</w:t>
            </w:r>
            <w:r w:rsidRPr="006070EA">
              <w:rPr>
                <w:rFonts w:asciiTheme="majorHAnsi" w:eastAsia="Times New Roman" w:hAnsiTheme="majorHAnsi" w:cstheme="majorHAnsi"/>
                <w:color w:val="000000"/>
                <w:sz w:val="18"/>
                <w:szCs w:val="18"/>
                <w:lang w:eastAsia="cs-CZ"/>
              </w:rPr>
              <w:t>8</w:t>
            </w:r>
          </w:p>
        </w:tc>
      </w:tr>
      <w:tr w:rsidR="00CF1108" w:rsidRPr="006070EA" w14:paraId="0D4391A4" w14:textId="77777777" w:rsidTr="00A13D9A">
        <w:trPr>
          <w:cantSplit/>
          <w:trHeight w:val="300"/>
          <w:jc w:val="center"/>
        </w:trPr>
        <w:tc>
          <w:tcPr>
            <w:tcW w:w="460" w:type="dxa"/>
            <w:vMerge w:val="restart"/>
            <w:shd w:val="clear" w:color="auto" w:fill="auto"/>
            <w:noWrap/>
            <w:vAlign w:val="center"/>
            <w:hideMark/>
          </w:tcPr>
          <w:p w14:paraId="42CBB682"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20</w:t>
            </w:r>
          </w:p>
        </w:tc>
        <w:tc>
          <w:tcPr>
            <w:tcW w:w="958" w:type="dxa"/>
            <w:vMerge w:val="restart"/>
            <w:shd w:val="clear" w:color="auto" w:fill="auto"/>
            <w:noWrap/>
            <w:vAlign w:val="center"/>
            <w:hideMark/>
          </w:tcPr>
          <w:p w14:paraId="1C256E1F"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25.09.2017</w:t>
            </w:r>
          </w:p>
        </w:tc>
        <w:tc>
          <w:tcPr>
            <w:tcW w:w="804" w:type="dxa"/>
            <w:shd w:val="clear" w:color="auto" w:fill="auto"/>
            <w:noWrap/>
            <w:vAlign w:val="center"/>
            <w:hideMark/>
          </w:tcPr>
          <w:p w14:paraId="62FE6D62"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414</w:t>
            </w:r>
          </w:p>
        </w:tc>
        <w:tc>
          <w:tcPr>
            <w:tcW w:w="953" w:type="dxa"/>
            <w:shd w:val="clear" w:color="auto" w:fill="auto"/>
            <w:noWrap/>
            <w:vAlign w:val="center"/>
            <w:hideMark/>
          </w:tcPr>
          <w:p w14:paraId="55B72570"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Lány u Kostomlat</w:t>
            </w:r>
          </w:p>
        </w:tc>
        <w:tc>
          <w:tcPr>
            <w:tcW w:w="1417" w:type="dxa"/>
            <w:shd w:val="clear" w:color="auto" w:fill="auto"/>
            <w:noWrap/>
            <w:vAlign w:val="center"/>
            <w:hideMark/>
          </w:tcPr>
          <w:p w14:paraId="6E24158C"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shd w:val="clear" w:color="auto" w:fill="auto"/>
            <w:noWrap/>
            <w:vAlign w:val="center"/>
            <w:hideMark/>
          </w:tcPr>
          <w:p w14:paraId="795B9038"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ANO</w:t>
            </w:r>
          </w:p>
        </w:tc>
        <w:tc>
          <w:tcPr>
            <w:tcW w:w="1139" w:type="dxa"/>
            <w:shd w:val="clear" w:color="auto" w:fill="auto"/>
            <w:noWrap/>
            <w:vAlign w:val="center"/>
            <w:hideMark/>
          </w:tcPr>
          <w:p w14:paraId="48B8B7FE"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SV</w:t>
            </w:r>
          </w:p>
        </w:tc>
        <w:tc>
          <w:tcPr>
            <w:tcW w:w="2438" w:type="dxa"/>
            <w:shd w:val="clear" w:color="auto" w:fill="auto"/>
            <w:noWrap/>
            <w:vAlign w:val="center"/>
            <w:hideMark/>
          </w:tcPr>
          <w:p w14:paraId="71776AA8"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součást stabilizované plochy v ZÚ</w:t>
            </w:r>
          </w:p>
        </w:tc>
      </w:tr>
      <w:tr w:rsidR="00CF1108" w:rsidRPr="006070EA" w14:paraId="1335C867" w14:textId="77777777" w:rsidTr="00A13D9A">
        <w:trPr>
          <w:cantSplit/>
          <w:trHeight w:val="300"/>
          <w:jc w:val="center"/>
        </w:trPr>
        <w:tc>
          <w:tcPr>
            <w:tcW w:w="460" w:type="dxa"/>
            <w:vMerge/>
            <w:vAlign w:val="center"/>
            <w:hideMark/>
          </w:tcPr>
          <w:p w14:paraId="7436F58D"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7B770C2B"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804" w:type="dxa"/>
            <w:shd w:val="clear" w:color="auto" w:fill="auto"/>
            <w:noWrap/>
            <w:vAlign w:val="center"/>
            <w:hideMark/>
          </w:tcPr>
          <w:p w14:paraId="211AC7D5"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423</w:t>
            </w:r>
          </w:p>
        </w:tc>
        <w:tc>
          <w:tcPr>
            <w:tcW w:w="953" w:type="dxa"/>
            <w:shd w:val="clear" w:color="auto" w:fill="auto"/>
            <w:noWrap/>
            <w:vAlign w:val="center"/>
            <w:hideMark/>
          </w:tcPr>
          <w:p w14:paraId="1B70F3BF"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Lány u Kostomlat</w:t>
            </w:r>
          </w:p>
        </w:tc>
        <w:tc>
          <w:tcPr>
            <w:tcW w:w="1417" w:type="dxa"/>
            <w:shd w:val="clear" w:color="auto" w:fill="auto"/>
            <w:noWrap/>
            <w:vAlign w:val="center"/>
            <w:hideMark/>
          </w:tcPr>
          <w:p w14:paraId="5743B729"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shd w:val="clear" w:color="auto" w:fill="auto"/>
            <w:noWrap/>
            <w:vAlign w:val="center"/>
            <w:hideMark/>
          </w:tcPr>
          <w:p w14:paraId="5BD67264"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ANO</w:t>
            </w:r>
          </w:p>
        </w:tc>
        <w:tc>
          <w:tcPr>
            <w:tcW w:w="1139" w:type="dxa"/>
            <w:shd w:val="clear" w:color="auto" w:fill="auto"/>
            <w:noWrap/>
            <w:vAlign w:val="center"/>
            <w:hideMark/>
          </w:tcPr>
          <w:p w14:paraId="4CEF3FA4"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SV</w:t>
            </w:r>
          </w:p>
        </w:tc>
        <w:tc>
          <w:tcPr>
            <w:tcW w:w="2438" w:type="dxa"/>
            <w:shd w:val="clear" w:color="auto" w:fill="auto"/>
            <w:noWrap/>
            <w:vAlign w:val="center"/>
            <w:hideMark/>
          </w:tcPr>
          <w:p w14:paraId="11696434"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součást stabilizované plochy v ZÚ</w:t>
            </w:r>
          </w:p>
        </w:tc>
      </w:tr>
      <w:tr w:rsidR="00CF1108" w:rsidRPr="006070EA" w14:paraId="21A6A159" w14:textId="77777777" w:rsidTr="00A13D9A">
        <w:trPr>
          <w:cantSplit/>
          <w:trHeight w:val="300"/>
          <w:jc w:val="center"/>
        </w:trPr>
        <w:tc>
          <w:tcPr>
            <w:tcW w:w="460" w:type="dxa"/>
            <w:vMerge/>
            <w:vAlign w:val="center"/>
            <w:hideMark/>
          </w:tcPr>
          <w:p w14:paraId="1155E306"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26F31B39"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804" w:type="dxa"/>
            <w:shd w:val="clear" w:color="auto" w:fill="auto"/>
            <w:noWrap/>
            <w:vAlign w:val="center"/>
            <w:hideMark/>
          </w:tcPr>
          <w:p w14:paraId="57681C78"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424</w:t>
            </w:r>
          </w:p>
        </w:tc>
        <w:tc>
          <w:tcPr>
            <w:tcW w:w="953" w:type="dxa"/>
            <w:shd w:val="clear" w:color="auto" w:fill="auto"/>
            <w:noWrap/>
            <w:vAlign w:val="center"/>
            <w:hideMark/>
          </w:tcPr>
          <w:p w14:paraId="5018FB5D"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Lány u Kostomlat</w:t>
            </w:r>
          </w:p>
        </w:tc>
        <w:tc>
          <w:tcPr>
            <w:tcW w:w="1417" w:type="dxa"/>
            <w:shd w:val="clear" w:color="auto" w:fill="auto"/>
            <w:noWrap/>
            <w:vAlign w:val="center"/>
            <w:hideMark/>
          </w:tcPr>
          <w:p w14:paraId="696FFB78"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shd w:val="clear" w:color="auto" w:fill="auto"/>
            <w:noWrap/>
            <w:vAlign w:val="center"/>
            <w:hideMark/>
          </w:tcPr>
          <w:p w14:paraId="080F1EE3"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ANO</w:t>
            </w:r>
          </w:p>
        </w:tc>
        <w:tc>
          <w:tcPr>
            <w:tcW w:w="1139" w:type="dxa"/>
            <w:shd w:val="clear" w:color="auto" w:fill="auto"/>
            <w:noWrap/>
            <w:vAlign w:val="center"/>
            <w:hideMark/>
          </w:tcPr>
          <w:p w14:paraId="47209A58"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SV</w:t>
            </w:r>
          </w:p>
        </w:tc>
        <w:tc>
          <w:tcPr>
            <w:tcW w:w="2438" w:type="dxa"/>
            <w:shd w:val="clear" w:color="auto" w:fill="auto"/>
            <w:noWrap/>
            <w:vAlign w:val="center"/>
            <w:hideMark/>
          </w:tcPr>
          <w:p w14:paraId="48CDFE6E"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součást stabilizované plochy v ZÚ</w:t>
            </w:r>
          </w:p>
        </w:tc>
      </w:tr>
      <w:tr w:rsidR="00CF1108" w:rsidRPr="006070EA" w14:paraId="17123B08" w14:textId="77777777" w:rsidTr="00A13D9A">
        <w:trPr>
          <w:cantSplit/>
          <w:trHeight w:val="300"/>
          <w:jc w:val="center"/>
        </w:trPr>
        <w:tc>
          <w:tcPr>
            <w:tcW w:w="460" w:type="dxa"/>
            <w:vMerge/>
            <w:vAlign w:val="center"/>
            <w:hideMark/>
          </w:tcPr>
          <w:p w14:paraId="10888F94"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61F8D5BD"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804" w:type="dxa"/>
            <w:shd w:val="clear" w:color="auto" w:fill="auto"/>
            <w:noWrap/>
            <w:vAlign w:val="center"/>
            <w:hideMark/>
          </w:tcPr>
          <w:p w14:paraId="222C9D9C"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275/11</w:t>
            </w:r>
          </w:p>
        </w:tc>
        <w:tc>
          <w:tcPr>
            <w:tcW w:w="953" w:type="dxa"/>
            <w:shd w:val="clear" w:color="auto" w:fill="auto"/>
            <w:noWrap/>
            <w:vAlign w:val="center"/>
            <w:hideMark/>
          </w:tcPr>
          <w:p w14:paraId="24A73D5E"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Lány u Kostomlat</w:t>
            </w:r>
          </w:p>
        </w:tc>
        <w:tc>
          <w:tcPr>
            <w:tcW w:w="1417" w:type="dxa"/>
            <w:shd w:val="clear" w:color="auto" w:fill="auto"/>
            <w:noWrap/>
            <w:vAlign w:val="center"/>
            <w:hideMark/>
          </w:tcPr>
          <w:p w14:paraId="3EEA14DE"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shd w:val="clear" w:color="auto" w:fill="auto"/>
            <w:noWrap/>
            <w:vAlign w:val="center"/>
            <w:hideMark/>
          </w:tcPr>
          <w:p w14:paraId="352F5AB2"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ANO</w:t>
            </w:r>
          </w:p>
        </w:tc>
        <w:tc>
          <w:tcPr>
            <w:tcW w:w="1139" w:type="dxa"/>
            <w:shd w:val="clear" w:color="auto" w:fill="auto"/>
            <w:noWrap/>
            <w:vAlign w:val="center"/>
            <w:hideMark/>
          </w:tcPr>
          <w:p w14:paraId="74B73487"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SV</w:t>
            </w:r>
          </w:p>
        </w:tc>
        <w:tc>
          <w:tcPr>
            <w:tcW w:w="2438" w:type="dxa"/>
            <w:shd w:val="clear" w:color="auto" w:fill="auto"/>
            <w:noWrap/>
            <w:vAlign w:val="center"/>
            <w:hideMark/>
          </w:tcPr>
          <w:p w14:paraId="33672564"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součást stabilizované plochy v ZÚ</w:t>
            </w:r>
          </w:p>
        </w:tc>
      </w:tr>
      <w:tr w:rsidR="00CF1108" w:rsidRPr="006070EA" w14:paraId="1D4E37A8" w14:textId="77777777" w:rsidTr="00A13D9A">
        <w:trPr>
          <w:cantSplit/>
          <w:trHeight w:val="300"/>
          <w:jc w:val="center"/>
        </w:trPr>
        <w:tc>
          <w:tcPr>
            <w:tcW w:w="460" w:type="dxa"/>
            <w:vMerge/>
            <w:vAlign w:val="center"/>
            <w:hideMark/>
          </w:tcPr>
          <w:p w14:paraId="316F633F"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193F2A5A"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804" w:type="dxa"/>
            <w:shd w:val="clear" w:color="auto" w:fill="auto"/>
            <w:noWrap/>
            <w:vAlign w:val="center"/>
            <w:hideMark/>
          </w:tcPr>
          <w:p w14:paraId="27487698"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204</w:t>
            </w:r>
          </w:p>
        </w:tc>
        <w:tc>
          <w:tcPr>
            <w:tcW w:w="953" w:type="dxa"/>
            <w:shd w:val="clear" w:color="auto" w:fill="auto"/>
            <w:noWrap/>
            <w:vAlign w:val="center"/>
            <w:hideMark/>
          </w:tcPr>
          <w:p w14:paraId="21FA6C07"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Lány u Kostomlat</w:t>
            </w:r>
          </w:p>
        </w:tc>
        <w:tc>
          <w:tcPr>
            <w:tcW w:w="1417" w:type="dxa"/>
            <w:shd w:val="clear" w:color="auto" w:fill="auto"/>
            <w:noWrap/>
            <w:vAlign w:val="center"/>
            <w:hideMark/>
          </w:tcPr>
          <w:p w14:paraId="1F0F14F9"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shd w:val="clear" w:color="auto" w:fill="auto"/>
            <w:noWrap/>
            <w:vAlign w:val="center"/>
            <w:hideMark/>
          </w:tcPr>
          <w:p w14:paraId="20A4526D"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ANO</w:t>
            </w:r>
          </w:p>
        </w:tc>
        <w:tc>
          <w:tcPr>
            <w:tcW w:w="1139" w:type="dxa"/>
            <w:shd w:val="clear" w:color="auto" w:fill="auto"/>
            <w:noWrap/>
            <w:vAlign w:val="center"/>
            <w:hideMark/>
          </w:tcPr>
          <w:p w14:paraId="5AFADB64"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SV</w:t>
            </w:r>
          </w:p>
        </w:tc>
        <w:tc>
          <w:tcPr>
            <w:tcW w:w="2438" w:type="dxa"/>
            <w:shd w:val="clear" w:color="auto" w:fill="auto"/>
            <w:noWrap/>
            <w:vAlign w:val="center"/>
            <w:hideMark/>
          </w:tcPr>
          <w:p w14:paraId="64BF6338" w14:textId="1775EF58"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součást zastavitelné plochy Z</w:t>
            </w:r>
            <w:r w:rsidR="00AA053D" w:rsidRPr="006070EA">
              <w:rPr>
                <w:rFonts w:asciiTheme="majorHAnsi" w:eastAsia="Times New Roman" w:hAnsiTheme="majorHAnsi" w:cstheme="majorHAnsi"/>
                <w:color w:val="000000"/>
                <w:sz w:val="18"/>
                <w:szCs w:val="18"/>
                <w:lang w:eastAsia="cs-CZ"/>
              </w:rPr>
              <w:t>.</w:t>
            </w:r>
            <w:r w:rsidRPr="006070EA">
              <w:rPr>
                <w:rFonts w:asciiTheme="majorHAnsi" w:eastAsia="Times New Roman" w:hAnsiTheme="majorHAnsi" w:cstheme="majorHAnsi"/>
                <w:color w:val="000000"/>
                <w:sz w:val="18"/>
                <w:szCs w:val="18"/>
                <w:lang w:eastAsia="cs-CZ"/>
              </w:rPr>
              <w:t>17</w:t>
            </w:r>
          </w:p>
        </w:tc>
      </w:tr>
      <w:tr w:rsidR="00CF1108" w:rsidRPr="006070EA" w14:paraId="2F7C9051" w14:textId="77777777" w:rsidTr="00A13D9A">
        <w:trPr>
          <w:cantSplit/>
          <w:trHeight w:val="300"/>
          <w:jc w:val="center"/>
        </w:trPr>
        <w:tc>
          <w:tcPr>
            <w:tcW w:w="460" w:type="dxa"/>
            <w:vMerge/>
            <w:vAlign w:val="center"/>
            <w:hideMark/>
          </w:tcPr>
          <w:p w14:paraId="5CB9F97A"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65A4A82B"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804" w:type="dxa"/>
            <w:shd w:val="clear" w:color="auto" w:fill="auto"/>
            <w:noWrap/>
            <w:vAlign w:val="center"/>
            <w:hideMark/>
          </w:tcPr>
          <w:p w14:paraId="78D45435"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275/1</w:t>
            </w:r>
          </w:p>
        </w:tc>
        <w:tc>
          <w:tcPr>
            <w:tcW w:w="953" w:type="dxa"/>
            <w:shd w:val="clear" w:color="auto" w:fill="auto"/>
            <w:noWrap/>
            <w:vAlign w:val="center"/>
            <w:hideMark/>
          </w:tcPr>
          <w:p w14:paraId="04AF6640"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Lány u Kostomlat</w:t>
            </w:r>
          </w:p>
        </w:tc>
        <w:tc>
          <w:tcPr>
            <w:tcW w:w="1417" w:type="dxa"/>
            <w:shd w:val="clear" w:color="auto" w:fill="auto"/>
            <w:noWrap/>
            <w:vAlign w:val="center"/>
            <w:hideMark/>
          </w:tcPr>
          <w:p w14:paraId="57F2556E"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shd w:val="clear" w:color="auto" w:fill="auto"/>
            <w:noWrap/>
            <w:vAlign w:val="center"/>
            <w:hideMark/>
          </w:tcPr>
          <w:p w14:paraId="06C42EF0"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NE</w:t>
            </w:r>
          </w:p>
        </w:tc>
        <w:tc>
          <w:tcPr>
            <w:tcW w:w="1139" w:type="dxa"/>
            <w:shd w:val="clear" w:color="auto" w:fill="auto"/>
            <w:noWrap/>
            <w:vAlign w:val="center"/>
            <w:hideMark/>
          </w:tcPr>
          <w:p w14:paraId="2F4955BA" w14:textId="6B43A50E"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 xml:space="preserve">zařazeno do </w:t>
            </w:r>
            <w:r w:rsidR="00AA053D" w:rsidRPr="006070EA">
              <w:rPr>
                <w:rFonts w:asciiTheme="majorHAnsi" w:eastAsia="Times New Roman" w:hAnsiTheme="majorHAnsi" w:cstheme="majorHAnsi"/>
                <w:color w:val="000000"/>
                <w:sz w:val="18"/>
                <w:szCs w:val="18"/>
                <w:lang w:eastAsia="cs-CZ"/>
              </w:rPr>
              <w:t>MU.zp</w:t>
            </w:r>
          </w:p>
        </w:tc>
        <w:tc>
          <w:tcPr>
            <w:tcW w:w="2438" w:type="dxa"/>
            <w:shd w:val="clear" w:color="auto" w:fill="auto"/>
            <w:noWrap/>
            <w:vAlign w:val="center"/>
            <w:hideMark/>
          </w:tcPr>
          <w:p w14:paraId="2B6A7E50" w14:textId="0971BF9A"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plocha ve volné krajině, pozemek je částečně součástí lokálního biokoridoru L</w:t>
            </w:r>
            <w:r w:rsidR="00AA053D" w:rsidRPr="006070EA">
              <w:rPr>
                <w:rFonts w:asciiTheme="majorHAnsi" w:eastAsia="Times New Roman" w:hAnsiTheme="majorHAnsi" w:cstheme="majorHAnsi"/>
                <w:color w:val="000000"/>
                <w:sz w:val="18"/>
                <w:szCs w:val="18"/>
                <w:lang w:eastAsia="cs-CZ"/>
              </w:rPr>
              <w:t>B</w:t>
            </w:r>
            <w:r w:rsidRPr="006070EA">
              <w:rPr>
                <w:rFonts w:asciiTheme="majorHAnsi" w:eastAsia="Times New Roman" w:hAnsiTheme="majorHAnsi" w:cstheme="majorHAnsi"/>
                <w:color w:val="000000"/>
                <w:sz w:val="18"/>
                <w:szCs w:val="18"/>
                <w:lang w:eastAsia="cs-CZ"/>
              </w:rPr>
              <w:t>K</w:t>
            </w:r>
            <w:r w:rsidR="00AA053D" w:rsidRPr="006070EA">
              <w:rPr>
                <w:rFonts w:asciiTheme="majorHAnsi" w:eastAsia="Times New Roman" w:hAnsiTheme="majorHAnsi" w:cstheme="majorHAnsi"/>
                <w:color w:val="000000"/>
                <w:sz w:val="18"/>
                <w:szCs w:val="18"/>
                <w:lang w:eastAsia="cs-CZ"/>
              </w:rPr>
              <w:t>.</w:t>
            </w:r>
            <w:r w:rsidRPr="006070EA">
              <w:rPr>
                <w:rFonts w:asciiTheme="majorHAnsi" w:eastAsia="Times New Roman" w:hAnsiTheme="majorHAnsi" w:cstheme="majorHAnsi"/>
                <w:color w:val="000000"/>
                <w:sz w:val="18"/>
                <w:szCs w:val="18"/>
                <w:lang w:eastAsia="cs-CZ"/>
              </w:rPr>
              <w:t>2</w:t>
            </w:r>
          </w:p>
        </w:tc>
      </w:tr>
      <w:tr w:rsidR="00CF1108" w:rsidRPr="006070EA" w14:paraId="2D0EE99A" w14:textId="77777777" w:rsidTr="00A13D9A">
        <w:trPr>
          <w:cantSplit/>
          <w:trHeight w:val="300"/>
          <w:jc w:val="center"/>
        </w:trPr>
        <w:tc>
          <w:tcPr>
            <w:tcW w:w="460" w:type="dxa"/>
            <w:vMerge/>
            <w:vAlign w:val="center"/>
            <w:hideMark/>
          </w:tcPr>
          <w:p w14:paraId="58B93151"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53A5CB9D"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804" w:type="dxa"/>
            <w:shd w:val="clear" w:color="auto" w:fill="auto"/>
            <w:noWrap/>
            <w:vAlign w:val="center"/>
            <w:hideMark/>
          </w:tcPr>
          <w:p w14:paraId="1A81220D"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202</w:t>
            </w:r>
          </w:p>
        </w:tc>
        <w:tc>
          <w:tcPr>
            <w:tcW w:w="953" w:type="dxa"/>
            <w:shd w:val="clear" w:color="auto" w:fill="auto"/>
            <w:noWrap/>
            <w:vAlign w:val="center"/>
            <w:hideMark/>
          </w:tcPr>
          <w:p w14:paraId="6704024B"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Lány u Kostomlat</w:t>
            </w:r>
          </w:p>
        </w:tc>
        <w:tc>
          <w:tcPr>
            <w:tcW w:w="1417" w:type="dxa"/>
            <w:shd w:val="clear" w:color="auto" w:fill="auto"/>
            <w:noWrap/>
            <w:vAlign w:val="center"/>
            <w:hideMark/>
          </w:tcPr>
          <w:p w14:paraId="1FD8F295"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shd w:val="clear" w:color="auto" w:fill="auto"/>
            <w:noWrap/>
            <w:vAlign w:val="center"/>
            <w:hideMark/>
          </w:tcPr>
          <w:p w14:paraId="60DEF0DB"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ANO, část</w:t>
            </w:r>
          </w:p>
        </w:tc>
        <w:tc>
          <w:tcPr>
            <w:tcW w:w="1139" w:type="dxa"/>
            <w:shd w:val="clear" w:color="auto" w:fill="auto"/>
            <w:noWrap/>
            <w:vAlign w:val="center"/>
            <w:hideMark/>
          </w:tcPr>
          <w:p w14:paraId="63CADA46"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SV částečně</w:t>
            </w:r>
          </w:p>
        </w:tc>
        <w:tc>
          <w:tcPr>
            <w:tcW w:w="2438" w:type="dxa"/>
            <w:shd w:val="clear" w:color="auto" w:fill="auto"/>
            <w:noWrap/>
            <w:vAlign w:val="center"/>
            <w:hideMark/>
          </w:tcPr>
          <w:p w14:paraId="78248BAA" w14:textId="6BD03150"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součást zastavitelné plochy Z</w:t>
            </w:r>
            <w:r w:rsidR="00AA053D" w:rsidRPr="006070EA">
              <w:rPr>
                <w:rFonts w:asciiTheme="majorHAnsi" w:eastAsia="Times New Roman" w:hAnsiTheme="majorHAnsi" w:cstheme="majorHAnsi"/>
                <w:color w:val="000000"/>
                <w:sz w:val="18"/>
                <w:szCs w:val="18"/>
                <w:lang w:eastAsia="cs-CZ"/>
              </w:rPr>
              <w:t>.</w:t>
            </w:r>
            <w:r w:rsidRPr="006070EA">
              <w:rPr>
                <w:rFonts w:asciiTheme="majorHAnsi" w:eastAsia="Times New Roman" w:hAnsiTheme="majorHAnsi" w:cstheme="majorHAnsi"/>
                <w:color w:val="000000"/>
                <w:sz w:val="18"/>
                <w:szCs w:val="18"/>
                <w:lang w:eastAsia="cs-CZ"/>
              </w:rPr>
              <w:t>17</w:t>
            </w:r>
          </w:p>
        </w:tc>
      </w:tr>
      <w:tr w:rsidR="00CF1108" w:rsidRPr="006070EA" w14:paraId="3D0902EE" w14:textId="77777777" w:rsidTr="00A13D9A">
        <w:trPr>
          <w:cantSplit/>
          <w:trHeight w:val="300"/>
          <w:jc w:val="center"/>
        </w:trPr>
        <w:tc>
          <w:tcPr>
            <w:tcW w:w="460" w:type="dxa"/>
            <w:vMerge/>
            <w:vAlign w:val="center"/>
            <w:hideMark/>
          </w:tcPr>
          <w:p w14:paraId="302481B4"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0390982F"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804" w:type="dxa"/>
            <w:shd w:val="clear" w:color="auto" w:fill="auto"/>
            <w:noWrap/>
            <w:vAlign w:val="center"/>
            <w:hideMark/>
          </w:tcPr>
          <w:p w14:paraId="5D2AE29E"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481</w:t>
            </w:r>
          </w:p>
        </w:tc>
        <w:tc>
          <w:tcPr>
            <w:tcW w:w="953" w:type="dxa"/>
            <w:shd w:val="clear" w:color="auto" w:fill="auto"/>
            <w:noWrap/>
            <w:vAlign w:val="center"/>
            <w:hideMark/>
          </w:tcPr>
          <w:p w14:paraId="5144B34B"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Lány u Kostomlat</w:t>
            </w:r>
          </w:p>
        </w:tc>
        <w:tc>
          <w:tcPr>
            <w:tcW w:w="1417" w:type="dxa"/>
            <w:shd w:val="clear" w:color="auto" w:fill="auto"/>
            <w:noWrap/>
            <w:vAlign w:val="center"/>
            <w:hideMark/>
          </w:tcPr>
          <w:p w14:paraId="539F33AA"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shd w:val="clear" w:color="auto" w:fill="auto"/>
            <w:noWrap/>
            <w:vAlign w:val="center"/>
            <w:hideMark/>
          </w:tcPr>
          <w:p w14:paraId="1D8DDE6C"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ANO, část</w:t>
            </w:r>
          </w:p>
        </w:tc>
        <w:tc>
          <w:tcPr>
            <w:tcW w:w="1139" w:type="dxa"/>
            <w:shd w:val="clear" w:color="auto" w:fill="auto"/>
            <w:noWrap/>
            <w:vAlign w:val="center"/>
            <w:hideMark/>
          </w:tcPr>
          <w:p w14:paraId="669A8AA8"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SV částečně</w:t>
            </w:r>
          </w:p>
        </w:tc>
        <w:tc>
          <w:tcPr>
            <w:tcW w:w="2438" w:type="dxa"/>
            <w:shd w:val="clear" w:color="auto" w:fill="auto"/>
            <w:noWrap/>
            <w:vAlign w:val="center"/>
            <w:hideMark/>
          </w:tcPr>
          <w:p w14:paraId="51C63C6D" w14:textId="2D00B702"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součást zastavitelné plochy Z</w:t>
            </w:r>
            <w:r w:rsidR="00AA053D" w:rsidRPr="006070EA">
              <w:rPr>
                <w:rFonts w:asciiTheme="majorHAnsi" w:eastAsia="Times New Roman" w:hAnsiTheme="majorHAnsi" w:cstheme="majorHAnsi"/>
                <w:color w:val="000000"/>
                <w:sz w:val="18"/>
                <w:szCs w:val="18"/>
                <w:lang w:eastAsia="cs-CZ"/>
              </w:rPr>
              <w:t>.</w:t>
            </w:r>
            <w:r w:rsidRPr="006070EA">
              <w:rPr>
                <w:rFonts w:asciiTheme="majorHAnsi" w:eastAsia="Times New Roman" w:hAnsiTheme="majorHAnsi" w:cstheme="majorHAnsi"/>
                <w:color w:val="000000"/>
                <w:sz w:val="18"/>
                <w:szCs w:val="18"/>
                <w:lang w:eastAsia="cs-CZ"/>
              </w:rPr>
              <w:t>17</w:t>
            </w:r>
          </w:p>
        </w:tc>
      </w:tr>
      <w:tr w:rsidR="00CF1108" w:rsidRPr="006070EA" w14:paraId="247779E8" w14:textId="77777777" w:rsidTr="00A13D9A">
        <w:trPr>
          <w:cantSplit/>
          <w:trHeight w:val="300"/>
          <w:jc w:val="center"/>
        </w:trPr>
        <w:tc>
          <w:tcPr>
            <w:tcW w:w="460" w:type="dxa"/>
            <w:shd w:val="clear" w:color="auto" w:fill="auto"/>
            <w:noWrap/>
            <w:vAlign w:val="center"/>
            <w:hideMark/>
          </w:tcPr>
          <w:p w14:paraId="1DC23C6E"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21</w:t>
            </w:r>
          </w:p>
        </w:tc>
        <w:tc>
          <w:tcPr>
            <w:tcW w:w="958" w:type="dxa"/>
            <w:shd w:val="clear" w:color="auto" w:fill="auto"/>
            <w:noWrap/>
            <w:vAlign w:val="center"/>
            <w:hideMark/>
          </w:tcPr>
          <w:p w14:paraId="3F9504E1"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11.12.2017</w:t>
            </w:r>
          </w:p>
        </w:tc>
        <w:tc>
          <w:tcPr>
            <w:tcW w:w="804" w:type="dxa"/>
            <w:shd w:val="clear" w:color="auto" w:fill="auto"/>
            <w:noWrap/>
            <w:vAlign w:val="center"/>
            <w:hideMark/>
          </w:tcPr>
          <w:p w14:paraId="52E8F910"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894/21</w:t>
            </w:r>
          </w:p>
        </w:tc>
        <w:tc>
          <w:tcPr>
            <w:tcW w:w="953" w:type="dxa"/>
            <w:shd w:val="clear" w:color="auto" w:fill="auto"/>
            <w:noWrap/>
            <w:vAlign w:val="center"/>
            <w:hideMark/>
          </w:tcPr>
          <w:p w14:paraId="4EA7C609"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Kostomlaty nad Labem</w:t>
            </w:r>
          </w:p>
        </w:tc>
        <w:tc>
          <w:tcPr>
            <w:tcW w:w="1417" w:type="dxa"/>
            <w:shd w:val="clear" w:color="auto" w:fill="auto"/>
            <w:noWrap/>
            <w:vAlign w:val="center"/>
            <w:hideMark/>
          </w:tcPr>
          <w:p w14:paraId="15651E57"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shd w:val="clear" w:color="auto" w:fill="auto"/>
            <w:noWrap/>
            <w:vAlign w:val="center"/>
            <w:hideMark/>
          </w:tcPr>
          <w:p w14:paraId="6349A5A0"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NE</w:t>
            </w:r>
          </w:p>
        </w:tc>
        <w:tc>
          <w:tcPr>
            <w:tcW w:w="1139" w:type="dxa"/>
            <w:shd w:val="clear" w:color="auto" w:fill="auto"/>
            <w:noWrap/>
            <w:vAlign w:val="center"/>
            <w:hideMark/>
          </w:tcPr>
          <w:p w14:paraId="1B63E9E8" w14:textId="6AD8A80E"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 xml:space="preserve">zařazeno do </w:t>
            </w:r>
            <w:r w:rsidR="00AA053D" w:rsidRPr="006070EA">
              <w:rPr>
                <w:rFonts w:asciiTheme="majorHAnsi" w:eastAsia="Times New Roman" w:hAnsiTheme="majorHAnsi" w:cstheme="majorHAnsi"/>
                <w:color w:val="000000"/>
                <w:sz w:val="18"/>
                <w:szCs w:val="18"/>
                <w:lang w:eastAsia="cs-CZ"/>
              </w:rPr>
              <w:t>AU</w:t>
            </w:r>
          </w:p>
        </w:tc>
        <w:tc>
          <w:tcPr>
            <w:tcW w:w="2438" w:type="dxa"/>
            <w:shd w:val="clear" w:color="auto" w:fill="auto"/>
            <w:noWrap/>
            <w:vAlign w:val="center"/>
            <w:hideMark/>
          </w:tcPr>
          <w:p w14:paraId="631129A5" w14:textId="4B2CA4F6"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 xml:space="preserve">konflikt s koridorem </w:t>
            </w:r>
            <w:r w:rsidR="00AA053D" w:rsidRPr="006070EA">
              <w:rPr>
                <w:rFonts w:asciiTheme="majorHAnsi" w:eastAsia="Times New Roman" w:hAnsiTheme="majorHAnsi" w:cstheme="majorHAnsi"/>
                <w:color w:val="000000"/>
                <w:sz w:val="18"/>
                <w:szCs w:val="18"/>
                <w:lang w:eastAsia="cs-CZ"/>
              </w:rPr>
              <w:t>CNU.</w:t>
            </w:r>
            <w:r w:rsidRPr="006070EA">
              <w:rPr>
                <w:rFonts w:asciiTheme="majorHAnsi" w:eastAsia="Times New Roman" w:hAnsiTheme="majorHAnsi" w:cstheme="majorHAnsi"/>
                <w:color w:val="000000"/>
                <w:sz w:val="18"/>
                <w:szCs w:val="18"/>
                <w:lang w:eastAsia="cs-CZ"/>
              </w:rPr>
              <w:t>KD1, nežádoucí rozvoj zástavby do volné krajiny</w:t>
            </w:r>
          </w:p>
        </w:tc>
      </w:tr>
      <w:tr w:rsidR="00CF1108" w:rsidRPr="006070EA" w14:paraId="46095588" w14:textId="77777777" w:rsidTr="00A13D9A">
        <w:trPr>
          <w:cantSplit/>
          <w:trHeight w:val="300"/>
          <w:jc w:val="center"/>
        </w:trPr>
        <w:tc>
          <w:tcPr>
            <w:tcW w:w="460" w:type="dxa"/>
            <w:vMerge w:val="restart"/>
            <w:shd w:val="clear" w:color="auto" w:fill="auto"/>
            <w:noWrap/>
            <w:vAlign w:val="center"/>
            <w:hideMark/>
          </w:tcPr>
          <w:p w14:paraId="168C8064"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22</w:t>
            </w:r>
          </w:p>
        </w:tc>
        <w:tc>
          <w:tcPr>
            <w:tcW w:w="958" w:type="dxa"/>
            <w:vMerge w:val="restart"/>
            <w:shd w:val="clear" w:color="auto" w:fill="auto"/>
            <w:noWrap/>
            <w:vAlign w:val="center"/>
            <w:hideMark/>
          </w:tcPr>
          <w:p w14:paraId="27263E44"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11.01.2016</w:t>
            </w:r>
          </w:p>
        </w:tc>
        <w:tc>
          <w:tcPr>
            <w:tcW w:w="804" w:type="dxa"/>
            <w:shd w:val="clear" w:color="auto" w:fill="auto"/>
            <w:noWrap/>
            <w:vAlign w:val="center"/>
            <w:hideMark/>
          </w:tcPr>
          <w:p w14:paraId="012F8A8D"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856/19</w:t>
            </w:r>
          </w:p>
        </w:tc>
        <w:tc>
          <w:tcPr>
            <w:tcW w:w="953" w:type="dxa"/>
            <w:shd w:val="clear" w:color="auto" w:fill="auto"/>
            <w:noWrap/>
            <w:vAlign w:val="center"/>
            <w:hideMark/>
          </w:tcPr>
          <w:p w14:paraId="17E30084"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Kostomlaty nad Labem</w:t>
            </w:r>
          </w:p>
        </w:tc>
        <w:tc>
          <w:tcPr>
            <w:tcW w:w="1417" w:type="dxa"/>
            <w:shd w:val="clear" w:color="auto" w:fill="auto"/>
            <w:noWrap/>
            <w:vAlign w:val="center"/>
            <w:hideMark/>
          </w:tcPr>
          <w:p w14:paraId="7A9791C1"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shd w:val="clear" w:color="auto" w:fill="auto"/>
            <w:noWrap/>
            <w:vAlign w:val="center"/>
            <w:hideMark/>
          </w:tcPr>
          <w:p w14:paraId="23BFA199"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ANO, část</w:t>
            </w:r>
          </w:p>
        </w:tc>
        <w:tc>
          <w:tcPr>
            <w:tcW w:w="1139" w:type="dxa"/>
            <w:shd w:val="clear" w:color="auto" w:fill="auto"/>
            <w:noWrap/>
            <w:vAlign w:val="center"/>
            <w:hideMark/>
          </w:tcPr>
          <w:p w14:paraId="09A72BD9"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BI částečně</w:t>
            </w:r>
          </w:p>
        </w:tc>
        <w:tc>
          <w:tcPr>
            <w:tcW w:w="2438" w:type="dxa"/>
            <w:shd w:val="clear" w:color="auto" w:fill="auto"/>
            <w:noWrap/>
            <w:vAlign w:val="center"/>
            <w:hideMark/>
          </w:tcPr>
          <w:p w14:paraId="6D49DF53" w14:textId="14B40112"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součást zastavitelné plochy Z</w:t>
            </w:r>
            <w:r w:rsidR="00AA053D" w:rsidRPr="006070EA">
              <w:rPr>
                <w:rFonts w:asciiTheme="majorHAnsi" w:eastAsia="Times New Roman" w:hAnsiTheme="majorHAnsi" w:cstheme="majorHAnsi"/>
                <w:color w:val="000000"/>
                <w:sz w:val="18"/>
                <w:szCs w:val="18"/>
                <w:lang w:eastAsia="cs-CZ"/>
              </w:rPr>
              <w:t>.</w:t>
            </w:r>
            <w:r w:rsidRPr="006070EA">
              <w:rPr>
                <w:rFonts w:asciiTheme="majorHAnsi" w:eastAsia="Times New Roman" w:hAnsiTheme="majorHAnsi" w:cstheme="majorHAnsi"/>
                <w:color w:val="000000"/>
                <w:sz w:val="18"/>
                <w:szCs w:val="18"/>
                <w:lang w:eastAsia="cs-CZ"/>
              </w:rPr>
              <w:t>06</w:t>
            </w:r>
          </w:p>
        </w:tc>
      </w:tr>
      <w:tr w:rsidR="00CF1108" w:rsidRPr="006070EA" w14:paraId="155400E6" w14:textId="77777777" w:rsidTr="00A13D9A">
        <w:trPr>
          <w:cantSplit/>
          <w:trHeight w:val="300"/>
          <w:jc w:val="center"/>
        </w:trPr>
        <w:tc>
          <w:tcPr>
            <w:tcW w:w="460" w:type="dxa"/>
            <w:vMerge/>
            <w:vAlign w:val="center"/>
            <w:hideMark/>
          </w:tcPr>
          <w:p w14:paraId="6F232F46"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33D98DB6"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804" w:type="dxa"/>
            <w:shd w:val="clear" w:color="auto" w:fill="auto"/>
            <w:noWrap/>
            <w:vAlign w:val="center"/>
            <w:hideMark/>
          </w:tcPr>
          <w:p w14:paraId="3C1E4D91"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855/8 (oprava - 855/9)</w:t>
            </w:r>
          </w:p>
        </w:tc>
        <w:tc>
          <w:tcPr>
            <w:tcW w:w="953" w:type="dxa"/>
            <w:shd w:val="clear" w:color="auto" w:fill="auto"/>
            <w:noWrap/>
            <w:vAlign w:val="center"/>
            <w:hideMark/>
          </w:tcPr>
          <w:p w14:paraId="71929455"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Kostomlaty nad Labem</w:t>
            </w:r>
          </w:p>
        </w:tc>
        <w:tc>
          <w:tcPr>
            <w:tcW w:w="1417" w:type="dxa"/>
            <w:shd w:val="clear" w:color="auto" w:fill="auto"/>
            <w:noWrap/>
            <w:vAlign w:val="center"/>
            <w:hideMark/>
          </w:tcPr>
          <w:p w14:paraId="1F5166DC"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shd w:val="clear" w:color="auto" w:fill="auto"/>
            <w:noWrap/>
            <w:vAlign w:val="center"/>
            <w:hideMark/>
          </w:tcPr>
          <w:p w14:paraId="10E3C1A5"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ANO, část</w:t>
            </w:r>
          </w:p>
        </w:tc>
        <w:tc>
          <w:tcPr>
            <w:tcW w:w="1139" w:type="dxa"/>
            <w:shd w:val="clear" w:color="auto" w:fill="auto"/>
            <w:noWrap/>
            <w:vAlign w:val="center"/>
            <w:hideMark/>
          </w:tcPr>
          <w:p w14:paraId="0C888181"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BI částečně</w:t>
            </w:r>
          </w:p>
        </w:tc>
        <w:tc>
          <w:tcPr>
            <w:tcW w:w="2438" w:type="dxa"/>
            <w:shd w:val="clear" w:color="auto" w:fill="auto"/>
            <w:noWrap/>
            <w:vAlign w:val="center"/>
            <w:hideMark/>
          </w:tcPr>
          <w:p w14:paraId="6BDCEBEE" w14:textId="5899DD3D"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součást zastavitelné plochy Z</w:t>
            </w:r>
            <w:r w:rsidR="00AA053D" w:rsidRPr="006070EA">
              <w:rPr>
                <w:rFonts w:asciiTheme="majorHAnsi" w:eastAsia="Times New Roman" w:hAnsiTheme="majorHAnsi" w:cstheme="majorHAnsi"/>
                <w:color w:val="000000"/>
                <w:sz w:val="18"/>
                <w:szCs w:val="18"/>
                <w:lang w:eastAsia="cs-CZ"/>
              </w:rPr>
              <w:t>.</w:t>
            </w:r>
            <w:r w:rsidRPr="006070EA">
              <w:rPr>
                <w:rFonts w:asciiTheme="majorHAnsi" w:eastAsia="Times New Roman" w:hAnsiTheme="majorHAnsi" w:cstheme="majorHAnsi"/>
                <w:color w:val="000000"/>
                <w:sz w:val="18"/>
                <w:szCs w:val="18"/>
                <w:lang w:eastAsia="cs-CZ"/>
              </w:rPr>
              <w:t>06</w:t>
            </w:r>
          </w:p>
        </w:tc>
      </w:tr>
      <w:tr w:rsidR="00CF1108" w:rsidRPr="006070EA" w14:paraId="4EF754A8" w14:textId="77777777" w:rsidTr="00A13D9A">
        <w:trPr>
          <w:cantSplit/>
          <w:trHeight w:val="300"/>
          <w:jc w:val="center"/>
        </w:trPr>
        <w:tc>
          <w:tcPr>
            <w:tcW w:w="460" w:type="dxa"/>
            <w:vMerge/>
            <w:vAlign w:val="center"/>
            <w:hideMark/>
          </w:tcPr>
          <w:p w14:paraId="52B33FB6"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419FFFE2"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804" w:type="dxa"/>
            <w:shd w:val="clear" w:color="auto" w:fill="auto"/>
            <w:noWrap/>
            <w:vAlign w:val="center"/>
            <w:hideMark/>
          </w:tcPr>
          <w:p w14:paraId="322867FB"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1010/1</w:t>
            </w:r>
          </w:p>
        </w:tc>
        <w:tc>
          <w:tcPr>
            <w:tcW w:w="953" w:type="dxa"/>
            <w:shd w:val="clear" w:color="auto" w:fill="auto"/>
            <w:noWrap/>
            <w:vAlign w:val="center"/>
            <w:hideMark/>
          </w:tcPr>
          <w:p w14:paraId="5329CAB8"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Kostomlaty nad Labem</w:t>
            </w:r>
          </w:p>
        </w:tc>
        <w:tc>
          <w:tcPr>
            <w:tcW w:w="1417" w:type="dxa"/>
            <w:shd w:val="clear" w:color="auto" w:fill="auto"/>
            <w:noWrap/>
            <w:vAlign w:val="center"/>
            <w:hideMark/>
          </w:tcPr>
          <w:p w14:paraId="0552DA13"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shd w:val="clear" w:color="auto" w:fill="auto"/>
            <w:noWrap/>
            <w:vAlign w:val="center"/>
            <w:hideMark/>
          </w:tcPr>
          <w:p w14:paraId="5684CD96"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w:t>
            </w:r>
          </w:p>
        </w:tc>
        <w:tc>
          <w:tcPr>
            <w:tcW w:w="1139" w:type="dxa"/>
            <w:shd w:val="clear" w:color="auto" w:fill="auto"/>
            <w:noWrap/>
            <w:vAlign w:val="center"/>
            <w:hideMark/>
          </w:tcPr>
          <w:p w14:paraId="3FCFE6A8"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w:t>
            </w:r>
          </w:p>
        </w:tc>
        <w:tc>
          <w:tcPr>
            <w:tcW w:w="2438" w:type="dxa"/>
            <w:shd w:val="clear" w:color="auto" w:fill="auto"/>
            <w:noWrap/>
            <w:vAlign w:val="center"/>
            <w:hideMark/>
          </w:tcPr>
          <w:p w14:paraId="25D09BD7"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neidentifikována parcela p. č. 1010/1 v k. ú. Kostomlaty nad Labem</w:t>
            </w:r>
          </w:p>
        </w:tc>
      </w:tr>
      <w:tr w:rsidR="005272E3" w:rsidRPr="006070EA" w14:paraId="2CAD598F" w14:textId="77777777" w:rsidTr="00A13D9A">
        <w:trPr>
          <w:cantSplit/>
          <w:trHeight w:val="300"/>
          <w:jc w:val="center"/>
        </w:trPr>
        <w:tc>
          <w:tcPr>
            <w:tcW w:w="460" w:type="dxa"/>
            <w:vMerge w:val="restart"/>
            <w:shd w:val="clear" w:color="auto" w:fill="auto"/>
            <w:noWrap/>
            <w:vAlign w:val="center"/>
            <w:hideMark/>
          </w:tcPr>
          <w:p w14:paraId="01778ACD" w14:textId="77777777" w:rsidR="005272E3" w:rsidRPr="006070EA" w:rsidRDefault="005272E3" w:rsidP="005272E3">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23</w:t>
            </w:r>
          </w:p>
        </w:tc>
        <w:tc>
          <w:tcPr>
            <w:tcW w:w="958" w:type="dxa"/>
            <w:vMerge w:val="restart"/>
            <w:shd w:val="clear" w:color="auto" w:fill="auto"/>
            <w:noWrap/>
            <w:vAlign w:val="center"/>
            <w:hideMark/>
          </w:tcPr>
          <w:p w14:paraId="62147ED0" w14:textId="77777777" w:rsidR="005272E3" w:rsidRPr="006070EA" w:rsidRDefault="005272E3" w:rsidP="005272E3">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31.01.2018</w:t>
            </w:r>
          </w:p>
        </w:tc>
        <w:tc>
          <w:tcPr>
            <w:tcW w:w="804" w:type="dxa"/>
            <w:shd w:val="clear" w:color="auto" w:fill="auto"/>
            <w:noWrap/>
            <w:vAlign w:val="center"/>
            <w:hideMark/>
          </w:tcPr>
          <w:p w14:paraId="4751CF13" w14:textId="77777777" w:rsidR="005272E3" w:rsidRPr="006070EA" w:rsidRDefault="005272E3" w:rsidP="005272E3">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763/67</w:t>
            </w:r>
          </w:p>
        </w:tc>
        <w:tc>
          <w:tcPr>
            <w:tcW w:w="953" w:type="dxa"/>
            <w:shd w:val="clear" w:color="auto" w:fill="auto"/>
            <w:noWrap/>
            <w:vAlign w:val="center"/>
            <w:hideMark/>
          </w:tcPr>
          <w:p w14:paraId="2881E538" w14:textId="77777777" w:rsidR="005272E3" w:rsidRPr="006070EA" w:rsidRDefault="005272E3" w:rsidP="005272E3">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Kostomlaty nad Labem</w:t>
            </w:r>
          </w:p>
        </w:tc>
        <w:tc>
          <w:tcPr>
            <w:tcW w:w="1417" w:type="dxa"/>
            <w:shd w:val="clear" w:color="auto" w:fill="auto"/>
            <w:noWrap/>
            <w:vAlign w:val="center"/>
            <w:hideMark/>
          </w:tcPr>
          <w:p w14:paraId="1A435C9A" w14:textId="77777777" w:rsidR="005272E3" w:rsidRPr="006070EA" w:rsidRDefault="005272E3" w:rsidP="005272E3">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vyjmout z výstavby RD, dát do lesy s ochranným pásmem, parky, pole</w:t>
            </w:r>
          </w:p>
        </w:tc>
        <w:tc>
          <w:tcPr>
            <w:tcW w:w="950" w:type="dxa"/>
            <w:shd w:val="clear" w:color="auto" w:fill="auto"/>
            <w:noWrap/>
            <w:vAlign w:val="center"/>
            <w:hideMark/>
          </w:tcPr>
          <w:p w14:paraId="25444FD2" w14:textId="3AAB8B59" w:rsidR="005272E3" w:rsidRPr="006070EA" w:rsidRDefault="005272E3" w:rsidP="005272E3">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NE</w:t>
            </w:r>
          </w:p>
        </w:tc>
        <w:tc>
          <w:tcPr>
            <w:tcW w:w="1139" w:type="dxa"/>
            <w:shd w:val="clear" w:color="auto" w:fill="auto"/>
            <w:noWrap/>
            <w:vAlign w:val="center"/>
            <w:hideMark/>
          </w:tcPr>
          <w:p w14:paraId="48B6F6E4" w14:textId="77777777" w:rsidR="005272E3" w:rsidRPr="006070EA" w:rsidRDefault="005272E3" w:rsidP="005272E3">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BI</w:t>
            </w:r>
          </w:p>
        </w:tc>
        <w:tc>
          <w:tcPr>
            <w:tcW w:w="2438" w:type="dxa"/>
            <w:shd w:val="clear" w:color="auto" w:fill="auto"/>
            <w:noWrap/>
            <w:hideMark/>
          </w:tcPr>
          <w:p w14:paraId="2E2A6D3C" w14:textId="202AD1A6" w:rsidR="005272E3" w:rsidRPr="006070EA" w:rsidRDefault="005272E3" w:rsidP="005272E3">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hAnsiTheme="majorHAnsi" w:cstheme="majorHAnsi"/>
                <w:sz w:val="18"/>
                <w:szCs w:val="18"/>
              </w:rPr>
              <w:t>součást zastavitelné plochy Z</w:t>
            </w:r>
            <w:r w:rsidR="00AA053D" w:rsidRPr="006070EA">
              <w:rPr>
                <w:rFonts w:asciiTheme="majorHAnsi" w:hAnsiTheme="majorHAnsi" w:cstheme="majorHAnsi"/>
                <w:sz w:val="18"/>
                <w:szCs w:val="18"/>
              </w:rPr>
              <w:t>.</w:t>
            </w:r>
            <w:r w:rsidRPr="006070EA">
              <w:rPr>
                <w:rFonts w:asciiTheme="majorHAnsi" w:hAnsiTheme="majorHAnsi" w:cstheme="majorHAnsi"/>
                <w:sz w:val="18"/>
                <w:szCs w:val="18"/>
              </w:rPr>
              <w:t>14, zachování koncepce platného ÚPO, využití území stávajícím způsobem není znemožněno (zastavitelná plocha vytváří možnost pro výstavbu nikoliv povinnost)</w:t>
            </w:r>
          </w:p>
        </w:tc>
      </w:tr>
      <w:tr w:rsidR="005272E3" w:rsidRPr="006070EA" w14:paraId="6460601E" w14:textId="77777777" w:rsidTr="00A13D9A">
        <w:trPr>
          <w:cantSplit/>
          <w:trHeight w:val="300"/>
          <w:jc w:val="center"/>
        </w:trPr>
        <w:tc>
          <w:tcPr>
            <w:tcW w:w="460" w:type="dxa"/>
            <w:vMerge/>
            <w:vAlign w:val="center"/>
            <w:hideMark/>
          </w:tcPr>
          <w:p w14:paraId="115196B9" w14:textId="77777777" w:rsidR="005272E3" w:rsidRPr="006070EA" w:rsidRDefault="005272E3" w:rsidP="005272E3">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020FED89" w14:textId="77777777" w:rsidR="005272E3" w:rsidRPr="006070EA" w:rsidRDefault="005272E3" w:rsidP="005272E3">
            <w:pPr>
              <w:spacing w:after="0" w:line="240" w:lineRule="auto"/>
              <w:jc w:val="center"/>
              <w:rPr>
                <w:rFonts w:asciiTheme="majorHAnsi" w:eastAsia="Times New Roman" w:hAnsiTheme="majorHAnsi" w:cstheme="majorHAnsi"/>
                <w:color w:val="000000"/>
                <w:sz w:val="18"/>
                <w:szCs w:val="18"/>
                <w:lang w:eastAsia="cs-CZ"/>
              </w:rPr>
            </w:pPr>
          </w:p>
        </w:tc>
        <w:tc>
          <w:tcPr>
            <w:tcW w:w="804" w:type="dxa"/>
            <w:shd w:val="clear" w:color="auto" w:fill="auto"/>
            <w:noWrap/>
            <w:vAlign w:val="center"/>
            <w:hideMark/>
          </w:tcPr>
          <w:p w14:paraId="38184855" w14:textId="77777777" w:rsidR="005272E3" w:rsidRPr="006070EA" w:rsidRDefault="005272E3" w:rsidP="005272E3">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763/66</w:t>
            </w:r>
          </w:p>
        </w:tc>
        <w:tc>
          <w:tcPr>
            <w:tcW w:w="953" w:type="dxa"/>
            <w:shd w:val="clear" w:color="auto" w:fill="auto"/>
            <w:noWrap/>
            <w:vAlign w:val="center"/>
            <w:hideMark/>
          </w:tcPr>
          <w:p w14:paraId="169BBB20" w14:textId="77777777" w:rsidR="005272E3" w:rsidRPr="006070EA" w:rsidRDefault="005272E3" w:rsidP="005272E3">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Kostomlaty nad Labem</w:t>
            </w:r>
          </w:p>
        </w:tc>
        <w:tc>
          <w:tcPr>
            <w:tcW w:w="1417" w:type="dxa"/>
            <w:shd w:val="clear" w:color="auto" w:fill="auto"/>
            <w:noWrap/>
            <w:vAlign w:val="center"/>
            <w:hideMark/>
          </w:tcPr>
          <w:p w14:paraId="6F6687B9" w14:textId="77777777" w:rsidR="005272E3" w:rsidRPr="006070EA" w:rsidRDefault="005272E3" w:rsidP="005272E3">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vyjmout z výstavby RD, dát do lesy s ochranným pásmem, parky, pole</w:t>
            </w:r>
          </w:p>
        </w:tc>
        <w:tc>
          <w:tcPr>
            <w:tcW w:w="950" w:type="dxa"/>
            <w:shd w:val="clear" w:color="auto" w:fill="auto"/>
            <w:noWrap/>
            <w:vAlign w:val="center"/>
            <w:hideMark/>
          </w:tcPr>
          <w:p w14:paraId="4B71C0E3" w14:textId="0EB863EB" w:rsidR="005272E3" w:rsidRPr="006070EA" w:rsidRDefault="005272E3" w:rsidP="005272E3">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NE</w:t>
            </w:r>
          </w:p>
        </w:tc>
        <w:tc>
          <w:tcPr>
            <w:tcW w:w="1139" w:type="dxa"/>
            <w:shd w:val="clear" w:color="auto" w:fill="auto"/>
            <w:noWrap/>
            <w:vAlign w:val="center"/>
            <w:hideMark/>
          </w:tcPr>
          <w:p w14:paraId="6601A7E5" w14:textId="77777777" w:rsidR="005272E3" w:rsidRPr="006070EA" w:rsidRDefault="005272E3" w:rsidP="005272E3">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BI</w:t>
            </w:r>
          </w:p>
        </w:tc>
        <w:tc>
          <w:tcPr>
            <w:tcW w:w="2438" w:type="dxa"/>
            <w:shd w:val="clear" w:color="auto" w:fill="auto"/>
            <w:noWrap/>
            <w:hideMark/>
          </w:tcPr>
          <w:p w14:paraId="6892D774" w14:textId="25B9941D" w:rsidR="005272E3" w:rsidRPr="006070EA" w:rsidRDefault="005272E3" w:rsidP="005272E3">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hAnsiTheme="majorHAnsi" w:cstheme="majorHAnsi"/>
                <w:sz w:val="18"/>
                <w:szCs w:val="18"/>
              </w:rPr>
              <w:t>součást zastavitelné plochy Z</w:t>
            </w:r>
            <w:r w:rsidR="00AA053D" w:rsidRPr="006070EA">
              <w:rPr>
                <w:rFonts w:asciiTheme="majorHAnsi" w:hAnsiTheme="majorHAnsi" w:cstheme="majorHAnsi"/>
                <w:sz w:val="18"/>
                <w:szCs w:val="18"/>
              </w:rPr>
              <w:t>.</w:t>
            </w:r>
            <w:r w:rsidRPr="006070EA">
              <w:rPr>
                <w:rFonts w:asciiTheme="majorHAnsi" w:hAnsiTheme="majorHAnsi" w:cstheme="majorHAnsi"/>
                <w:sz w:val="18"/>
                <w:szCs w:val="18"/>
              </w:rPr>
              <w:t>14, zachování koncepce platného ÚPO, využití území stávajícím způsobem není znemožněno (zastavitelná plocha vytváří možnost pro výstavbu nikoliv povinnost)</w:t>
            </w:r>
          </w:p>
        </w:tc>
      </w:tr>
      <w:tr w:rsidR="005272E3" w:rsidRPr="006070EA" w14:paraId="5796473C" w14:textId="77777777" w:rsidTr="00A13D9A">
        <w:trPr>
          <w:cantSplit/>
          <w:trHeight w:val="300"/>
          <w:jc w:val="center"/>
        </w:trPr>
        <w:tc>
          <w:tcPr>
            <w:tcW w:w="460" w:type="dxa"/>
            <w:vMerge/>
            <w:vAlign w:val="center"/>
            <w:hideMark/>
          </w:tcPr>
          <w:p w14:paraId="60545D13" w14:textId="77777777" w:rsidR="005272E3" w:rsidRPr="006070EA" w:rsidRDefault="005272E3" w:rsidP="005272E3">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1F839D9C" w14:textId="77777777" w:rsidR="005272E3" w:rsidRPr="006070EA" w:rsidRDefault="005272E3" w:rsidP="005272E3">
            <w:pPr>
              <w:spacing w:after="0" w:line="240" w:lineRule="auto"/>
              <w:jc w:val="center"/>
              <w:rPr>
                <w:rFonts w:asciiTheme="majorHAnsi" w:eastAsia="Times New Roman" w:hAnsiTheme="majorHAnsi" w:cstheme="majorHAnsi"/>
                <w:color w:val="000000"/>
                <w:sz w:val="18"/>
                <w:szCs w:val="18"/>
                <w:lang w:eastAsia="cs-CZ"/>
              </w:rPr>
            </w:pPr>
          </w:p>
        </w:tc>
        <w:tc>
          <w:tcPr>
            <w:tcW w:w="804" w:type="dxa"/>
            <w:shd w:val="clear" w:color="auto" w:fill="auto"/>
            <w:noWrap/>
            <w:vAlign w:val="center"/>
            <w:hideMark/>
          </w:tcPr>
          <w:p w14:paraId="17423F3E" w14:textId="77777777" w:rsidR="005272E3" w:rsidRPr="006070EA" w:rsidRDefault="005272E3" w:rsidP="005272E3">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729/1</w:t>
            </w:r>
          </w:p>
        </w:tc>
        <w:tc>
          <w:tcPr>
            <w:tcW w:w="953" w:type="dxa"/>
            <w:shd w:val="clear" w:color="auto" w:fill="auto"/>
            <w:noWrap/>
            <w:vAlign w:val="center"/>
            <w:hideMark/>
          </w:tcPr>
          <w:p w14:paraId="6380F1A2" w14:textId="77777777" w:rsidR="005272E3" w:rsidRPr="006070EA" w:rsidRDefault="005272E3" w:rsidP="005272E3">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Kostomlaty nad Labem</w:t>
            </w:r>
          </w:p>
        </w:tc>
        <w:tc>
          <w:tcPr>
            <w:tcW w:w="1417" w:type="dxa"/>
            <w:shd w:val="clear" w:color="auto" w:fill="auto"/>
            <w:noWrap/>
            <w:vAlign w:val="center"/>
            <w:hideMark/>
          </w:tcPr>
          <w:p w14:paraId="64C2B1F6" w14:textId="77777777" w:rsidR="005272E3" w:rsidRPr="006070EA" w:rsidRDefault="005272E3" w:rsidP="005272E3">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vyjmout z výstavby RD, dát do lesy s ochranným pásmem, parky, pole</w:t>
            </w:r>
          </w:p>
        </w:tc>
        <w:tc>
          <w:tcPr>
            <w:tcW w:w="950" w:type="dxa"/>
            <w:shd w:val="clear" w:color="auto" w:fill="auto"/>
            <w:noWrap/>
            <w:vAlign w:val="center"/>
            <w:hideMark/>
          </w:tcPr>
          <w:p w14:paraId="1C32099B" w14:textId="25F46A95" w:rsidR="005272E3" w:rsidRPr="006070EA" w:rsidRDefault="005272E3" w:rsidP="005272E3">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NE</w:t>
            </w:r>
          </w:p>
        </w:tc>
        <w:tc>
          <w:tcPr>
            <w:tcW w:w="1139" w:type="dxa"/>
            <w:shd w:val="clear" w:color="auto" w:fill="auto"/>
            <w:noWrap/>
            <w:vAlign w:val="center"/>
            <w:hideMark/>
          </w:tcPr>
          <w:p w14:paraId="46A72D9D" w14:textId="77777777" w:rsidR="005272E3" w:rsidRPr="006070EA" w:rsidRDefault="005272E3" w:rsidP="005272E3">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BI</w:t>
            </w:r>
          </w:p>
        </w:tc>
        <w:tc>
          <w:tcPr>
            <w:tcW w:w="2438" w:type="dxa"/>
            <w:shd w:val="clear" w:color="auto" w:fill="auto"/>
            <w:noWrap/>
            <w:hideMark/>
          </w:tcPr>
          <w:p w14:paraId="168DC39E" w14:textId="5B73E8F6" w:rsidR="005272E3" w:rsidRPr="006070EA" w:rsidRDefault="005272E3" w:rsidP="005272E3">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hAnsiTheme="majorHAnsi" w:cstheme="majorHAnsi"/>
                <w:sz w:val="18"/>
                <w:szCs w:val="18"/>
              </w:rPr>
              <w:t>součást zastavitelné plochy Z</w:t>
            </w:r>
            <w:r w:rsidR="00AA053D" w:rsidRPr="006070EA">
              <w:rPr>
                <w:rFonts w:asciiTheme="majorHAnsi" w:hAnsiTheme="majorHAnsi" w:cstheme="majorHAnsi"/>
                <w:sz w:val="18"/>
                <w:szCs w:val="18"/>
              </w:rPr>
              <w:t>.</w:t>
            </w:r>
            <w:r w:rsidRPr="006070EA">
              <w:rPr>
                <w:rFonts w:asciiTheme="majorHAnsi" w:hAnsiTheme="majorHAnsi" w:cstheme="majorHAnsi"/>
                <w:sz w:val="18"/>
                <w:szCs w:val="18"/>
              </w:rPr>
              <w:t>14, zachování koncepce platného ÚPO, využití území stávajícím způsobem není znemožněno (zastavitelná plocha vytváří možnost pro výstavbu nikoliv povinnost)</w:t>
            </w:r>
          </w:p>
        </w:tc>
      </w:tr>
      <w:tr w:rsidR="00112B62" w:rsidRPr="006070EA" w14:paraId="09475A83" w14:textId="77777777" w:rsidTr="00A13D9A">
        <w:trPr>
          <w:cantSplit/>
          <w:trHeight w:val="300"/>
          <w:jc w:val="center"/>
        </w:trPr>
        <w:tc>
          <w:tcPr>
            <w:tcW w:w="460" w:type="dxa"/>
            <w:shd w:val="clear" w:color="auto" w:fill="auto"/>
            <w:noWrap/>
            <w:vAlign w:val="center"/>
            <w:hideMark/>
          </w:tcPr>
          <w:p w14:paraId="3B37A389"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24</w:t>
            </w:r>
          </w:p>
        </w:tc>
        <w:tc>
          <w:tcPr>
            <w:tcW w:w="958" w:type="dxa"/>
            <w:shd w:val="clear" w:color="auto" w:fill="auto"/>
            <w:noWrap/>
            <w:vAlign w:val="center"/>
            <w:hideMark/>
          </w:tcPr>
          <w:p w14:paraId="60899755"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29.01.2018</w:t>
            </w:r>
          </w:p>
        </w:tc>
        <w:tc>
          <w:tcPr>
            <w:tcW w:w="804" w:type="dxa"/>
            <w:shd w:val="clear" w:color="auto" w:fill="auto"/>
            <w:noWrap/>
            <w:vAlign w:val="center"/>
            <w:hideMark/>
          </w:tcPr>
          <w:p w14:paraId="197F8C8C" w14:textId="2B249674" w:rsidR="00CF1108" w:rsidRPr="006070EA" w:rsidRDefault="00112B62"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w:t>
            </w:r>
          </w:p>
        </w:tc>
        <w:tc>
          <w:tcPr>
            <w:tcW w:w="953" w:type="dxa"/>
            <w:shd w:val="clear" w:color="auto" w:fill="auto"/>
            <w:noWrap/>
            <w:vAlign w:val="center"/>
            <w:hideMark/>
          </w:tcPr>
          <w:p w14:paraId="4D3F8337"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Kostomlaty nad Labem</w:t>
            </w:r>
          </w:p>
        </w:tc>
        <w:tc>
          <w:tcPr>
            <w:tcW w:w="1417" w:type="dxa"/>
            <w:shd w:val="clear" w:color="auto" w:fill="auto"/>
            <w:noWrap/>
            <w:vAlign w:val="center"/>
            <w:hideMark/>
          </w:tcPr>
          <w:p w14:paraId="1899C334"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vypustit koridor pro silniční obchvat II/331 bez náhrady</w:t>
            </w:r>
          </w:p>
        </w:tc>
        <w:tc>
          <w:tcPr>
            <w:tcW w:w="950" w:type="dxa"/>
            <w:shd w:val="clear" w:color="auto" w:fill="auto"/>
            <w:noWrap/>
            <w:vAlign w:val="center"/>
            <w:hideMark/>
          </w:tcPr>
          <w:p w14:paraId="5DE25CC8" w14:textId="53EA9B4E" w:rsidR="00CF1108" w:rsidRPr="006070EA" w:rsidRDefault="00F135AC"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ANO</w:t>
            </w:r>
          </w:p>
        </w:tc>
        <w:tc>
          <w:tcPr>
            <w:tcW w:w="1139" w:type="dxa"/>
            <w:shd w:val="clear" w:color="auto" w:fill="auto"/>
            <w:noWrap/>
            <w:vAlign w:val="center"/>
            <w:hideMark/>
          </w:tcPr>
          <w:p w14:paraId="500E5C04" w14:textId="27E3FE9F" w:rsidR="00CF1108" w:rsidRPr="006070EA" w:rsidRDefault="00F135AC"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w:t>
            </w:r>
          </w:p>
        </w:tc>
        <w:tc>
          <w:tcPr>
            <w:tcW w:w="2438" w:type="dxa"/>
            <w:shd w:val="clear" w:color="auto" w:fill="auto"/>
            <w:noWrap/>
            <w:vAlign w:val="center"/>
            <w:hideMark/>
          </w:tcPr>
          <w:p w14:paraId="51ECECDA" w14:textId="6FEDD50E" w:rsidR="00CF1108" w:rsidRPr="006070EA" w:rsidRDefault="00F135AC"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 xml:space="preserve"> koridor vypuštěn z ÚPD</w:t>
            </w:r>
          </w:p>
        </w:tc>
      </w:tr>
      <w:tr w:rsidR="00CF1108" w:rsidRPr="006070EA" w14:paraId="25DB699A" w14:textId="77777777" w:rsidTr="00A13D9A">
        <w:trPr>
          <w:cantSplit/>
          <w:trHeight w:val="975"/>
          <w:jc w:val="center"/>
        </w:trPr>
        <w:tc>
          <w:tcPr>
            <w:tcW w:w="460" w:type="dxa"/>
            <w:vMerge w:val="restart"/>
            <w:shd w:val="clear" w:color="auto" w:fill="auto"/>
            <w:noWrap/>
            <w:vAlign w:val="center"/>
            <w:hideMark/>
          </w:tcPr>
          <w:p w14:paraId="11681BF9"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25</w:t>
            </w:r>
          </w:p>
        </w:tc>
        <w:tc>
          <w:tcPr>
            <w:tcW w:w="958" w:type="dxa"/>
            <w:vMerge w:val="restart"/>
            <w:shd w:val="clear" w:color="auto" w:fill="auto"/>
            <w:noWrap/>
            <w:vAlign w:val="center"/>
            <w:hideMark/>
          </w:tcPr>
          <w:p w14:paraId="6205E4C4"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15.08.2018</w:t>
            </w:r>
          </w:p>
        </w:tc>
        <w:tc>
          <w:tcPr>
            <w:tcW w:w="804" w:type="dxa"/>
            <w:shd w:val="clear" w:color="auto" w:fill="auto"/>
            <w:noWrap/>
            <w:vAlign w:val="center"/>
            <w:hideMark/>
          </w:tcPr>
          <w:p w14:paraId="17260DB8"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217/33</w:t>
            </w:r>
          </w:p>
        </w:tc>
        <w:tc>
          <w:tcPr>
            <w:tcW w:w="953" w:type="dxa"/>
            <w:shd w:val="clear" w:color="auto" w:fill="auto"/>
            <w:noWrap/>
            <w:vAlign w:val="center"/>
            <w:hideMark/>
          </w:tcPr>
          <w:p w14:paraId="29E90F81"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Kostomlaty nad Labem</w:t>
            </w:r>
          </w:p>
        </w:tc>
        <w:tc>
          <w:tcPr>
            <w:tcW w:w="1417" w:type="dxa"/>
            <w:shd w:val="clear" w:color="auto" w:fill="auto"/>
            <w:noWrap/>
            <w:vAlign w:val="center"/>
            <w:hideMark/>
          </w:tcPr>
          <w:p w14:paraId="6D04A286"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snížení výměry pro jednu stavební parcely</w:t>
            </w:r>
          </w:p>
        </w:tc>
        <w:tc>
          <w:tcPr>
            <w:tcW w:w="950" w:type="dxa"/>
            <w:shd w:val="clear" w:color="auto" w:fill="auto"/>
            <w:noWrap/>
            <w:vAlign w:val="center"/>
            <w:hideMark/>
          </w:tcPr>
          <w:p w14:paraId="65DBE6A3"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ANO</w:t>
            </w:r>
          </w:p>
        </w:tc>
        <w:tc>
          <w:tcPr>
            <w:tcW w:w="1139" w:type="dxa"/>
            <w:shd w:val="clear" w:color="auto" w:fill="auto"/>
            <w:vAlign w:val="center"/>
            <w:hideMark/>
          </w:tcPr>
          <w:p w14:paraId="402BF413"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podmínka prostorového uspořádání</w:t>
            </w:r>
          </w:p>
        </w:tc>
        <w:tc>
          <w:tcPr>
            <w:tcW w:w="2438" w:type="dxa"/>
            <w:shd w:val="clear" w:color="auto" w:fill="auto"/>
            <w:noWrap/>
            <w:vAlign w:val="center"/>
            <w:hideMark/>
          </w:tcPr>
          <w:p w14:paraId="713F5637"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stanoveno rozmezí výměry pro vymezení stavebního pozemku, viz podmínky prostorového uspořádání v plochách BI</w:t>
            </w:r>
          </w:p>
        </w:tc>
      </w:tr>
      <w:tr w:rsidR="00CF1108" w:rsidRPr="006070EA" w14:paraId="412F8008" w14:textId="77777777" w:rsidTr="00A13D9A">
        <w:trPr>
          <w:cantSplit/>
          <w:trHeight w:val="975"/>
          <w:jc w:val="center"/>
        </w:trPr>
        <w:tc>
          <w:tcPr>
            <w:tcW w:w="460" w:type="dxa"/>
            <w:vMerge/>
            <w:vAlign w:val="center"/>
            <w:hideMark/>
          </w:tcPr>
          <w:p w14:paraId="6D6F08E4"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57B50BC3"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804" w:type="dxa"/>
            <w:shd w:val="clear" w:color="auto" w:fill="auto"/>
            <w:noWrap/>
            <w:vAlign w:val="center"/>
            <w:hideMark/>
          </w:tcPr>
          <w:p w14:paraId="57911845"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217/40</w:t>
            </w:r>
          </w:p>
        </w:tc>
        <w:tc>
          <w:tcPr>
            <w:tcW w:w="953" w:type="dxa"/>
            <w:shd w:val="clear" w:color="auto" w:fill="auto"/>
            <w:noWrap/>
            <w:vAlign w:val="center"/>
            <w:hideMark/>
          </w:tcPr>
          <w:p w14:paraId="745D0680"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Kostomlaty nad Labem</w:t>
            </w:r>
          </w:p>
        </w:tc>
        <w:tc>
          <w:tcPr>
            <w:tcW w:w="1417" w:type="dxa"/>
            <w:shd w:val="clear" w:color="auto" w:fill="auto"/>
            <w:noWrap/>
            <w:vAlign w:val="center"/>
            <w:hideMark/>
          </w:tcPr>
          <w:p w14:paraId="2FCF4ADF"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snížení výměry pro jednu stavební parcely</w:t>
            </w:r>
          </w:p>
        </w:tc>
        <w:tc>
          <w:tcPr>
            <w:tcW w:w="950" w:type="dxa"/>
            <w:shd w:val="clear" w:color="auto" w:fill="auto"/>
            <w:noWrap/>
            <w:vAlign w:val="center"/>
            <w:hideMark/>
          </w:tcPr>
          <w:p w14:paraId="3E7815EB"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ANO</w:t>
            </w:r>
          </w:p>
        </w:tc>
        <w:tc>
          <w:tcPr>
            <w:tcW w:w="1139" w:type="dxa"/>
            <w:shd w:val="clear" w:color="auto" w:fill="auto"/>
            <w:vAlign w:val="center"/>
            <w:hideMark/>
          </w:tcPr>
          <w:p w14:paraId="1FEDA819"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podmínka prostorového uspořádání</w:t>
            </w:r>
          </w:p>
        </w:tc>
        <w:tc>
          <w:tcPr>
            <w:tcW w:w="2438" w:type="dxa"/>
            <w:shd w:val="clear" w:color="auto" w:fill="auto"/>
            <w:noWrap/>
            <w:vAlign w:val="center"/>
            <w:hideMark/>
          </w:tcPr>
          <w:p w14:paraId="7B5684BF"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stanoveno rozmezí výměry pro vymezení stavebního pozemku, viz podmínky prostorového uspořádání v plochách BI</w:t>
            </w:r>
          </w:p>
        </w:tc>
      </w:tr>
      <w:tr w:rsidR="00CF1108" w:rsidRPr="006070EA" w14:paraId="459DE7FB" w14:textId="77777777" w:rsidTr="00A13D9A">
        <w:trPr>
          <w:cantSplit/>
          <w:trHeight w:val="975"/>
          <w:jc w:val="center"/>
        </w:trPr>
        <w:tc>
          <w:tcPr>
            <w:tcW w:w="460" w:type="dxa"/>
            <w:vMerge/>
            <w:vAlign w:val="center"/>
            <w:hideMark/>
          </w:tcPr>
          <w:p w14:paraId="564F9B6E"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470AB3B6"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804" w:type="dxa"/>
            <w:shd w:val="clear" w:color="auto" w:fill="auto"/>
            <w:noWrap/>
            <w:vAlign w:val="center"/>
            <w:hideMark/>
          </w:tcPr>
          <w:p w14:paraId="009D246A"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216/3</w:t>
            </w:r>
          </w:p>
        </w:tc>
        <w:tc>
          <w:tcPr>
            <w:tcW w:w="953" w:type="dxa"/>
            <w:shd w:val="clear" w:color="auto" w:fill="auto"/>
            <w:noWrap/>
            <w:vAlign w:val="center"/>
            <w:hideMark/>
          </w:tcPr>
          <w:p w14:paraId="278A9B13"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Kostomlaty nad Labem</w:t>
            </w:r>
          </w:p>
        </w:tc>
        <w:tc>
          <w:tcPr>
            <w:tcW w:w="1417" w:type="dxa"/>
            <w:shd w:val="clear" w:color="auto" w:fill="auto"/>
            <w:noWrap/>
            <w:vAlign w:val="center"/>
            <w:hideMark/>
          </w:tcPr>
          <w:p w14:paraId="0B6BF3F6"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snížení výměry pro jednu stavební parcely</w:t>
            </w:r>
          </w:p>
        </w:tc>
        <w:tc>
          <w:tcPr>
            <w:tcW w:w="950" w:type="dxa"/>
            <w:shd w:val="clear" w:color="auto" w:fill="auto"/>
            <w:noWrap/>
            <w:vAlign w:val="center"/>
            <w:hideMark/>
          </w:tcPr>
          <w:p w14:paraId="477ACAFE"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ANO</w:t>
            </w:r>
          </w:p>
        </w:tc>
        <w:tc>
          <w:tcPr>
            <w:tcW w:w="1139" w:type="dxa"/>
            <w:shd w:val="clear" w:color="auto" w:fill="auto"/>
            <w:vAlign w:val="center"/>
            <w:hideMark/>
          </w:tcPr>
          <w:p w14:paraId="4CCA5152"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podmínka prostorového uspořádání</w:t>
            </w:r>
          </w:p>
        </w:tc>
        <w:tc>
          <w:tcPr>
            <w:tcW w:w="2438" w:type="dxa"/>
            <w:shd w:val="clear" w:color="auto" w:fill="auto"/>
            <w:noWrap/>
            <w:vAlign w:val="center"/>
            <w:hideMark/>
          </w:tcPr>
          <w:p w14:paraId="089E8D43"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stanoveno rozmezí výměry pro vymezení stavebního pozemku, viz podmínky prostorového uspořádání v plochách BI</w:t>
            </w:r>
          </w:p>
        </w:tc>
      </w:tr>
      <w:tr w:rsidR="00CF1108" w:rsidRPr="006070EA" w14:paraId="7B86CA98" w14:textId="77777777" w:rsidTr="00A13D9A">
        <w:trPr>
          <w:cantSplit/>
          <w:trHeight w:val="975"/>
          <w:jc w:val="center"/>
        </w:trPr>
        <w:tc>
          <w:tcPr>
            <w:tcW w:w="460" w:type="dxa"/>
            <w:vMerge/>
            <w:vAlign w:val="center"/>
            <w:hideMark/>
          </w:tcPr>
          <w:p w14:paraId="55D95B34"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0E8CBDA0"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804" w:type="dxa"/>
            <w:shd w:val="clear" w:color="auto" w:fill="auto"/>
            <w:noWrap/>
            <w:vAlign w:val="center"/>
            <w:hideMark/>
          </w:tcPr>
          <w:p w14:paraId="48534D89"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216/4</w:t>
            </w:r>
          </w:p>
        </w:tc>
        <w:tc>
          <w:tcPr>
            <w:tcW w:w="953" w:type="dxa"/>
            <w:shd w:val="clear" w:color="auto" w:fill="auto"/>
            <w:noWrap/>
            <w:vAlign w:val="center"/>
            <w:hideMark/>
          </w:tcPr>
          <w:p w14:paraId="3ED25344"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Kostomlaty nad Labem</w:t>
            </w:r>
          </w:p>
        </w:tc>
        <w:tc>
          <w:tcPr>
            <w:tcW w:w="1417" w:type="dxa"/>
            <w:shd w:val="clear" w:color="auto" w:fill="auto"/>
            <w:noWrap/>
            <w:vAlign w:val="center"/>
            <w:hideMark/>
          </w:tcPr>
          <w:p w14:paraId="25D13105"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snížení výměry pro jednu stavební parcely</w:t>
            </w:r>
          </w:p>
        </w:tc>
        <w:tc>
          <w:tcPr>
            <w:tcW w:w="950" w:type="dxa"/>
            <w:shd w:val="clear" w:color="auto" w:fill="auto"/>
            <w:noWrap/>
            <w:vAlign w:val="center"/>
            <w:hideMark/>
          </w:tcPr>
          <w:p w14:paraId="65525412"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ANO</w:t>
            </w:r>
          </w:p>
        </w:tc>
        <w:tc>
          <w:tcPr>
            <w:tcW w:w="1139" w:type="dxa"/>
            <w:shd w:val="clear" w:color="auto" w:fill="auto"/>
            <w:vAlign w:val="center"/>
            <w:hideMark/>
          </w:tcPr>
          <w:p w14:paraId="22702CC7"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podmínka prostorového uspořádání</w:t>
            </w:r>
          </w:p>
        </w:tc>
        <w:tc>
          <w:tcPr>
            <w:tcW w:w="2438" w:type="dxa"/>
            <w:shd w:val="clear" w:color="auto" w:fill="auto"/>
            <w:noWrap/>
            <w:vAlign w:val="center"/>
            <w:hideMark/>
          </w:tcPr>
          <w:p w14:paraId="447299E5"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stanoveno rozmezí výměry pro vymezení stavebního pozemku, viz podmínky prostorového uspořádání v plochách BI</w:t>
            </w:r>
          </w:p>
        </w:tc>
      </w:tr>
      <w:tr w:rsidR="00CF1108" w:rsidRPr="006070EA" w14:paraId="6481FEF7" w14:textId="77777777" w:rsidTr="00A13D9A">
        <w:trPr>
          <w:cantSplit/>
          <w:trHeight w:val="975"/>
          <w:jc w:val="center"/>
        </w:trPr>
        <w:tc>
          <w:tcPr>
            <w:tcW w:w="460" w:type="dxa"/>
            <w:vMerge/>
            <w:vAlign w:val="center"/>
            <w:hideMark/>
          </w:tcPr>
          <w:p w14:paraId="7D171257"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79278DCF"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804" w:type="dxa"/>
            <w:shd w:val="clear" w:color="auto" w:fill="auto"/>
            <w:noWrap/>
            <w:vAlign w:val="center"/>
            <w:hideMark/>
          </w:tcPr>
          <w:p w14:paraId="7D78484A"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216/1</w:t>
            </w:r>
          </w:p>
        </w:tc>
        <w:tc>
          <w:tcPr>
            <w:tcW w:w="953" w:type="dxa"/>
            <w:shd w:val="clear" w:color="auto" w:fill="auto"/>
            <w:noWrap/>
            <w:vAlign w:val="center"/>
            <w:hideMark/>
          </w:tcPr>
          <w:p w14:paraId="0A7A3619"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Kostomlaty nad Labem</w:t>
            </w:r>
          </w:p>
        </w:tc>
        <w:tc>
          <w:tcPr>
            <w:tcW w:w="1417" w:type="dxa"/>
            <w:shd w:val="clear" w:color="auto" w:fill="auto"/>
            <w:noWrap/>
            <w:vAlign w:val="center"/>
            <w:hideMark/>
          </w:tcPr>
          <w:p w14:paraId="0D7A1043"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snížení výměry pro jednu stavební parcely</w:t>
            </w:r>
          </w:p>
        </w:tc>
        <w:tc>
          <w:tcPr>
            <w:tcW w:w="950" w:type="dxa"/>
            <w:shd w:val="clear" w:color="auto" w:fill="auto"/>
            <w:noWrap/>
            <w:vAlign w:val="center"/>
            <w:hideMark/>
          </w:tcPr>
          <w:p w14:paraId="1ECE9024"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ANO</w:t>
            </w:r>
          </w:p>
        </w:tc>
        <w:tc>
          <w:tcPr>
            <w:tcW w:w="1139" w:type="dxa"/>
            <w:shd w:val="clear" w:color="auto" w:fill="auto"/>
            <w:vAlign w:val="center"/>
            <w:hideMark/>
          </w:tcPr>
          <w:p w14:paraId="757C7896"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podmínka prostorového uspořádání</w:t>
            </w:r>
          </w:p>
        </w:tc>
        <w:tc>
          <w:tcPr>
            <w:tcW w:w="2438" w:type="dxa"/>
            <w:shd w:val="clear" w:color="auto" w:fill="auto"/>
            <w:noWrap/>
            <w:vAlign w:val="center"/>
            <w:hideMark/>
          </w:tcPr>
          <w:p w14:paraId="432B0595"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stanoveno rozmezí výměry pro vymezení stavebního pozemku, viz podmínky prostorového uspořádání v plochách BI</w:t>
            </w:r>
          </w:p>
        </w:tc>
      </w:tr>
      <w:tr w:rsidR="00CF1108" w:rsidRPr="006070EA" w14:paraId="57A313C5" w14:textId="77777777" w:rsidTr="00A13D9A">
        <w:trPr>
          <w:cantSplit/>
          <w:trHeight w:val="300"/>
          <w:jc w:val="center"/>
        </w:trPr>
        <w:tc>
          <w:tcPr>
            <w:tcW w:w="460" w:type="dxa"/>
            <w:vMerge/>
            <w:vAlign w:val="center"/>
            <w:hideMark/>
          </w:tcPr>
          <w:p w14:paraId="6A1F41C3"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4C2AD598"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804" w:type="dxa"/>
            <w:shd w:val="clear" w:color="auto" w:fill="auto"/>
            <w:noWrap/>
            <w:vAlign w:val="center"/>
            <w:hideMark/>
          </w:tcPr>
          <w:p w14:paraId="2250F672"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215</w:t>
            </w:r>
          </w:p>
        </w:tc>
        <w:tc>
          <w:tcPr>
            <w:tcW w:w="953" w:type="dxa"/>
            <w:shd w:val="clear" w:color="auto" w:fill="auto"/>
            <w:noWrap/>
            <w:vAlign w:val="center"/>
            <w:hideMark/>
          </w:tcPr>
          <w:p w14:paraId="170B3F2B"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Kostomlaty nad Labem</w:t>
            </w:r>
          </w:p>
        </w:tc>
        <w:tc>
          <w:tcPr>
            <w:tcW w:w="1417" w:type="dxa"/>
            <w:shd w:val="clear" w:color="auto" w:fill="auto"/>
            <w:noWrap/>
            <w:vAlign w:val="center"/>
            <w:hideMark/>
          </w:tcPr>
          <w:p w14:paraId="2583209A"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snížení výměry pro jednu stavební parcely</w:t>
            </w:r>
          </w:p>
        </w:tc>
        <w:tc>
          <w:tcPr>
            <w:tcW w:w="950" w:type="dxa"/>
            <w:shd w:val="clear" w:color="auto" w:fill="auto"/>
            <w:noWrap/>
            <w:vAlign w:val="center"/>
            <w:hideMark/>
          </w:tcPr>
          <w:p w14:paraId="32866E77"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w:t>
            </w:r>
          </w:p>
        </w:tc>
        <w:tc>
          <w:tcPr>
            <w:tcW w:w="1139" w:type="dxa"/>
            <w:shd w:val="clear" w:color="auto" w:fill="auto"/>
            <w:vAlign w:val="center"/>
            <w:hideMark/>
          </w:tcPr>
          <w:p w14:paraId="6A489FBF"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w:t>
            </w:r>
          </w:p>
        </w:tc>
        <w:tc>
          <w:tcPr>
            <w:tcW w:w="2438" w:type="dxa"/>
            <w:shd w:val="clear" w:color="auto" w:fill="auto"/>
            <w:noWrap/>
            <w:vAlign w:val="center"/>
            <w:hideMark/>
          </w:tcPr>
          <w:p w14:paraId="7F255E64"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neidentifikována parcela p. č. 215 v k. ú. Kostomlaty nad Labem</w:t>
            </w:r>
          </w:p>
        </w:tc>
      </w:tr>
      <w:tr w:rsidR="00CF1108" w:rsidRPr="006070EA" w14:paraId="17B742E5" w14:textId="77777777" w:rsidTr="00A13D9A">
        <w:trPr>
          <w:cantSplit/>
          <w:trHeight w:val="300"/>
          <w:jc w:val="center"/>
        </w:trPr>
        <w:tc>
          <w:tcPr>
            <w:tcW w:w="460" w:type="dxa"/>
            <w:shd w:val="clear" w:color="auto" w:fill="auto"/>
            <w:noWrap/>
            <w:vAlign w:val="center"/>
            <w:hideMark/>
          </w:tcPr>
          <w:p w14:paraId="263A46B5"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26</w:t>
            </w:r>
          </w:p>
        </w:tc>
        <w:tc>
          <w:tcPr>
            <w:tcW w:w="958" w:type="dxa"/>
            <w:shd w:val="clear" w:color="auto" w:fill="auto"/>
            <w:noWrap/>
            <w:vAlign w:val="center"/>
            <w:hideMark/>
          </w:tcPr>
          <w:p w14:paraId="24B754F0"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25.06.2018</w:t>
            </w:r>
          </w:p>
        </w:tc>
        <w:tc>
          <w:tcPr>
            <w:tcW w:w="804" w:type="dxa"/>
            <w:shd w:val="clear" w:color="auto" w:fill="auto"/>
            <w:noWrap/>
            <w:vAlign w:val="center"/>
            <w:hideMark/>
          </w:tcPr>
          <w:p w14:paraId="28424418"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889/56</w:t>
            </w:r>
          </w:p>
        </w:tc>
        <w:tc>
          <w:tcPr>
            <w:tcW w:w="953" w:type="dxa"/>
            <w:shd w:val="clear" w:color="auto" w:fill="auto"/>
            <w:noWrap/>
            <w:vAlign w:val="center"/>
            <w:hideMark/>
          </w:tcPr>
          <w:p w14:paraId="113B1C72"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Kostomlaty nad Labem</w:t>
            </w:r>
          </w:p>
        </w:tc>
        <w:tc>
          <w:tcPr>
            <w:tcW w:w="1417" w:type="dxa"/>
            <w:shd w:val="clear" w:color="auto" w:fill="auto"/>
            <w:noWrap/>
            <w:vAlign w:val="center"/>
            <w:hideMark/>
          </w:tcPr>
          <w:p w14:paraId="23BEFF15"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komerční využití</w:t>
            </w:r>
          </w:p>
        </w:tc>
        <w:tc>
          <w:tcPr>
            <w:tcW w:w="950" w:type="dxa"/>
            <w:shd w:val="clear" w:color="auto" w:fill="auto"/>
            <w:noWrap/>
            <w:vAlign w:val="center"/>
            <w:hideMark/>
          </w:tcPr>
          <w:p w14:paraId="714C8EE9"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NE</w:t>
            </w:r>
          </w:p>
        </w:tc>
        <w:tc>
          <w:tcPr>
            <w:tcW w:w="1139" w:type="dxa"/>
            <w:shd w:val="clear" w:color="auto" w:fill="auto"/>
            <w:noWrap/>
            <w:vAlign w:val="center"/>
            <w:hideMark/>
          </w:tcPr>
          <w:p w14:paraId="21136906" w14:textId="7AAFF72D"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 xml:space="preserve">zařazeno do </w:t>
            </w:r>
            <w:r w:rsidR="00AA053D" w:rsidRPr="006070EA">
              <w:rPr>
                <w:rFonts w:asciiTheme="majorHAnsi" w:eastAsia="Times New Roman" w:hAnsiTheme="majorHAnsi" w:cstheme="majorHAnsi"/>
                <w:color w:val="000000"/>
                <w:sz w:val="18"/>
                <w:szCs w:val="18"/>
                <w:lang w:eastAsia="cs-CZ"/>
              </w:rPr>
              <w:t>AU</w:t>
            </w:r>
          </w:p>
        </w:tc>
        <w:tc>
          <w:tcPr>
            <w:tcW w:w="2438" w:type="dxa"/>
            <w:shd w:val="clear" w:color="auto" w:fill="auto"/>
            <w:noWrap/>
            <w:vAlign w:val="center"/>
            <w:hideMark/>
          </w:tcPr>
          <w:p w14:paraId="00B0BFB5"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nevhodný rozvoj zástavby ve volné krajině bez vazby na zastavěné území a veřejnou infrastrukturu</w:t>
            </w:r>
          </w:p>
        </w:tc>
      </w:tr>
      <w:tr w:rsidR="00AA053D" w:rsidRPr="006070EA" w14:paraId="36A73762" w14:textId="77777777" w:rsidTr="00A13D9A">
        <w:trPr>
          <w:cantSplit/>
          <w:trHeight w:val="300"/>
          <w:jc w:val="center"/>
        </w:trPr>
        <w:tc>
          <w:tcPr>
            <w:tcW w:w="460" w:type="dxa"/>
            <w:vMerge w:val="restart"/>
            <w:shd w:val="clear" w:color="auto" w:fill="auto"/>
            <w:noWrap/>
            <w:vAlign w:val="center"/>
            <w:hideMark/>
          </w:tcPr>
          <w:p w14:paraId="6C8E1140"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27</w:t>
            </w:r>
          </w:p>
        </w:tc>
        <w:tc>
          <w:tcPr>
            <w:tcW w:w="958" w:type="dxa"/>
            <w:vMerge w:val="restart"/>
            <w:shd w:val="clear" w:color="auto" w:fill="auto"/>
            <w:noWrap/>
            <w:vAlign w:val="center"/>
            <w:hideMark/>
          </w:tcPr>
          <w:p w14:paraId="2138A339"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07.02.2018</w:t>
            </w:r>
          </w:p>
        </w:tc>
        <w:tc>
          <w:tcPr>
            <w:tcW w:w="804" w:type="dxa"/>
            <w:shd w:val="clear" w:color="auto" w:fill="auto"/>
            <w:noWrap/>
            <w:vAlign w:val="center"/>
            <w:hideMark/>
          </w:tcPr>
          <w:p w14:paraId="14DA9135"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359/2</w:t>
            </w:r>
          </w:p>
        </w:tc>
        <w:tc>
          <w:tcPr>
            <w:tcW w:w="953" w:type="dxa"/>
            <w:shd w:val="clear" w:color="auto" w:fill="auto"/>
            <w:noWrap/>
            <w:vAlign w:val="center"/>
            <w:hideMark/>
          </w:tcPr>
          <w:p w14:paraId="20016D61"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Kostomlaty nad Labem</w:t>
            </w:r>
          </w:p>
        </w:tc>
        <w:tc>
          <w:tcPr>
            <w:tcW w:w="1417" w:type="dxa"/>
            <w:shd w:val="clear" w:color="auto" w:fill="auto"/>
            <w:noWrap/>
            <w:vAlign w:val="center"/>
            <w:hideMark/>
          </w:tcPr>
          <w:p w14:paraId="71CDF4E2"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shd w:val="clear" w:color="auto" w:fill="auto"/>
            <w:noWrap/>
            <w:vAlign w:val="center"/>
            <w:hideMark/>
          </w:tcPr>
          <w:p w14:paraId="0538695B"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NE</w:t>
            </w:r>
          </w:p>
        </w:tc>
        <w:tc>
          <w:tcPr>
            <w:tcW w:w="1139" w:type="dxa"/>
            <w:shd w:val="clear" w:color="auto" w:fill="auto"/>
            <w:noWrap/>
            <w:vAlign w:val="center"/>
            <w:hideMark/>
          </w:tcPr>
          <w:p w14:paraId="602E8739" w14:textId="53CECD81"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AU</w:t>
            </w:r>
          </w:p>
        </w:tc>
        <w:tc>
          <w:tcPr>
            <w:tcW w:w="2438" w:type="dxa"/>
            <w:shd w:val="clear" w:color="auto" w:fill="auto"/>
            <w:noWrap/>
            <w:vAlign w:val="center"/>
            <w:hideMark/>
          </w:tcPr>
          <w:p w14:paraId="74067444" w14:textId="0AC14ECE"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konflikt s koridorem CNU.KD1, nevhodný rozvoj zástavby ve volné krajině bez vazby na zastavěné území a veřejnou infrastrukturu</w:t>
            </w:r>
          </w:p>
        </w:tc>
      </w:tr>
      <w:tr w:rsidR="00AA053D" w:rsidRPr="006070EA" w14:paraId="64AEFF59" w14:textId="77777777" w:rsidTr="00A13D9A">
        <w:trPr>
          <w:cantSplit/>
          <w:trHeight w:val="300"/>
          <w:jc w:val="center"/>
        </w:trPr>
        <w:tc>
          <w:tcPr>
            <w:tcW w:w="460" w:type="dxa"/>
            <w:vMerge/>
            <w:vAlign w:val="center"/>
            <w:hideMark/>
          </w:tcPr>
          <w:p w14:paraId="48048CFB"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71A165FA"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p>
        </w:tc>
        <w:tc>
          <w:tcPr>
            <w:tcW w:w="804" w:type="dxa"/>
            <w:shd w:val="clear" w:color="auto" w:fill="auto"/>
            <w:noWrap/>
            <w:vAlign w:val="center"/>
            <w:hideMark/>
          </w:tcPr>
          <w:p w14:paraId="57D21E22"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894/35</w:t>
            </w:r>
          </w:p>
        </w:tc>
        <w:tc>
          <w:tcPr>
            <w:tcW w:w="953" w:type="dxa"/>
            <w:shd w:val="clear" w:color="auto" w:fill="auto"/>
            <w:noWrap/>
            <w:vAlign w:val="center"/>
            <w:hideMark/>
          </w:tcPr>
          <w:p w14:paraId="32DAD100"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Kostomlaty nad Labem</w:t>
            </w:r>
          </w:p>
        </w:tc>
        <w:tc>
          <w:tcPr>
            <w:tcW w:w="1417" w:type="dxa"/>
            <w:shd w:val="clear" w:color="auto" w:fill="auto"/>
            <w:noWrap/>
            <w:vAlign w:val="center"/>
            <w:hideMark/>
          </w:tcPr>
          <w:p w14:paraId="0F90ADE4"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shd w:val="clear" w:color="auto" w:fill="auto"/>
            <w:noWrap/>
            <w:vAlign w:val="center"/>
            <w:hideMark/>
          </w:tcPr>
          <w:p w14:paraId="3C6BC2D8"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NE</w:t>
            </w:r>
          </w:p>
        </w:tc>
        <w:tc>
          <w:tcPr>
            <w:tcW w:w="1139" w:type="dxa"/>
            <w:shd w:val="clear" w:color="auto" w:fill="auto"/>
            <w:noWrap/>
            <w:vAlign w:val="center"/>
            <w:hideMark/>
          </w:tcPr>
          <w:p w14:paraId="0D1EA918" w14:textId="298CDFC3"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AU</w:t>
            </w:r>
          </w:p>
        </w:tc>
        <w:tc>
          <w:tcPr>
            <w:tcW w:w="2438" w:type="dxa"/>
            <w:shd w:val="clear" w:color="auto" w:fill="auto"/>
            <w:noWrap/>
            <w:vAlign w:val="center"/>
            <w:hideMark/>
          </w:tcPr>
          <w:p w14:paraId="6C49C247" w14:textId="34F8FBB8"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konflikt s koridorem CNU.KD1, nevhodný rozvoj zástavby ve volné krajině bez vazby na zastavěné území a veřejnou infrastrukturu</w:t>
            </w:r>
          </w:p>
        </w:tc>
      </w:tr>
      <w:tr w:rsidR="00AA053D" w:rsidRPr="006070EA" w14:paraId="48375F36" w14:textId="77777777" w:rsidTr="00A13D9A">
        <w:trPr>
          <w:cantSplit/>
          <w:trHeight w:val="300"/>
          <w:jc w:val="center"/>
        </w:trPr>
        <w:tc>
          <w:tcPr>
            <w:tcW w:w="460" w:type="dxa"/>
            <w:vMerge/>
            <w:vAlign w:val="center"/>
            <w:hideMark/>
          </w:tcPr>
          <w:p w14:paraId="2886E65B"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5A3FEF8C"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p>
        </w:tc>
        <w:tc>
          <w:tcPr>
            <w:tcW w:w="804" w:type="dxa"/>
            <w:shd w:val="clear" w:color="auto" w:fill="auto"/>
            <w:noWrap/>
            <w:vAlign w:val="center"/>
            <w:hideMark/>
          </w:tcPr>
          <w:p w14:paraId="61D5BA6E"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894/38</w:t>
            </w:r>
          </w:p>
        </w:tc>
        <w:tc>
          <w:tcPr>
            <w:tcW w:w="953" w:type="dxa"/>
            <w:shd w:val="clear" w:color="auto" w:fill="auto"/>
            <w:noWrap/>
            <w:vAlign w:val="center"/>
            <w:hideMark/>
          </w:tcPr>
          <w:p w14:paraId="5F5DEF5E"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Kostomlaty nad Labem</w:t>
            </w:r>
          </w:p>
        </w:tc>
        <w:tc>
          <w:tcPr>
            <w:tcW w:w="1417" w:type="dxa"/>
            <w:shd w:val="clear" w:color="auto" w:fill="auto"/>
            <w:noWrap/>
            <w:vAlign w:val="center"/>
            <w:hideMark/>
          </w:tcPr>
          <w:p w14:paraId="31B4C815"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shd w:val="clear" w:color="auto" w:fill="auto"/>
            <w:noWrap/>
            <w:vAlign w:val="center"/>
            <w:hideMark/>
          </w:tcPr>
          <w:p w14:paraId="7F6CACC9"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NE</w:t>
            </w:r>
          </w:p>
        </w:tc>
        <w:tc>
          <w:tcPr>
            <w:tcW w:w="1139" w:type="dxa"/>
            <w:shd w:val="clear" w:color="auto" w:fill="auto"/>
            <w:noWrap/>
            <w:vAlign w:val="center"/>
            <w:hideMark/>
          </w:tcPr>
          <w:p w14:paraId="072D8F16" w14:textId="399BA2E9"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AU</w:t>
            </w:r>
          </w:p>
        </w:tc>
        <w:tc>
          <w:tcPr>
            <w:tcW w:w="2438" w:type="dxa"/>
            <w:shd w:val="clear" w:color="auto" w:fill="auto"/>
            <w:noWrap/>
            <w:vAlign w:val="center"/>
            <w:hideMark/>
          </w:tcPr>
          <w:p w14:paraId="79D70067" w14:textId="4EDD953D"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konflikt s koridorem CNU.KD1, nevhodný rozvoj zástavby ve volné krajině bez vazby na zastavěné území a veřejnou infrastrukturu</w:t>
            </w:r>
          </w:p>
        </w:tc>
      </w:tr>
      <w:tr w:rsidR="00AA053D" w:rsidRPr="006070EA" w14:paraId="0B65977C" w14:textId="77777777" w:rsidTr="00A13D9A">
        <w:trPr>
          <w:cantSplit/>
          <w:trHeight w:val="300"/>
          <w:jc w:val="center"/>
        </w:trPr>
        <w:tc>
          <w:tcPr>
            <w:tcW w:w="460" w:type="dxa"/>
            <w:vMerge/>
            <w:vAlign w:val="center"/>
            <w:hideMark/>
          </w:tcPr>
          <w:p w14:paraId="0F4C74C2"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0327FDAA"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p>
        </w:tc>
        <w:tc>
          <w:tcPr>
            <w:tcW w:w="804" w:type="dxa"/>
            <w:shd w:val="clear" w:color="auto" w:fill="auto"/>
            <w:noWrap/>
            <w:vAlign w:val="center"/>
            <w:hideMark/>
          </w:tcPr>
          <w:p w14:paraId="303B054D"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905/83</w:t>
            </w:r>
          </w:p>
        </w:tc>
        <w:tc>
          <w:tcPr>
            <w:tcW w:w="953" w:type="dxa"/>
            <w:shd w:val="clear" w:color="auto" w:fill="auto"/>
            <w:noWrap/>
            <w:vAlign w:val="center"/>
            <w:hideMark/>
          </w:tcPr>
          <w:p w14:paraId="63472AB2"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Kostomlaty nad Labem</w:t>
            </w:r>
          </w:p>
        </w:tc>
        <w:tc>
          <w:tcPr>
            <w:tcW w:w="1417" w:type="dxa"/>
            <w:shd w:val="clear" w:color="auto" w:fill="auto"/>
            <w:noWrap/>
            <w:vAlign w:val="center"/>
            <w:hideMark/>
          </w:tcPr>
          <w:p w14:paraId="3C3DE9B2"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shd w:val="clear" w:color="auto" w:fill="auto"/>
            <w:noWrap/>
            <w:vAlign w:val="center"/>
            <w:hideMark/>
          </w:tcPr>
          <w:p w14:paraId="2E3B353F"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NE</w:t>
            </w:r>
          </w:p>
        </w:tc>
        <w:tc>
          <w:tcPr>
            <w:tcW w:w="1139" w:type="dxa"/>
            <w:shd w:val="clear" w:color="auto" w:fill="auto"/>
            <w:noWrap/>
            <w:vAlign w:val="center"/>
            <w:hideMark/>
          </w:tcPr>
          <w:p w14:paraId="307674B9" w14:textId="53217436"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AU</w:t>
            </w:r>
          </w:p>
        </w:tc>
        <w:tc>
          <w:tcPr>
            <w:tcW w:w="2438" w:type="dxa"/>
            <w:shd w:val="clear" w:color="auto" w:fill="auto"/>
            <w:noWrap/>
            <w:vAlign w:val="center"/>
            <w:hideMark/>
          </w:tcPr>
          <w:p w14:paraId="4B68B7F2" w14:textId="25B3255F"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konflikt s koridorem CNU.KD1, nevhodný rozvoj zástavby ve volné krajině bez vazby na zastavěné území a veřejnou infrastrukturu</w:t>
            </w:r>
          </w:p>
        </w:tc>
      </w:tr>
      <w:tr w:rsidR="00AA053D" w:rsidRPr="006070EA" w14:paraId="4D2B3F1C" w14:textId="77777777" w:rsidTr="00A13D9A">
        <w:trPr>
          <w:cantSplit/>
          <w:trHeight w:val="300"/>
          <w:jc w:val="center"/>
        </w:trPr>
        <w:tc>
          <w:tcPr>
            <w:tcW w:w="460" w:type="dxa"/>
            <w:vMerge/>
            <w:vAlign w:val="center"/>
            <w:hideMark/>
          </w:tcPr>
          <w:p w14:paraId="537117FC"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34B1F145"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p>
        </w:tc>
        <w:tc>
          <w:tcPr>
            <w:tcW w:w="804" w:type="dxa"/>
            <w:shd w:val="clear" w:color="auto" w:fill="auto"/>
            <w:noWrap/>
            <w:vAlign w:val="center"/>
            <w:hideMark/>
          </w:tcPr>
          <w:p w14:paraId="2981ABED"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905/86</w:t>
            </w:r>
          </w:p>
        </w:tc>
        <w:tc>
          <w:tcPr>
            <w:tcW w:w="953" w:type="dxa"/>
            <w:shd w:val="clear" w:color="auto" w:fill="auto"/>
            <w:noWrap/>
            <w:vAlign w:val="center"/>
            <w:hideMark/>
          </w:tcPr>
          <w:p w14:paraId="6EAD5DFD"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Kostomlaty nad Labem</w:t>
            </w:r>
          </w:p>
        </w:tc>
        <w:tc>
          <w:tcPr>
            <w:tcW w:w="1417" w:type="dxa"/>
            <w:shd w:val="clear" w:color="auto" w:fill="auto"/>
            <w:noWrap/>
            <w:vAlign w:val="center"/>
            <w:hideMark/>
          </w:tcPr>
          <w:p w14:paraId="0BFBAA46"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shd w:val="clear" w:color="auto" w:fill="auto"/>
            <w:noWrap/>
            <w:vAlign w:val="center"/>
            <w:hideMark/>
          </w:tcPr>
          <w:p w14:paraId="50C0008B"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NE</w:t>
            </w:r>
          </w:p>
        </w:tc>
        <w:tc>
          <w:tcPr>
            <w:tcW w:w="1139" w:type="dxa"/>
            <w:shd w:val="clear" w:color="auto" w:fill="auto"/>
            <w:noWrap/>
            <w:vAlign w:val="center"/>
            <w:hideMark/>
          </w:tcPr>
          <w:p w14:paraId="70E1A86A" w14:textId="1267CFAB"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AU</w:t>
            </w:r>
          </w:p>
        </w:tc>
        <w:tc>
          <w:tcPr>
            <w:tcW w:w="2438" w:type="dxa"/>
            <w:shd w:val="clear" w:color="auto" w:fill="auto"/>
            <w:noWrap/>
            <w:vAlign w:val="center"/>
            <w:hideMark/>
          </w:tcPr>
          <w:p w14:paraId="1C06D522" w14:textId="64AD69AD"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konflikt s koridorem CNU.KD1, nevhodný rozvoj zástavby ve volné krajině bez vazby na zastavěné území a veřejnou infrastrukturu</w:t>
            </w:r>
          </w:p>
        </w:tc>
      </w:tr>
      <w:tr w:rsidR="00AA053D" w:rsidRPr="006070EA" w14:paraId="6C6BFC30" w14:textId="77777777" w:rsidTr="00A13D9A">
        <w:trPr>
          <w:cantSplit/>
          <w:trHeight w:val="300"/>
          <w:jc w:val="center"/>
        </w:trPr>
        <w:tc>
          <w:tcPr>
            <w:tcW w:w="460" w:type="dxa"/>
            <w:vMerge/>
            <w:vAlign w:val="center"/>
            <w:hideMark/>
          </w:tcPr>
          <w:p w14:paraId="0F20F323"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7E1C30A5"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p>
        </w:tc>
        <w:tc>
          <w:tcPr>
            <w:tcW w:w="804" w:type="dxa"/>
            <w:shd w:val="clear" w:color="auto" w:fill="auto"/>
            <w:noWrap/>
            <w:vAlign w:val="center"/>
            <w:hideMark/>
          </w:tcPr>
          <w:p w14:paraId="1A832D38"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907/2</w:t>
            </w:r>
          </w:p>
        </w:tc>
        <w:tc>
          <w:tcPr>
            <w:tcW w:w="953" w:type="dxa"/>
            <w:shd w:val="clear" w:color="auto" w:fill="auto"/>
            <w:noWrap/>
            <w:vAlign w:val="center"/>
            <w:hideMark/>
          </w:tcPr>
          <w:p w14:paraId="356A79D0"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Kostomlaty nad Labem</w:t>
            </w:r>
          </w:p>
        </w:tc>
        <w:tc>
          <w:tcPr>
            <w:tcW w:w="1417" w:type="dxa"/>
            <w:shd w:val="clear" w:color="auto" w:fill="auto"/>
            <w:noWrap/>
            <w:vAlign w:val="center"/>
            <w:hideMark/>
          </w:tcPr>
          <w:p w14:paraId="50CFEA71"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shd w:val="clear" w:color="auto" w:fill="auto"/>
            <w:noWrap/>
            <w:vAlign w:val="center"/>
            <w:hideMark/>
          </w:tcPr>
          <w:p w14:paraId="5361CEA3"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NE</w:t>
            </w:r>
          </w:p>
        </w:tc>
        <w:tc>
          <w:tcPr>
            <w:tcW w:w="1139" w:type="dxa"/>
            <w:shd w:val="clear" w:color="auto" w:fill="auto"/>
            <w:noWrap/>
            <w:vAlign w:val="center"/>
            <w:hideMark/>
          </w:tcPr>
          <w:p w14:paraId="6A411808" w14:textId="332BF0EF"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AU</w:t>
            </w:r>
          </w:p>
        </w:tc>
        <w:tc>
          <w:tcPr>
            <w:tcW w:w="2438" w:type="dxa"/>
            <w:shd w:val="clear" w:color="auto" w:fill="auto"/>
            <w:noWrap/>
            <w:vAlign w:val="center"/>
            <w:hideMark/>
          </w:tcPr>
          <w:p w14:paraId="5E43DC6C" w14:textId="6BBC0C94"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konflikt s koridorem CNU.KD1, nevhodný rozvoj zástavby ve volné krajině bez vazby na zastavěné území a veřejnou infrastrukturu</w:t>
            </w:r>
          </w:p>
        </w:tc>
      </w:tr>
      <w:tr w:rsidR="00AA053D" w:rsidRPr="006070EA" w14:paraId="69A27572" w14:textId="77777777" w:rsidTr="00A13D9A">
        <w:trPr>
          <w:cantSplit/>
          <w:trHeight w:val="300"/>
          <w:jc w:val="center"/>
        </w:trPr>
        <w:tc>
          <w:tcPr>
            <w:tcW w:w="460" w:type="dxa"/>
            <w:vMerge/>
            <w:vAlign w:val="center"/>
            <w:hideMark/>
          </w:tcPr>
          <w:p w14:paraId="05B6BF4B"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4ED54B7B"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p>
        </w:tc>
        <w:tc>
          <w:tcPr>
            <w:tcW w:w="804" w:type="dxa"/>
            <w:shd w:val="clear" w:color="auto" w:fill="auto"/>
            <w:noWrap/>
            <w:vAlign w:val="center"/>
            <w:hideMark/>
          </w:tcPr>
          <w:p w14:paraId="67BD801A"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908</w:t>
            </w:r>
          </w:p>
        </w:tc>
        <w:tc>
          <w:tcPr>
            <w:tcW w:w="953" w:type="dxa"/>
            <w:shd w:val="clear" w:color="auto" w:fill="auto"/>
            <w:noWrap/>
            <w:vAlign w:val="center"/>
            <w:hideMark/>
          </w:tcPr>
          <w:p w14:paraId="6BE85E27"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Kostomlaty nad Labem</w:t>
            </w:r>
          </w:p>
        </w:tc>
        <w:tc>
          <w:tcPr>
            <w:tcW w:w="1417" w:type="dxa"/>
            <w:shd w:val="clear" w:color="auto" w:fill="auto"/>
            <w:noWrap/>
            <w:vAlign w:val="center"/>
            <w:hideMark/>
          </w:tcPr>
          <w:p w14:paraId="4C70EFE9"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shd w:val="clear" w:color="auto" w:fill="auto"/>
            <w:noWrap/>
            <w:vAlign w:val="center"/>
            <w:hideMark/>
          </w:tcPr>
          <w:p w14:paraId="23B08D4C"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NE</w:t>
            </w:r>
          </w:p>
        </w:tc>
        <w:tc>
          <w:tcPr>
            <w:tcW w:w="1139" w:type="dxa"/>
            <w:shd w:val="clear" w:color="auto" w:fill="auto"/>
            <w:noWrap/>
            <w:vAlign w:val="center"/>
            <w:hideMark/>
          </w:tcPr>
          <w:p w14:paraId="4729534F" w14:textId="5FA900FE"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AU</w:t>
            </w:r>
          </w:p>
        </w:tc>
        <w:tc>
          <w:tcPr>
            <w:tcW w:w="2438" w:type="dxa"/>
            <w:shd w:val="clear" w:color="auto" w:fill="auto"/>
            <w:noWrap/>
            <w:vAlign w:val="center"/>
            <w:hideMark/>
          </w:tcPr>
          <w:p w14:paraId="176DC81B" w14:textId="283B77D6"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konflikt s koridorem CNU.KD1, nevhodný rozvoj zástavby ve volné krajině bez vazby na zastavěné území a veřejnou infrastrukturu</w:t>
            </w:r>
          </w:p>
        </w:tc>
      </w:tr>
      <w:tr w:rsidR="00AA053D" w:rsidRPr="006070EA" w14:paraId="54336160" w14:textId="77777777" w:rsidTr="00A13D9A">
        <w:trPr>
          <w:cantSplit/>
          <w:trHeight w:val="300"/>
          <w:jc w:val="center"/>
        </w:trPr>
        <w:tc>
          <w:tcPr>
            <w:tcW w:w="460" w:type="dxa"/>
            <w:vMerge/>
            <w:vAlign w:val="center"/>
            <w:hideMark/>
          </w:tcPr>
          <w:p w14:paraId="188074C0"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130BB787"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p>
        </w:tc>
        <w:tc>
          <w:tcPr>
            <w:tcW w:w="804" w:type="dxa"/>
            <w:shd w:val="clear" w:color="auto" w:fill="auto"/>
            <w:noWrap/>
            <w:vAlign w:val="center"/>
            <w:hideMark/>
          </w:tcPr>
          <w:p w14:paraId="438C7E59"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952/8</w:t>
            </w:r>
          </w:p>
        </w:tc>
        <w:tc>
          <w:tcPr>
            <w:tcW w:w="953" w:type="dxa"/>
            <w:shd w:val="clear" w:color="auto" w:fill="auto"/>
            <w:noWrap/>
            <w:vAlign w:val="center"/>
            <w:hideMark/>
          </w:tcPr>
          <w:p w14:paraId="7FD80108"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Kostomlaty nad Labem</w:t>
            </w:r>
          </w:p>
        </w:tc>
        <w:tc>
          <w:tcPr>
            <w:tcW w:w="1417" w:type="dxa"/>
            <w:shd w:val="clear" w:color="auto" w:fill="auto"/>
            <w:noWrap/>
            <w:vAlign w:val="center"/>
            <w:hideMark/>
          </w:tcPr>
          <w:p w14:paraId="1CAC94E8"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shd w:val="clear" w:color="auto" w:fill="auto"/>
            <w:noWrap/>
            <w:vAlign w:val="center"/>
            <w:hideMark/>
          </w:tcPr>
          <w:p w14:paraId="23D94BA5"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NE</w:t>
            </w:r>
          </w:p>
        </w:tc>
        <w:tc>
          <w:tcPr>
            <w:tcW w:w="1139" w:type="dxa"/>
            <w:shd w:val="clear" w:color="auto" w:fill="auto"/>
            <w:noWrap/>
            <w:vAlign w:val="center"/>
            <w:hideMark/>
          </w:tcPr>
          <w:p w14:paraId="6237B7BB" w14:textId="6F082928"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AU</w:t>
            </w:r>
          </w:p>
        </w:tc>
        <w:tc>
          <w:tcPr>
            <w:tcW w:w="2438" w:type="dxa"/>
            <w:shd w:val="clear" w:color="auto" w:fill="auto"/>
            <w:noWrap/>
            <w:vAlign w:val="center"/>
            <w:hideMark/>
          </w:tcPr>
          <w:p w14:paraId="0E906305" w14:textId="0C712024"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konflikt s koridorem CNU.KD1, nevhodný rozvoj zástavby ve volné krajině bez vazby na zastavěné území a veřejnou infrastrukturu</w:t>
            </w:r>
          </w:p>
        </w:tc>
      </w:tr>
      <w:tr w:rsidR="00AA053D" w:rsidRPr="006070EA" w14:paraId="26F4C6AB" w14:textId="77777777" w:rsidTr="00A13D9A">
        <w:trPr>
          <w:cantSplit/>
          <w:trHeight w:val="300"/>
          <w:jc w:val="center"/>
        </w:trPr>
        <w:tc>
          <w:tcPr>
            <w:tcW w:w="460" w:type="dxa"/>
            <w:shd w:val="clear" w:color="auto" w:fill="auto"/>
            <w:noWrap/>
            <w:vAlign w:val="center"/>
            <w:hideMark/>
          </w:tcPr>
          <w:p w14:paraId="522B804F"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28</w:t>
            </w:r>
          </w:p>
        </w:tc>
        <w:tc>
          <w:tcPr>
            <w:tcW w:w="958" w:type="dxa"/>
            <w:shd w:val="clear" w:color="auto" w:fill="auto"/>
            <w:noWrap/>
            <w:vAlign w:val="center"/>
            <w:hideMark/>
          </w:tcPr>
          <w:p w14:paraId="69E627C5"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21.11.2017</w:t>
            </w:r>
          </w:p>
        </w:tc>
        <w:tc>
          <w:tcPr>
            <w:tcW w:w="804" w:type="dxa"/>
            <w:shd w:val="clear" w:color="auto" w:fill="auto"/>
            <w:noWrap/>
            <w:vAlign w:val="center"/>
            <w:hideMark/>
          </w:tcPr>
          <w:p w14:paraId="3D909EF0"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838</w:t>
            </w:r>
          </w:p>
        </w:tc>
        <w:tc>
          <w:tcPr>
            <w:tcW w:w="953" w:type="dxa"/>
            <w:shd w:val="clear" w:color="auto" w:fill="auto"/>
            <w:noWrap/>
            <w:vAlign w:val="center"/>
            <w:hideMark/>
          </w:tcPr>
          <w:p w14:paraId="702E2604"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Kostomlaty nad Labem</w:t>
            </w:r>
          </w:p>
        </w:tc>
        <w:tc>
          <w:tcPr>
            <w:tcW w:w="1417" w:type="dxa"/>
            <w:shd w:val="clear" w:color="auto" w:fill="auto"/>
            <w:noWrap/>
            <w:vAlign w:val="center"/>
            <w:hideMark/>
          </w:tcPr>
          <w:p w14:paraId="35755693"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shd w:val="clear" w:color="auto" w:fill="auto"/>
            <w:noWrap/>
            <w:vAlign w:val="center"/>
            <w:hideMark/>
          </w:tcPr>
          <w:p w14:paraId="71870743"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NE</w:t>
            </w:r>
          </w:p>
        </w:tc>
        <w:tc>
          <w:tcPr>
            <w:tcW w:w="1139" w:type="dxa"/>
            <w:shd w:val="clear" w:color="auto" w:fill="auto"/>
            <w:noWrap/>
            <w:vAlign w:val="center"/>
            <w:hideMark/>
          </w:tcPr>
          <w:p w14:paraId="642E8894" w14:textId="0CBE3D11"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AU</w:t>
            </w:r>
          </w:p>
        </w:tc>
        <w:tc>
          <w:tcPr>
            <w:tcW w:w="2438" w:type="dxa"/>
            <w:shd w:val="clear" w:color="auto" w:fill="auto"/>
            <w:noWrap/>
            <w:vAlign w:val="center"/>
            <w:hideMark/>
          </w:tcPr>
          <w:p w14:paraId="683A7DB0" w14:textId="6AEABEEC"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konflikt s koridorem CNU.KD1, nevhodný rozvoj zástavby ve volné krajině bez vazby na zastavěné území a veřejnou infrastrukturu</w:t>
            </w:r>
          </w:p>
        </w:tc>
      </w:tr>
      <w:tr w:rsidR="00CF1108" w:rsidRPr="006070EA" w14:paraId="6F488F90" w14:textId="77777777" w:rsidTr="00A13D9A">
        <w:trPr>
          <w:cantSplit/>
          <w:trHeight w:val="1200"/>
          <w:jc w:val="center"/>
        </w:trPr>
        <w:tc>
          <w:tcPr>
            <w:tcW w:w="460" w:type="dxa"/>
            <w:shd w:val="clear" w:color="auto" w:fill="auto"/>
            <w:noWrap/>
            <w:vAlign w:val="center"/>
            <w:hideMark/>
          </w:tcPr>
          <w:p w14:paraId="17766005"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29</w:t>
            </w:r>
          </w:p>
        </w:tc>
        <w:tc>
          <w:tcPr>
            <w:tcW w:w="958" w:type="dxa"/>
            <w:shd w:val="clear" w:color="auto" w:fill="auto"/>
            <w:noWrap/>
            <w:vAlign w:val="center"/>
            <w:hideMark/>
          </w:tcPr>
          <w:p w14:paraId="334E67C0"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13.09.2017</w:t>
            </w:r>
          </w:p>
        </w:tc>
        <w:tc>
          <w:tcPr>
            <w:tcW w:w="804" w:type="dxa"/>
            <w:shd w:val="clear" w:color="auto" w:fill="auto"/>
            <w:noWrap/>
            <w:vAlign w:val="center"/>
            <w:hideMark/>
          </w:tcPr>
          <w:p w14:paraId="61EEF29C"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781/2</w:t>
            </w:r>
          </w:p>
        </w:tc>
        <w:tc>
          <w:tcPr>
            <w:tcW w:w="953" w:type="dxa"/>
            <w:shd w:val="clear" w:color="auto" w:fill="auto"/>
            <w:noWrap/>
            <w:vAlign w:val="center"/>
            <w:hideMark/>
          </w:tcPr>
          <w:p w14:paraId="26DE3DEA"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Kostomlaty nad Labem</w:t>
            </w:r>
          </w:p>
        </w:tc>
        <w:tc>
          <w:tcPr>
            <w:tcW w:w="1417" w:type="dxa"/>
            <w:shd w:val="clear" w:color="auto" w:fill="auto"/>
            <w:noWrap/>
            <w:vAlign w:val="center"/>
            <w:hideMark/>
          </w:tcPr>
          <w:p w14:paraId="36F9FB6C"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shd w:val="clear" w:color="auto" w:fill="auto"/>
            <w:noWrap/>
            <w:vAlign w:val="center"/>
            <w:hideMark/>
          </w:tcPr>
          <w:p w14:paraId="2F2F27AA"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ANO, část</w:t>
            </w:r>
          </w:p>
        </w:tc>
        <w:tc>
          <w:tcPr>
            <w:tcW w:w="1139" w:type="dxa"/>
            <w:shd w:val="clear" w:color="auto" w:fill="auto"/>
            <w:vAlign w:val="center"/>
            <w:hideMark/>
          </w:tcPr>
          <w:p w14:paraId="3F117EE6" w14:textId="29768B98"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částečně do BI a částečně do Z</w:t>
            </w:r>
            <w:r w:rsidR="00AA053D" w:rsidRPr="006070EA">
              <w:rPr>
                <w:rFonts w:asciiTheme="majorHAnsi" w:eastAsia="Times New Roman" w:hAnsiTheme="majorHAnsi" w:cstheme="majorHAnsi"/>
                <w:color w:val="000000"/>
                <w:sz w:val="18"/>
                <w:szCs w:val="18"/>
                <w:lang w:eastAsia="cs-CZ"/>
              </w:rPr>
              <w:t>P</w:t>
            </w:r>
          </w:p>
        </w:tc>
        <w:tc>
          <w:tcPr>
            <w:tcW w:w="2438" w:type="dxa"/>
            <w:shd w:val="clear" w:color="auto" w:fill="auto"/>
            <w:noWrap/>
            <w:vAlign w:val="center"/>
            <w:hideMark/>
          </w:tcPr>
          <w:p w14:paraId="1D3E04BD" w14:textId="5D976298"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součást zastavitelných ploch Z</w:t>
            </w:r>
            <w:r w:rsidR="00AA053D" w:rsidRPr="006070EA">
              <w:rPr>
                <w:rFonts w:asciiTheme="majorHAnsi" w:eastAsia="Times New Roman" w:hAnsiTheme="majorHAnsi" w:cstheme="majorHAnsi"/>
                <w:color w:val="000000"/>
                <w:sz w:val="18"/>
                <w:szCs w:val="18"/>
                <w:lang w:eastAsia="cs-CZ"/>
              </w:rPr>
              <w:t>.</w:t>
            </w:r>
            <w:r w:rsidRPr="006070EA">
              <w:rPr>
                <w:rFonts w:asciiTheme="majorHAnsi" w:eastAsia="Times New Roman" w:hAnsiTheme="majorHAnsi" w:cstheme="majorHAnsi"/>
                <w:color w:val="000000"/>
                <w:sz w:val="18"/>
                <w:szCs w:val="18"/>
                <w:lang w:eastAsia="cs-CZ"/>
              </w:rPr>
              <w:t>11 (BI) a Z</w:t>
            </w:r>
            <w:r w:rsidR="00AA053D" w:rsidRPr="006070EA">
              <w:rPr>
                <w:rFonts w:asciiTheme="majorHAnsi" w:eastAsia="Times New Roman" w:hAnsiTheme="majorHAnsi" w:cstheme="majorHAnsi"/>
                <w:color w:val="000000"/>
                <w:sz w:val="18"/>
                <w:szCs w:val="18"/>
                <w:lang w:eastAsia="cs-CZ"/>
              </w:rPr>
              <w:t>.</w:t>
            </w:r>
            <w:r w:rsidRPr="006070EA">
              <w:rPr>
                <w:rFonts w:asciiTheme="majorHAnsi" w:eastAsia="Times New Roman" w:hAnsiTheme="majorHAnsi" w:cstheme="majorHAnsi"/>
                <w:color w:val="000000"/>
                <w:sz w:val="18"/>
                <w:szCs w:val="18"/>
                <w:lang w:eastAsia="cs-CZ"/>
              </w:rPr>
              <w:t>12 (Z</w:t>
            </w:r>
            <w:r w:rsidR="00AA053D" w:rsidRPr="006070EA">
              <w:rPr>
                <w:rFonts w:asciiTheme="majorHAnsi" w:eastAsia="Times New Roman" w:hAnsiTheme="majorHAnsi" w:cstheme="majorHAnsi"/>
                <w:color w:val="000000"/>
                <w:sz w:val="18"/>
                <w:szCs w:val="18"/>
                <w:lang w:eastAsia="cs-CZ"/>
              </w:rPr>
              <w:t>P</w:t>
            </w:r>
            <w:r w:rsidRPr="006070EA">
              <w:rPr>
                <w:rFonts w:asciiTheme="majorHAnsi" w:eastAsia="Times New Roman" w:hAnsiTheme="majorHAnsi" w:cstheme="majorHAnsi"/>
                <w:color w:val="000000"/>
                <w:sz w:val="18"/>
                <w:szCs w:val="18"/>
                <w:lang w:eastAsia="cs-CZ"/>
              </w:rPr>
              <w:t>), částečně součást lokálního biokoridoru L</w:t>
            </w:r>
            <w:r w:rsidR="00AA053D" w:rsidRPr="006070EA">
              <w:rPr>
                <w:rFonts w:asciiTheme="majorHAnsi" w:eastAsia="Times New Roman" w:hAnsiTheme="majorHAnsi" w:cstheme="majorHAnsi"/>
                <w:color w:val="000000"/>
                <w:sz w:val="18"/>
                <w:szCs w:val="18"/>
                <w:lang w:eastAsia="cs-CZ"/>
              </w:rPr>
              <w:t>B</w:t>
            </w:r>
            <w:r w:rsidRPr="006070EA">
              <w:rPr>
                <w:rFonts w:asciiTheme="majorHAnsi" w:eastAsia="Times New Roman" w:hAnsiTheme="majorHAnsi" w:cstheme="majorHAnsi"/>
                <w:color w:val="000000"/>
                <w:sz w:val="18"/>
                <w:szCs w:val="18"/>
                <w:lang w:eastAsia="cs-CZ"/>
              </w:rPr>
              <w:t>K</w:t>
            </w:r>
            <w:r w:rsidR="00AA053D" w:rsidRPr="006070EA">
              <w:rPr>
                <w:rFonts w:asciiTheme="majorHAnsi" w:eastAsia="Times New Roman" w:hAnsiTheme="majorHAnsi" w:cstheme="majorHAnsi"/>
                <w:color w:val="000000"/>
                <w:sz w:val="18"/>
                <w:szCs w:val="18"/>
                <w:lang w:eastAsia="cs-CZ"/>
              </w:rPr>
              <w:t>.</w:t>
            </w:r>
            <w:r w:rsidRPr="006070EA">
              <w:rPr>
                <w:rFonts w:asciiTheme="majorHAnsi" w:eastAsia="Times New Roman" w:hAnsiTheme="majorHAnsi" w:cstheme="majorHAnsi"/>
                <w:color w:val="000000"/>
                <w:sz w:val="18"/>
                <w:szCs w:val="18"/>
                <w:lang w:eastAsia="cs-CZ"/>
              </w:rPr>
              <w:t>1</w:t>
            </w:r>
          </w:p>
        </w:tc>
      </w:tr>
      <w:tr w:rsidR="00CF1108" w:rsidRPr="006070EA" w14:paraId="41562FBC" w14:textId="77777777" w:rsidTr="00A13D9A">
        <w:trPr>
          <w:cantSplit/>
          <w:trHeight w:val="1695"/>
          <w:jc w:val="center"/>
        </w:trPr>
        <w:tc>
          <w:tcPr>
            <w:tcW w:w="460" w:type="dxa"/>
            <w:shd w:val="clear" w:color="auto" w:fill="auto"/>
            <w:noWrap/>
            <w:vAlign w:val="center"/>
            <w:hideMark/>
          </w:tcPr>
          <w:p w14:paraId="4DB87D66"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30</w:t>
            </w:r>
          </w:p>
        </w:tc>
        <w:tc>
          <w:tcPr>
            <w:tcW w:w="958" w:type="dxa"/>
            <w:shd w:val="clear" w:color="auto" w:fill="auto"/>
            <w:noWrap/>
            <w:vAlign w:val="center"/>
            <w:hideMark/>
          </w:tcPr>
          <w:p w14:paraId="39AF9616"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12.10.2011</w:t>
            </w:r>
          </w:p>
        </w:tc>
        <w:tc>
          <w:tcPr>
            <w:tcW w:w="804" w:type="dxa"/>
            <w:shd w:val="clear" w:color="auto" w:fill="auto"/>
            <w:noWrap/>
            <w:vAlign w:val="center"/>
            <w:hideMark/>
          </w:tcPr>
          <w:p w14:paraId="201D9047"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119</w:t>
            </w:r>
          </w:p>
        </w:tc>
        <w:tc>
          <w:tcPr>
            <w:tcW w:w="953" w:type="dxa"/>
            <w:shd w:val="clear" w:color="auto" w:fill="auto"/>
            <w:noWrap/>
            <w:vAlign w:val="center"/>
            <w:hideMark/>
          </w:tcPr>
          <w:p w14:paraId="2934B5CE"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Kostomlaty nad Labem</w:t>
            </w:r>
          </w:p>
        </w:tc>
        <w:tc>
          <w:tcPr>
            <w:tcW w:w="1417" w:type="dxa"/>
            <w:shd w:val="clear" w:color="auto" w:fill="auto"/>
            <w:noWrap/>
            <w:vAlign w:val="center"/>
            <w:hideMark/>
          </w:tcPr>
          <w:p w14:paraId="662F7AA6"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shd w:val="clear" w:color="auto" w:fill="auto"/>
            <w:noWrap/>
            <w:vAlign w:val="center"/>
            <w:hideMark/>
          </w:tcPr>
          <w:p w14:paraId="468111D7"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ANO, část</w:t>
            </w:r>
          </w:p>
        </w:tc>
        <w:tc>
          <w:tcPr>
            <w:tcW w:w="1139" w:type="dxa"/>
            <w:shd w:val="clear" w:color="auto" w:fill="auto"/>
            <w:vAlign w:val="center"/>
            <w:hideMark/>
          </w:tcPr>
          <w:p w14:paraId="60962F48" w14:textId="39CA89F4"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částečně do BI, částečně do Z</w:t>
            </w:r>
            <w:r w:rsidR="00AA053D" w:rsidRPr="006070EA">
              <w:rPr>
                <w:rFonts w:asciiTheme="majorHAnsi" w:eastAsia="Times New Roman" w:hAnsiTheme="majorHAnsi" w:cstheme="majorHAnsi"/>
                <w:color w:val="000000"/>
                <w:sz w:val="18"/>
                <w:szCs w:val="18"/>
                <w:lang w:eastAsia="cs-CZ"/>
              </w:rPr>
              <w:t>K</w:t>
            </w:r>
            <w:r w:rsidRPr="006070EA">
              <w:rPr>
                <w:rFonts w:asciiTheme="majorHAnsi" w:eastAsia="Times New Roman" w:hAnsiTheme="majorHAnsi" w:cstheme="majorHAnsi"/>
                <w:color w:val="000000"/>
                <w:sz w:val="18"/>
                <w:szCs w:val="18"/>
                <w:lang w:eastAsia="cs-CZ"/>
              </w:rPr>
              <w:t xml:space="preserve"> a částečně do P</w:t>
            </w:r>
            <w:r w:rsidR="00AA053D" w:rsidRPr="006070EA">
              <w:rPr>
                <w:rFonts w:asciiTheme="majorHAnsi" w:eastAsia="Times New Roman" w:hAnsiTheme="majorHAnsi" w:cstheme="majorHAnsi"/>
                <w:color w:val="000000"/>
                <w:sz w:val="18"/>
                <w:szCs w:val="18"/>
                <w:lang w:eastAsia="cs-CZ"/>
              </w:rPr>
              <w:t>U</w:t>
            </w:r>
          </w:p>
        </w:tc>
        <w:tc>
          <w:tcPr>
            <w:tcW w:w="2438" w:type="dxa"/>
            <w:shd w:val="clear" w:color="auto" w:fill="auto"/>
            <w:noWrap/>
            <w:vAlign w:val="center"/>
            <w:hideMark/>
          </w:tcPr>
          <w:p w14:paraId="7CA0D69D" w14:textId="50D36CBF"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součást stabilizovaných ploch v ZÚ, částečně součást lokálního biokoridoru L</w:t>
            </w:r>
            <w:r w:rsidR="00AA053D" w:rsidRPr="006070EA">
              <w:rPr>
                <w:rFonts w:asciiTheme="majorHAnsi" w:eastAsia="Times New Roman" w:hAnsiTheme="majorHAnsi" w:cstheme="majorHAnsi"/>
                <w:color w:val="000000"/>
                <w:sz w:val="18"/>
                <w:szCs w:val="18"/>
                <w:lang w:eastAsia="cs-CZ"/>
              </w:rPr>
              <w:t>B</w:t>
            </w:r>
            <w:r w:rsidRPr="006070EA">
              <w:rPr>
                <w:rFonts w:asciiTheme="majorHAnsi" w:eastAsia="Times New Roman" w:hAnsiTheme="majorHAnsi" w:cstheme="majorHAnsi"/>
                <w:color w:val="000000"/>
                <w:sz w:val="18"/>
                <w:szCs w:val="18"/>
                <w:lang w:eastAsia="cs-CZ"/>
              </w:rPr>
              <w:t>K</w:t>
            </w:r>
            <w:r w:rsidR="00AA053D" w:rsidRPr="006070EA">
              <w:rPr>
                <w:rFonts w:asciiTheme="majorHAnsi" w:eastAsia="Times New Roman" w:hAnsiTheme="majorHAnsi" w:cstheme="majorHAnsi"/>
                <w:color w:val="000000"/>
                <w:sz w:val="18"/>
                <w:szCs w:val="18"/>
                <w:lang w:eastAsia="cs-CZ"/>
              </w:rPr>
              <w:t>.</w:t>
            </w:r>
            <w:r w:rsidRPr="006070EA">
              <w:rPr>
                <w:rFonts w:asciiTheme="majorHAnsi" w:eastAsia="Times New Roman" w:hAnsiTheme="majorHAnsi" w:cstheme="majorHAnsi"/>
                <w:color w:val="000000"/>
                <w:sz w:val="18"/>
                <w:szCs w:val="18"/>
                <w:lang w:eastAsia="cs-CZ"/>
              </w:rPr>
              <w:t>1</w:t>
            </w:r>
          </w:p>
        </w:tc>
      </w:tr>
      <w:tr w:rsidR="00CF1108" w:rsidRPr="006070EA" w14:paraId="174F1F05" w14:textId="77777777" w:rsidTr="00A13D9A">
        <w:trPr>
          <w:cantSplit/>
          <w:trHeight w:val="1215"/>
          <w:jc w:val="center"/>
        </w:trPr>
        <w:tc>
          <w:tcPr>
            <w:tcW w:w="460" w:type="dxa"/>
            <w:vMerge w:val="restart"/>
            <w:shd w:val="clear" w:color="auto" w:fill="auto"/>
            <w:noWrap/>
            <w:vAlign w:val="center"/>
            <w:hideMark/>
          </w:tcPr>
          <w:p w14:paraId="22720BF3" w14:textId="77777777" w:rsidR="00CF1108" w:rsidRPr="006070EA" w:rsidRDefault="00CF1108" w:rsidP="00CF1108">
            <w:pPr>
              <w:spacing w:after="0" w:line="240" w:lineRule="auto"/>
              <w:jc w:val="center"/>
              <w:rPr>
                <w:rFonts w:asciiTheme="majorHAnsi" w:eastAsia="Times New Roman" w:hAnsiTheme="majorHAnsi" w:cstheme="majorHAnsi"/>
                <w:sz w:val="18"/>
                <w:szCs w:val="18"/>
                <w:lang w:eastAsia="cs-CZ"/>
              </w:rPr>
            </w:pPr>
            <w:r w:rsidRPr="006070EA">
              <w:rPr>
                <w:rFonts w:asciiTheme="majorHAnsi" w:eastAsia="Times New Roman" w:hAnsiTheme="majorHAnsi" w:cstheme="majorHAnsi"/>
                <w:sz w:val="18"/>
                <w:szCs w:val="18"/>
                <w:lang w:eastAsia="cs-CZ"/>
              </w:rPr>
              <w:t>31</w:t>
            </w:r>
          </w:p>
        </w:tc>
        <w:tc>
          <w:tcPr>
            <w:tcW w:w="958" w:type="dxa"/>
            <w:vMerge w:val="restart"/>
            <w:shd w:val="clear" w:color="auto" w:fill="auto"/>
            <w:noWrap/>
            <w:vAlign w:val="center"/>
            <w:hideMark/>
          </w:tcPr>
          <w:p w14:paraId="0C413C27" w14:textId="77777777" w:rsidR="00CF1108" w:rsidRPr="006070EA" w:rsidRDefault="00CF1108" w:rsidP="00CF1108">
            <w:pPr>
              <w:spacing w:after="0" w:line="240" w:lineRule="auto"/>
              <w:jc w:val="center"/>
              <w:rPr>
                <w:rFonts w:asciiTheme="majorHAnsi" w:eastAsia="Times New Roman" w:hAnsiTheme="majorHAnsi" w:cstheme="majorHAnsi"/>
                <w:sz w:val="18"/>
                <w:szCs w:val="18"/>
                <w:lang w:eastAsia="cs-CZ"/>
              </w:rPr>
            </w:pPr>
            <w:r w:rsidRPr="006070EA">
              <w:rPr>
                <w:rFonts w:asciiTheme="majorHAnsi" w:eastAsia="Times New Roman" w:hAnsiTheme="majorHAnsi" w:cstheme="majorHAnsi"/>
                <w:sz w:val="18"/>
                <w:szCs w:val="18"/>
                <w:lang w:eastAsia="cs-CZ"/>
              </w:rPr>
              <w:t>09.10.2017</w:t>
            </w:r>
          </w:p>
        </w:tc>
        <w:tc>
          <w:tcPr>
            <w:tcW w:w="804" w:type="dxa"/>
            <w:shd w:val="clear" w:color="auto" w:fill="auto"/>
            <w:noWrap/>
            <w:vAlign w:val="center"/>
            <w:hideMark/>
          </w:tcPr>
          <w:p w14:paraId="3DAD5399" w14:textId="77777777" w:rsidR="00CF1108" w:rsidRPr="006070EA" w:rsidRDefault="00CF1108" w:rsidP="00CF1108">
            <w:pPr>
              <w:spacing w:after="0" w:line="240" w:lineRule="auto"/>
              <w:jc w:val="center"/>
              <w:rPr>
                <w:rFonts w:asciiTheme="majorHAnsi" w:eastAsia="Times New Roman" w:hAnsiTheme="majorHAnsi" w:cstheme="majorHAnsi"/>
                <w:sz w:val="18"/>
                <w:szCs w:val="18"/>
                <w:lang w:eastAsia="cs-CZ"/>
              </w:rPr>
            </w:pPr>
            <w:r w:rsidRPr="006070EA">
              <w:rPr>
                <w:rFonts w:asciiTheme="majorHAnsi" w:eastAsia="Times New Roman" w:hAnsiTheme="majorHAnsi" w:cstheme="majorHAnsi"/>
                <w:sz w:val="18"/>
                <w:szCs w:val="18"/>
                <w:lang w:eastAsia="cs-CZ"/>
              </w:rPr>
              <w:t>894/39</w:t>
            </w:r>
          </w:p>
        </w:tc>
        <w:tc>
          <w:tcPr>
            <w:tcW w:w="953" w:type="dxa"/>
            <w:shd w:val="clear" w:color="auto" w:fill="auto"/>
            <w:noWrap/>
            <w:vAlign w:val="center"/>
            <w:hideMark/>
          </w:tcPr>
          <w:p w14:paraId="3D6CED99" w14:textId="77777777" w:rsidR="00CF1108" w:rsidRPr="006070EA" w:rsidRDefault="00CF1108" w:rsidP="00CF1108">
            <w:pPr>
              <w:spacing w:after="0" w:line="240" w:lineRule="auto"/>
              <w:jc w:val="center"/>
              <w:rPr>
                <w:rFonts w:asciiTheme="majorHAnsi" w:eastAsia="Times New Roman" w:hAnsiTheme="majorHAnsi" w:cstheme="majorHAnsi"/>
                <w:sz w:val="18"/>
                <w:szCs w:val="18"/>
                <w:lang w:eastAsia="cs-CZ"/>
              </w:rPr>
            </w:pPr>
            <w:r w:rsidRPr="006070EA">
              <w:rPr>
                <w:rFonts w:asciiTheme="majorHAnsi" w:eastAsia="Times New Roman" w:hAnsiTheme="majorHAnsi" w:cstheme="majorHAnsi"/>
                <w:sz w:val="18"/>
                <w:szCs w:val="18"/>
                <w:lang w:eastAsia="cs-CZ"/>
              </w:rPr>
              <w:t>Kostomlaty nad Labem</w:t>
            </w:r>
          </w:p>
        </w:tc>
        <w:tc>
          <w:tcPr>
            <w:tcW w:w="1417" w:type="dxa"/>
            <w:shd w:val="clear" w:color="auto" w:fill="auto"/>
            <w:noWrap/>
            <w:vAlign w:val="center"/>
            <w:hideMark/>
          </w:tcPr>
          <w:p w14:paraId="16E3D855" w14:textId="77777777" w:rsidR="00CF1108" w:rsidRPr="006070EA" w:rsidRDefault="00CF1108" w:rsidP="00CF1108">
            <w:pPr>
              <w:spacing w:after="0" w:line="240" w:lineRule="auto"/>
              <w:jc w:val="center"/>
              <w:rPr>
                <w:rFonts w:asciiTheme="majorHAnsi" w:eastAsia="Times New Roman" w:hAnsiTheme="majorHAnsi" w:cstheme="majorHAnsi"/>
                <w:sz w:val="18"/>
                <w:szCs w:val="18"/>
                <w:lang w:eastAsia="cs-CZ"/>
              </w:rPr>
            </w:pPr>
            <w:r w:rsidRPr="006070EA">
              <w:rPr>
                <w:rFonts w:asciiTheme="majorHAnsi" w:eastAsia="Times New Roman" w:hAnsiTheme="majorHAnsi" w:cstheme="majorHAnsi"/>
                <w:sz w:val="18"/>
                <w:szCs w:val="18"/>
                <w:lang w:eastAsia="cs-CZ"/>
              </w:rPr>
              <w:t>výstavba RD</w:t>
            </w:r>
          </w:p>
        </w:tc>
        <w:tc>
          <w:tcPr>
            <w:tcW w:w="950" w:type="dxa"/>
            <w:shd w:val="clear" w:color="auto" w:fill="auto"/>
            <w:noWrap/>
            <w:vAlign w:val="center"/>
            <w:hideMark/>
          </w:tcPr>
          <w:p w14:paraId="3DEEEEE0"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ANO, část</w:t>
            </w:r>
          </w:p>
        </w:tc>
        <w:tc>
          <w:tcPr>
            <w:tcW w:w="1139" w:type="dxa"/>
            <w:shd w:val="clear" w:color="auto" w:fill="auto"/>
            <w:vAlign w:val="center"/>
            <w:hideMark/>
          </w:tcPr>
          <w:p w14:paraId="124ED17B" w14:textId="792C7AD9"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 xml:space="preserve">zařazeno částečně do BI a částečně do </w:t>
            </w:r>
            <w:r w:rsidR="00AA053D" w:rsidRPr="006070EA">
              <w:rPr>
                <w:rFonts w:asciiTheme="majorHAnsi" w:eastAsia="Times New Roman" w:hAnsiTheme="majorHAnsi" w:cstheme="majorHAnsi"/>
                <w:color w:val="000000"/>
                <w:sz w:val="18"/>
                <w:szCs w:val="18"/>
                <w:lang w:eastAsia="cs-CZ"/>
              </w:rPr>
              <w:t>AU</w:t>
            </w:r>
          </w:p>
        </w:tc>
        <w:tc>
          <w:tcPr>
            <w:tcW w:w="2438" w:type="dxa"/>
            <w:shd w:val="clear" w:color="auto" w:fill="auto"/>
            <w:noWrap/>
            <w:vAlign w:val="center"/>
            <w:hideMark/>
          </w:tcPr>
          <w:p w14:paraId="74C727CF" w14:textId="43F59FB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součást zastavitelné plochy Z</w:t>
            </w:r>
            <w:r w:rsidR="00AA053D" w:rsidRPr="006070EA">
              <w:rPr>
                <w:rFonts w:asciiTheme="majorHAnsi" w:eastAsia="Times New Roman" w:hAnsiTheme="majorHAnsi" w:cstheme="majorHAnsi"/>
                <w:color w:val="000000"/>
                <w:sz w:val="18"/>
                <w:szCs w:val="18"/>
                <w:lang w:eastAsia="cs-CZ"/>
              </w:rPr>
              <w:t>.</w:t>
            </w:r>
            <w:r w:rsidRPr="006070EA">
              <w:rPr>
                <w:rFonts w:asciiTheme="majorHAnsi" w:eastAsia="Times New Roman" w:hAnsiTheme="majorHAnsi" w:cstheme="majorHAnsi"/>
                <w:color w:val="000000"/>
                <w:sz w:val="18"/>
                <w:szCs w:val="18"/>
                <w:lang w:eastAsia="cs-CZ"/>
              </w:rPr>
              <w:t xml:space="preserve">09, částečně konflikt s koridorem </w:t>
            </w:r>
            <w:r w:rsidR="00AA053D" w:rsidRPr="006070EA">
              <w:rPr>
                <w:rFonts w:asciiTheme="majorHAnsi" w:eastAsia="Times New Roman" w:hAnsiTheme="majorHAnsi" w:cstheme="majorHAnsi"/>
                <w:color w:val="000000"/>
                <w:sz w:val="18"/>
                <w:szCs w:val="18"/>
                <w:lang w:eastAsia="cs-CZ"/>
              </w:rPr>
              <w:t>CNU.</w:t>
            </w:r>
            <w:r w:rsidRPr="006070EA">
              <w:rPr>
                <w:rFonts w:asciiTheme="majorHAnsi" w:eastAsia="Times New Roman" w:hAnsiTheme="majorHAnsi" w:cstheme="majorHAnsi"/>
                <w:color w:val="000000"/>
                <w:sz w:val="18"/>
                <w:szCs w:val="18"/>
                <w:lang w:eastAsia="cs-CZ"/>
              </w:rPr>
              <w:t>KD</w:t>
            </w:r>
            <w:r w:rsidR="0097451F">
              <w:rPr>
                <w:rFonts w:asciiTheme="majorHAnsi" w:eastAsia="Times New Roman" w:hAnsiTheme="majorHAnsi" w:cstheme="majorHAnsi"/>
                <w:color w:val="000000"/>
                <w:sz w:val="18"/>
                <w:szCs w:val="18"/>
                <w:lang w:eastAsia="cs-CZ"/>
              </w:rPr>
              <w:t>2</w:t>
            </w:r>
          </w:p>
        </w:tc>
      </w:tr>
      <w:tr w:rsidR="00CF1108" w:rsidRPr="006070EA" w14:paraId="01AB06AE" w14:textId="77777777" w:rsidTr="00A13D9A">
        <w:trPr>
          <w:cantSplit/>
          <w:trHeight w:val="300"/>
          <w:jc w:val="center"/>
        </w:trPr>
        <w:tc>
          <w:tcPr>
            <w:tcW w:w="460" w:type="dxa"/>
            <w:vMerge/>
            <w:vAlign w:val="center"/>
            <w:hideMark/>
          </w:tcPr>
          <w:p w14:paraId="5165CF2B" w14:textId="77777777" w:rsidR="00CF1108" w:rsidRPr="006070EA" w:rsidRDefault="00CF1108" w:rsidP="00CF1108">
            <w:pPr>
              <w:spacing w:after="0" w:line="240" w:lineRule="auto"/>
              <w:jc w:val="center"/>
              <w:rPr>
                <w:rFonts w:asciiTheme="majorHAnsi" w:eastAsia="Times New Roman" w:hAnsiTheme="majorHAnsi" w:cstheme="majorHAnsi"/>
                <w:sz w:val="18"/>
                <w:szCs w:val="18"/>
                <w:lang w:eastAsia="cs-CZ"/>
              </w:rPr>
            </w:pPr>
          </w:p>
        </w:tc>
        <w:tc>
          <w:tcPr>
            <w:tcW w:w="958" w:type="dxa"/>
            <w:vMerge/>
            <w:vAlign w:val="center"/>
            <w:hideMark/>
          </w:tcPr>
          <w:p w14:paraId="49C981FB" w14:textId="77777777" w:rsidR="00CF1108" w:rsidRPr="006070EA" w:rsidRDefault="00CF1108" w:rsidP="00CF1108">
            <w:pPr>
              <w:spacing w:after="0" w:line="240" w:lineRule="auto"/>
              <w:jc w:val="center"/>
              <w:rPr>
                <w:rFonts w:asciiTheme="majorHAnsi" w:eastAsia="Times New Roman" w:hAnsiTheme="majorHAnsi" w:cstheme="majorHAnsi"/>
                <w:sz w:val="18"/>
                <w:szCs w:val="18"/>
                <w:lang w:eastAsia="cs-CZ"/>
              </w:rPr>
            </w:pPr>
          </w:p>
        </w:tc>
        <w:tc>
          <w:tcPr>
            <w:tcW w:w="804" w:type="dxa"/>
            <w:shd w:val="clear" w:color="auto" w:fill="auto"/>
            <w:noWrap/>
            <w:vAlign w:val="center"/>
            <w:hideMark/>
          </w:tcPr>
          <w:p w14:paraId="528C6076" w14:textId="77777777" w:rsidR="00CF1108" w:rsidRPr="006070EA" w:rsidRDefault="00CF1108" w:rsidP="00CF1108">
            <w:pPr>
              <w:spacing w:after="0" w:line="240" w:lineRule="auto"/>
              <w:jc w:val="center"/>
              <w:rPr>
                <w:rFonts w:asciiTheme="majorHAnsi" w:eastAsia="Times New Roman" w:hAnsiTheme="majorHAnsi" w:cstheme="majorHAnsi"/>
                <w:sz w:val="18"/>
                <w:szCs w:val="18"/>
                <w:lang w:eastAsia="cs-CZ"/>
              </w:rPr>
            </w:pPr>
            <w:r w:rsidRPr="006070EA">
              <w:rPr>
                <w:rFonts w:asciiTheme="majorHAnsi" w:eastAsia="Times New Roman" w:hAnsiTheme="majorHAnsi" w:cstheme="majorHAnsi"/>
                <w:sz w:val="18"/>
                <w:szCs w:val="18"/>
                <w:lang w:eastAsia="cs-CZ"/>
              </w:rPr>
              <w:t>952/7</w:t>
            </w:r>
          </w:p>
        </w:tc>
        <w:tc>
          <w:tcPr>
            <w:tcW w:w="953" w:type="dxa"/>
            <w:shd w:val="clear" w:color="auto" w:fill="auto"/>
            <w:noWrap/>
            <w:vAlign w:val="center"/>
            <w:hideMark/>
          </w:tcPr>
          <w:p w14:paraId="6E5D6662" w14:textId="77777777" w:rsidR="00CF1108" w:rsidRPr="006070EA" w:rsidRDefault="00CF1108" w:rsidP="00CF1108">
            <w:pPr>
              <w:spacing w:after="0" w:line="240" w:lineRule="auto"/>
              <w:jc w:val="center"/>
              <w:rPr>
                <w:rFonts w:asciiTheme="majorHAnsi" w:eastAsia="Times New Roman" w:hAnsiTheme="majorHAnsi" w:cstheme="majorHAnsi"/>
                <w:sz w:val="18"/>
                <w:szCs w:val="18"/>
                <w:lang w:eastAsia="cs-CZ"/>
              </w:rPr>
            </w:pPr>
            <w:r w:rsidRPr="006070EA">
              <w:rPr>
                <w:rFonts w:asciiTheme="majorHAnsi" w:eastAsia="Times New Roman" w:hAnsiTheme="majorHAnsi" w:cstheme="majorHAnsi"/>
                <w:sz w:val="18"/>
                <w:szCs w:val="18"/>
                <w:lang w:eastAsia="cs-CZ"/>
              </w:rPr>
              <w:t>Kostomlaty nad Labem</w:t>
            </w:r>
          </w:p>
        </w:tc>
        <w:tc>
          <w:tcPr>
            <w:tcW w:w="1417" w:type="dxa"/>
            <w:shd w:val="clear" w:color="auto" w:fill="auto"/>
            <w:noWrap/>
            <w:vAlign w:val="center"/>
            <w:hideMark/>
          </w:tcPr>
          <w:p w14:paraId="102D9D70" w14:textId="77777777" w:rsidR="00CF1108" w:rsidRPr="006070EA" w:rsidRDefault="00CF1108" w:rsidP="00CF1108">
            <w:pPr>
              <w:spacing w:after="0" w:line="240" w:lineRule="auto"/>
              <w:jc w:val="center"/>
              <w:rPr>
                <w:rFonts w:asciiTheme="majorHAnsi" w:eastAsia="Times New Roman" w:hAnsiTheme="majorHAnsi" w:cstheme="majorHAnsi"/>
                <w:sz w:val="18"/>
                <w:szCs w:val="18"/>
                <w:lang w:eastAsia="cs-CZ"/>
              </w:rPr>
            </w:pPr>
            <w:r w:rsidRPr="006070EA">
              <w:rPr>
                <w:rFonts w:asciiTheme="majorHAnsi" w:eastAsia="Times New Roman" w:hAnsiTheme="majorHAnsi" w:cstheme="majorHAnsi"/>
                <w:sz w:val="18"/>
                <w:szCs w:val="18"/>
                <w:lang w:eastAsia="cs-CZ"/>
              </w:rPr>
              <w:t>výstavba RD</w:t>
            </w:r>
          </w:p>
        </w:tc>
        <w:tc>
          <w:tcPr>
            <w:tcW w:w="950" w:type="dxa"/>
            <w:shd w:val="clear" w:color="auto" w:fill="auto"/>
            <w:noWrap/>
            <w:vAlign w:val="center"/>
            <w:hideMark/>
          </w:tcPr>
          <w:p w14:paraId="40FD9174"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NE</w:t>
            </w:r>
          </w:p>
        </w:tc>
        <w:tc>
          <w:tcPr>
            <w:tcW w:w="1139" w:type="dxa"/>
            <w:shd w:val="clear" w:color="auto" w:fill="auto"/>
            <w:noWrap/>
            <w:vAlign w:val="center"/>
            <w:hideMark/>
          </w:tcPr>
          <w:p w14:paraId="5AC1D8B8"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DS</w:t>
            </w:r>
          </w:p>
        </w:tc>
        <w:tc>
          <w:tcPr>
            <w:tcW w:w="2438" w:type="dxa"/>
            <w:shd w:val="clear" w:color="auto" w:fill="auto"/>
            <w:noWrap/>
            <w:vAlign w:val="center"/>
            <w:hideMark/>
          </w:tcPr>
          <w:p w14:paraId="59A3F2EB"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pozemek silnice, stabilizován v DS</w:t>
            </w:r>
          </w:p>
        </w:tc>
      </w:tr>
      <w:tr w:rsidR="00CF1108" w:rsidRPr="006070EA" w14:paraId="1AFD7502" w14:textId="77777777" w:rsidTr="00A13D9A">
        <w:trPr>
          <w:cantSplit/>
          <w:trHeight w:val="495"/>
          <w:jc w:val="center"/>
        </w:trPr>
        <w:tc>
          <w:tcPr>
            <w:tcW w:w="460" w:type="dxa"/>
            <w:shd w:val="clear" w:color="auto" w:fill="auto"/>
            <w:noWrap/>
            <w:vAlign w:val="center"/>
            <w:hideMark/>
          </w:tcPr>
          <w:p w14:paraId="192BE481"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32</w:t>
            </w:r>
          </w:p>
        </w:tc>
        <w:tc>
          <w:tcPr>
            <w:tcW w:w="958" w:type="dxa"/>
            <w:shd w:val="clear" w:color="auto" w:fill="auto"/>
            <w:noWrap/>
            <w:vAlign w:val="center"/>
            <w:hideMark/>
          </w:tcPr>
          <w:p w14:paraId="43E9F18C"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15.03.2018</w:t>
            </w:r>
          </w:p>
        </w:tc>
        <w:tc>
          <w:tcPr>
            <w:tcW w:w="804" w:type="dxa"/>
            <w:shd w:val="clear" w:color="auto" w:fill="auto"/>
            <w:noWrap/>
            <w:vAlign w:val="center"/>
            <w:hideMark/>
          </w:tcPr>
          <w:p w14:paraId="00E459AF"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836/2</w:t>
            </w:r>
          </w:p>
        </w:tc>
        <w:tc>
          <w:tcPr>
            <w:tcW w:w="953" w:type="dxa"/>
            <w:shd w:val="clear" w:color="auto" w:fill="auto"/>
            <w:noWrap/>
            <w:vAlign w:val="center"/>
            <w:hideMark/>
          </w:tcPr>
          <w:p w14:paraId="53514F89"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Kostomlaty nad Labem</w:t>
            </w:r>
          </w:p>
        </w:tc>
        <w:tc>
          <w:tcPr>
            <w:tcW w:w="1417" w:type="dxa"/>
            <w:shd w:val="clear" w:color="auto" w:fill="auto"/>
            <w:noWrap/>
            <w:vAlign w:val="center"/>
            <w:hideMark/>
          </w:tcPr>
          <w:p w14:paraId="7165271D"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sad</w:t>
            </w:r>
          </w:p>
        </w:tc>
        <w:tc>
          <w:tcPr>
            <w:tcW w:w="950" w:type="dxa"/>
            <w:shd w:val="clear" w:color="auto" w:fill="auto"/>
            <w:noWrap/>
            <w:vAlign w:val="center"/>
            <w:hideMark/>
          </w:tcPr>
          <w:p w14:paraId="509A81DD"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ANO</w:t>
            </w:r>
          </w:p>
        </w:tc>
        <w:tc>
          <w:tcPr>
            <w:tcW w:w="1139" w:type="dxa"/>
            <w:shd w:val="clear" w:color="auto" w:fill="auto"/>
            <w:vAlign w:val="center"/>
            <w:hideMark/>
          </w:tcPr>
          <w:p w14:paraId="5274DEB7" w14:textId="7A162E84"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Z</w:t>
            </w:r>
            <w:r w:rsidR="00AA053D" w:rsidRPr="006070EA">
              <w:rPr>
                <w:rFonts w:asciiTheme="majorHAnsi" w:eastAsia="Times New Roman" w:hAnsiTheme="majorHAnsi" w:cstheme="majorHAnsi"/>
                <w:color w:val="000000"/>
                <w:sz w:val="18"/>
                <w:szCs w:val="18"/>
                <w:lang w:eastAsia="cs-CZ"/>
              </w:rPr>
              <w:t>P</w:t>
            </w:r>
          </w:p>
        </w:tc>
        <w:tc>
          <w:tcPr>
            <w:tcW w:w="2438" w:type="dxa"/>
            <w:shd w:val="clear" w:color="auto" w:fill="auto"/>
            <w:noWrap/>
            <w:vAlign w:val="center"/>
            <w:hideMark/>
          </w:tcPr>
          <w:p w14:paraId="6890EDBE"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součást stabilizované plochy</w:t>
            </w:r>
          </w:p>
        </w:tc>
      </w:tr>
      <w:tr w:rsidR="00CF1108" w:rsidRPr="006070EA" w14:paraId="38B22F66" w14:textId="77777777" w:rsidTr="00A13D9A">
        <w:trPr>
          <w:cantSplit/>
          <w:trHeight w:val="300"/>
          <w:jc w:val="center"/>
        </w:trPr>
        <w:tc>
          <w:tcPr>
            <w:tcW w:w="460" w:type="dxa"/>
            <w:shd w:val="clear" w:color="auto" w:fill="auto"/>
            <w:noWrap/>
            <w:vAlign w:val="center"/>
            <w:hideMark/>
          </w:tcPr>
          <w:p w14:paraId="087E7F2F"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33</w:t>
            </w:r>
          </w:p>
        </w:tc>
        <w:tc>
          <w:tcPr>
            <w:tcW w:w="958" w:type="dxa"/>
            <w:shd w:val="clear" w:color="auto" w:fill="auto"/>
            <w:noWrap/>
            <w:vAlign w:val="center"/>
            <w:hideMark/>
          </w:tcPr>
          <w:p w14:paraId="77E1DD0D"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01.03.2018</w:t>
            </w:r>
          </w:p>
        </w:tc>
        <w:tc>
          <w:tcPr>
            <w:tcW w:w="804" w:type="dxa"/>
            <w:shd w:val="clear" w:color="auto" w:fill="auto"/>
            <w:noWrap/>
            <w:vAlign w:val="center"/>
            <w:hideMark/>
          </w:tcPr>
          <w:p w14:paraId="2EEA37A8" w14:textId="6458103F" w:rsidR="00CF1108" w:rsidRPr="006070EA" w:rsidRDefault="00112B62"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w:t>
            </w:r>
          </w:p>
        </w:tc>
        <w:tc>
          <w:tcPr>
            <w:tcW w:w="953" w:type="dxa"/>
            <w:shd w:val="clear" w:color="auto" w:fill="auto"/>
            <w:noWrap/>
            <w:vAlign w:val="center"/>
            <w:hideMark/>
          </w:tcPr>
          <w:p w14:paraId="6A65EC4A"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Kostomlaty nad Labem</w:t>
            </w:r>
          </w:p>
        </w:tc>
        <w:tc>
          <w:tcPr>
            <w:tcW w:w="1417" w:type="dxa"/>
            <w:shd w:val="clear" w:color="auto" w:fill="auto"/>
            <w:noWrap/>
            <w:vAlign w:val="center"/>
            <w:hideMark/>
          </w:tcPr>
          <w:p w14:paraId="6326BEED"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vybudovat přístupovou komunikaci k pískovně</w:t>
            </w:r>
          </w:p>
        </w:tc>
        <w:tc>
          <w:tcPr>
            <w:tcW w:w="950" w:type="dxa"/>
            <w:shd w:val="clear" w:color="auto" w:fill="auto"/>
            <w:noWrap/>
            <w:vAlign w:val="center"/>
            <w:hideMark/>
          </w:tcPr>
          <w:p w14:paraId="60778773"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NE</w:t>
            </w:r>
          </w:p>
        </w:tc>
        <w:tc>
          <w:tcPr>
            <w:tcW w:w="1139" w:type="dxa"/>
            <w:shd w:val="clear" w:color="auto" w:fill="auto"/>
            <w:vAlign w:val="center"/>
            <w:hideMark/>
          </w:tcPr>
          <w:p w14:paraId="6494428F"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w:t>
            </w:r>
          </w:p>
        </w:tc>
        <w:tc>
          <w:tcPr>
            <w:tcW w:w="2438" w:type="dxa"/>
            <w:shd w:val="clear" w:color="auto" w:fill="auto"/>
            <w:vAlign w:val="center"/>
            <w:hideMark/>
          </w:tcPr>
          <w:p w14:paraId="26CA447D"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zákaz provozu nákl. vozidel po komunikaci dle informace od samosprávy</w:t>
            </w:r>
          </w:p>
        </w:tc>
      </w:tr>
      <w:tr w:rsidR="00CF1108" w:rsidRPr="006070EA" w14:paraId="3E7FD91D" w14:textId="77777777" w:rsidTr="00A13D9A">
        <w:trPr>
          <w:cantSplit/>
          <w:trHeight w:val="1455"/>
          <w:jc w:val="center"/>
        </w:trPr>
        <w:tc>
          <w:tcPr>
            <w:tcW w:w="460" w:type="dxa"/>
            <w:shd w:val="clear" w:color="auto" w:fill="auto"/>
            <w:noWrap/>
            <w:vAlign w:val="center"/>
            <w:hideMark/>
          </w:tcPr>
          <w:p w14:paraId="26D13A8B"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lastRenderedPageBreak/>
              <w:t>34</w:t>
            </w:r>
          </w:p>
        </w:tc>
        <w:tc>
          <w:tcPr>
            <w:tcW w:w="958" w:type="dxa"/>
            <w:shd w:val="clear" w:color="auto" w:fill="auto"/>
            <w:noWrap/>
            <w:vAlign w:val="center"/>
            <w:hideMark/>
          </w:tcPr>
          <w:p w14:paraId="43BF9BD8"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11.12.2017</w:t>
            </w:r>
          </w:p>
        </w:tc>
        <w:tc>
          <w:tcPr>
            <w:tcW w:w="804" w:type="dxa"/>
            <w:shd w:val="clear" w:color="auto" w:fill="auto"/>
            <w:noWrap/>
            <w:vAlign w:val="center"/>
            <w:hideMark/>
          </w:tcPr>
          <w:p w14:paraId="28CA93E6" w14:textId="217421D9" w:rsidR="00CF1108" w:rsidRPr="006070EA" w:rsidRDefault="00112B62"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w:t>
            </w:r>
          </w:p>
        </w:tc>
        <w:tc>
          <w:tcPr>
            <w:tcW w:w="953" w:type="dxa"/>
            <w:shd w:val="clear" w:color="auto" w:fill="auto"/>
            <w:noWrap/>
            <w:vAlign w:val="center"/>
            <w:hideMark/>
          </w:tcPr>
          <w:p w14:paraId="7E989DA4"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Kostomlaty nad Labem</w:t>
            </w:r>
          </w:p>
        </w:tc>
        <w:tc>
          <w:tcPr>
            <w:tcW w:w="1417" w:type="dxa"/>
            <w:shd w:val="clear" w:color="auto" w:fill="auto"/>
            <w:noWrap/>
            <w:vAlign w:val="center"/>
            <w:hideMark/>
          </w:tcPr>
          <w:p w14:paraId="3FE49A88"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zrušení obchvatu obce, napojení cyklostezky na lávku přes Labe</w:t>
            </w:r>
          </w:p>
        </w:tc>
        <w:tc>
          <w:tcPr>
            <w:tcW w:w="950" w:type="dxa"/>
            <w:shd w:val="clear" w:color="auto" w:fill="auto"/>
            <w:noWrap/>
            <w:vAlign w:val="center"/>
            <w:hideMark/>
          </w:tcPr>
          <w:p w14:paraId="40093A48"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ANO, část</w:t>
            </w:r>
          </w:p>
        </w:tc>
        <w:tc>
          <w:tcPr>
            <w:tcW w:w="1139" w:type="dxa"/>
            <w:shd w:val="clear" w:color="auto" w:fill="auto"/>
            <w:vAlign w:val="center"/>
            <w:hideMark/>
          </w:tcPr>
          <w:p w14:paraId="3D0DC50E" w14:textId="31C41766"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 xml:space="preserve">územní rezerva DS, koridor </w:t>
            </w:r>
            <w:r w:rsidR="00804E2A" w:rsidRPr="006070EA">
              <w:rPr>
                <w:rFonts w:asciiTheme="majorHAnsi" w:eastAsia="Times New Roman" w:hAnsiTheme="majorHAnsi" w:cstheme="majorHAnsi"/>
                <w:color w:val="000000"/>
                <w:sz w:val="18"/>
                <w:szCs w:val="18"/>
                <w:lang w:eastAsia="cs-CZ"/>
              </w:rPr>
              <w:t>CNU.</w:t>
            </w:r>
            <w:r w:rsidRPr="006070EA">
              <w:rPr>
                <w:rFonts w:asciiTheme="majorHAnsi" w:eastAsia="Times New Roman" w:hAnsiTheme="majorHAnsi" w:cstheme="majorHAnsi"/>
                <w:color w:val="000000"/>
                <w:sz w:val="18"/>
                <w:szCs w:val="18"/>
                <w:lang w:eastAsia="cs-CZ"/>
              </w:rPr>
              <w:t>KDN1 a navržená cyklotrasa</w:t>
            </w:r>
          </w:p>
        </w:tc>
        <w:tc>
          <w:tcPr>
            <w:tcW w:w="2438" w:type="dxa"/>
            <w:shd w:val="clear" w:color="auto" w:fill="auto"/>
            <w:noWrap/>
            <w:vAlign w:val="center"/>
            <w:hideMark/>
          </w:tcPr>
          <w:p w14:paraId="544D8F50" w14:textId="076DEE1C"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 xml:space="preserve">napojení cyklostezky přes Labe zajištěno v rámci koridoru </w:t>
            </w:r>
            <w:r w:rsidR="00804E2A" w:rsidRPr="006070EA">
              <w:rPr>
                <w:rFonts w:asciiTheme="majorHAnsi" w:eastAsia="Times New Roman" w:hAnsiTheme="majorHAnsi" w:cstheme="majorHAnsi"/>
                <w:color w:val="000000"/>
                <w:sz w:val="18"/>
                <w:szCs w:val="18"/>
                <w:lang w:eastAsia="cs-CZ"/>
              </w:rPr>
              <w:t>CNU.</w:t>
            </w:r>
            <w:r w:rsidRPr="006070EA">
              <w:rPr>
                <w:rFonts w:asciiTheme="majorHAnsi" w:eastAsia="Times New Roman" w:hAnsiTheme="majorHAnsi" w:cstheme="majorHAnsi"/>
                <w:color w:val="000000"/>
                <w:sz w:val="18"/>
                <w:szCs w:val="18"/>
                <w:lang w:eastAsia="cs-CZ"/>
              </w:rPr>
              <w:t>KDN1 a navrženou trasou cyklotrasy; pro prověření možného budoucího využití pro obchvat obce vymezena územní rezerva</w:t>
            </w:r>
          </w:p>
        </w:tc>
      </w:tr>
      <w:tr w:rsidR="00CF1108" w:rsidRPr="006070EA" w14:paraId="0ADD36FB" w14:textId="77777777" w:rsidTr="00A13D9A">
        <w:trPr>
          <w:cantSplit/>
          <w:trHeight w:val="495"/>
          <w:jc w:val="center"/>
        </w:trPr>
        <w:tc>
          <w:tcPr>
            <w:tcW w:w="460" w:type="dxa"/>
            <w:vMerge w:val="restart"/>
            <w:shd w:val="clear" w:color="auto" w:fill="auto"/>
            <w:noWrap/>
            <w:vAlign w:val="center"/>
            <w:hideMark/>
          </w:tcPr>
          <w:p w14:paraId="49B8FA56"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35</w:t>
            </w:r>
          </w:p>
        </w:tc>
        <w:tc>
          <w:tcPr>
            <w:tcW w:w="958" w:type="dxa"/>
            <w:vMerge w:val="restart"/>
            <w:shd w:val="clear" w:color="auto" w:fill="auto"/>
            <w:noWrap/>
            <w:vAlign w:val="center"/>
            <w:hideMark/>
          </w:tcPr>
          <w:p w14:paraId="5868960C"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31.08.2020</w:t>
            </w:r>
          </w:p>
        </w:tc>
        <w:tc>
          <w:tcPr>
            <w:tcW w:w="804" w:type="dxa"/>
            <w:shd w:val="clear" w:color="auto" w:fill="auto"/>
            <w:noWrap/>
            <w:vAlign w:val="center"/>
            <w:hideMark/>
          </w:tcPr>
          <w:p w14:paraId="3F513E46"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224/6</w:t>
            </w:r>
          </w:p>
        </w:tc>
        <w:tc>
          <w:tcPr>
            <w:tcW w:w="953" w:type="dxa"/>
            <w:shd w:val="clear" w:color="auto" w:fill="auto"/>
            <w:noWrap/>
            <w:vAlign w:val="center"/>
            <w:hideMark/>
          </w:tcPr>
          <w:p w14:paraId="2ACEDD32"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Hronětice</w:t>
            </w:r>
          </w:p>
        </w:tc>
        <w:tc>
          <w:tcPr>
            <w:tcW w:w="1417" w:type="dxa"/>
            <w:shd w:val="clear" w:color="auto" w:fill="auto"/>
            <w:noWrap/>
            <w:vAlign w:val="center"/>
            <w:hideMark/>
          </w:tcPr>
          <w:p w14:paraId="5D0891DE"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shd w:val="clear" w:color="auto" w:fill="auto"/>
            <w:noWrap/>
            <w:vAlign w:val="center"/>
            <w:hideMark/>
          </w:tcPr>
          <w:p w14:paraId="2CD0CF29"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NE</w:t>
            </w:r>
          </w:p>
        </w:tc>
        <w:tc>
          <w:tcPr>
            <w:tcW w:w="1139" w:type="dxa"/>
            <w:shd w:val="clear" w:color="auto" w:fill="auto"/>
            <w:vAlign w:val="center"/>
            <w:hideMark/>
          </w:tcPr>
          <w:p w14:paraId="61A825BE" w14:textId="714C8F10"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 xml:space="preserve">zařazeno do </w:t>
            </w:r>
            <w:r w:rsidR="00804E2A" w:rsidRPr="006070EA">
              <w:rPr>
                <w:rFonts w:asciiTheme="majorHAnsi" w:eastAsia="Times New Roman" w:hAnsiTheme="majorHAnsi" w:cstheme="majorHAnsi"/>
                <w:color w:val="000000"/>
                <w:sz w:val="18"/>
                <w:szCs w:val="18"/>
                <w:lang w:eastAsia="cs-CZ"/>
              </w:rPr>
              <w:t>AU</w:t>
            </w:r>
          </w:p>
        </w:tc>
        <w:tc>
          <w:tcPr>
            <w:tcW w:w="2438" w:type="dxa"/>
            <w:shd w:val="clear" w:color="auto" w:fill="auto"/>
            <w:noWrap/>
            <w:vAlign w:val="center"/>
            <w:hideMark/>
          </w:tcPr>
          <w:p w14:paraId="0ABCDFAA"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nežádoucí rozvoj zástavby do volné krajiny, narušení charakteristického urbanistického rázu sídla, požadavek nemá vazbu na řešení ÚPO</w:t>
            </w:r>
          </w:p>
        </w:tc>
      </w:tr>
      <w:tr w:rsidR="00CF1108" w:rsidRPr="006070EA" w14:paraId="079C64C3" w14:textId="77777777" w:rsidTr="00A13D9A">
        <w:trPr>
          <w:cantSplit/>
          <w:trHeight w:val="495"/>
          <w:jc w:val="center"/>
        </w:trPr>
        <w:tc>
          <w:tcPr>
            <w:tcW w:w="460" w:type="dxa"/>
            <w:vMerge/>
            <w:vAlign w:val="center"/>
            <w:hideMark/>
          </w:tcPr>
          <w:p w14:paraId="6392F3D4"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17A0F225"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804" w:type="dxa"/>
            <w:shd w:val="clear" w:color="auto" w:fill="auto"/>
            <w:noWrap/>
            <w:vAlign w:val="center"/>
            <w:hideMark/>
          </w:tcPr>
          <w:p w14:paraId="14763F06"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309/37</w:t>
            </w:r>
          </w:p>
        </w:tc>
        <w:tc>
          <w:tcPr>
            <w:tcW w:w="953" w:type="dxa"/>
            <w:shd w:val="clear" w:color="auto" w:fill="auto"/>
            <w:noWrap/>
            <w:vAlign w:val="center"/>
            <w:hideMark/>
          </w:tcPr>
          <w:p w14:paraId="175C8AE5"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Hronětice</w:t>
            </w:r>
          </w:p>
        </w:tc>
        <w:tc>
          <w:tcPr>
            <w:tcW w:w="1417" w:type="dxa"/>
            <w:shd w:val="clear" w:color="auto" w:fill="auto"/>
            <w:noWrap/>
            <w:vAlign w:val="center"/>
            <w:hideMark/>
          </w:tcPr>
          <w:p w14:paraId="54493221"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shd w:val="clear" w:color="auto" w:fill="auto"/>
            <w:noWrap/>
            <w:vAlign w:val="center"/>
            <w:hideMark/>
          </w:tcPr>
          <w:p w14:paraId="17150C02"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NE</w:t>
            </w:r>
          </w:p>
        </w:tc>
        <w:tc>
          <w:tcPr>
            <w:tcW w:w="1139" w:type="dxa"/>
            <w:shd w:val="clear" w:color="auto" w:fill="auto"/>
            <w:vAlign w:val="center"/>
            <w:hideMark/>
          </w:tcPr>
          <w:p w14:paraId="1D7A7169" w14:textId="5BF9163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 xml:space="preserve">zařazeno do </w:t>
            </w:r>
            <w:r w:rsidR="00804E2A" w:rsidRPr="006070EA">
              <w:rPr>
                <w:rFonts w:asciiTheme="majorHAnsi" w:eastAsia="Times New Roman" w:hAnsiTheme="majorHAnsi" w:cstheme="majorHAnsi"/>
                <w:color w:val="000000"/>
                <w:sz w:val="18"/>
                <w:szCs w:val="18"/>
                <w:lang w:eastAsia="cs-CZ"/>
              </w:rPr>
              <w:t>AU</w:t>
            </w:r>
          </w:p>
        </w:tc>
        <w:tc>
          <w:tcPr>
            <w:tcW w:w="2438" w:type="dxa"/>
            <w:shd w:val="clear" w:color="auto" w:fill="auto"/>
            <w:noWrap/>
            <w:vAlign w:val="center"/>
            <w:hideMark/>
          </w:tcPr>
          <w:p w14:paraId="7D5D83F6"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nežádoucí rozvoj zástavby do volné krajiny, narušení charakteristického urbanistického rázu sídla, požadavek nemá vazbu na řešení ÚPO, sousedství zemědělského areálu</w:t>
            </w:r>
          </w:p>
        </w:tc>
      </w:tr>
      <w:tr w:rsidR="00CF1108" w:rsidRPr="006070EA" w14:paraId="0AE61B4F" w14:textId="77777777" w:rsidTr="00A13D9A">
        <w:trPr>
          <w:cantSplit/>
          <w:trHeight w:val="495"/>
          <w:jc w:val="center"/>
        </w:trPr>
        <w:tc>
          <w:tcPr>
            <w:tcW w:w="460" w:type="dxa"/>
            <w:vMerge/>
            <w:vAlign w:val="center"/>
            <w:hideMark/>
          </w:tcPr>
          <w:p w14:paraId="15D25200"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40A09694"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804" w:type="dxa"/>
            <w:shd w:val="clear" w:color="auto" w:fill="auto"/>
            <w:noWrap/>
            <w:vAlign w:val="center"/>
            <w:hideMark/>
          </w:tcPr>
          <w:p w14:paraId="6BBD77AA"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309/38</w:t>
            </w:r>
          </w:p>
        </w:tc>
        <w:tc>
          <w:tcPr>
            <w:tcW w:w="953" w:type="dxa"/>
            <w:shd w:val="clear" w:color="auto" w:fill="auto"/>
            <w:noWrap/>
            <w:vAlign w:val="center"/>
            <w:hideMark/>
          </w:tcPr>
          <w:p w14:paraId="5EA4B509"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Hronětice</w:t>
            </w:r>
          </w:p>
        </w:tc>
        <w:tc>
          <w:tcPr>
            <w:tcW w:w="1417" w:type="dxa"/>
            <w:shd w:val="clear" w:color="auto" w:fill="auto"/>
            <w:noWrap/>
            <w:vAlign w:val="center"/>
            <w:hideMark/>
          </w:tcPr>
          <w:p w14:paraId="6FC1F2E8"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shd w:val="clear" w:color="auto" w:fill="auto"/>
            <w:noWrap/>
            <w:vAlign w:val="center"/>
            <w:hideMark/>
          </w:tcPr>
          <w:p w14:paraId="7E90A9E9"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NE</w:t>
            </w:r>
          </w:p>
        </w:tc>
        <w:tc>
          <w:tcPr>
            <w:tcW w:w="1139" w:type="dxa"/>
            <w:shd w:val="clear" w:color="auto" w:fill="auto"/>
            <w:vAlign w:val="center"/>
            <w:hideMark/>
          </w:tcPr>
          <w:p w14:paraId="0ED344C3" w14:textId="1420288C"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 xml:space="preserve">zařazeno do </w:t>
            </w:r>
            <w:r w:rsidR="00804E2A" w:rsidRPr="006070EA">
              <w:rPr>
                <w:rFonts w:asciiTheme="majorHAnsi" w:eastAsia="Times New Roman" w:hAnsiTheme="majorHAnsi" w:cstheme="majorHAnsi"/>
                <w:color w:val="000000"/>
                <w:sz w:val="18"/>
                <w:szCs w:val="18"/>
                <w:lang w:eastAsia="cs-CZ"/>
              </w:rPr>
              <w:t>AU</w:t>
            </w:r>
          </w:p>
        </w:tc>
        <w:tc>
          <w:tcPr>
            <w:tcW w:w="2438" w:type="dxa"/>
            <w:shd w:val="clear" w:color="auto" w:fill="auto"/>
            <w:noWrap/>
            <w:vAlign w:val="center"/>
            <w:hideMark/>
          </w:tcPr>
          <w:p w14:paraId="5A019CB8"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nežádoucí rozvoj zástavby do volné krajiny, narušení charakteristického urbanistického rázu sídla, požadavek nemá vazbu na řešení ÚPO, sousedství zemědělského areálu</w:t>
            </w:r>
          </w:p>
        </w:tc>
      </w:tr>
      <w:tr w:rsidR="00CF1108" w:rsidRPr="006070EA" w14:paraId="0FF23EC5" w14:textId="77777777" w:rsidTr="00A13D9A">
        <w:trPr>
          <w:cantSplit/>
          <w:trHeight w:val="495"/>
          <w:jc w:val="center"/>
        </w:trPr>
        <w:tc>
          <w:tcPr>
            <w:tcW w:w="460" w:type="dxa"/>
            <w:vMerge/>
            <w:vAlign w:val="center"/>
            <w:hideMark/>
          </w:tcPr>
          <w:p w14:paraId="38B25EB8"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2DE89B73"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804" w:type="dxa"/>
            <w:shd w:val="clear" w:color="auto" w:fill="auto"/>
            <w:noWrap/>
            <w:vAlign w:val="center"/>
            <w:hideMark/>
          </w:tcPr>
          <w:p w14:paraId="4FA0661D"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309/43</w:t>
            </w:r>
          </w:p>
        </w:tc>
        <w:tc>
          <w:tcPr>
            <w:tcW w:w="953" w:type="dxa"/>
            <w:shd w:val="clear" w:color="auto" w:fill="auto"/>
            <w:noWrap/>
            <w:vAlign w:val="center"/>
            <w:hideMark/>
          </w:tcPr>
          <w:p w14:paraId="577A507C"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Hronětice</w:t>
            </w:r>
          </w:p>
        </w:tc>
        <w:tc>
          <w:tcPr>
            <w:tcW w:w="1417" w:type="dxa"/>
            <w:shd w:val="clear" w:color="auto" w:fill="auto"/>
            <w:noWrap/>
            <w:vAlign w:val="center"/>
            <w:hideMark/>
          </w:tcPr>
          <w:p w14:paraId="0A6E78BF"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shd w:val="clear" w:color="auto" w:fill="auto"/>
            <w:noWrap/>
            <w:vAlign w:val="center"/>
            <w:hideMark/>
          </w:tcPr>
          <w:p w14:paraId="4B1AE6BE"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NE</w:t>
            </w:r>
          </w:p>
        </w:tc>
        <w:tc>
          <w:tcPr>
            <w:tcW w:w="1139" w:type="dxa"/>
            <w:shd w:val="clear" w:color="auto" w:fill="auto"/>
            <w:vAlign w:val="center"/>
            <w:hideMark/>
          </w:tcPr>
          <w:p w14:paraId="6212D911" w14:textId="78265D21"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 xml:space="preserve">zařazeno do </w:t>
            </w:r>
            <w:r w:rsidR="00804E2A" w:rsidRPr="006070EA">
              <w:rPr>
                <w:rFonts w:asciiTheme="majorHAnsi" w:eastAsia="Times New Roman" w:hAnsiTheme="majorHAnsi" w:cstheme="majorHAnsi"/>
                <w:color w:val="000000"/>
                <w:sz w:val="18"/>
                <w:szCs w:val="18"/>
                <w:lang w:eastAsia="cs-CZ"/>
              </w:rPr>
              <w:t>AU</w:t>
            </w:r>
          </w:p>
        </w:tc>
        <w:tc>
          <w:tcPr>
            <w:tcW w:w="2438" w:type="dxa"/>
            <w:shd w:val="clear" w:color="auto" w:fill="auto"/>
            <w:noWrap/>
            <w:vAlign w:val="center"/>
            <w:hideMark/>
          </w:tcPr>
          <w:p w14:paraId="081E5D69"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nežádoucí rozvoj zástavby do volné krajiny, narušení charakteristického urbanistického rázu sídla, požadavek nemá vazbu na řešení ÚPO</w:t>
            </w:r>
          </w:p>
        </w:tc>
      </w:tr>
      <w:tr w:rsidR="00CF1108" w:rsidRPr="006070EA" w14:paraId="127EE14D" w14:textId="77777777" w:rsidTr="00A13D9A">
        <w:trPr>
          <w:cantSplit/>
          <w:trHeight w:val="300"/>
          <w:jc w:val="center"/>
        </w:trPr>
        <w:tc>
          <w:tcPr>
            <w:tcW w:w="460" w:type="dxa"/>
            <w:vMerge/>
            <w:vAlign w:val="center"/>
            <w:hideMark/>
          </w:tcPr>
          <w:p w14:paraId="5B5EB2D4"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5AFF4FBF"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804" w:type="dxa"/>
            <w:shd w:val="clear" w:color="auto" w:fill="auto"/>
            <w:noWrap/>
            <w:vAlign w:val="center"/>
            <w:hideMark/>
          </w:tcPr>
          <w:p w14:paraId="0FA33F56"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317/5</w:t>
            </w:r>
          </w:p>
        </w:tc>
        <w:tc>
          <w:tcPr>
            <w:tcW w:w="953" w:type="dxa"/>
            <w:shd w:val="clear" w:color="auto" w:fill="auto"/>
            <w:noWrap/>
            <w:vAlign w:val="center"/>
            <w:hideMark/>
          </w:tcPr>
          <w:p w14:paraId="04C17DC5"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Hronětice</w:t>
            </w:r>
          </w:p>
        </w:tc>
        <w:tc>
          <w:tcPr>
            <w:tcW w:w="1417" w:type="dxa"/>
            <w:shd w:val="clear" w:color="auto" w:fill="auto"/>
            <w:noWrap/>
            <w:vAlign w:val="center"/>
            <w:hideMark/>
          </w:tcPr>
          <w:p w14:paraId="0E029289"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shd w:val="clear" w:color="auto" w:fill="auto"/>
            <w:noWrap/>
            <w:vAlign w:val="center"/>
            <w:hideMark/>
          </w:tcPr>
          <w:p w14:paraId="13BC4C71"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NE</w:t>
            </w:r>
          </w:p>
        </w:tc>
        <w:tc>
          <w:tcPr>
            <w:tcW w:w="1139" w:type="dxa"/>
            <w:shd w:val="clear" w:color="auto" w:fill="auto"/>
            <w:noWrap/>
            <w:vAlign w:val="center"/>
            <w:hideMark/>
          </w:tcPr>
          <w:p w14:paraId="39CD4725"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DS</w:t>
            </w:r>
          </w:p>
        </w:tc>
        <w:tc>
          <w:tcPr>
            <w:tcW w:w="2438" w:type="dxa"/>
            <w:shd w:val="clear" w:color="auto" w:fill="auto"/>
            <w:noWrap/>
            <w:vAlign w:val="center"/>
            <w:hideMark/>
          </w:tcPr>
          <w:p w14:paraId="132F23D8"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pozemek silnice, stabilizován v DS</w:t>
            </w:r>
          </w:p>
        </w:tc>
      </w:tr>
      <w:tr w:rsidR="00CF1108" w:rsidRPr="006070EA" w14:paraId="4098C94B" w14:textId="77777777" w:rsidTr="00A13D9A">
        <w:trPr>
          <w:cantSplit/>
          <w:trHeight w:val="300"/>
          <w:jc w:val="center"/>
        </w:trPr>
        <w:tc>
          <w:tcPr>
            <w:tcW w:w="460" w:type="dxa"/>
            <w:vMerge/>
            <w:vAlign w:val="center"/>
            <w:hideMark/>
          </w:tcPr>
          <w:p w14:paraId="2895F38F"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1BAD6B5A"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804" w:type="dxa"/>
            <w:shd w:val="clear" w:color="auto" w:fill="auto"/>
            <w:noWrap/>
            <w:vAlign w:val="center"/>
            <w:hideMark/>
          </w:tcPr>
          <w:p w14:paraId="66FC0A39"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317/10</w:t>
            </w:r>
          </w:p>
        </w:tc>
        <w:tc>
          <w:tcPr>
            <w:tcW w:w="953" w:type="dxa"/>
            <w:shd w:val="clear" w:color="auto" w:fill="auto"/>
            <w:noWrap/>
            <w:vAlign w:val="center"/>
            <w:hideMark/>
          </w:tcPr>
          <w:p w14:paraId="6E212530"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Hronětice</w:t>
            </w:r>
          </w:p>
        </w:tc>
        <w:tc>
          <w:tcPr>
            <w:tcW w:w="1417" w:type="dxa"/>
            <w:shd w:val="clear" w:color="auto" w:fill="auto"/>
            <w:noWrap/>
            <w:vAlign w:val="center"/>
            <w:hideMark/>
          </w:tcPr>
          <w:p w14:paraId="089CA5A4"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shd w:val="clear" w:color="auto" w:fill="auto"/>
            <w:noWrap/>
            <w:vAlign w:val="center"/>
            <w:hideMark/>
          </w:tcPr>
          <w:p w14:paraId="7C8B3A26"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NE</w:t>
            </w:r>
          </w:p>
        </w:tc>
        <w:tc>
          <w:tcPr>
            <w:tcW w:w="1139" w:type="dxa"/>
            <w:shd w:val="clear" w:color="auto" w:fill="auto"/>
            <w:noWrap/>
            <w:vAlign w:val="center"/>
            <w:hideMark/>
          </w:tcPr>
          <w:p w14:paraId="0442BF24"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DS</w:t>
            </w:r>
          </w:p>
        </w:tc>
        <w:tc>
          <w:tcPr>
            <w:tcW w:w="2438" w:type="dxa"/>
            <w:shd w:val="clear" w:color="auto" w:fill="auto"/>
            <w:noWrap/>
            <w:vAlign w:val="center"/>
            <w:hideMark/>
          </w:tcPr>
          <w:p w14:paraId="0FAB7AF5"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pozemek silnice, stabilizován v DS</w:t>
            </w:r>
          </w:p>
        </w:tc>
      </w:tr>
      <w:tr w:rsidR="00CF1108" w:rsidRPr="006070EA" w14:paraId="2B16B17D" w14:textId="77777777" w:rsidTr="00A13D9A">
        <w:trPr>
          <w:cantSplit/>
          <w:trHeight w:val="300"/>
          <w:jc w:val="center"/>
        </w:trPr>
        <w:tc>
          <w:tcPr>
            <w:tcW w:w="460" w:type="dxa"/>
            <w:vMerge/>
            <w:vAlign w:val="center"/>
            <w:hideMark/>
          </w:tcPr>
          <w:p w14:paraId="406F163E"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00B513C1"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804" w:type="dxa"/>
            <w:shd w:val="clear" w:color="auto" w:fill="auto"/>
            <w:noWrap/>
            <w:vAlign w:val="center"/>
            <w:hideMark/>
          </w:tcPr>
          <w:p w14:paraId="3DC394AD"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317/11</w:t>
            </w:r>
          </w:p>
        </w:tc>
        <w:tc>
          <w:tcPr>
            <w:tcW w:w="953" w:type="dxa"/>
            <w:shd w:val="clear" w:color="auto" w:fill="auto"/>
            <w:noWrap/>
            <w:vAlign w:val="center"/>
            <w:hideMark/>
          </w:tcPr>
          <w:p w14:paraId="132B8838"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Hronětice</w:t>
            </w:r>
          </w:p>
        </w:tc>
        <w:tc>
          <w:tcPr>
            <w:tcW w:w="1417" w:type="dxa"/>
            <w:shd w:val="clear" w:color="auto" w:fill="auto"/>
            <w:noWrap/>
            <w:vAlign w:val="center"/>
            <w:hideMark/>
          </w:tcPr>
          <w:p w14:paraId="08158358"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shd w:val="clear" w:color="auto" w:fill="auto"/>
            <w:noWrap/>
            <w:vAlign w:val="center"/>
            <w:hideMark/>
          </w:tcPr>
          <w:p w14:paraId="3C5C86E2"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NE</w:t>
            </w:r>
          </w:p>
        </w:tc>
        <w:tc>
          <w:tcPr>
            <w:tcW w:w="1139" w:type="dxa"/>
            <w:shd w:val="clear" w:color="auto" w:fill="auto"/>
            <w:noWrap/>
            <w:vAlign w:val="center"/>
            <w:hideMark/>
          </w:tcPr>
          <w:p w14:paraId="44AF639E"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DS</w:t>
            </w:r>
          </w:p>
        </w:tc>
        <w:tc>
          <w:tcPr>
            <w:tcW w:w="2438" w:type="dxa"/>
            <w:shd w:val="clear" w:color="auto" w:fill="auto"/>
            <w:noWrap/>
            <w:vAlign w:val="center"/>
            <w:hideMark/>
          </w:tcPr>
          <w:p w14:paraId="178D843C"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pozemek silnice, stabilizován v DS</w:t>
            </w:r>
          </w:p>
        </w:tc>
      </w:tr>
      <w:tr w:rsidR="00CF1108" w:rsidRPr="006070EA" w14:paraId="3451C84A" w14:textId="77777777" w:rsidTr="00A13D9A">
        <w:trPr>
          <w:cantSplit/>
          <w:trHeight w:val="300"/>
          <w:jc w:val="center"/>
        </w:trPr>
        <w:tc>
          <w:tcPr>
            <w:tcW w:w="460" w:type="dxa"/>
            <w:shd w:val="clear" w:color="auto" w:fill="auto"/>
            <w:noWrap/>
            <w:vAlign w:val="center"/>
            <w:hideMark/>
          </w:tcPr>
          <w:p w14:paraId="20A3CB06"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36</w:t>
            </w:r>
          </w:p>
        </w:tc>
        <w:tc>
          <w:tcPr>
            <w:tcW w:w="958" w:type="dxa"/>
            <w:shd w:val="clear" w:color="auto" w:fill="auto"/>
            <w:noWrap/>
            <w:vAlign w:val="center"/>
            <w:hideMark/>
          </w:tcPr>
          <w:p w14:paraId="46B06B03"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07.01.2021</w:t>
            </w:r>
          </w:p>
        </w:tc>
        <w:tc>
          <w:tcPr>
            <w:tcW w:w="804" w:type="dxa"/>
            <w:shd w:val="clear" w:color="auto" w:fill="auto"/>
            <w:noWrap/>
            <w:vAlign w:val="center"/>
            <w:hideMark/>
          </w:tcPr>
          <w:p w14:paraId="79063704"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133/2</w:t>
            </w:r>
          </w:p>
        </w:tc>
        <w:tc>
          <w:tcPr>
            <w:tcW w:w="953" w:type="dxa"/>
            <w:shd w:val="clear" w:color="auto" w:fill="auto"/>
            <w:noWrap/>
            <w:vAlign w:val="center"/>
            <w:hideMark/>
          </w:tcPr>
          <w:p w14:paraId="7E7987FD"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Hronětice</w:t>
            </w:r>
          </w:p>
        </w:tc>
        <w:tc>
          <w:tcPr>
            <w:tcW w:w="1417" w:type="dxa"/>
            <w:shd w:val="clear" w:color="auto" w:fill="auto"/>
            <w:noWrap/>
            <w:vAlign w:val="center"/>
            <w:hideMark/>
          </w:tcPr>
          <w:p w14:paraId="1762F8B6"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kombinace pro bydlení a pro zemědělskou činnost</w:t>
            </w:r>
          </w:p>
        </w:tc>
        <w:tc>
          <w:tcPr>
            <w:tcW w:w="950" w:type="dxa"/>
            <w:shd w:val="clear" w:color="auto" w:fill="auto"/>
            <w:noWrap/>
            <w:vAlign w:val="center"/>
            <w:hideMark/>
          </w:tcPr>
          <w:p w14:paraId="4AEC2513"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ANO</w:t>
            </w:r>
          </w:p>
        </w:tc>
        <w:tc>
          <w:tcPr>
            <w:tcW w:w="1139" w:type="dxa"/>
            <w:shd w:val="clear" w:color="auto" w:fill="auto"/>
            <w:noWrap/>
            <w:vAlign w:val="center"/>
            <w:hideMark/>
          </w:tcPr>
          <w:p w14:paraId="60572444"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SV</w:t>
            </w:r>
          </w:p>
        </w:tc>
        <w:tc>
          <w:tcPr>
            <w:tcW w:w="2438" w:type="dxa"/>
            <w:shd w:val="clear" w:color="auto" w:fill="auto"/>
            <w:noWrap/>
            <w:vAlign w:val="center"/>
            <w:hideMark/>
          </w:tcPr>
          <w:p w14:paraId="0A1720CB"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součást stabilizované plochy v ZÚ</w:t>
            </w:r>
          </w:p>
        </w:tc>
      </w:tr>
      <w:tr w:rsidR="00A46281" w:rsidRPr="006070EA" w14:paraId="663604D0" w14:textId="77777777" w:rsidTr="00A13D9A">
        <w:trPr>
          <w:cantSplit/>
          <w:trHeight w:val="300"/>
          <w:jc w:val="center"/>
        </w:trPr>
        <w:tc>
          <w:tcPr>
            <w:tcW w:w="460" w:type="dxa"/>
            <w:vMerge w:val="restart"/>
            <w:shd w:val="clear" w:color="auto" w:fill="auto"/>
            <w:noWrap/>
            <w:vAlign w:val="center"/>
            <w:hideMark/>
          </w:tcPr>
          <w:p w14:paraId="407D8FBB" w14:textId="77777777" w:rsidR="00A46281" w:rsidRPr="006070EA" w:rsidRDefault="00A46281"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37</w:t>
            </w:r>
          </w:p>
        </w:tc>
        <w:tc>
          <w:tcPr>
            <w:tcW w:w="958" w:type="dxa"/>
            <w:vMerge w:val="restart"/>
            <w:shd w:val="clear" w:color="auto" w:fill="auto"/>
            <w:noWrap/>
            <w:vAlign w:val="center"/>
            <w:hideMark/>
          </w:tcPr>
          <w:p w14:paraId="2BFFD266" w14:textId="77777777" w:rsidR="00A46281" w:rsidRPr="006070EA" w:rsidRDefault="00A46281"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05.11.2020</w:t>
            </w:r>
          </w:p>
        </w:tc>
        <w:tc>
          <w:tcPr>
            <w:tcW w:w="804" w:type="dxa"/>
            <w:shd w:val="clear" w:color="auto" w:fill="auto"/>
            <w:noWrap/>
            <w:vAlign w:val="center"/>
            <w:hideMark/>
          </w:tcPr>
          <w:p w14:paraId="10376840" w14:textId="77777777" w:rsidR="00A46281" w:rsidRPr="006070EA" w:rsidRDefault="00A46281"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455/1</w:t>
            </w:r>
          </w:p>
        </w:tc>
        <w:tc>
          <w:tcPr>
            <w:tcW w:w="953" w:type="dxa"/>
            <w:shd w:val="clear" w:color="auto" w:fill="auto"/>
            <w:noWrap/>
            <w:vAlign w:val="center"/>
            <w:hideMark/>
          </w:tcPr>
          <w:p w14:paraId="38A726E2" w14:textId="77777777" w:rsidR="00A46281" w:rsidRPr="006070EA" w:rsidRDefault="00A46281"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Kostomlaty nad Labem</w:t>
            </w:r>
          </w:p>
        </w:tc>
        <w:tc>
          <w:tcPr>
            <w:tcW w:w="1417" w:type="dxa"/>
            <w:shd w:val="clear" w:color="auto" w:fill="auto"/>
            <w:noWrap/>
            <w:vAlign w:val="center"/>
            <w:hideMark/>
          </w:tcPr>
          <w:p w14:paraId="7F8B7873" w14:textId="77777777" w:rsidR="00A46281" w:rsidRPr="006070EA" w:rsidRDefault="00A46281"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shd w:val="clear" w:color="auto" w:fill="auto"/>
            <w:noWrap/>
            <w:vAlign w:val="center"/>
            <w:hideMark/>
          </w:tcPr>
          <w:p w14:paraId="2498D781" w14:textId="4F781AD3" w:rsidR="00A46281" w:rsidRPr="006070EA" w:rsidRDefault="00A13D9A"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NE</w:t>
            </w:r>
          </w:p>
        </w:tc>
        <w:tc>
          <w:tcPr>
            <w:tcW w:w="1139" w:type="dxa"/>
            <w:shd w:val="clear" w:color="auto" w:fill="auto"/>
            <w:noWrap/>
            <w:vAlign w:val="center"/>
            <w:hideMark/>
          </w:tcPr>
          <w:p w14:paraId="16902FEE" w14:textId="7B948804" w:rsidR="00A46281" w:rsidRPr="006070EA" w:rsidRDefault="00A46281"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 xml:space="preserve">zařazeno do </w:t>
            </w:r>
            <w:r w:rsidR="00804E2A" w:rsidRPr="006070EA">
              <w:rPr>
                <w:rFonts w:asciiTheme="majorHAnsi" w:eastAsia="Times New Roman" w:hAnsiTheme="majorHAnsi" w:cstheme="majorHAnsi"/>
                <w:color w:val="000000"/>
                <w:sz w:val="18"/>
                <w:szCs w:val="18"/>
                <w:lang w:eastAsia="cs-CZ"/>
              </w:rPr>
              <w:t>MU.zp</w:t>
            </w:r>
          </w:p>
        </w:tc>
        <w:tc>
          <w:tcPr>
            <w:tcW w:w="2438" w:type="dxa"/>
            <w:vMerge w:val="restart"/>
            <w:shd w:val="clear" w:color="auto" w:fill="auto"/>
            <w:noWrap/>
            <w:vAlign w:val="center"/>
          </w:tcPr>
          <w:p w14:paraId="348B7C8D" w14:textId="7D0D9D6D" w:rsidR="00A46281" w:rsidRPr="006070EA" w:rsidRDefault="00A13D9A" w:rsidP="00A46281">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sousedství vodního toku Vlkava, blízkost zařízení technické infrastruktury (ČOV), dotčení záplavovým územím Q100 včetně aktivní zóny, stanovených na vodním toku Vlkava, nesouhlas obce s vymezením zastavitelné plochy</w:t>
            </w:r>
          </w:p>
        </w:tc>
      </w:tr>
      <w:tr w:rsidR="00A46281" w:rsidRPr="006070EA" w14:paraId="209F513A" w14:textId="77777777" w:rsidTr="00A13D9A">
        <w:trPr>
          <w:cantSplit/>
          <w:trHeight w:val="300"/>
          <w:jc w:val="center"/>
        </w:trPr>
        <w:tc>
          <w:tcPr>
            <w:tcW w:w="460" w:type="dxa"/>
            <w:vMerge/>
            <w:vAlign w:val="center"/>
            <w:hideMark/>
          </w:tcPr>
          <w:p w14:paraId="4163865D" w14:textId="77777777" w:rsidR="00A46281" w:rsidRPr="006070EA" w:rsidRDefault="00A46281" w:rsidP="00CF1108">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22267FB8" w14:textId="77777777" w:rsidR="00A46281" w:rsidRPr="006070EA" w:rsidRDefault="00A46281" w:rsidP="00CF1108">
            <w:pPr>
              <w:spacing w:after="0" w:line="240" w:lineRule="auto"/>
              <w:jc w:val="center"/>
              <w:rPr>
                <w:rFonts w:asciiTheme="majorHAnsi" w:eastAsia="Times New Roman" w:hAnsiTheme="majorHAnsi" w:cstheme="majorHAnsi"/>
                <w:color w:val="000000"/>
                <w:sz w:val="18"/>
                <w:szCs w:val="18"/>
                <w:lang w:eastAsia="cs-CZ"/>
              </w:rPr>
            </w:pPr>
          </w:p>
        </w:tc>
        <w:tc>
          <w:tcPr>
            <w:tcW w:w="804" w:type="dxa"/>
            <w:shd w:val="clear" w:color="auto" w:fill="auto"/>
            <w:noWrap/>
            <w:vAlign w:val="center"/>
            <w:hideMark/>
          </w:tcPr>
          <w:p w14:paraId="39FE78D5" w14:textId="77777777" w:rsidR="00A46281" w:rsidRPr="006070EA" w:rsidRDefault="00A46281"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455/3</w:t>
            </w:r>
          </w:p>
        </w:tc>
        <w:tc>
          <w:tcPr>
            <w:tcW w:w="953" w:type="dxa"/>
            <w:shd w:val="clear" w:color="auto" w:fill="auto"/>
            <w:noWrap/>
            <w:vAlign w:val="center"/>
            <w:hideMark/>
          </w:tcPr>
          <w:p w14:paraId="726E45B0" w14:textId="77777777" w:rsidR="00A46281" w:rsidRPr="006070EA" w:rsidRDefault="00A46281"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Kostomlaty nad Labem</w:t>
            </w:r>
          </w:p>
        </w:tc>
        <w:tc>
          <w:tcPr>
            <w:tcW w:w="1417" w:type="dxa"/>
            <w:shd w:val="clear" w:color="auto" w:fill="auto"/>
            <w:noWrap/>
            <w:vAlign w:val="center"/>
            <w:hideMark/>
          </w:tcPr>
          <w:p w14:paraId="0B7467A1" w14:textId="77777777" w:rsidR="00A46281" w:rsidRPr="006070EA" w:rsidRDefault="00A46281"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shd w:val="clear" w:color="auto" w:fill="auto"/>
            <w:noWrap/>
            <w:vAlign w:val="center"/>
            <w:hideMark/>
          </w:tcPr>
          <w:p w14:paraId="0BB8342E" w14:textId="1167DC9A" w:rsidR="00A46281" w:rsidRPr="006070EA" w:rsidRDefault="00A13D9A"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NE</w:t>
            </w:r>
          </w:p>
        </w:tc>
        <w:tc>
          <w:tcPr>
            <w:tcW w:w="1139" w:type="dxa"/>
            <w:shd w:val="clear" w:color="auto" w:fill="auto"/>
            <w:noWrap/>
            <w:vAlign w:val="center"/>
            <w:hideMark/>
          </w:tcPr>
          <w:p w14:paraId="34B66E07" w14:textId="5BC312F8" w:rsidR="00A46281" w:rsidRPr="006070EA" w:rsidRDefault="00A46281"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 xml:space="preserve">zařazeno do </w:t>
            </w:r>
            <w:r w:rsidR="00804E2A" w:rsidRPr="006070EA">
              <w:rPr>
                <w:rFonts w:asciiTheme="majorHAnsi" w:eastAsia="Times New Roman" w:hAnsiTheme="majorHAnsi" w:cstheme="majorHAnsi"/>
                <w:color w:val="000000"/>
                <w:sz w:val="18"/>
                <w:szCs w:val="18"/>
                <w:lang w:eastAsia="cs-CZ"/>
              </w:rPr>
              <w:t>MU.zp</w:t>
            </w:r>
          </w:p>
        </w:tc>
        <w:tc>
          <w:tcPr>
            <w:tcW w:w="2438" w:type="dxa"/>
            <w:vMerge/>
            <w:shd w:val="clear" w:color="auto" w:fill="auto"/>
            <w:noWrap/>
            <w:vAlign w:val="center"/>
          </w:tcPr>
          <w:p w14:paraId="55A7C78D" w14:textId="52DE7FDE" w:rsidR="00A46281" w:rsidRPr="006070EA" w:rsidRDefault="00A46281" w:rsidP="00CF1108">
            <w:pPr>
              <w:spacing w:after="0" w:line="240" w:lineRule="auto"/>
              <w:jc w:val="center"/>
              <w:rPr>
                <w:rFonts w:asciiTheme="majorHAnsi" w:eastAsia="Times New Roman" w:hAnsiTheme="majorHAnsi" w:cstheme="majorHAnsi"/>
                <w:color w:val="000000"/>
                <w:sz w:val="18"/>
                <w:szCs w:val="18"/>
                <w:lang w:eastAsia="cs-CZ"/>
              </w:rPr>
            </w:pPr>
          </w:p>
        </w:tc>
      </w:tr>
      <w:tr w:rsidR="00A46281" w:rsidRPr="006070EA" w14:paraId="2E675D9B" w14:textId="77777777" w:rsidTr="00A13D9A">
        <w:trPr>
          <w:cantSplit/>
          <w:trHeight w:val="300"/>
          <w:jc w:val="center"/>
        </w:trPr>
        <w:tc>
          <w:tcPr>
            <w:tcW w:w="460" w:type="dxa"/>
            <w:vMerge/>
            <w:vAlign w:val="center"/>
            <w:hideMark/>
          </w:tcPr>
          <w:p w14:paraId="1AFBF238" w14:textId="77777777" w:rsidR="00A46281" w:rsidRPr="006070EA" w:rsidRDefault="00A46281" w:rsidP="00CF1108">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4E880125" w14:textId="77777777" w:rsidR="00A46281" w:rsidRPr="006070EA" w:rsidRDefault="00A46281" w:rsidP="00CF1108">
            <w:pPr>
              <w:spacing w:after="0" w:line="240" w:lineRule="auto"/>
              <w:jc w:val="center"/>
              <w:rPr>
                <w:rFonts w:asciiTheme="majorHAnsi" w:eastAsia="Times New Roman" w:hAnsiTheme="majorHAnsi" w:cstheme="majorHAnsi"/>
                <w:color w:val="000000"/>
                <w:sz w:val="18"/>
                <w:szCs w:val="18"/>
                <w:lang w:eastAsia="cs-CZ"/>
              </w:rPr>
            </w:pPr>
          </w:p>
        </w:tc>
        <w:tc>
          <w:tcPr>
            <w:tcW w:w="804" w:type="dxa"/>
            <w:shd w:val="clear" w:color="auto" w:fill="auto"/>
            <w:noWrap/>
            <w:vAlign w:val="center"/>
            <w:hideMark/>
          </w:tcPr>
          <w:p w14:paraId="52A0C820" w14:textId="77777777" w:rsidR="00A46281" w:rsidRPr="006070EA" w:rsidRDefault="00A46281"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455/4</w:t>
            </w:r>
          </w:p>
        </w:tc>
        <w:tc>
          <w:tcPr>
            <w:tcW w:w="953" w:type="dxa"/>
            <w:shd w:val="clear" w:color="auto" w:fill="auto"/>
            <w:noWrap/>
            <w:vAlign w:val="center"/>
            <w:hideMark/>
          </w:tcPr>
          <w:p w14:paraId="7D2A4BBD" w14:textId="77777777" w:rsidR="00A46281" w:rsidRPr="006070EA" w:rsidRDefault="00A46281"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Kostomlaty nad Labem</w:t>
            </w:r>
          </w:p>
        </w:tc>
        <w:tc>
          <w:tcPr>
            <w:tcW w:w="1417" w:type="dxa"/>
            <w:shd w:val="clear" w:color="auto" w:fill="auto"/>
            <w:noWrap/>
            <w:vAlign w:val="center"/>
            <w:hideMark/>
          </w:tcPr>
          <w:p w14:paraId="5AA882E0" w14:textId="77777777" w:rsidR="00A46281" w:rsidRPr="006070EA" w:rsidRDefault="00A46281"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shd w:val="clear" w:color="auto" w:fill="auto"/>
            <w:noWrap/>
            <w:vAlign w:val="center"/>
            <w:hideMark/>
          </w:tcPr>
          <w:p w14:paraId="0DB1B6E7" w14:textId="6A207A80" w:rsidR="00A46281" w:rsidRPr="006070EA" w:rsidRDefault="00A13D9A"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NE</w:t>
            </w:r>
          </w:p>
        </w:tc>
        <w:tc>
          <w:tcPr>
            <w:tcW w:w="1139" w:type="dxa"/>
            <w:shd w:val="clear" w:color="auto" w:fill="auto"/>
            <w:noWrap/>
            <w:vAlign w:val="center"/>
            <w:hideMark/>
          </w:tcPr>
          <w:p w14:paraId="75C26221" w14:textId="68C4EA09" w:rsidR="00A46281" w:rsidRPr="006070EA" w:rsidRDefault="00A46281"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 xml:space="preserve">zařazeno do </w:t>
            </w:r>
            <w:r w:rsidR="00804E2A" w:rsidRPr="006070EA">
              <w:rPr>
                <w:rFonts w:asciiTheme="majorHAnsi" w:eastAsia="Times New Roman" w:hAnsiTheme="majorHAnsi" w:cstheme="majorHAnsi"/>
                <w:color w:val="000000"/>
                <w:sz w:val="18"/>
                <w:szCs w:val="18"/>
                <w:lang w:eastAsia="cs-CZ"/>
              </w:rPr>
              <w:t>MU.zp</w:t>
            </w:r>
          </w:p>
        </w:tc>
        <w:tc>
          <w:tcPr>
            <w:tcW w:w="2438" w:type="dxa"/>
            <w:vMerge/>
            <w:shd w:val="clear" w:color="auto" w:fill="auto"/>
            <w:noWrap/>
            <w:vAlign w:val="center"/>
          </w:tcPr>
          <w:p w14:paraId="3D3B7E41" w14:textId="0DEAA175" w:rsidR="00A46281" w:rsidRPr="006070EA" w:rsidRDefault="00A46281" w:rsidP="00CF1108">
            <w:pPr>
              <w:spacing w:after="0" w:line="240" w:lineRule="auto"/>
              <w:jc w:val="center"/>
              <w:rPr>
                <w:rFonts w:asciiTheme="majorHAnsi" w:eastAsia="Times New Roman" w:hAnsiTheme="majorHAnsi" w:cstheme="majorHAnsi"/>
                <w:color w:val="000000"/>
                <w:sz w:val="18"/>
                <w:szCs w:val="18"/>
                <w:lang w:eastAsia="cs-CZ"/>
              </w:rPr>
            </w:pPr>
          </w:p>
        </w:tc>
      </w:tr>
      <w:tr w:rsidR="00A46281" w:rsidRPr="006070EA" w14:paraId="0786DC66" w14:textId="77777777" w:rsidTr="00A13D9A">
        <w:trPr>
          <w:cantSplit/>
          <w:trHeight w:val="300"/>
          <w:jc w:val="center"/>
        </w:trPr>
        <w:tc>
          <w:tcPr>
            <w:tcW w:w="460" w:type="dxa"/>
            <w:vMerge/>
            <w:vAlign w:val="center"/>
            <w:hideMark/>
          </w:tcPr>
          <w:p w14:paraId="4E7EBC8E" w14:textId="77777777" w:rsidR="00A46281" w:rsidRPr="006070EA" w:rsidRDefault="00A46281" w:rsidP="00CF1108">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6F1464BB" w14:textId="77777777" w:rsidR="00A46281" w:rsidRPr="006070EA" w:rsidRDefault="00A46281" w:rsidP="00CF1108">
            <w:pPr>
              <w:spacing w:after="0" w:line="240" w:lineRule="auto"/>
              <w:jc w:val="center"/>
              <w:rPr>
                <w:rFonts w:asciiTheme="majorHAnsi" w:eastAsia="Times New Roman" w:hAnsiTheme="majorHAnsi" w:cstheme="majorHAnsi"/>
                <w:color w:val="000000"/>
                <w:sz w:val="18"/>
                <w:szCs w:val="18"/>
                <w:lang w:eastAsia="cs-CZ"/>
              </w:rPr>
            </w:pPr>
          </w:p>
        </w:tc>
        <w:tc>
          <w:tcPr>
            <w:tcW w:w="804" w:type="dxa"/>
            <w:shd w:val="clear" w:color="auto" w:fill="auto"/>
            <w:noWrap/>
            <w:vAlign w:val="center"/>
            <w:hideMark/>
          </w:tcPr>
          <w:p w14:paraId="7C694F45" w14:textId="77777777" w:rsidR="00A46281" w:rsidRPr="006070EA" w:rsidRDefault="00A46281"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840/17</w:t>
            </w:r>
          </w:p>
        </w:tc>
        <w:tc>
          <w:tcPr>
            <w:tcW w:w="953" w:type="dxa"/>
            <w:shd w:val="clear" w:color="auto" w:fill="auto"/>
            <w:noWrap/>
            <w:vAlign w:val="center"/>
            <w:hideMark/>
          </w:tcPr>
          <w:p w14:paraId="6F12F549" w14:textId="77777777" w:rsidR="00A46281" w:rsidRPr="006070EA" w:rsidRDefault="00A46281"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Kostomlaty nad Labem</w:t>
            </w:r>
          </w:p>
        </w:tc>
        <w:tc>
          <w:tcPr>
            <w:tcW w:w="1417" w:type="dxa"/>
            <w:shd w:val="clear" w:color="auto" w:fill="auto"/>
            <w:noWrap/>
            <w:vAlign w:val="center"/>
            <w:hideMark/>
          </w:tcPr>
          <w:p w14:paraId="4558EF06" w14:textId="77777777" w:rsidR="00A46281" w:rsidRPr="006070EA" w:rsidRDefault="00A46281"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shd w:val="clear" w:color="auto" w:fill="auto"/>
            <w:noWrap/>
            <w:vAlign w:val="center"/>
            <w:hideMark/>
          </w:tcPr>
          <w:p w14:paraId="7FD69C9B" w14:textId="03031216" w:rsidR="00A46281" w:rsidRPr="006070EA" w:rsidRDefault="00A13D9A"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NE</w:t>
            </w:r>
          </w:p>
        </w:tc>
        <w:tc>
          <w:tcPr>
            <w:tcW w:w="1139" w:type="dxa"/>
            <w:shd w:val="clear" w:color="auto" w:fill="auto"/>
            <w:noWrap/>
            <w:vAlign w:val="center"/>
            <w:hideMark/>
          </w:tcPr>
          <w:p w14:paraId="6742E7EF" w14:textId="46F504A4" w:rsidR="00A46281" w:rsidRPr="006070EA" w:rsidRDefault="00A46281"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 xml:space="preserve">zařazeno do </w:t>
            </w:r>
            <w:r w:rsidR="00804E2A" w:rsidRPr="006070EA">
              <w:rPr>
                <w:rFonts w:asciiTheme="majorHAnsi" w:eastAsia="Times New Roman" w:hAnsiTheme="majorHAnsi" w:cstheme="majorHAnsi"/>
                <w:color w:val="000000"/>
                <w:sz w:val="18"/>
                <w:szCs w:val="18"/>
                <w:lang w:eastAsia="cs-CZ"/>
              </w:rPr>
              <w:t>MU.zp</w:t>
            </w:r>
          </w:p>
        </w:tc>
        <w:tc>
          <w:tcPr>
            <w:tcW w:w="2438" w:type="dxa"/>
            <w:vMerge/>
            <w:shd w:val="clear" w:color="auto" w:fill="auto"/>
            <w:noWrap/>
            <w:vAlign w:val="center"/>
          </w:tcPr>
          <w:p w14:paraId="0CC89EF5" w14:textId="3C8385B5" w:rsidR="00A46281" w:rsidRPr="006070EA" w:rsidRDefault="00A46281" w:rsidP="00CF1108">
            <w:pPr>
              <w:spacing w:after="0" w:line="240" w:lineRule="auto"/>
              <w:jc w:val="center"/>
              <w:rPr>
                <w:rFonts w:asciiTheme="majorHAnsi" w:eastAsia="Times New Roman" w:hAnsiTheme="majorHAnsi" w:cstheme="majorHAnsi"/>
                <w:color w:val="000000"/>
                <w:sz w:val="18"/>
                <w:szCs w:val="18"/>
                <w:lang w:eastAsia="cs-CZ"/>
              </w:rPr>
            </w:pPr>
          </w:p>
        </w:tc>
      </w:tr>
      <w:tr w:rsidR="00A46281" w:rsidRPr="006070EA" w14:paraId="71562756" w14:textId="77777777" w:rsidTr="00A13D9A">
        <w:trPr>
          <w:cantSplit/>
          <w:trHeight w:val="300"/>
          <w:jc w:val="center"/>
        </w:trPr>
        <w:tc>
          <w:tcPr>
            <w:tcW w:w="460" w:type="dxa"/>
            <w:vMerge/>
            <w:vAlign w:val="center"/>
            <w:hideMark/>
          </w:tcPr>
          <w:p w14:paraId="5BC1DBCB" w14:textId="77777777" w:rsidR="00A46281" w:rsidRPr="006070EA" w:rsidRDefault="00A46281" w:rsidP="00CF1108">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3719D110" w14:textId="77777777" w:rsidR="00A46281" w:rsidRPr="006070EA" w:rsidRDefault="00A46281" w:rsidP="00CF1108">
            <w:pPr>
              <w:spacing w:after="0" w:line="240" w:lineRule="auto"/>
              <w:jc w:val="center"/>
              <w:rPr>
                <w:rFonts w:asciiTheme="majorHAnsi" w:eastAsia="Times New Roman" w:hAnsiTheme="majorHAnsi" w:cstheme="majorHAnsi"/>
                <w:color w:val="000000"/>
                <w:sz w:val="18"/>
                <w:szCs w:val="18"/>
                <w:lang w:eastAsia="cs-CZ"/>
              </w:rPr>
            </w:pPr>
          </w:p>
        </w:tc>
        <w:tc>
          <w:tcPr>
            <w:tcW w:w="804" w:type="dxa"/>
            <w:shd w:val="clear" w:color="auto" w:fill="auto"/>
            <w:noWrap/>
            <w:vAlign w:val="center"/>
            <w:hideMark/>
          </w:tcPr>
          <w:p w14:paraId="7476363D" w14:textId="77777777" w:rsidR="00A46281" w:rsidRPr="006070EA" w:rsidRDefault="00A46281"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701/1</w:t>
            </w:r>
          </w:p>
        </w:tc>
        <w:tc>
          <w:tcPr>
            <w:tcW w:w="953" w:type="dxa"/>
            <w:shd w:val="clear" w:color="auto" w:fill="auto"/>
            <w:noWrap/>
            <w:vAlign w:val="center"/>
            <w:hideMark/>
          </w:tcPr>
          <w:p w14:paraId="760BC3C8" w14:textId="77777777" w:rsidR="00A46281" w:rsidRPr="006070EA" w:rsidRDefault="00A46281"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Kostomlaty nad Labem</w:t>
            </w:r>
          </w:p>
        </w:tc>
        <w:tc>
          <w:tcPr>
            <w:tcW w:w="1417" w:type="dxa"/>
            <w:shd w:val="clear" w:color="auto" w:fill="auto"/>
            <w:noWrap/>
            <w:vAlign w:val="center"/>
            <w:hideMark/>
          </w:tcPr>
          <w:p w14:paraId="3C62D926" w14:textId="77777777" w:rsidR="00A46281" w:rsidRPr="006070EA" w:rsidRDefault="00A46281"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shd w:val="clear" w:color="auto" w:fill="auto"/>
            <w:noWrap/>
            <w:vAlign w:val="center"/>
            <w:hideMark/>
          </w:tcPr>
          <w:p w14:paraId="37316CA2" w14:textId="5CD1633C" w:rsidR="00A46281" w:rsidRPr="006070EA" w:rsidRDefault="00A13D9A"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NE</w:t>
            </w:r>
          </w:p>
        </w:tc>
        <w:tc>
          <w:tcPr>
            <w:tcW w:w="1139" w:type="dxa"/>
            <w:shd w:val="clear" w:color="auto" w:fill="auto"/>
            <w:noWrap/>
            <w:vAlign w:val="center"/>
            <w:hideMark/>
          </w:tcPr>
          <w:p w14:paraId="7E2156EB" w14:textId="1D9927A3" w:rsidR="00A46281" w:rsidRPr="006070EA" w:rsidRDefault="00A46281"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 xml:space="preserve">zařazeno do </w:t>
            </w:r>
            <w:r w:rsidR="00804E2A" w:rsidRPr="006070EA">
              <w:rPr>
                <w:rFonts w:asciiTheme="majorHAnsi" w:eastAsia="Times New Roman" w:hAnsiTheme="majorHAnsi" w:cstheme="majorHAnsi"/>
                <w:color w:val="000000"/>
                <w:sz w:val="18"/>
                <w:szCs w:val="18"/>
                <w:lang w:eastAsia="cs-CZ"/>
              </w:rPr>
              <w:t>MU.zp</w:t>
            </w:r>
          </w:p>
        </w:tc>
        <w:tc>
          <w:tcPr>
            <w:tcW w:w="2438" w:type="dxa"/>
            <w:vMerge/>
            <w:shd w:val="clear" w:color="auto" w:fill="auto"/>
            <w:noWrap/>
            <w:vAlign w:val="center"/>
          </w:tcPr>
          <w:p w14:paraId="60106DEE" w14:textId="5AA9076B" w:rsidR="00A46281" w:rsidRPr="006070EA" w:rsidRDefault="00A46281" w:rsidP="00CF1108">
            <w:pPr>
              <w:spacing w:after="0" w:line="240" w:lineRule="auto"/>
              <w:jc w:val="center"/>
              <w:rPr>
                <w:rFonts w:asciiTheme="majorHAnsi" w:eastAsia="Times New Roman" w:hAnsiTheme="majorHAnsi" w:cstheme="majorHAnsi"/>
                <w:color w:val="000000"/>
                <w:sz w:val="18"/>
                <w:szCs w:val="18"/>
                <w:lang w:eastAsia="cs-CZ"/>
              </w:rPr>
            </w:pPr>
          </w:p>
        </w:tc>
      </w:tr>
      <w:tr w:rsidR="00CF1108" w:rsidRPr="006070EA" w14:paraId="5D78E8CA" w14:textId="77777777" w:rsidTr="00A13D9A">
        <w:trPr>
          <w:cantSplit/>
          <w:trHeight w:val="300"/>
          <w:jc w:val="center"/>
        </w:trPr>
        <w:tc>
          <w:tcPr>
            <w:tcW w:w="460" w:type="dxa"/>
            <w:vMerge/>
            <w:vAlign w:val="center"/>
            <w:hideMark/>
          </w:tcPr>
          <w:p w14:paraId="11301351"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7C61D4AD"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804" w:type="dxa"/>
            <w:shd w:val="clear" w:color="auto" w:fill="auto"/>
            <w:noWrap/>
            <w:vAlign w:val="center"/>
            <w:hideMark/>
          </w:tcPr>
          <w:p w14:paraId="5028F146"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840/1</w:t>
            </w:r>
          </w:p>
        </w:tc>
        <w:tc>
          <w:tcPr>
            <w:tcW w:w="953" w:type="dxa"/>
            <w:shd w:val="clear" w:color="auto" w:fill="auto"/>
            <w:noWrap/>
            <w:vAlign w:val="center"/>
            <w:hideMark/>
          </w:tcPr>
          <w:p w14:paraId="4DBCF128"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Kostomlaty nad Labem</w:t>
            </w:r>
          </w:p>
        </w:tc>
        <w:tc>
          <w:tcPr>
            <w:tcW w:w="1417" w:type="dxa"/>
            <w:shd w:val="clear" w:color="auto" w:fill="auto"/>
            <w:noWrap/>
            <w:vAlign w:val="center"/>
            <w:hideMark/>
          </w:tcPr>
          <w:p w14:paraId="647C667E"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shd w:val="clear" w:color="auto" w:fill="auto"/>
            <w:noWrap/>
            <w:vAlign w:val="center"/>
            <w:hideMark/>
          </w:tcPr>
          <w:p w14:paraId="1374DD3F"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NE</w:t>
            </w:r>
          </w:p>
        </w:tc>
        <w:tc>
          <w:tcPr>
            <w:tcW w:w="1139" w:type="dxa"/>
            <w:shd w:val="clear" w:color="auto" w:fill="auto"/>
            <w:noWrap/>
            <w:vAlign w:val="center"/>
            <w:hideMark/>
          </w:tcPr>
          <w:p w14:paraId="05587BD4" w14:textId="66E3C3A1"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 xml:space="preserve">zařazeno do </w:t>
            </w:r>
            <w:r w:rsidR="00804E2A" w:rsidRPr="006070EA">
              <w:rPr>
                <w:rFonts w:asciiTheme="majorHAnsi" w:eastAsia="Times New Roman" w:hAnsiTheme="majorHAnsi" w:cstheme="majorHAnsi"/>
                <w:color w:val="000000"/>
                <w:sz w:val="18"/>
                <w:szCs w:val="18"/>
                <w:lang w:eastAsia="cs-CZ"/>
              </w:rPr>
              <w:t>MU.zp</w:t>
            </w:r>
          </w:p>
        </w:tc>
        <w:tc>
          <w:tcPr>
            <w:tcW w:w="2438" w:type="dxa"/>
            <w:shd w:val="clear" w:color="auto" w:fill="auto"/>
            <w:noWrap/>
            <w:vAlign w:val="center"/>
            <w:hideMark/>
          </w:tcPr>
          <w:p w14:paraId="2E932180"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sousedství zařízení technické infrastruktury (ČOV)</w:t>
            </w:r>
          </w:p>
        </w:tc>
      </w:tr>
      <w:tr w:rsidR="00CF1108" w:rsidRPr="006070EA" w14:paraId="3CE1834D" w14:textId="77777777" w:rsidTr="00A13D9A">
        <w:trPr>
          <w:cantSplit/>
          <w:trHeight w:val="300"/>
          <w:jc w:val="center"/>
        </w:trPr>
        <w:tc>
          <w:tcPr>
            <w:tcW w:w="460" w:type="dxa"/>
            <w:vMerge/>
            <w:vAlign w:val="center"/>
            <w:hideMark/>
          </w:tcPr>
          <w:p w14:paraId="02877D8E"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22E860D8"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804" w:type="dxa"/>
            <w:shd w:val="clear" w:color="auto" w:fill="auto"/>
            <w:noWrap/>
            <w:vAlign w:val="center"/>
            <w:hideMark/>
          </w:tcPr>
          <w:p w14:paraId="47D7F10C"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840/8</w:t>
            </w:r>
          </w:p>
        </w:tc>
        <w:tc>
          <w:tcPr>
            <w:tcW w:w="953" w:type="dxa"/>
            <w:shd w:val="clear" w:color="auto" w:fill="auto"/>
            <w:noWrap/>
            <w:vAlign w:val="center"/>
            <w:hideMark/>
          </w:tcPr>
          <w:p w14:paraId="42473B24"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Kostomlaty nad Labem</w:t>
            </w:r>
          </w:p>
        </w:tc>
        <w:tc>
          <w:tcPr>
            <w:tcW w:w="1417" w:type="dxa"/>
            <w:shd w:val="clear" w:color="auto" w:fill="auto"/>
            <w:noWrap/>
            <w:vAlign w:val="center"/>
            <w:hideMark/>
          </w:tcPr>
          <w:p w14:paraId="41B4AF7E"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shd w:val="clear" w:color="auto" w:fill="auto"/>
            <w:noWrap/>
            <w:vAlign w:val="center"/>
            <w:hideMark/>
          </w:tcPr>
          <w:p w14:paraId="4BBD3F54"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NE</w:t>
            </w:r>
          </w:p>
        </w:tc>
        <w:tc>
          <w:tcPr>
            <w:tcW w:w="1139" w:type="dxa"/>
            <w:shd w:val="clear" w:color="auto" w:fill="auto"/>
            <w:noWrap/>
            <w:vAlign w:val="center"/>
            <w:hideMark/>
          </w:tcPr>
          <w:p w14:paraId="36334917" w14:textId="63665E8E"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 xml:space="preserve">zařazeno do </w:t>
            </w:r>
            <w:r w:rsidR="00804E2A" w:rsidRPr="006070EA">
              <w:rPr>
                <w:rFonts w:asciiTheme="majorHAnsi" w:eastAsia="Times New Roman" w:hAnsiTheme="majorHAnsi" w:cstheme="majorHAnsi"/>
                <w:color w:val="000000"/>
                <w:sz w:val="18"/>
                <w:szCs w:val="18"/>
                <w:lang w:eastAsia="cs-CZ"/>
              </w:rPr>
              <w:t>MU.zp</w:t>
            </w:r>
          </w:p>
        </w:tc>
        <w:tc>
          <w:tcPr>
            <w:tcW w:w="2438" w:type="dxa"/>
            <w:shd w:val="clear" w:color="auto" w:fill="auto"/>
            <w:noWrap/>
            <w:vAlign w:val="center"/>
            <w:hideMark/>
          </w:tcPr>
          <w:p w14:paraId="6887CD72"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nežádoucí rozvoj do volné krajiny bez vazby na zastavěné území a veřejnou infrastrukturu</w:t>
            </w:r>
          </w:p>
        </w:tc>
      </w:tr>
      <w:tr w:rsidR="00CF1108" w:rsidRPr="006070EA" w14:paraId="73932C09" w14:textId="77777777" w:rsidTr="00A13D9A">
        <w:trPr>
          <w:cantSplit/>
          <w:trHeight w:val="300"/>
          <w:jc w:val="center"/>
        </w:trPr>
        <w:tc>
          <w:tcPr>
            <w:tcW w:w="460" w:type="dxa"/>
            <w:vMerge/>
            <w:vAlign w:val="center"/>
            <w:hideMark/>
          </w:tcPr>
          <w:p w14:paraId="3277089A"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1B91B771"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804" w:type="dxa"/>
            <w:shd w:val="clear" w:color="auto" w:fill="auto"/>
            <w:noWrap/>
            <w:vAlign w:val="center"/>
            <w:hideMark/>
          </w:tcPr>
          <w:p w14:paraId="40372612"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841/3</w:t>
            </w:r>
          </w:p>
        </w:tc>
        <w:tc>
          <w:tcPr>
            <w:tcW w:w="953" w:type="dxa"/>
            <w:shd w:val="clear" w:color="auto" w:fill="auto"/>
            <w:noWrap/>
            <w:vAlign w:val="center"/>
            <w:hideMark/>
          </w:tcPr>
          <w:p w14:paraId="1EBC46F9"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Kostomlaty nad Labem</w:t>
            </w:r>
          </w:p>
        </w:tc>
        <w:tc>
          <w:tcPr>
            <w:tcW w:w="1417" w:type="dxa"/>
            <w:shd w:val="clear" w:color="auto" w:fill="auto"/>
            <w:noWrap/>
            <w:vAlign w:val="center"/>
            <w:hideMark/>
          </w:tcPr>
          <w:p w14:paraId="37FB8E68"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shd w:val="clear" w:color="auto" w:fill="auto"/>
            <w:noWrap/>
            <w:vAlign w:val="center"/>
            <w:hideMark/>
          </w:tcPr>
          <w:p w14:paraId="4892FE5A"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NE</w:t>
            </w:r>
          </w:p>
        </w:tc>
        <w:tc>
          <w:tcPr>
            <w:tcW w:w="1139" w:type="dxa"/>
            <w:shd w:val="clear" w:color="auto" w:fill="auto"/>
            <w:noWrap/>
            <w:vAlign w:val="center"/>
            <w:hideMark/>
          </w:tcPr>
          <w:p w14:paraId="4A34A2FA" w14:textId="4945C5BA"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 xml:space="preserve">zařazeno do </w:t>
            </w:r>
            <w:r w:rsidR="00804E2A" w:rsidRPr="006070EA">
              <w:rPr>
                <w:rFonts w:asciiTheme="majorHAnsi" w:eastAsia="Times New Roman" w:hAnsiTheme="majorHAnsi" w:cstheme="majorHAnsi"/>
                <w:color w:val="000000"/>
                <w:sz w:val="18"/>
                <w:szCs w:val="18"/>
                <w:lang w:eastAsia="cs-CZ"/>
              </w:rPr>
              <w:t>MU.zp</w:t>
            </w:r>
          </w:p>
        </w:tc>
        <w:tc>
          <w:tcPr>
            <w:tcW w:w="2438" w:type="dxa"/>
            <w:shd w:val="clear" w:color="auto" w:fill="auto"/>
            <w:noWrap/>
            <w:vAlign w:val="center"/>
            <w:hideMark/>
          </w:tcPr>
          <w:p w14:paraId="605D3A51"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nežádoucí rozvoj do volné krajiny bez vazby na zastavěné území a veřejnou infrastrukturu</w:t>
            </w:r>
          </w:p>
        </w:tc>
      </w:tr>
      <w:tr w:rsidR="00A13D9A" w:rsidRPr="006070EA" w14:paraId="07CFF997" w14:textId="77777777" w:rsidTr="00A13D9A">
        <w:trPr>
          <w:cantSplit/>
          <w:trHeight w:val="300"/>
          <w:jc w:val="center"/>
        </w:trPr>
        <w:tc>
          <w:tcPr>
            <w:tcW w:w="460" w:type="dxa"/>
            <w:vMerge/>
            <w:vAlign w:val="center"/>
            <w:hideMark/>
          </w:tcPr>
          <w:p w14:paraId="700D43B6" w14:textId="77777777" w:rsidR="00A13D9A" w:rsidRPr="006070EA" w:rsidRDefault="00A13D9A" w:rsidP="00A13D9A">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47EB936E" w14:textId="77777777" w:rsidR="00A13D9A" w:rsidRPr="006070EA" w:rsidRDefault="00A13D9A" w:rsidP="00A13D9A">
            <w:pPr>
              <w:spacing w:after="0" w:line="240" w:lineRule="auto"/>
              <w:jc w:val="center"/>
              <w:rPr>
                <w:rFonts w:asciiTheme="majorHAnsi" w:eastAsia="Times New Roman" w:hAnsiTheme="majorHAnsi" w:cstheme="majorHAnsi"/>
                <w:color w:val="000000"/>
                <w:sz w:val="18"/>
                <w:szCs w:val="18"/>
                <w:lang w:eastAsia="cs-CZ"/>
              </w:rPr>
            </w:pPr>
          </w:p>
        </w:tc>
        <w:tc>
          <w:tcPr>
            <w:tcW w:w="804" w:type="dxa"/>
            <w:shd w:val="clear" w:color="auto" w:fill="auto"/>
            <w:noWrap/>
            <w:vAlign w:val="center"/>
            <w:hideMark/>
          </w:tcPr>
          <w:p w14:paraId="3383B59C" w14:textId="77777777" w:rsidR="00A13D9A" w:rsidRPr="006070EA" w:rsidRDefault="00A13D9A" w:rsidP="00A13D9A">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1366/3</w:t>
            </w:r>
          </w:p>
        </w:tc>
        <w:tc>
          <w:tcPr>
            <w:tcW w:w="953" w:type="dxa"/>
            <w:shd w:val="clear" w:color="auto" w:fill="auto"/>
            <w:noWrap/>
            <w:vAlign w:val="center"/>
            <w:hideMark/>
          </w:tcPr>
          <w:p w14:paraId="5EDAE28F" w14:textId="77777777" w:rsidR="00A13D9A" w:rsidRPr="006070EA" w:rsidRDefault="00A13D9A" w:rsidP="00A13D9A">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Kostomlaty nad Labem</w:t>
            </w:r>
          </w:p>
        </w:tc>
        <w:tc>
          <w:tcPr>
            <w:tcW w:w="1417" w:type="dxa"/>
            <w:shd w:val="clear" w:color="auto" w:fill="auto"/>
            <w:noWrap/>
            <w:vAlign w:val="center"/>
            <w:hideMark/>
          </w:tcPr>
          <w:p w14:paraId="0E326D55" w14:textId="77777777" w:rsidR="00A13D9A" w:rsidRPr="006070EA" w:rsidRDefault="00A13D9A" w:rsidP="00A13D9A">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shd w:val="clear" w:color="auto" w:fill="auto"/>
            <w:noWrap/>
            <w:vAlign w:val="center"/>
            <w:hideMark/>
          </w:tcPr>
          <w:p w14:paraId="3F990024" w14:textId="528C483B" w:rsidR="00A13D9A" w:rsidRPr="006070EA" w:rsidRDefault="00A13D9A" w:rsidP="00A13D9A">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NE</w:t>
            </w:r>
          </w:p>
        </w:tc>
        <w:tc>
          <w:tcPr>
            <w:tcW w:w="1139" w:type="dxa"/>
            <w:shd w:val="clear" w:color="auto" w:fill="auto"/>
            <w:noWrap/>
            <w:vAlign w:val="center"/>
            <w:hideMark/>
          </w:tcPr>
          <w:p w14:paraId="6BA729A3" w14:textId="071B2C67" w:rsidR="00A13D9A" w:rsidRPr="006070EA" w:rsidRDefault="00A13D9A" w:rsidP="00A13D9A">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 xml:space="preserve">zařazeno do </w:t>
            </w:r>
            <w:r w:rsidR="00804E2A" w:rsidRPr="006070EA">
              <w:rPr>
                <w:rFonts w:asciiTheme="majorHAnsi" w:eastAsia="Times New Roman" w:hAnsiTheme="majorHAnsi" w:cstheme="majorHAnsi"/>
                <w:color w:val="000000"/>
                <w:sz w:val="18"/>
                <w:szCs w:val="18"/>
                <w:lang w:eastAsia="cs-CZ"/>
              </w:rPr>
              <w:t>MU.zp</w:t>
            </w:r>
          </w:p>
        </w:tc>
        <w:tc>
          <w:tcPr>
            <w:tcW w:w="2438" w:type="dxa"/>
            <w:shd w:val="clear" w:color="auto" w:fill="auto"/>
            <w:noWrap/>
            <w:vAlign w:val="center"/>
            <w:hideMark/>
          </w:tcPr>
          <w:p w14:paraId="06F533C6" w14:textId="6ED403F0" w:rsidR="00A13D9A" w:rsidRPr="006070EA" w:rsidRDefault="00A13D9A" w:rsidP="00A13D9A">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sousedství vodního toku Vlkava, blízkost zařízení technické infrastruktury (ČOV), nesouhlas obce s vymezením zastavitelné plochy</w:t>
            </w:r>
          </w:p>
        </w:tc>
      </w:tr>
      <w:tr w:rsidR="00CF1108" w:rsidRPr="006070EA" w14:paraId="2E54FD88" w14:textId="77777777" w:rsidTr="00A13D9A">
        <w:trPr>
          <w:cantSplit/>
          <w:trHeight w:val="2160"/>
          <w:jc w:val="center"/>
        </w:trPr>
        <w:tc>
          <w:tcPr>
            <w:tcW w:w="460" w:type="dxa"/>
            <w:shd w:val="clear" w:color="auto" w:fill="auto"/>
            <w:noWrap/>
            <w:vAlign w:val="center"/>
            <w:hideMark/>
          </w:tcPr>
          <w:p w14:paraId="50A6D458"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38</w:t>
            </w:r>
          </w:p>
        </w:tc>
        <w:tc>
          <w:tcPr>
            <w:tcW w:w="958" w:type="dxa"/>
            <w:shd w:val="clear" w:color="auto" w:fill="auto"/>
            <w:noWrap/>
            <w:vAlign w:val="center"/>
            <w:hideMark/>
          </w:tcPr>
          <w:p w14:paraId="2B2D208B"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23.03.2020</w:t>
            </w:r>
          </w:p>
        </w:tc>
        <w:tc>
          <w:tcPr>
            <w:tcW w:w="804" w:type="dxa"/>
            <w:shd w:val="clear" w:color="auto" w:fill="auto"/>
            <w:noWrap/>
            <w:vAlign w:val="center"/>
            <w:hideMark/>
          </w:tcPr>
          <w:p w14:paraId="7D462F89"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839/24</w:t>
            </w:r>
          </w:p>
        </w:tc>
        <w:tc>
          <w:tcPr>
            <w:tcW w:w="953" w:type="dxa"/>
            <w:shd w:val="clear" w:color="auto" w:fill="auto"/>
            <w:noWrap/>
            <w:vAlign w:val="center"/>
            <w:hideMark/>
          </w:tcPr>
          <w:p w14:paraId="089AA012"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Kostomlaty nad Labem</w:t>
            </w:r>
          </w:p>
        </w:tc>
        <w:tc>
          <w:tcPr>
            <w:tcW w:w="1417" w:type="dxa"/>
            <w:shd w:val="clear" w:color="auto" w:fill="auto"/>
            <w:noWrap/>
            <w:vAlign w:val="center"/>
            <w:hideMark/>
          </w:tcPr>
          <w:p w14:paraId="2EFB8B69"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shd w:val="clear" w:color="auto" w:fill="auto"/>
            <w:noWrap/>
            <w:vAlign w:val="center"/>
            <w:hideMark/>
          </w:tcPr>
          <w:p w14:paraId="03200FD1"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ANO, část</w:t>
            </w:r>
          </w:p>
        </w:tc>
        <w:tc>
          <w:tcPr>
            <w:tcW w:w="1139" w:type="dxa"/>
            <w:shd w:val="clear" w:color="auto" w:fill="auto"/>
            <w:vAlign w:val="center"/>
            <w:hideMark/>
          </w:tcPr>
          <w:p w14:paraId="000B8225" w14:textId="0403628E"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částečně do BI, částečně do Z</w:t>
            </w:r>
            <w:r w:rsidR="00804E2A" w:rsidRPr="006070EA">
              <w:rPr>
                <w:rFonts w:asciiTheme="majorHAnsi" w:eastAsia="Times New Roman" w:hAnsiTheme="majorHAnsi" w:cstheme="majorHAnsi"/>
                <w:color w:val="000000"/>
                <w:sz w:val="18"/>
                <w:szCs w:val="18"/>
                <w:lang w:eastAsia="cs-CZ"/>
              </w:rPr>
              <w:t>P</w:t>
            </w:r>
            <w:r w:rsidRPr="006070EA">
              <w:rPr>
                <w:rFonts w:asciiTheme="majorHAnsi" w:eastAsia="Times New Roman" w:hAnsiTheme="majorHAnsi" w:cstheme="majorHAnsi"/>
                <w:color w:val="000000"/>
                <w:sz w:val="18"/>
                <w:szCs w:val="18"/>
                <w:lang w:eastAsia="cs-CZ"/>
              </w:rPr>
              <w:t xml:space="preserve">, částečně do </w:t>
            </w:r>
            <w:r w:rsidR="00804E2A" w:rsidRPr="006070EA">
              <w:rPr>
                <w:rFonts w:asciiTheme="majorHAnsi" w:eastAsia="Times New Roman" w:hAnsiTheme="majorHAnsi" w:cstheme="majorHAnsi"/>
                <w:color w:val="000000"/>
                <w:sz w:val="18"/>
                <w:szCs w:val="18"/>
                <w:lang w:eastAsia="cs-CZ"/>
              </w:rPr>
              <w:t>MU.r</w:t>
            </w:r>
            <w:r w:rsidRPr="006070EA">
              <w:rPr>
                <w:rFonts w:asciiTheme="majorHAnsi" w:eastAsia="Times New Roman" w:hAnsiTheme="majorHAnsi" w:cstheme="majorHAnsi"/>
                <w:color w:val="000000"/>
                <w:sz w:val="18"/>
                <w:szCs w:val="18"/>
                <w:lang w:eastAsia="cs-CZ"/>
              </w:rPr>
              <w:t xml:space="preserve"> a částečně do </w:t>
            </w:r>
            <w:r w:rsidR="00804E2A" w:rsidRPr="006070EA">
              <w:rPr>
                <w:rFonts w:asciiTheme="majorHAnsi" w:eastAsia="Times New Roman" w:hAnsiTheme="majorHAnsi" w:cstheme="majorHAnsi"/>
                <w:color w:val="000000"/>
                <w:sz w:val="18"/>
                <w:szCs w:val="18"/>
                <w:lang w:eastAsia="cs-CZ"/>
              </w:rPr>
              <w:t>AU</w:t>
            </w:r>
          </w:p>
        </w:tc>
        <w:tc>
          <w:tcPr>
            <w:tcW w:w="2438" w:type="dxa"/>
            <w:shd w:val="clear" w:color="auto" w:fill="auto"/>
            <w:noWrap/>
            <w:vAlign w:val="center"/>
            <w:hideMark/>
          </w:tcPr>
          <w:p w14:paraId="548C8847" w14:textId="43D23AA2"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částečně součást zastavitelné plochy Z</w:t>
            </w:r>
            <w:r w:rsidR="00804E2A" w:rsidRPr="006070EA">
              <w:rPr>
                <w:rFonts w:asciiTheme="majorHAnsi" w:eastAsia="Times New Roman" w:hAnsiTheme="majorHAnsi" w:cstheme="majorHAnsi"/>
                <w:color w:val="000000"/>
                <w:sz w:val="18"/>
                <w:szCs w:val="18"/>
                <w:lang w:eastAsia="cs-CZ"/>
              </w:rPr>
              <w:t>.</w:t>
            </w:r>
            <w:r w:rsidRPr="006070EA">
              <w:rPr>
                <w:rFonts w:asciiTheme="majorHAnsi" w:eastAsia="Times New Roman" w:hAnsiTheme="majorHAnsi" w:cstheme="majorHAnsi"/>
                <w:color w:val="000000"/>
                <w:sz w:val="18"/>
                <w:szCs w:val="18"/>
                <w:lang w:eastAsia="cs-CZ"/>
              </w:rPr>
              <w:t>07 (Z</w:t>
            </w:r>
            <w:r w:rsidR="00804E2A" w:rsidRPr="006070EA">
              <w:rPr>
                <w:rFonts w:asciiTheme="majorHAnsi" w:eastAsia="Times New Roman" w:hAnsiTheme="majorHAnsi" w:cstheme="majorHAnsi"/>
                <w:color w:val="000000"/>
                <w:sz w:val="18"/>
                <w:szCs w:val="18"/>
                <w:lang w:eastAsia="cs-CZ"/>
              </w:rPr>
              <w:t>P</w:t>
            </w:r>
            <w:r w:rsidRPr="006070EA">
              <w:rPr>
                <w:rFonts w:asciiTheme="majorHAnsi" w:eastAsia="Times New Roman" w:hAnsiTheme="majorHAnsi" w:cstheme="majorHAnsi"/>
                <w:color w:val="000000"/>
                <w:sz w:val="18"/>
                <w:szCs w:val="18"/>
                <w:lang w:eastAsia="cs-CZ"/>
              </w:rPr>
              <w:t>), částečně součástí zastavitelné plochy Z</w:t>
            </w:r>
            <w:r w:rsidR="00804E2A" w:rsidRPr="006070EA">
              <w:rPr>
                <w:rFonts w:asciiTheme="majorHAnsi" w:eastAsia="Times New Roman" w:hAnsiTheme="majorHAnsi" w:cstheme="majorHAnsi"/>
                <w:color w:val="000000"/>
                <w:sz w:val="18"/>
                <w:szCs w:val="18"/>
                <w:lang w:eastAsia="cs-CZ"/>
              </w:rPr>
              <w:t>.</w:t>
            </w:r>
            <w:r w:rsidRPr="006070EA">
              <w:rPr>
                <w:rFonts w:asciiTheme="majorHAnsi" w:eastAsia="Times New Roman" w:hAnsiTheme="majorHAnsi" w:cstheme="majorHAnsi"/>
                <w:color w:val="000000"/>
                <w:sz w:val="18"/>
                <w:szCs w:val="18"/>
                <w:lang w:eastAsia="cs-CZ"/>
              </w:rPr>
              <w:t>08 (Z</w:t>
            </w:r>
            <w:r w:rsidR="00804E2A" w:rsidRPr="006070EA">
              <w:rPr>
                <w:rFonts w:asciiTheme="majorHAnsi" w:eastAsia="Times New Roman" w:hAnsiTheme="majorHAnsi" w:cstheme="majorHAnsi"/>
                <w:color w:val="000000"/>
                <w:sz w:val="18"/>
                <w:szCs w:val="18"/>
                <w:lang w:eastAsia="cs-CZ"/>
              </w:rPr>
              <w:t>P</w:t>
            </w:r>
            <w:r w:rsidRPr="006070EA">
              <w:rPr>
                <w:rFonts w:asciiTheme="majorHAnsi" w:eastAsia="Times New Roman" w:hAnsiTheme="majorHAnsi" w:cstheme="majorHAnsi"/>
                <w:color w:val="000000"/>
                <w:sz w:val="18"/>
                <w:szCs w:val="18"/>
                <w:lang w:eastAsia="cs-CZ"/>
              </w:rPr>
              <w:t>)</w:t>
            </w:r>
          </w:p>
        </w:tc>
      </w:tr>
      <w:tr w:rsidR="00CF1108" w:rsidRPr="006070EA" w14:paraId="2F02CD6B" w14:textId="77777777" w:rsidTr="00A13D9A">
        <w:trPr>
          <w:cantSplit/>
          <w:trHeight w:val="300"/>
          <w:jc w:val="center"/>
        </w:trPr>
        <w:tc>
          <w:tcPr>
            <w:tcW w:w="460" w:type="dxa"/>
            <w:vMerge w:val="restart"/>
            <w:shd w:val="clear" w:color="auto" w:fill="auto"/>
            <w:noWrap/>
            <w:vAlign w:val="center"/>
            <w:hideMark/>
          </w:tcPr>
          <w:p w14:paraId="0D8F08FA"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39</w:t>
            </w:r>
          </w:p>
        </w:tc>
        <w:tc>
          <w:tcPr>
            <w:tcW w:w="958" w:type="dxa"/>
            <w:vMerge w:val="restart"/>
            <w:shd w:val="clear" w:color="auto" w:fill="auto"/>
            <w:noWrap/>
            <w:vAlign w:val="center"/>
            <w:hideMark/>
          </w:tcPr>
          <w:p w14:paraId="435805A2" w14:textId="5DBCB2CF" w:rsidR="00CF1108" w:rsidRPr="006070EA" w:rsidRDefault="00112B62"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w:t>
            </w:r>
          </w:p>
        </w:tc>
        <w:tc>
          <w:tcPr>
            <w:tcW w:w="804" w:type="dxa"/>
            <w:shd w:val="clear" w:color="auto" w:fill="auto"/>
            <w:noWrap/>
            <w:vAlign w:val="center"/>
            <w:hideMark/>
          </w:tcPr>
          <w:p w14:paraId="22DCF524" w14:textId="7F4336F4" w:rsidR="00CF1108" w:rsidRPr="006070EA" w:rsidRDefault="00112B62"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w:t>
            </w:r>
          </w:p>
        </w:tc>
        <w:tc>
          <w:tcPr>
            <w:tcW w:w="953" w:type="dxa"/>
            <w:shd w:val="clear" w:color="auto" w:fill="auto"/>
            <w:noWrap/>
            <w:vAlign w:val="center"/>
            <w:hideMark/>
          </w:tcPr>
          <w:p w14:paraId="11B51F07"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Lány u Kostomlat</w:t>
            </w:r>
          </w:p>
        </w:tc>
        <w:tc>
          <w:tcPr>
            <w:tcW w:w="1417" w:type="dxa"/>
            <w:shd w:val="clear" w:color="auto" w:fill="auto"/>
            <w:noWrap/>
            <w:vAlign w:val="center"/>
            <w:hideMark/>
          </w:tcPr>
          <w:p w14:paraId="6C7404D1"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zajistit věcná břemena pro přístup k polnostem vzdálenějším od silnice</w:t>
            </w:r>
          </w:p>
        </w:tc>
        <w:tc>
          <w:tcPr>
            <w:tcW w:w="950" w:type="dxa"/>
            <w:shd w:val="clear" w:color="auto" w:fill="auto"/>
            <w:noWrap/>
            <w:vAlign w:val="center"/>
            <w:hideMark/>
          </w:tcPr>
          <w:p w14:paraId="39E9A563"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w:t>
            </w:r>
          </w:p>
        </w:tc>
        <w:tc>
          <w:tcPr>
            <w:tcW w:w="1139" w:type="dxa"/>
            <w:shd w:val="clear" w:color="auto" w:fill="auto"/>
            <w:vAlign w:val="center"/>
            <w:hideMark/>
          </w:tcPr>
          <w:p w14:paraId="537A8A53"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w:t>
            </w:r>
          </w:p>
        </w:tc>
        <w:tc>
          <w:tcPr>
            <w:tcW w:w="2438" w:type="dxa"/>
            <w:shd w:val="clear" w:color="auto" w:fill="auto"/>
            <w:vAlign w:val="center"/>
            <w:hideMark/>
          </w:tcPr>
          <w:p w14:paraId="1F19774F" w14:textId="7F67D558"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 xml:space="preserve">není předmětem </w:t>
            </w:r>
            <w:r w:rsidR="00106C28" w:rsidRPr="006070EA">
              <w:rPr>
                <w:rFonts w:asciiTheme="majorHAnsi" w:eastAsia="Times New Roman" w:hAnsiTheme="majorHAnsi" w:cstheme="majorHAnsi"/>
                <w:color w:val="000000"/>
                <w:sz w:val="18"/>
                <w:szCs w:val="18"/>
                <w:lang w:eastAsia="cs-CZ"/>
              </w:rPr>
              <w:t xml:space="preserve">návrhu </w:t>
            </w:r>
            <w:r w:rsidRPr="006070EA">
              <w:rPr>
                <w:rFonts w:asciiTheme="majorHAnsi" w:eastAsia="Times New Roman" w:hAnsiTheme="majorHAnsi" w:cstheme="majorHAnsi"/>
                <w:color w:val="000000"/>
                <w:sz w:val="18"/>
                <w:szCs w:val="18"/>
                <w:lang w:eastAsia="cs-CZ"/>
              </w:rPr>
              <w:t>ÚP</w:t>
            </w:r>
          </w:p>
        </w:tc>
      </w:tr>
      <w:tr w:rsidR="00CF1108" w:rsidRPr="006070EA" w14:paraId="07DFC169" w14:textId="77777777" w:rsidTr="00A13D9A">
        <w:trPr>
          <w:cantSplit/>
          <w:trHeight w:val="300"/>
          <w:jc w:val="center"/>
        </w:trPr>
        <w:tc>
          <w:tcPr>
            <w:tcW w:w="460" w:type="dxa"/>
            <w:vMerge/>
            <w:vAlign w:val="center"/>
            <w:hideMark/>
          </w:tcPr>
          <w:p w14:paraId="198F52CC"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2A68162E"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804" w:type="dxa"/>
            <w:shd w:val="clear" w:color="auto" w:fill="auto"/>
            <w:noWrap/>
            <w:vAlign w:val="center"/>
            <w:hideMark/>
          </w:tcPr>
          <w:p w14:paraId="7627B3C8" w14:textId="50A02686" w:rsidR="00CF1108" w:rsidRPr="006070EA" w:rsidRDefault="00112B62"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w:t>
            </w:r>
          </w:p>
        </w:tc>
        <w:tc>
          <w:tcPr>
            <w:tcW w:w="953" w:type="dxa"/>
            <w:shd w:val="clear" w:color="auto" w:fill="auto"/>
            <w:noWrap/>
            <w:vAlign w:val="center"/>
            <w:hideMark/>
          </w:tcPr>
          <w:p w14:paraId="6C28EE06"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Kostomlaty nad Labem</w:t>
            </w:r>
          </w:p>
        </w:tc>
        <w:tc>
          <w:tcPr>
            <w:tcW w:w="1417" w:type="dxa"/>
            <w:shd w:val="clear" w:color="auto" w:fill="auto"/>
            <w:noWrap/>
            <w:vAlign w:val="center"/>
            <w:hideMark/>
          </w:tcPr>
          <w:p w14:paraId="79404B72"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zachování žel. přejezdu u OÚ, vybudování podchodu pro pěší</w:t>
            </w:r>
          </w:p>
        </w:tc>
        <w:tc>
          <w:tcPr>
            <w:tcW w:w="950" w:type="dxa"/>
            <w:shd w:val="clear" w:color="auto" w:fill="auto"/>
            <w:noWrap/>
            <w:vAlign w:val="center"/>
            <w:hideMark/>
          </w:tcPr>
          <w:p w14:paraId="329B4A94"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w:t>
            </w:r>
          </w:p>
        </w:tc>
        <w:tc>
          <w:tcPr>
            <w:tcW w:w="1139" w:type="dxa"/>
            <w:shd w:val="clear" w:color="auto" w:fill="auto"/>
            <w:vAlign w:val="center"/>
            <w:hideMark/>
          </w:tcPr>
          <w:p w14:paraId="0A88D47A"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w:t>
            </w:r>
          </w:p>
        </w:tc>
        <w:tc>
          <w:tcPr>
            <w:tcW w:w="2438" w:type="dxa"/>
            <w:shd w:val="clear" w:color="auto" w:fill="auto"/>
            <w:vAlign w:val="center"/>
            <w:hideMark/>
          </w:tcPr>
          <w:p w14:paraId="3E4C1573" w14:textId="734F39E1"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 xml:space="preserve">bude řešeno v rámci koridoru </w:t>
            </w:r>
            <w:r w:rsidR="00DD53D3">
              <w:rPr>
                <w:rFonts w:asciiTheme="majorHAnsi" w:eastAsia="Times New Roman" w:hAnsiTheme="majorHAnsi" w:cstheme="majorHAnsi"/>
                <w:color w:val="000000"/>
                <w:sz w:val="18"/>
                <w:szCs w:val="18"/>
                <w:lang w:eastAsia="cs-CZ"/>
              </w:rPr>
              <w:t>CNZ.D322</w:t>
            </w:r>
          </w:p>
        </w:tc>
      </w:tr>
      <w:tr w:rsidR="00106C28" w:rsidRPr="006070EA" w14:paraId="03B5544A" w14:textId="77777777" w:rsidTr="00A13D9A">
        <w:trPr>
          <w:cantSplit/>
          <w:trHeight w:val="300"/>
          <w:jc w:val="center"/>
        </w:trPr>
        <w:tc>
          <w:tcPr>
            <w:tcW w:w="460" w:type="dxa"/>
            <w:vMerge/>
            <w:vAlign w:val="center"/>
            <w:hideMark/>
          </w:tcPr>
          <w:p w14:paraId="2E0B8A73" w14:textId="77777777" w:rsidR="00106C28" w:rsidRPr="006070EA" w:rsidRDefault="00106C28" w:rsidP="00106C28">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0BCB2530" w14:textId="77777777" w:rsidR="00106C28" w:rsidRPr="006070EA" w:rsidRDefault="00106C28" w:rsidP="00106C28">
            <w:pPr>
              <w:spacing w:after="0" w:line="240" w:lineRule="auto"/>
              <w:jc w:val="center"/>
              <w:rPr>
                <w:rFonts w:asciiTheme="majorHAnsi" w:eastAsia="Times New Roman" w:hAnsiTheme="majorHAnsi" w:cstheme="majorHAnsi"/>
                <w:color w:val="000000"/>
                <w:sz w:val="18"/>
                <w:szCs w:val="18"/>
                <w:lang w:eastAsia="cs-CZ"/>
              </w:rPr>
            </w:pPr>
          </w:p>
        </w:tc>
        <w:tc>
          <w:tcPr>
            <w:tcW w:w="804" w:type="dxa"/>
            <w:shd w:val="clear" w:color="auto" w:fill="auto"/>
            <w:noWrap/>
            <w:vAlign w:val="center"/>
            <w:hideMark/>
          </w:tcPr>
          <w:p w14:paraId="0B5E59E3" w14:textId="2AF2D47F" w:rsidR="00106C28" w:rsidRPr="006070EA" w:rsidRDefault="00106C28" w:rsidP="00106C2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w:t>
            </w:r>
          </w:p>
        </w:tc>
        <w:tc>
          <w:tcPr>
            <w:tcW w:w="953" w:type="dxa"/>
            <w:shd w:val="clear" w:color="auto" w:fill="auto"/>
            <w:noWrap/>
            <w:vAlign w:val="center"/>
            <w:hideMark/>
          </w:tcPr>
          <w:p w14:paraId="3DAB1CD3" w14:textId="77777777" w:rsidR="00106C28" w:rsidRPr="006070EA" w:rsidRDefault="00106C28" w:rsidP="00106C2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Kostomlaty nad Labem</w:t>
            </w:r>
          </w:p>
        </w:tc>
        <w:tc>
          <w:tcPr>
            <w:tcW w:w="1417" w:type="dxa"/>
            <w:shd w:val="clear" w:color="auto" w:fill="auto"/>
            <w:noWrap/>
            <w:vAlign w:val="center"/>
            <w:hideMark/>
          </w:tcPr>
          <w:p w14:paraId="687DAFCE" w14:textId="1F5DA7A2" w:rsidR="00106C28" w:rsidRPr="006070EA" w:rsidRDefault="00106C28" w:rsidP="00106C2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vybudování parkoviště severně za žel. tratí</w:t>
            </w:r>
          </w:p>
        </w:tc>
        <w:tc>
          <w:tcPr>
            <w:tcW w:w="950" w:type="dxa"/>
            <w:shd w:val="clear" w:color="auto" w:fill="auto"/>
            <w:noWrap/>
            <w:vAlign w:val="center"/>
            <w:hideMark/>
          </w:tcPr>
          <w:p w14:paraId="38CE53EB" w14:textId="77777777" w:rsidR="00106C28" w:rsidRPr="006070EA" w:rsidRDefault="00106C28" w:rsidP="00106C2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w:t>
            </w:r>
          </w:p>
        </w:tc>
        <w:tc>
          <w:tcPr>
            <w:tcW w:w="1139" w:type="dxa"/>
            <w:shd w:val="clear" w:color="auto" w:fill="auto"/>
            <w:vAlign w:val="center"/>
            <w:hideMark/>
          </w:tcPr>
          <w:p w14:paraId="5E762F4B" w14:textId="77777777" w:rsidR="00106C28" w:rsidRPr="006070EA" w:rsidRDefault="00106C28" w:rsidP="00106C2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w:t>
            </w:r>
          </w:p>
        </w:tc>
        <w:tc>
          <w:tcPr>
            <w:tcW w:w="2438" w:type="dxa"/>
            <w:shd w:val="clear" w:color="auto" w:fill="auto"/>
            <w:vAlign w:val="center"/>
            <w:hideMark/>
          </w:tcPr>
          <w:p w14:paraId="770130AD" w14:textId="4D709837" w:rsidR="00106C28" w:rsidRPr="006070EA" w:rsidRDefault="00106C28" w:rsidP="00106C2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není předmětem návrhu ÚP</w:t>
            </w:r>
          </w:p>
        </w:tc>
      </w:tr>
      <w:tr w:rsidR="00CF1108" w:rsidRPr="006070EA" w14:paraId="5F2D80CB" w14:textId="77777777" w:rsidTr="00A13D9A">
        <w:trPr>
          <w:cantSplit/>
          <w:trHeight w:val="300"/>
          <w:jc w:val="center"/>
        </w:trPr>
        <w:tc>
          <w:tcPr>
            <w:tcW w:w="460" w:type="dxa"/>
            <w:vMerge/>
            <w:vAlign w:val="center"/>
            <w:hideMark/>
          </w:tcPr>
          <w:p w14:paraId="5E6F3CAD"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6C778F9D"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804" w:type="dxa"/>
            <w:shd w:val="clear" w:color="auto" w:fill="auto"/>
            <w:noWrap/>
            <w:vAlign w:val="center"/>
            <w:hideMark/>
          </w:tcPr>
          <w:p w14:paraId="41CD60E9" w14:textId="40CEE29B" w:rsidR="00CF1108" w:rsidRPr="006070EA" w:rsidRDefault="00112B62"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w:t>
            </w:r>
          </w:p>
        </w:tc>
        <w:tc>
          <w:tcPr>
            <w:tcW w:w="953" w:type="dxa"/>
            <w:shd w:val="clear" w:color="auto" w:fill="auto"/>
            <w:noWrap/>
            <w:vAlign w:val="center"/>
            <w:hideMark/>
          </w:tcPr>
          <w:p w14:paraId="7F0BB39E"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Kostomlaty nad Labem</w:t>
            </w:r>
          </w:p>
        </w:tc>
        <w:tc>
          <w:tcPr>
            <w:tcW w:w="1417" w:type="dxa"/>
            <w:shd w:val="clear" w:color="auto" w:fill="auto"/>
            <w:noWrap/>
            <w:vAlign w:val="center"/>
            <w:hideMark/>
          </w:tcPr>
          <w:p w14:paraId="7EF6A097"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vymezit cyklostezku podél žel.trati Lysá n. L. - Nymburk</w:t>
            </w:r>
          </w:p>
        </w:tc>
        <w:tc>
          <w:tcPr>
            <w:tcW w:w="950" w:type="dxa"/>
            <w:shd w:val="clear" w:color="auto" w:fill="auto"/>
            <w:noWrap/>
            <w:vAlign w:val="center"/>
            <w:hideMark/>
          </w:tcPr>
          <w:p w14:paraId="567BCC25"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w:t>
            </w:r>
          </w:p>
        </w:tc>
        <w:tc>
          <w:tcPr>
            <w:tcW w:w="1139" w:type="dxa"/>
            <w:shd w:val="clear" w:color="auto" w:fill="auto"/>
            <w:vAlign w:val="center"/>
            <w:hideMark/>
          </w:tcPr>
          <w:p w14:paraId="66539B0E"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w:t>
            </w:r>
          </w:p>
        </w:tc>
        <w:tc>
          <w:tcPr>
            <w:tcW w:w="2438" w:type="dxa"/>
            <w:shd w:val="clear" w:color="auto" w:fill="auto"/>
            <w:vAlign w:val="center"/>
            <w:hideMark/>
          </w:tcPr>
          <w:p w14:paraId="30704C57"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umožněno v rámci podmínek ploch s RZV</w:t>
            </w:r>
          </w:p>
        </w:tc>
      </w:tr>
      <w:tr w:rsidR="00CF1108" w:rsidRPr="006070EA" w14:paraId="0E831A26" w14:textId="77777777" w:rsidTr="00A13D9A">
        <w:trPr>
          <w:cantSplit/>
          <w:trHeight w:val="300"/>
          <w:jc w:val="center"/>
        </w:trPr>
        <w:tc>
          <w:tcPr>
            <w:tcW w:w="460" w:type="dxa"/>
            <w:vMerge/>
            <w:vAlign w:val="center"/>
            <w:hideMark/>
          </w:tcPr>
          <w:p w14:paraId="6FB2C7C1"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38A6396A"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804" w:type="dxa"/>
            <w:shd w:val="clear" w:color="auto" w:fill="auto"/>
            <w:noWrap/>
            <w:vAlign w:val="center"/>
            <w:hideMark/>
          </w:tcPr>
          <w:p w14:paraId="5BF56C8D" w14:textId="5BD81F4F" w:rsidR="00CF1108" w:rsidRPr="006070EA" w:rsidRDefault="00112B62"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w:t>
            </w:r>
          </w:p>
        </w:tc>
        <w:tc>
          <w:tcPr>
            <w:tcW w:w="953" w:type="dxa"/>
            <w:shd w:val="clear" w:color="auto" w:fill="auto"/>
            <w:noWrap/>
            <w:vAlign w:val="center"/>
            <w:hideMark/>
          </w:tcPr>
          <w:p w14:paraId="71523D47"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Lány u Kostomlat</w:t>
            </w:r>
          </w:p>
        </w:tc>
        <w:tc>
          <w:tcPr>
            <w:tcW w:w="1417" w:type="dxa"/>
            <w:shd w:val="clear" w:color="auto" w:fill="auto"/>
            <w:noWrap/>
            <w:vAlign w:val="center"/>
            <w:hideMark/>
          </w:tcPr>
          <w:p w14:paraId="7B05C7BF" w14:textId="78E53CEB"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omezení ploch pro výstavbu RD v západní části Lán</w:t>
            </w:r>
          </w:p>
        </w:tc>
        <w:tc>
          <w:tcPr>
            <w:tcW w:w="950" w:type="dxa"/>
            <w:shd w:val="clear" w:color="auto" w:fill="auto"/>
            <w:noWrap/>
            <w:vAlign w:val="center"/>
            <w:hideMark/>
          </w:tcPr>
          <w:p w14:paraId="27CCED70"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w:t>
            </w:r>
          </w:p>
        </w:tc>
        <w:tc>
          <w:tcPr>
            <w:tcW w:w="1139" w:type="dxa"/>
            <w:shd w:val="clear" w:color="auto" w:fill="auto"/>
            <w:vAlign w:val="center"/>
            <w:hideMark/>
          </w:tcPr>
          <w:p w14:paraId="7BBDAFAF"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w:t>
            </w:r>
          </w:p>
        </w:tc>
        <w:tc>
          <w:tcPr>
            <w:tcW w:w="2438" w:type="dxa"/>
            <w:shd w:val="clear" w:color="auto" w:fill="auto"/>
            <w:vAlign w:val="center"/>
            <w:hideMark/>
          </w:tcPr>
          <w:p w14:paraId="3709D026"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řešeno ve vazbě na stávající ÚPO, požadavky v území a stanovenou urbanistickou koncepci</w:t>
            </w:r>
          </w:p>
        </w:tc>
      </w:tr>
      <w:tr w:rsidR="00CF1108" w:rsidRPr="006070EA" w14:paraId="7ED07323" w14:textId="77777777" w:rsidTr="00A13D9A">
        <w:trPr>
          <w:cantSplit/>
          <w:trHeight w:val="300"/>
          <w:jc w:val="center"/>
        </w:trPr>
        <w:tc>
          <w:tcPr>
            <w:tcW w:w="460" w:type="dxa"/>
            <w:vMerge/>
            <w:vAlign w:val="center"/>
            <w:hideMark/>
          </w:tcPr>
          <w:p w14:paraId="568EDD33"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41C8CC9D"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804" w:type="dxa"/>
            <w:shd w:val="clear" w:color="auto" w:fill="auto"/>
            <w:noWrap/>
            <w:vAlign w:val="center"/>
            <w:hideMark/>
          </w:tcPr>
          <w:p w14:paraId="4F5E69C4" w14:textId="0D361316" w:rsidR="00CF1108" w:rsidRPr="006070EA" w:rsidRDefault="00112B62"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w:t>
            </w:r>
          </w:p>
        </w:tc>
        <w:tc>
          <w:tcPr>
            <w:tcW w:w="953" w:type="dxa"/>
            <w:shd w:val="clear" w:color="auto" w:fill="auto"/>
            <w:noWrap/>
            <w:vAlign w:val="center"/>
            <w:hideMark/>
          </w:tcPr>
          <w:p w14:paraId="740C7006"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Hronětice</w:t>
            </w:r>
          </w:p>
        </w:tc>
        <w:tc>
          <w:tcPr>
            <w:tcW w:w="1417" w:type="dxa"/>
            <w:shd w:val="clear" w:color="auto" w:fill="auto"/>
            <w:noWrap/>
            <w:vAlign w:val="center"/>
            <w:hideMark/>
          </w:tcPr>
          <w:p w14:paraId="1C327EA2"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vnitřní pozemky pro RD</w:t>
            </w:r>
          </w:p>
        </w:tc>
        <w:tc>
          <w:tcPr>
            <w:tcW w:w="950" w:type="dxa"/>
            <w:shd w:val="clear" w:color="auto" w:fill="auto"/>
            <w:noWrap/>
            <w:vAlign w:val="center"/>
            <w:hideMark/>
          </w:tcPr>
          <w:p w14:paraId="5830C86B"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w:t>
            </w:r>
          </w:p>
        </w:tc>
        <w:tc>
          <w:tcPr>
            <w:tcW w:w="1139" w:type="dxa"/>
            <w:shd w:val="clear" w:color="auto" w:fill="auto"/>
            <w:noWrap/>
            <w:vAlign w:val="center"/>
            <w:hideMark/>
          </w:tcPr>
          <w:p w14:paraId="62859A38"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w:t>
            </w:r>
          </w:p>
        </w:tc>
        <w:tc>
          <w:tcPr>
            <w:tcW w:w="2438" w:type="dxa"/>
            <w:shd w:val="clear" w:color="auto" w:fill="auto"/>
            <w:noWrap/>
            <w:vAlign w:val="center"/>
            <w:hideMark/>
          </w:tcPr>
          <w:p w14:paraId="3A7A3F05"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řešeno v rámci urbanistické koncepce ÚP</w:t>
            </w:r>
          </w:p>
        </w:tc>
      </w:tr>
      <w:tr w:rsidR="00CF1108" w:rsidRPr="006070EA" w14:paraId="262C2F41" w14:textId="77777777" w:rsidTr="00A13D9A">
        <w:trPr>
          <w:cantSplit/>
          <w:trHeight w:val="300"/>
          <w:jc w:val="center"/>
        </w:trPr>
        <w:tc>
          <w:tcPr>
            <w:tcW w:w="460" w:type="dxa"/>
            <w:vMerge/>
            <w:vAlign w:val="center"/>
            <w:hideMark/>
          </w:tcPr>
          <w:p w14:paraId="1DDDFB21"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67F7ECBD"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804" w:type="dxa"/>
            <w:shd w:val="clear" w:color="auto" w:fill="auto"/>
            <w:noWrap/>
            <w:vAlign w:val="center"/>
            <w:hideMark/>
          </w:tcPr>
          <w:p w14:paraId="2D420101" w14:textId="6E86F05B" w:rsidR="00CF1108" w:rsidRPr="006070EA" w:rsidRDefault="00112B62"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w:t>
            </w:r>
          </w:p>
        </w:tc>
        <w:tc>
          <w:tcPr>
            <w:tcW w:w="953" w:type="dxa"/>
            <w:shd w:val="clear" w:color="auto" w:fill="auto"/>
            <w:noWrap/>
            <w:vAlign w:val="center"/>
            <w:hideMark/>
          </w:tcPr>
          <w:p w14:paraId="582D3DE2"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Hronětice</w:t>
            </w:r>
          </w:p>
        </w:tc>
        <w:tc>
          <w:tcPr>
            <w:tcW w:w="1417" w:type="dxa"/>
            <w:shd w:val="clear" w:color="auto" w:fill="auto"/>
            <w:noWrap/>
            <w:vAlign w:val="center"/>
            <w:hideMark/>
          </w:tcPr>
          <w:p w14:paraId="5AABDB9F"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vnější pozemky mezi komunikací u křížku a objektem Montamilku k výstavbě RD</w:t>
            </w:r>
          </w:p>
        </w:tc>
        <w:tc>
          <w:tcPr>
            <w:tcW w:w="950" w:type="dxa"/>
            <w:shd w:val="clear" w:color="auto" w:fill="auto"/>
            <w:noWrap/>
            <w:vAlign w:val="center"/>
            <w:hideMark/>
          </w:tcPr>
          <w:p w14:paraId="0E153868"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w:t>
            </w:r>
          </w:p>
        </w:tc>
        <w:tc>
          <w:tcPr>
            <w:tcW w:w="1139" w:type="dxa"/>
            <w:shd w:val="clear" w:color="auto" w:fill="auto"/>
            <w:noWrap/>
            <w:vAlign w:val="center"/>
            <w:hideMark/>
          </w:tcPr>
          <w:p w14:paraId="5F21B8DC"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w:t>
            </w:r>
          </w:p>
        </w:tc>
        <w:tc>
          <w:tcPr>
            <w:tcW w:w="2438" w:type="dxa"/>
            <w:shd w:val="clear" w:color="auto" w:fill="auto"/>
            <w:noWrap/>
            <w:vAlign w:val="center"/>
            <w:hideMark/>
          </w:tcPr>
          <w:p w14:paraId="2BBDA9EA"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řešeno v rámci urbanistické koncepce ÚP</w:t>
            </w:r>
          </w:p>
        </w:tc>
      </w:tr>
      <w:tr w:rsidR="00CF1108" w:rsidRPr="006070EA" w14:paraId="1D26F9BD" w14:textId="77777777" w:rsidTr="00A13D9A">
        <w:trPr>
          <w:cantSplit/>
          <w:trHeight w:val="300"/>
          <w:jc w:val="center"/>
        </w:trPr>
        <w:tc>
          <w:tcPr>
            <w:tcW w:w="460" w:type="dxa"/>
            <w:vMerge/>
            <w:vAlign w:val="center"/>
            <w:hideMark/>
          </w:tcPr>
          <w:p w14:paraId="081DA1C4"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73D384D0"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804" w:type="dxa"/>
            <w:shd w:val="clear" w:color="auto" w:fill="auto"/>
            <w:noWrap/>
            <w:vAlign w:val="center"/>
            <w:hideMark/>
          </w:tcPr>
          <w:p w14:paraId="149B0AA3" w14:textId="49BFCA32" w:rsidR="00CF1108" w:rsidRPr="006070EA" w:rsidRDefault="00112B62"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w:t>
            </w:r>
          </w:p>
        </w:tc>
        <w:tc>
          <w:tcPr>
            <w:tcW w:w="953" w:type="dxa"/>
            <w:shd w:val="clear" w:color="auto" w:fill="auto"/>
            <w:noWrap/>
            <w:vAlign w:val="center"/>
            <w:hideMark/>
          </w:tcPr>
          <w:p w14:paraId="1AF3D86C"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Vápensko</w:t>
            </w:r>
          </w:p>
        </w:tc>
        <w:tc>
          <w:tcPr>
            <w:tcW w:w="1417" w:type="dxa"/>
            <w:shd w:val="clear" w:color="auto" w:fill="auto"/>
            <w:noWrap/>
            <w:vAlign w:val="center"/>
            <w:hideMark/>
          </w:tcPr>
          <w:p w14:paraId="17C26C79" w14:textId="626CBFAF"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pozemek pro výstavbu RD od Hronka k prvnímu domu po pravé straně</w:t>
            </w:r>
          </w:p>
        </w:tc>
        <w:tc>
          <w:tcPr>
            <w:tcW w:w="950" w:type="dxa"/>
            <w:shd w:val="clear" w:color="auto" w:fill="auto"/>
            <w:noWrap/>
            <w:vAlign w:val="center"/>
            <w:hideMark/>
          </w:tcPr>
          <w:p w14:paraId="18C80B24"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w:t>
            </w:r>
          </w:p>
        </w:tc>
        <w:tc>
          <w:tcPr>
            <w:tcW w:w="1139" w:type="dxa"/>
            <w:shd w:val="clear" w:color="auto" w:fill="auto"/>
            <w:noWrap/>
            <w:vAlign w:val="center"/>
            <w:hideMark/>
          </w:tcPr>
          <w:p w14:paraId="4D602BDC"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w:t>
            </w:r>
          </w:p>
        </w:tc>
        <w:tc>
          <w:tcPr>
            <w:tcW w:w="2438" w:type="dxa"/>
            <w:shd w:val="clear" w:color="auto" w:fill="auto"/>
            <w:noWrap/>
            <w:vAlign w:val="center"/>
            <w:hideMark/>
          </w:tcPr>
          <w:p w14:paraId="7D7F7135"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řešeno v rámci urbanistické koncepce ÚP</w:t>
            </w:r>
          </w:p>
        </w:tc>
      </w:tr>
    </w:tbl>
    <w:p w14:paraId="3A409B07" w14:textId="3A629228" w:rsidR="00B651C8" w:rsidRPr="006070EA" w:rsidRDefault="00B651C8" w:rsidP="003A4B1E">
      <w:pPr>
        <w:pStyle w:val="Odstavecseseznamem"/>
        <w:keepNext/>
        <w:numPr>
          <w:ilvl w:val="1"/>
          <w:numId w:val="29"/>
        </w:numPr>
        <w:spacing w:before="160" w:after="120" w:line="240" w:lineRule="auto"/>
        <w:ind w:left="709" w:hanging="709"/>
        <w:contextualSpacing w:val="0"/>
        <w:outlineLvl w:val="1"/>
        <w:rPr>
          <w:rFonts w:asciiTheme="majorHAnsi" w:hAnsiTheme="majorHAnsi" w:cstheme="majorHAnsi"/>
          <w:b/>
          <w:sz w:val="24"/>
          <w:szCs w:val="20"/>
        </w:rPr>
      </w:pPr>
      <w:bookmarkStart w:id="190" w:name="_Toc204678184"/>
      <w:r w:rsidRPr="006070EA">
        <w:rPr>
          <w:rFonts w:asciiTheme="majorHAnsi" w:hAnsiTheme="majorHAnsi" w:cstheme="majorHAnsi"/>
          <w:b/>
          <w:sz w:val="24"/>
          <w:szCs w:val="20"/>
        </w:rPr>
        <w:lastRenderedPageBreak/>
        <w:t>Vyhodnocení potřeby vymezení zastavitelných ploch</w:t>
      </w:r>
      <w:bookmarkEnd w:id="185"/>
      <w:bookmarkEnd w:id="190"/>
      <w:r w:rsidR="009E67BC" w:rsidRPr="006070EA">
        <w:rPr>
          <w:rFonts w:asciiTheme="majorHAnsi" w:hAnsiTheme="majorHAnsi" w:cstheme="majorHAnsi"/>
          <w:b/>
          <w:sz w:val="24"/>
          <w:szCs w:val="20"/>
        </w:rPr>
        <w:t xml:space="preserve"> </w:t>
      </w:r>
    </w:p>
    <w:p w14:paraId="5B883814" w14:textId="77777777" w:rsidR="00BA6341" w:rsidRPr="006070EA" w:rsidRDefault="00BA6341" w:rsidP="002118D2">
      <w:pPr>
        <w:keepNext/>
        <w:keepLines/>
        <w:suppressAutoHyphens/>
        <w:spacing w:before="120" w:after="120" w:line="240" w:lineRule="auto"/>
        <w:jc w:val="both"/>
        <w:rPr>
          <w:rFonts w:asciiTheme="majorHAnsi" w:eastAsia="Calibri" w:hAnsiTheme="majorHAnsi" w:cstheme="majorHAnsi"/>
          <w:b/>
          <w:snapToGrid w:val="0"/>
          <w:sz w:val="20"/>
          <w:szCs w:val="18"/>
          <w:lang w:eastAsia="ar-SA"/>
        </w:rPr>
      </w:pPr>
      <w:r w:rsidRPr="006070EA">
        <w:rPr>
          <w:rFonts w:asciiTheme="majorHAnsi" w:eastAsia="Calibri" w:hAnsiTheme="majorHAnsi" w:cstheme="majorHAnsi"/>
          <w:b/>
          <w:snapToGrid w:val="0"/>
          <w:sz w:val="20"/>
          <w:szCs w:val="18"/>
          <w:lang w:eastAsia="ar-SA"/>
        </w:rPr>
        <w:t xml:space="preserve">Vyhodnocení potřeby vymezení zastavitelných ploch pro bydlení </w:t>
      </w:r>
    </w:p>
    <w:p w14:paraId="13DC3D9F" w14:textId="4CD22D99" w:rsidR="001A3F17" w:rsidRPr="006070EA" w:rsidRDefault="001A3F17" w:rsidP="00417560">
      <w:pPr>
        <w:pStyle w:val="Atext"/>
        <w:keepNext/>
        <w:rPr>
          <w:rFonts w:asciiTheme="majorHAnsi" w:hAnsiTheme="majorHAnsi" w:cstheme="majorHAnsi"/>
          <w:szCs w:val="18"/>
        </w:rPr>
      </w:pPr>
      <w:r w:rsidRPr="006070EA">
        <w:rPr>
          <w:rFonts w:asciiTheme="majorHAnsi" w:hAnsiTheme="majorHAnsi" w:cstheme="majorHAnsi"/>
          <w:szCs w:val="18"/>
        </w:rPr>
        <w:t xml:space="preserve">Předpoklad budoucího rozvoje obce </w:t>
      </w:r>
      <w:r w:rsidR="00417560" w:rsidRPr="006070EA">
        <w:rPr>
          <w:rFonts w:asciiTheme="majorHAnsi" w:hAnsiTheme="majorHAnsi" w:cstheme="majorHAnsi"/>
          <w:szCs w:val="18"/>
        </w:rPr>
        <w:t>–</w:t>
      </w:r>
      <w:r w:rsidRPr="006070EA">
        <w:rPr>
          <w:rFonts w:asciiTheme="majorHAnsi" w:hAnsiTheme="majorHAnsi" w:cstheme="majorHAnsi"/>
          <w:szCs w:val="18"/>
        </w:rPr>
        <w:t xml:space="preserve"> vývoje počtu obyvatel v řešeném území a rozvoje bytového fondu vychází z historického vývoje, výše popsaných dlouhodobých trendů vývoje počtu obyvatel, domů a bytů, dále z požadavků nadřazených dokumentací a podkladů, a také z principů udržitelného rozvoje území. </w:t>
      </w:r>
    </w:p>
    <w:p w14:paraId="0334B4E3" w14:textId="77777777" w:rsidR="001A3F17" w:rsidRPr="006070EA" w:rsidRDefault="001A3F17" w:rsidP="00417560">
      <w:pPr>
        <w:pStyle w:val="Atext"/>
        <w:keepNext/>
        <w:keepLines/>
        <w:rPr>
          <w:rFonts w:asciiTheme="majorHAnsi" w:hAnsiTheme="majorHAnsi" w:cstheme="majorHAnsi"/>
          <w:szCs w:val="18"/>
        </w:rPr>
      </w:pPr>
      <w:r w:rsidRPr="006070EA">
        <w:rPr>
          <w:rFonts w:asciiTheme="majorHAnsi" w:hAnsiTheme="majorHAnsi" w:cstheme="majorHAnsi"/>
          <w:szCs w:val="18"/>
        </w:rPr>
        <w:t xml:space="preserve">Obecnými požadavky na rozvoj sídel z pohledu demografického a sociálního jsou zlepšování kvality bydlení (snižování míry nechtěného soužití, snižování počtu lidí v jedné domácnosti, trend zvětšování obytné plochy apod.), vytvoření minimální nabídky pro novou obytnou výstavbu a vytvoření podmínek pro stabilizaci počtu obyvatel v sídlech (umožnění výstavby pro další generace a pro potenciální nově příchozí obyvatele). </w:t>
      </w:r>
    </w:p>
    <w:p w14:paraId="180C1DD1" w14:textId="14FAC9B9" w:rsidR="001A3F17" w:rsidRPr="006070EA" w:rsidRDefault="001A3F17" w:rsidP="00417560">
      <w:pPr>
        <w:pStyle w:val="Atext"/>
        <w:rPr>
          <w:rFonts w:asciiTheme="majorHAnsi" w:hAnsiTheme="majorHAnsi" w:cstheme="majorHAnsi"/>
          <w:i/>
          <w:szCs w:val="18"/>
        </w:rPr>
      </w:pPr>
      <w:r w:rsidRPr="006070EA">
        <w:rPr>
          <w:rFonts w:asciiTheme="majorHAnsi" w:hAnsiTheme="majorHAnsi" w:cstheme="majorHAnsi"/>
          <w:szCs w:val="18"/>
        </w:rPr>
        <w:t>Z pohledu urbanistického je pak nezbytné zajistit stabilizaci a kontinuální vývoj sídelní a urbanistické struktury, a to zejména v kontextu dosavadní absence zastavitelných ploch pro rozvoj bydlení jako dominantní funkční složky obce. Kromě toho je zohledněna také rozvojová strategie místní samosprávy a požadavky obce a</w:t>
      </w:r>
      <w:r w:rsidR="00BA5A12" w:rsidRPr="006070EA">
        <w:rPr>
          <w:rFonts w:asciiTheme="majorHAnsi" w:hAnsiTheme="majorHAnsi" w:cstheme="majorHAnsi"/>
          <w:szCs w:val="18"/>
        </w:rPr>
        <w:t> </w:t>
      </w:r>
      <w:r w:rsidRPr="006070EA">
        <w:rPr>
          <w:rFonts w:asciiTheme="majorHAnsi" w:hAnsiTheme="majorHAnsi" w:cstheme="majorHAnsi"/>
          <w:szCs w:val="18"/>
        </w:rPr>
        <w:t>soukromých vlastníků na rozvoj území</w:t>
      </w:r>
      <w:r w:rsidR="00417560" w:rsidRPr="006070EA">
        <w:rPr>
          <w:rFonts w:asciiTheme="majorHAnsi" w:hAnsiTheme="majorHAnsi" w:cstheme="majorHAnsi"/>
          <w:szCs w:val="18"/>
        </w:rPr>
        <w:t xml:space="preserve"> (viz kapitola 10.5)</w:t>
      </w:r>
      <w:r w:rsidRPr="006070EA">
        <w:rPr>
          <w:rFonts w:asciiTheme="majorHAnsi" w:hAnsiTheme="majorHAnsi" w:cstheme="majorHAnsi"/>
          <w:szCs w:val="18"/>
        </w:rPr>
        <w:t>.</w:t>
      </w:r>
    </w:p>
    <w:p w14:paraId="23E09AFE" w14:textId="77777777" w:rsidR="00F855CD" w:rsidRPr="006070EA" w:rsidRDefault="00F855CD" w:rsidP="009E07E1">
      <w:pPr>
        <w:pStyle w:val="Mra2-reakceern"/>
        <w:keepNext/>
        <w:pBdr>
          <w:left w:val="none" w:sz="0" w:space="0" w:color="auto"/>
        </w:pBdr>
        <w:spacing w:after="60"/>
        <w:ind w:left="0"/>
        <w:rPr>
          <w:rFonts w:asciiTheme="majorHAnsi" w:hAnsiTheme="majorHAnsi" w:cstheme="majorHAnsi"/>
          <w:b/>
          <w:color w:val="auto"/>
        </w:rPr>
      </w:pPr>
      <w:r w:rsidRPr="006070EA">
        <w:rPr>
          <w:rFonts w:asciiTheme="majorHAnsi" w:hAnsiTheme="majorHAnsi" w:cstheme="majorHAnsi"/>
          <w:b/>
          <w:color w:val="auto"/>
          <w:u w:val="single"/>
        </w:rPr>
        <w:t>Rozsah vymezených zastavitelných ploch pro bydlení vychází zejména z následujících východisek</w:t>
      </w:r>
      <w:r w:rsidRPr="006070EA">
        <w:rPr>
          <w:rFonts w:asciiTheme="majorHAnsi" w:hAnsiTheme="majorHAnsi" w:cstheme="majorHAnsi"/>
          <w:b/>
          <w:color w:val="auto"/>
        </w:rPr>
        <w:t>:</w:t>
      </w:r>
    </w:p>
    <w:p w14:paraId="7AA6D85D" w14:textId="77777777" w:rsidR="00F855CD" w:rsidRPr="006070EA" w:rsidRDefault="00F855CD" w:rsidP="0036779E">
      <w:pPr>
        <w:pStyle w:val="Mra2-reakceern"/>
        <w:keepNext/>
        <w:numPr>
          <w:ilvl w:val="0"/>
          <w:numId w:val="23"/>
        </w:numPr>
        <w:pBdr>
          <w:left w:val="none" w:sz="0" w:space="0" w:color="auto"/>
        </w:pBdr>
        <w:spacing w:before="120" w:after="60"/>
        <w:ind w:left="1066" w:hanging="357"/>
        <w:rPr>
          <w:rFonts w:asciiTheme="majorHAnsi" w:hAnsiTheme="majorHAnsi" w:cstheme="majorHAnsi"/>
          <w:b/>
          <w:color w:val="auto"/>
        </w:rPr>
      </w:pPr>
      <w:r w:rsidRPr="006070EA">
        <w:rPr>
          <w:rFonts w:asciiTheme="majorHAnsi" w:hAnsiTheme="majorHAnsi" w:cstheme="majorHAnsi"/>
          <w:b/>
          <w:color w:val="auto"/>
        </w:rPr>
        <w:t>odborný odhad budoucího demografického vývoje</w:t>
      </w:r>
    </w:p>
    <w:tbl>
      <w:tblPr>
        <w:tblStyle w:val="Mkatabulky"/>
        <w:tblW w:w="0" w:type="auto"/>
        <w:jc w:val="center"/>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4535"/>
        <w:gridCol w:w="2268"/>
      </w:tblGrid>
      <w:tr w:rsidR="0028473C" w:rsidRPr="006070EA" w14:paraId="3A65861B" w14:textId="77777777" w:rsidTr="009D4634">
        <w:trPr>
          <w:jc w:val="center"/>
        </w:trPr>
        <w:tc>
          <w:tcPr>
            <w:tcW w:w="4535" w:type="dxa"/>
            <w:shd w:val="clear" w:color="auto" w:fill="auto"/>
            <w:vAlign w:val="center"/>
          </w:tcPr>
          <w:p w14:paraId="6DC75CAC" w14:textId="3A13A2BE" w:rsidR="00DF5372" w:rsidRPr="006070EA" w:rsidRDefault="00DF5372" w:rsidP="0045067B">
            <w:pPr>
              <w:pStyle w:val="Mra2-reakceern"/>
              <w:pBdr>
                <w:left w:val="none" w:sz="0" w:space="0" w:color="auto"/>
              </w:pBdr>
              <w:ind w:left="0"/>
              <w:jc w:val="left"/>
              <w:rPr>
                <w:rFonts w:asciiTheme="majorHAnsi" w:hAnsiTheme="majorHAnsi" w:cstheme="majorHAnsi"/>
                <w:color w:val="auto"/>
              </w:rPr>
            </w:pPr>
            <w:r w:rsidRPr="006070EA">
              <w:rPr>
                <w:rFonts w:asciiTheme="majorHAnsi" w:hAnsiTheme="majorHAnsi" w:cstheme="majorHAnsi"/>
                <w:color w:val="auto"/>
              </w:rPr>
              <w:t>počet obyvatel v roce 200</w:t>
            </w:r>
            <w:r w:rsidR="00417560" w:rsidRPr="006070EA">
              <w:rPr>
                <w:rFonts w:asciiTheme="majorHAnsi" w:hAnsiTheme="majorHAnsi" w:cstheme="majorHAnsi"/>
                <w:color w:val="auto"/>
              </w:rPr>
              <w:t>6</w:t>
            </w:r>
            <w:r w:rsidRPr="006070EA">
              <w:rPr>
                <w:rFonts w:asciiTheme="majorHAnsi" w:hAnsiTheme="majorHAnsi" w:cstheme="majorHAnsi"/>
                <w:color w:val="auto"/>
              </w:rPr>
              <w:t xml:space="preserve"> (k </w:t>
            </w:r>
            <w:r w:rsidR="00417560" w:rsidRPr="006070EA">
              <w:rPr>
                <w:rFonts w:asciiTheme="majorHAnsi" w:hAnsiTheme="majorHAnsi" w:cstheme="majorHAnsi"/>
                <w:color w:val="auto"/>
              </w:rPr>
              <w:t>3</w:t>
            </w:r>
            <w:r w:rsidRPr="006070EA">
              <w:rPr>
                <w:rFonts w:asciiTheme="majorHAnsi" w:hAnsiTheme="majorHAnsi" w:cstheme="majorHAnsi"/>
                <w:color w:val="auto"/>
              </w:rPr>
              <w:t>1. 1</w:t>
            </w:r>
            <w:r w:rsidR="00417560" w:rsidRPr="006070EA">
              <w:rPr>
                <w:rFonts w:asciiTheme="majorHAnsi" w:hAnsiTheme="majorHAnsi" w:cstheme="majorHAnsi"/>
                <w:color w:val="auto"/>
              </w:rPr>
              <w:t>2</w:t>
            </w:r>
            <w:r w:rsidRPr="006070EA">
              <w:rPr>
                <w:rFonts w:asciiTheme="majorHAnsi" w:hAnsiTheme="majorHAnsi" w:cstheme="majorHAnsi"/>
                <w:color w:val="auto"/>
              </w:rPr>
              <w:t>. dle ČSÚ)</w:t>
            </w:r>
          </w:p>
        </w:tc>
        <w:tc>
          <w:tcPr>
            <w:tcW w:w="2268" w:type="dxa"/>
            <w:vAlign w:val="center"/>
          </w:tcPr>
          <w:p w14:paraId="143B1A1D" w14:textId="0301AB71" w:rsidR="00DF5372" w:rsidRPr="006070EA" w:rsidRDefault="00417560" w:rsidP="009E07E1">
            <w:pPr>
              <w:pStyle w:val="Mra2-reakceern"/>
              <w:pBdr>
                <w:left w:val="none" w:sz="0" w:space="0" w:color="auto"/>
              </w:pBdr>
              <w:ind w:left="0"/>
              <w:jc w:val="center"/>
              <w:rPr>
                <w:rFonts w:asciiTheme="majorHAnsi" w:hAnsiTheme="majorHAnsi" w:cstheme="majorHAnsi"/>
                <w:color w:val="auto"/>
              </w:rPr>
            </w:pPr>
            <w:r w:rsidRPr="006070EA">
              <w:rPr>
                <w:rFonts w:asciiTheme="majorHAnsi" w:hAnsiTheme="majorHAnsi" w:cstheme="majorHAnsi"/>
                <w:color w:val="auto"/>
              </w:rPr>
              <w:t>1 652</w:t>
            </w:r>
          </w:p>
        </w:tc>
      </w:tr>
      <w:tr w:rsidR="0028473C" w:rsidRPr="006070EA" w14:paraId="2945DF8F" w14:textId="77777777" w:rsidTr="009D4634">
        <w:trPr>
          <w:jc w:val="center"/>
        </w:trPr>
        <w:tc>
          <w:tcPr>
            <w:tcW w:w="4535" w:type="dxa"/>
            <w:shd w:val="clear" w:color="auto" w:fill="auto"/>
            <w:vAlign w:val="center"/>
          </w:tcPr>
          <w:p w14:paraId="63D67CCB" w14:textId="0EF407E5" w:rsidR="0045067B" w:rsidRPr="006070EA" w:rsidRDefault="0045067B" w:rsidP="0045067B">
            <w:pPr>
              <w:pStyle w:val="Mra2-reakceern"/>
              <w:pBdr>
                <w:left w:val="none" w:sz="0" w:space="0" w:color="auto"/>
              </w:pBdr>
              <w:ind w:left="0"/>
              <w:jc w:val="left"/>
              <w:rPr>
                <w:rFonts w:asciiTheme="majorHAnsi" w:hAnsiTheme="majorHAnsi" w:cstheme="majorHAnsi"/>
                <w:color w:val="auto"/>
              </w:rPr>
            </w:pPr>
            <w:r w:rsidRPr="006070EA">
              <w:rPr>
                <w:rFonts w:asciiTheme="majorHAnsi" w:hAnsiTheme="majorHAnsi" w:cstheme="majorHAnsi"/>
                <w:color w:val="auto"/>
              </w:rPr>
              <w:t>počet obyvatel v roce 201</w:t>
            </w:r>
            <w:r w:rsidR="00417560" w:rsidRPr="006070EA">
              <w:rPr>
                <w:rFonts w:asciiTheme="majorHAnsi" w:hAnsiTheme="majorHAnsi" w:cstheme="majorHAnsi"/>
                <w:color w:val="auto"/>
              </w:rPr>
              <w:t>1</w:t>
            </w:r>
            <w:r w:rsidRPr="006070EA">
              <w:rPr>
                <w:rFonts w:asciiTheme="majorHAnsi" w:hAnsiTheme="majorHAnsi" w:cstheme="majorHAnsi"/>
                <w:color w:val="auto"/>
              </w:rPr>
              <w:t xml:space="preserve"> (k </w:t>
            </w:r>
            <w:r w:rsidR="00417560" w:rsidRPr="006070EA">
              <w:rPr>
                <w:rFonts w:asciiTheme="majorHAnsi" w:hAnsiTheme="majorHAnsi" w:cstheme="majorHAnsi"/>
                <w:color w:val="auto"/>
              </w:rPr>
              <w:t>3</w:t>
            </w:r>
            <w:r w:rsidRPr="006070EA">
              <w:rPr>
                <w:rFonts w:asciiTheme="majorHAnsi" w:hAnsiTheme="majorHAnsi" w:cstheme="majorHAnsi"/>
                <w:color w:val="auto"/>
              </w:rPr>
              <w:t>1. 1</w:t>
            </w:r>
            <w:r w:rsidR="00417560" w:rsidRPr="006070EA">
              <w:rPr>
                <w:rFonts w:asciiTheme="majorHAnsi" w:hAnsiTheme="majorHAnsi" w:cstheme="majorHAnsi"/>
                <w:color w:val="auto"/>
              </w:rPr>
              <w:t>2</w:t>
            </w:r>
            <w:r w:rsidRPr="006070EA">
              <w:rPr>
                <w:rFonts w:asciiTheme="majorHAnsi" w:hAnsiTheme="majorHAnsi" w:cstheme="majorHAnsi"/>
                <w:color w:val="auto"/>
              </w:rPr>
              <w:t>. dle ČSÚ)</w:t>
            </w:r>
          </w:p>
        </w:tc>
        <w:tc>
          <w:tcPr>
            <w:tcW w:w="2268" w:type="dxa"/>
            <w:vAlign w:val="center"/>
          </w:tcPr>
          <w:p w14:paraId="367E606C" w14:textId="3C352738" w:rsidR="0045067B" w:rsidRPr="006070EA" w:rsidRDefault="00417560" w:rsidP="0045067B">
            <w:pPr>
              <w:pStyle w:val="Mra2-reakceern"/>
              <w:pBdr>
                <w:left w:val="none" w:sz="0" w:space="0" w:color="auto"/>
              </w:pBdr>
              <w:ind w:left="0"/>
              <w:jc w:val="center"/>
              <w:rPr>
                <w:rFonts w:asciiTheme="majorHAnsi" w:hAnsiTheme="majorHAnsi" w:cstheme="majorHAnsi"/>
                <w:color w:val="auto"/>
              </w:rPr>
            </w:pPr>
            <w:r w:rsidRPr="006070EA">
              <w:rPr>
                <w:rFonts w:asciiTheme="majorHAnsi" w:hAnsiTheme="majorHAnsi" w:cstheme="majorHAnsi"/>
                <w:color w:val="auto"/>
              </w:rPr>
              <w:t>1 777</w:t>
            </w:r>
          </w:p>
        </w:tc>
      </w:tr>
      <w:tr w:rsidR="0028473C" w:rsidRPr="006070EA" w14:paraId="1E6ED75F" w14:textId="77777777" w:rsidTr="009D4634">
        <w:trPr>
          <w:jc w:val="center"/>
        </w:trPr>
        <w:tc>
          <w:tcPr>
            <w:tcW w:w="4535" w:type="dxa"/>
            <w:shd w:val="clear" w:color="auto" w:fill="auto"/>
            <w:vAlign w:val="center"/>
          </w:tcPr>
          <w:p w14:paraId="789E3FFF" w14:textId="52F32121" w:rsidR="0045067B" w:rsidRPr="006070EA" w:rsidRDefault="0045067B" w:rsidP="0045067B">
            <w:pPr>
              <w:pStyle w:val="Mra2-reakceern"/>
              <w:pBdr>
                <w:left w:val="none" w:sz="0" w:space="0" w:color="auto"/>
              </w:pBdr>
              <w:ind w:left="0"/>
              <w:jc w:val="left"/>
              <w:rPr>
                <w:rFonts w:asciiTheme="majorHAnsi" w:hAnsiTheme="majorHAnsi" w:cstheme="majorHAnsi"/>
                <w:color w:val="auto"/>
              </w:rPr>
            </w:pPr>
            <w:r w:rsidRPr="006070EA">
              <w:rPr>
                <w:rFonts w:asciiTheme="majorHAnsi" w:hAnsiTheme="majorHAnsi" w:cstheme="majorHAnsi"/>
                <w:color w:val="auto"/>
              </w:rPr>
              <w:t>počet obyvatel v roce 201</w:t>
            </w:r>
            <w:r w:rsidR="00417560" w:rsidRPr="006070EA">
              <w:rPr>
                <w:rFonts w:asciiTheme="majorHAnsi" w:hAnsiTheme="majorHAnsi" w:cstheme="majorHAnsi"/>
                <w:color w:val="auto"/>
              </w:rPr>
              <w:t>6</w:t>
            </w:r>
            <w:r w:rsidRPr="006070EA">
              <w:rPr>
                <w:rFonts w:asciiTheme="majorHAnsi" w:hAnsiTheme="majorHAnsi" w:cstheme="majorHAnsi"/>
                <w:color w:val="auto"/>
              </w:rPr>
              <w:t xml:space="preserve"> (k </w:t>
            </w:r>
            <w:r w:rsidR="00417560" w:rsidRPr="006070EA">
              <w:rPr>
                <w:rFonts w:asciiTheme="majorHAnsi" w:hAnsiTheme="majorHAnsi" w:cstheme="majorHAnsi"/>
                <w:color w:val="auto"/>
              </w:rPr>
              <w:t>3</w:t>
            </w:r>
            <w:r w:rsidRPr="006070EA">
              <w:rPr>
                <w:rFonts w:asciiTheme="majorHAnsi" w:hAnsiTheme="majorHAnsi" w:cstheme="majorHAnsi"/>
                <w:color w:val="auto"/>
              </w:rPr>
              <w:t>1. 1</w:t>
            </w:r>
            <w:r w:rsidR="00417560" w:rsidRPr="006070EA">
              <w:rPr>
                <w:rFonts w:asciiTheme="majorHAnsi" w:hAnsiTheme="majorHAnsi" w:cstheme="majorHAnsi"/>
                <w:color w:val="auto"/>
              </w:rPr>
              <w:t>2</w:t>
            </w:r>
            <w:r w:rsidRPr="006070EA">
              <w:rPr>
                <w:rFonts w:asciiTheme="majorHAnsi" w:hAnsiTheme="majorHAnsi" w:cstheme="majorHAnsi"/>
                <w:color w:val="auto"/>
              </w:rPr>
              <w:t>. dle ČSÚ)</w:t>
            </w:r>
          </w:p>
        </w:tc>
        <w:tc>
          <w:tcPr>
            <w:tcW w:w="2268" w:type="dxa"/>
            <w:vAlign w:val="center"/>
          </w:tcPr>
          <w:p w14:paraId="6A0A0BAD" w14:textId="619D193B" w:rsidR="0045067B" w:rsidRPr="006070EA" w:rsidRDefault="00417560" w:rsidP="0045067B">
            <w:pPr>
              <w:pStyle w:val="Mra2-reakceern"/>
              <w:pBdr>
                <w:left w:val="none" w:sz="0" w:space="0" w:color="auto"/>
              </w:pBdr>
              <w:ind w:left="0"/>
              <w:jc w:val="center"/>
              <w:rPr>
                <w:rFonts w:asciiTheme="majorHAnsi" w:hAnsiTheme="majorHAnsi" w:cstheme="majorHAnsi"/>
                <w:color w:val="auto"/>
              </w:rPr>
            </w:pPr>
            <w:r w:rsidRPr="006070EA">
              <w:rPr>
                <w:rFonts w:asciiTheme="majorHAnsi" w:hAnsiTheme="majorHAnsi" w:cstheme="majorHAnsi"/>
                <w:color w:val="auto"/>
              </w:rPr>
              <w:t>1 838</w:t>
            </w:r>
          </w:p>
        </w:tc>
      </w:tr>
      <w:tr w:rsidR="00417560" w:rsidRPr="006070EA" w14:paraId="76C86090" w14:textId="77777777" w:rsidTr="009D4634">
        <w:trPr>
          <w:jc w:val="center"/>
        </w:trPr>
        <w:tc>
          <w:tcPr>
            <w:tcW w:w="4535" w:type="dxa"/>
            <w:shd w:val="clear" w:color="auto" w:fill="auto"/>
            <w:vAlign w:val="center"/>
          </w:tcPr>
          <w:p w14:paraId="09195D54" w14:textId="66E8B754" w:rsidR="00417560" w:rsidRPr="006070EA" w:rsidRDefault="00417560" w:rsidP="0045067B">
            <w:pPr>
              <w:pStyle w:val="Mra2-reakceern"/>
              <w:pBdr>
                <w:left w:val="none" w:sz="0" w:space="0" w:color="auto"/>
              </w:pBdr>
              <w:ind w:left="0"/>
              <w:jc w:val="left"/>
              <w:rPr>
                <w:rFonts w:asciiTheme="majorHAnsi" w:hAnsiTheme="majorHAnsi" w:cstheme="majorHAnsi"/>
                <w:color w:val="auto"/>
              </w:rPr>
            </w:pPr>
            <w:r w:rsidRPr="006070EA">
              <w:rPr>
                <w:rFonts w:asciiTheme="majorHAnsi" w:hAnsiTheme="majorHAnsi" w:cstheme="majorHAnsi"/>
                <w:color w:val="auto"/>
              </w:rPr>
              <w:t>počet obyvatel v roce 2021 (k 31. 12. dle ČSÚ)</w:t>
            </w:r>
          </w:p>
        </w:tc>
        <w:tc>
          <w:tcPr>
            <w:tcW w:w="2268" w:type="dxa"/>
            <w:vAlign w:val="center"/>
          </w:tcPr>
          <w:p w14:paraId="2D1E1996" w14:textId="2C83A08F" w:rsidR="00417560" w:rsidRPr="006070EA" w:rsidRDefault="00417560" w:rsidP="0045067B">
            <w:pPr>
              <w:pStyle w:val="Mra2-reakceern"/>
              <w:pBdr>
                <w:left w:val="none" w:sz="0" w:space="0" w:color="auto"/>
              </w:pBdr>
              <w:ind w:left="0"/>
              <w:jc w:val="center"/>
              <w:rPr>
                <w:rFonts w:asciiTheme="majorHAnsi" w:hAnsiTheme="majorHAnsi" w:cstheme="majorHAnsi"/>
                <w:color w:val="auto"/>
              </w:rPr>
            </w:pPr>
            <w:r w:rsidRPr="006070EA">
              <w:rPr>
                <w:rFonts w:asciiTheme="majorHAnsi" w:hAnsiTheme="majorHAnsi" w:cstheme="majorHAnsi"/>
                <w:color w:val="auto"/>
              </w:rPr>
              <w:t>1 885</w:t>
            </w:r>
          </w:p>
        </w:tc>
      </w:tr>
      <w:tr w:rsidR="0028473C" w:rsidRPr="006070EA" w14:paraId="333287E4" w14:textId="77777777" w:rsidTr="009D4634">
        <w:trPr>
          <w:jc w:val="center"/>
        </w:trPr>
        <w:tc>
          <w:tcPr>
            <w:tcW w:w="4535" w:type="dxa"/>
            <w:shd w:val="clear" w:color="auto" w:fill="auto"/>
            <w:vAlign w:val="center"/>
          </w:tcPr>
          <w:p w14:paraId="1D492417" w14:textId="323B7550" w:rsidR="0045067B" w:rsidRPr="006070EA" w:rsidRDefault="0045067B" w:rsidP="0045067B">
            <w:pPr>
              <w:pStyle w:val="Mra2-reakceern"/>
              <w:pBdr>
                <w:left w:val="none" w:sz="0" w:space="0" w:color="auto"/>
              </w:pBdr>
              <w:ind w:left="0"/>
              <w:jc w:val="left"/>
              <w:rPr>
                <w:rFonts w:asciiTheme="majorHAnsi" w:hAnsiTheme="majorHAnsi" w:cstheme="majorHAnsi"/>
                <w:b/>
                <w:color w:val="auto"/>
              </w:rPr>
            </w:pPr>
            <w:r w:rsidRPr="006070EA">
              <w:rPr>
                <w:rFonts w:asciiTheme="majorHAnsi" w:hAnsiTheme="majorHAnsi" w:cstheme="majorHAnsi"/>
                <w:b/>
                <w:color w:val="auto"/>
              </w:rPr>
              <w:t>průměrný roční přírůstek mezi lety 200</w:t>
            </w:r>
            <w:r w:rsidR="00417560" w:rsidRPr="006070EA">
              <w:rPr>
                <w:rFonts w:asciiTheme="majorHAnsi" w:hAnsiTheme="majorHAnsi" w:cstheme="majorHAnsi"/>
                <w:b/>
                <w:color w:val="auto"/>
              </w:rPr>
              <w:t>6</w:t>
            </w:r>
            <w:r w:rsidRPr="006070EA">
              <w:rPr>
                <w:rFonts w:asciiTheme="majorHAnsi" w:hAnsiTheme="majorHAnsi" w:cstheme="majorHAnsi"/>
                <w:b/>
                <w:color w:val="auto"/>
              </w:rPr>
              <w:t>–201</w:t>
            </w:r>
            <w:r w:rsidR="00417560" w:rsidRPr="006070EA">
              <w:rPr>
                <w:rFonts w:asciiTheme="majorHAnsi" w:hAnsiTheme="majorHAnsi" w:cstheme="majorHAnsi"/>
                <w:b/>
                <w:color w:val="auto"/>
              </w:rPr>
              <w:t>1</w:t>
            </w:r>
          </w:p>
        </w:tc>
        <w:tc>
          <w:tcPr>
            <w:tcW w:w="2268" w:type="dxa"/>
            <w:vAlign w:val="center"/>
          </w:tcPr>
          <w:p w14:paraId="19FA5243" w14:textId="5FB0701B" w:rsidR="0045067B" w:rsidRPr="006070EA" w:rsidRDefault="00417560" w:rsidP="0045067B">
            <w:pPr>
              <w:pStyle w:val="Mra2-reakceern"/>
              <w:pBdr>
                <w:left w:val="none" w:sz="0" w:space="0" w:color="auto"/>
              </w:pBdr>
              <w:ind w:left="0"/>
              <w:jc w:val="center"/>
              <w:rPr>
                <w:rFonts w:asciiTheme="majorHAnsi" w:hAnsiTheme="majorHAnsi" w:cstheme="majorHAnsi"/>
                <w:b/>
                <w:color w:val="auto"/>
              </w:rPr>
            </w:pPr>
            <w:r w:rsidRPr="006070EA">
              <w:rPr>
                <w:rFonts w:asciiTheme="majorHAnsi" w:hAnsiTheme="majorHAnsi" w:cstheme="majorHAnsi"/>
                <w:b/>
                <w:color w:val="auto"/>
              </w:rPr>
              <w:t>25</w:t>
            </w:r>
          </w:p>
        </w:tc>
      </w:tr>
      <w:tr w:rsidR="00417560" w:rsidRPr="006070EA" w14:paraId="72D21D93" w14:textId="77777777" w:rsidTr="009D4634">
        <w:trPr>
          <w:jc w:val="center"/>
        </w:trPr>
        <w:tc>
          <w:tcPr>
            <w:tcW w:w="4535" w:type="dxa"/>
            <w:shd w:val="clear" w:color="auto" w:fill="auto"/>
            <w:vAlign w:val="center"/>
          </w:tcPr>
          <w:p w14:paraId="2607408D" w14:textId="4441D9F6" w:rsidR="00417560" w:rsidRPr="006070EA" w:rsidRDefault="00417560" w:rsidP="0045067B">
            <w:pPr>
              <w:pStyle w:val="Mra2-reakceern"/>
              <w:pBdr>
                <w:left w:val="none" w:sz="0" w:space="0" w:color="auto"/>
              </w:pBdr>
              <w:ind w:left="0"/>
              <w:jc w:val="left"/>
              <w:rPr>
                <w:rFonts w:asciiTheme="majorHAnsi" w:hAnsiTheme="majorHAnsi" w:cstheme="majorHAnsi"/>
                <w:b/>
                <w:color w:val="auto"/>
              </w:rPr>
            </w:pPr>
            <w:r w:rsidRPr="006070EA">
              <w:rPr>
                <w:rFonts w:asciiTheme="majorHAnsi" w:hAnsiTheme="majorHAnsi" w:cstheme="majorHAnsi"/>
                <w:b/>
                <w:color w:val="auto"/>
              </w:rPr>
              <w:t>průměrný roční přírůstek mezi lety 2011–2016</w:t>
            </w:r>
          </w:p>
        </w:tc>
        <w:tc>
          <w:tcPr>
            <w:tcW w:w="2268" w:type="dxa"/>
            <w:vAlign w:val="center"/>
          </w:tcPr>
          <w:p w14:paraId="7F441B24" w14:textId="735CB31C" w:rsidR="00417560" w:rsidRPr="006070EA" w:rsidRDefault="00417560" w:rsidP="0045067B">
            <w:pPr>
              <w:pStyle w:val="Mra2-reakceern"/>
              <w:pBdr>
                <w:left w:val="none" w:sz="0" w:space="0" w:color="auto"/>
              </w:pBdr>
              <w:ind w:left="0"/>
              <w:jc w:val="center"/>
              <w:rPr>
                <w:rFonts w:asciiTheme="majorHAnsi" w:hAnsiTheme="majorHAnsi" w:cstheme="majorHAnsi"/>
                <w:b/>
                <w:color w:val="auto"/>
              </w:rPr>
            </w:pPr>
            <w:r w:rsidRPr="006070EA">
              <w:rPr>
                <w:rFonts w:asciiTheme="majorHAnsi" w:hAnsiTheme="majorHAnsi" w:cstheme="majorHAnsi"/>
                <w:b/>
                <w:color w:val="auto"/>
              </w:rPr>
              <w:t>13</w:t>
            </w:r>
          </w:p>
        </w:tc>
      </w:tr>
      <w:tr w:rsidR="0028473C" w:rsidRPr="006070EA" w14:paraId="10D47AE3" w14:textId="77777777" w:rsidTr="009D4634">
        <w:trPr>
          <w:jc w:val="center"/>
        </w:trPr>
        <w:tc>
          <w:tcPr>
            <w:tcW w:w="4535" w:type="dxa"/>
            <w:shd w:val="clear" w:color="auto" w:fill="auto"/>
            <w:vAlign w:val="center"/>
          </w:tcPr>
          <w:p w14:paraId="34940E78" w14:textId="37653EC7" w:rsidR="0045067B" w:rsidRPr="006070EA" w:rsidRDefault="0045067B" w:rsidP="0045067B">
            <w:pPr>
              <w:pStyle w:val="Mra2-reakceern"/>
              <w:pBdr>
                <w:left w:val="none" w:sz="0" w:space="0" w:color="auto"/>
              </w:pBdr>
              <w:ind w:left="0"/>
              <w:jc w:val="left"/>
              <w:rPr>
                <w:rFonts w:asciiTheme="majorHAnsi" w:hAnsiTheme="majorHAnsi" w:cstheme="majorHAnsi"/>
                <w:b/>
                <w:color w:val="auto"/>
              </w:rPr>
            </w:pPr>
            <w:r w:rsidRPr="006070EA">
              <w:rPr>
                <w:rFonts w:asciiTheme="majorHAnsi" w:hAnsiTheme="majorHAnsi" w:cstheme="majorHAnsi"/>
                <w:b/>
                <w:color w:val="auto"/>
              </w:rPr>
              <w:t>průměrný roční přírůstek mezi lety 201</w:t>
            </w:r>
            <w:r w:rsidR="00417560" w:rsidRPr="006070EA">
              <w:rPr>
                <w:rFonts w:asciiTheme="majorHAnsi" w:hAnsiTheme="majorHAnsi" w:cstheme="majorHAnsi"/>
                <w:b/>
                <w:color w:val="auto"/>
              </w:rPr>
              <w:t>6</w:t>
            </w:r>
            <w:r w:rsidRPr="006070EA">
              <w:rPr>
                <w:rFonts w:asciiTheme="majorHAnsi" w:hAnsiTheme="majorHAnsi" w:cstheme="majorHAnsi"/>
                <w:b/>
                <w:color w:val="auto"/>
              </w:rPr>
              <w:t>–20</w:t>
            </w:r>
            <w:r w:rsidR="00417560" w:rsidRPr="006070EA">
              <w:rPr>
                <w:rFonts w:asciiTheme="majorHAnsi" w:hAnsiTheme="majorHAnsi" w:cstheme="majorHAnsi"/>
                <w:b/>
                <w:color w:val="auto"/>
              </w:rPr>
              <w:t>21</w:t>
            </w:r>
          </w:p>
        </w:tc>
        <w:tc>
          <w:tcPr>
            <w:tcW w:w="2268" w:type="dxa"/>
            <w:vAlign w:val="center"/>
          </w:tcPr>
          <w:p w14:paraId="2EFBE6DD" w14:textId="4CEF9BF7" w:rsidR="0045067B" w:rsidRPr="006070EA" w:rsidRDefault="00417560" w:rsidP="0045067B">
            <w:pPr>
              <w:pStyle w:val="Mra2-reakceern"/>
              <w:pBdr>
                <w:left w:val="none" w:sz="0" w:space="0" w:color="auto"/>
              </w:pBdr>
              <w:ind w:left="0"/>
              <w:jc w:val="center"/>
              <w:rPr>
                <w:rFonts w:asciiTheme="majorHAnsi" w:hAnsiTheme="majorHAnsi" w:cstheme="majorHAnsi"/>
                <w:b/>
                <w:color w:val="auto"/>
              </w:rPr>
            </w:pPr>
            <w:r w:rsidRPr="006070EA">
              <w:rPr>
                <w:rFonts w:asciiTheme="majorHAnsi" w:hAnsiTheme="majorHAnsi" w:cstheme="majorHAnsi"/>
                <w:b/>
                <w:color w:val="auto"/>
              </w:rPr>
              <w:t>10</w:t>
            </w:r>
          </w:p>
        </w:tc>
      </w:tr>
    </w:tbl>
    <w:p w14:paraId="427B1EB2" w14:textId="5B0A6660" w:rsidR="00DF5372" w:rsidRPr="006070EA" w:rsidRDefault="00DF5372" w:rsidP="009E07E1">
      <w:pPr>
        <w:pStyle w:val="Mra2-reakceern"/>
        <w:pBdr>
          <w:left w:val="none" w:sz="0" w:space="0" w:color="auto"/>
        </w:pBdr>
        <w:spacing w:before="60" w:after="60"/>
        <w:rPr>
          <w:rFonts w:asciiTheme="majorHAnsi" w:hAnsiTheme="majorHAnsi" w:cstheme="majorHAnsi"/>
          <w:i/>
          <w:color w:val="auto"/>
        </w:rPr>
      </w:pPr>
      <w:r w:rsidRPr="006070EA">
        <w:rPr>
          <w:rFonts w:asciiTheme="majorHAnsi" w:hAnsiTheme="majorHAnsi" w:cstheme="majorHAnsi"/>
          <w:i/>
          <w:color w:val="auto"/>
        </w:rPr>
        <w:t>Za předpokladu setrvání pozitivního demografického vývoje a s ohledem na současný trend návratu obyvatel do menších nestřediskových obcí se základní občanskou vybaveností, dobrou dopravní dostupností, umístěných v dojezdové vzdálenosti spádových center, územní plán očekává do roku 203</w:t>
      </w:r>
      <w:r w:rsidR="0045067B" w:rsidRPr="006070EA">
        <w:rPr>
          <w:rFonts w:asciiTheme="majorHAnsi" w:hAnsiTheme="majorHAnsi" w:cstheme="majorHAnsi"/>
          <w:i/>
          <w:color w:val="auto"/>
        </w:rPr>
        <w:t>5</w:t>
      </w:r>
      <w:r w:rsidRPr="006070EA">
        <w:rPr>
          <w:rFonts w:asciiTheme="majorHAnsi" w:hAnsiTheme="majorHAnsi" w:cstheme="majorHAnsi"/>
          <w:i/>
          <w:color w:val="auto"/>
        </w:rPr>
        <w:t xml:space="preserve"> demografický nárůst o cca </w:t>
      </w:r>
      <w:r w:rsidR="0045067B" w:rsidRPr="006070EA">
        <w:rPr>
          <w:rFonts w:asciiTheme="majorHAnsi" w:hAnsiTheme="majorHAnsi" w:cstheme="majorHAnsi"/>
          <w:i/>
          <w:color w:val="auto"/>
        </w:rPr>
        <w:t>1</w:t>
      </w:r>
      <w:r w:rsidR="0028473C" w:rsidRPr="006070EA">
        <w:rPr>
          <w:rFonts w:asciiTheme="majorHAnsi" w:hAnsiTheme="majorHAnsi" w:cstheme="majorHAnsi"/>
          <w:i/>
          <w:color w:val="auto"/>
        </w:rPr>
        <w:t>50</w:t>
      </w:r>
      <w:r w:rsidRPr="006070EA">
        <w:rPr>
          <w:rFonts w:asciiTheme="majorHAnsi" w:hAnsiTheme="majorHAnsi" w:cstheme="majorHAnsi"/>
          <w:i/>
          <w:color w:val="auto"/>
        </w:rPr>
        <w:t xml:space="preserve"> obyvatel.</w:t>
      </w:r>
    </w:p>
    <w:tbl>
      <w:tblPr>
        <w:tblStyle w:val="Mkatabulky"/>
        <w:tblW w:w="0" w:type="auto"/>
        <w:jc w:val="center"/>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701"/>
        <w:gridCol w:w="3402"/>
        <w:gridCol w:w="1134"/>
      </w:tblGrid>
      <w:tr w:rsidR="0028473C" w:rsidRPr="006070EA" w14:paraId="62706CA9" w14:textId="77777777" w:rsidTr="00DF5372">
        <w:trPr>
          <w:jc w:val="center"/>
        </w:trPr>
        <w:tc>
          <w:tcPr>
            <w:tcW w:w="1701" w:type="dxa"/>
            <w:vMerge w:val="restart"/>
            <w:shd w:val="clear" w:color="auto" w:fill="auto"/>
            <w:vAlign w:val="center"/>
          </w:tcPr>
          <w:p w14:paraId="08557067" w14:textId="77777777" w:rsidR="00DF5372" w:rsidRPr="006070EA" w:rsidRDefault="00DF5372" w:rsidP="0045067B">
            <w:pPr>
              <w:pStyle w:val="Mra2-reakceern"/>
              <w:pBdr>
                <w:left w:val="none" w:sz="0" w:space="0" w:color="auto"/>
              </w:pBdr>
              <w:ind w:left="0"/>
              <w:jc w:val="left"/>
              <w:rPr>
                <w:rFonts w:asciiTheme="majorHAnsi" w:hAnsiTheme="majorHAnsi" w:cstheme="majorHAnsi"/>
                <w:b/>
                <w:color w:val="auto"/>
              </w:rPr>
            </w:pPr>
            <w:r w:rsidRPr="006070EA">
              <w:rPr>
                <w:rFonts w:asciiTheme="majorHAnsi" w:hAnsiTheme="majorHAnsi" w:cstheme="majorHAnsi"/>
                <w:b/>
                <w:color w:val="auto"/>
              </w:rPr>
              <w:t>k roku 203</w:t>
            </w:r>
            <w:r w:rsidR="0045067B" w:rsidRPr="006070EA">
              <w:rPr>
                <w:rFonts w:asciiTheme="majorHAnsi" w:hAnsiTheme="majorHAnsi" w:cstheme="majorHAnsi"/>
                <w:b/>
                <w:color w:val="auto"/>
              </w:rPr>
              <w:t>5</w:t>
            </w:r>
          </w:p>
        </w:tc>
        <w:tc>
          <w:tcPr>
            <w:tcW w:w="3402" w:type="dxa"/>
            <w:vAlign w:val="center"/>
          </w:tcPr>
          <w:p w14:paraId="50C5DBCF" w14:textId="77777777" w:rsidR="00DF5372" w:rsidRPr="006070EA" w:rsidRDefault="00DF5372" w:rsidP="009E07E1">
            <w:pPr>
              <w:pStyle w:val="Mra2-reakceern"/>
              <w:pBdr>
                <w:left w:val="none" w:sz="0" w:space="0" w:color="auto"/>
              </w:pBdr>
              <w:ind w:left="0"/>
              <w:jc w:val="left"/>
              <w:rPr>
                <w:rFonts w:asciiTheme="majorHAnsi" w:hAnsiTheme="majorHAnsi" w:cstheme="majorHAnsi"/>
                <w:color w:val="auto"/>
              </w:rPr>
            </w:pPr>
            <w:r w:rsidRPr="006070EA">
              <w:rPr>
                <w:rFonts w:asciiTheme="majorHAnsi" w:hAnsiTheme="majorHAnsi" w:cstheme="majorHAnsi"/>
                <w:color w:val="auto"/>
              </w:rPr>
              <w:t>Celkový přírůstek obyvatel</w:t>
            </w:r>
          </w:p>
        </w:tc>
        <w:tc>
          <w:tcPr>
            <w:tcW w:w="1134" w:type="dxa"/>
            <w:vAlign w:val="center"/>
          </w:tcPr>
          <w:p w14:paraId="518E7D79" w14:textId="5940FE82" w:rsidR="00DF5372" w:rsidRPr="006070EA" w:rsidRDefault="0028473C" w:rsidP="009E07E1">
            <w:pPr>
              <w:pStyle w:val="Mra2-reakceern"/>
              <w:pBdr>
                <w:left w:val="none" w:sz="0" w:space="0" w:color="auto"/>
              </w:pBdr>
              <w:ind w:left="0"/>
              <w:jc w:val="center"/>
              <w:rPr>
                <w:rFonts w:asciiTheme="majorHAnsi" w:hAnsiTheme="majorHAnsi" w:cstheme="majorHAnsi"/>
                <w:color w:val="auto"/>
              </w:rPr>
            </w:pPr>
            <w:r w:rsidRPr="006070EA">
              <w:rPr>
                <w:rFonts w:asciiTheme="majorHAnsi" w:hAnsiTheme="majorHAnsi" w:cstheme="majorHAnsi"/>
                <w:color w:val="auto"/>
              </w:rPr>
              <w:t>154</w:t>
            </w:r>
          </w:p>
        </w:tc>
      </w:tr>
      <w:tr w:rsidR="0028473C" w:rsidRPr="006070EA" w14:paraId="0E1D02FE" w14:textId="77777777" w:rsidTr="00DF5372">
        <w:trPr>
          <w:jc w:val="center"/>
        </w:trPr>
        <w:tc>
          <w:tcPr>
            <w:tcW w:w="1701" w:type="dxa"/>
            <w:vMerge/>
            <w:shd w:val="clear" w:color="auto" w:fill="auto"/>
            <w:vAlign w:val="center"/>
          </w:tcPr>
          <w:p w14:paraId="0E058A35" w14:textId="77777777" w:rsidR="00DF5372" w:rsidRPr="006070EA" w:rsidRDefault="00DF5372" w:rsidP="009E07E1">
            <w:pPr>
              <w:pStyle w:val="Mra2-reakceern"/>
              <w:pBdr>
                <w:left w:val="none" w:sz="0" w:space="0" w:color="auto"/>
              </w:pBdr>
              <w:ind w:left="0"/>
              <w:jc w:val="left"/>
              <w:rPr>
                <w:rFonts w:asciiTheme="majorHAnsi" w:hAnsiTheme="majorHAnsi" w:cstheme="majorHAnsi"/>
                <w:color w:val="auto"/>
              </w:rPr>
            </w:pPr>
          </w:p>
        </w:tc>
        <w:tc>
          <w:tcPr>
            <w:tcW w:w="3402" w:type="dxa"/>
            <w:vAlign w:val="center"/>
          </w:tcPr>
          <w:p w14:paraId="0593BB92" w14:textId="77777777" w:rsidR="00DF5372" w:rsidRPr="006070EA" w:rsidRDefault="00DF5372" w:rsidP="009E07E1">
            <w:pPr>
              <w:pStyle w:val="Mra2-reakceern"/>
              <w:pBdr>
                <w:left w:val="none" w:sz="0" w:space="0" w:color="auto"/>
              </w:pBdr>
              <w:ind w:left="0"/>
              <w:jc w:val="left"/>
              <w:rPr>
                <w:rFonts w:asciiTheme="majorHAnsi" w:hAnsiTheme="majorHAnsi" w:cstheme="majorHAnsi"/>
                <w:b/>
                <w:color w:val="auto"/>
              </w:rPr>
            </w:pPr>
            <w:r w:rsidRPr="006070EA">
              <w:rPr>
                <w:rFonts w:asciiTheme="majorHAnsi" w:hAnsiTheme="majorHAnsi" w:cstheme="majorHAnsi"/>
                <w:b/>
                <w:color w:val="auto"/>
              </w:rPr>
              <w:t>Odhadovaný počet obyvatel celkem</w:t>
            </w:r>
          </w:p>
        </w:tc>
        <w:tc>
          <w:tcPr>
            <w:tcW w:w="1134" w:type="dxa"/>
            <w:vAlign w:val="center"/>
          </w:tcPr>
          <w:p w14:paraId="0F8F78E1" w14:textId="53E95352" w:rsidR="00DF5372" w:rsidRPr="006070EA" w:rsidRDefault="0028473C" w:rsidP="009E07E1">
            <w:pPr>
              <w:pStyle w:val="Mra2-reakceern"/>
              <w:pBdr>
                <w:left w:val="none" w:sz="0" w:space="0" w:color="auto"/>
              </w:pBdr>
              <w:ind w:left="0"/>
              <w:jc w:val="center"/>
              <w:rPr>
                <w:rFonts w:asciiTheme="majorHAnsi" w:hAnsiTheme="majorHAnsi" w:cstheme="majorHAnsi"/>
                <w:b/>
                <w:color w:val="auto"/>
              </w:rPr>
            </w:pPr>
            <w:r w:rsidRPr="006070EA">
              <w:rPr>
                <w:rFonts w:asciiTheme="majorHAnsi" w:hAnsiTheme="majorHAnsi" w:cstheme="majorHAnsi"/>
                <w:b/>
                <w:color w:val="auto"/>
              </w:rPr>
              <w:t>2 039</w:t>
            </w:r>
          </w:p>
        </w:tc>
      </w:tr>
    </w:tbl>
    <w:p w14:paraId="0A08870B" w14:textId="77777777" w:rsidR="00ED3617" w:rsidRPr="006070EA" w:rsidRDefault="00F11053" w:rsidP="0036779E">
      <w:pPr>
        <w:pStyle w:val="Mra2-reakceern"/>
        <w:keepNext/>
        <w:numPr>
          <w:ilvl w:val="0"/>
          <w:numId w:val="23"/>
        </w:numPr>
        <w:pBdr>
          <w:left w:val="none" w:sz="0" w:space="0" w:color="auto"/>
        </w:pBdr>
        <w:spacing w:before="120" w:after="60"/>
        <w:ind w:left="1066" w:hanging="357"/>
        <w:rPr>
          <w:rFonts w:asciiTheme="majorHAnsi" w:hAnsiTheme="majorHAnsi" w:cstheme="majorHAnsi"/>
          <w:b/>
          <w:color w:val="auto"/>
        </w:rPr>
      </w:pPr>
      <w:r w:rsidRPr="006070EA">
        <w:rPr>
          <w:rFonts w:asciiTheme="majorHAnsi" w:hAnsiTheme="majorHAnsi" w:cstheme="majorHAnsi"/>
          <w:b/>
          <w:color w:val="auto"/>
        </w:rPr>
        <w:t>pol</w:t>
      </w:r>
      <w:r w:rsidR="00891241" w:rsidRPr="006070EA">
        <w:rPr>
          <w:rFonts w:asciiTheme="majorHAnsi" w:hAnsiTheme="majorHAnsi" w:cstheme="majorHAnsi"/>
          <w:b/>
          <w:color w:val="auto"/>
        </w:rPr>
        <w:t>oha a pozice v systému osídlení</w:t>
      </w:r>
    </w:p>
    <w:p w14:paraId="04317064" w14:textId="77777777" w:rsidR="00AE01CB" w:rsidRPr="006070EA" w:rsidRDefault="00994060" w:rsidP="0036779E">
      <w:pPr>
        <w:pStyle w:val="Mra2-reakceern"/>
        <w:keepNext/>
        <w:numPr>
          <w:ilvl w:val="1"/>
          <w:numId w:val="4"/>
        </w:numPr>
        <w:pBdr>
          <w:left w:val="none" w:sz="0" w:space="0" w:color="auto"/>
        </w:pBdr>
        <w:rPr>
          <w:rFonts w:asciiTheme="majorHAnsi" w:hAnsiTheme="majorHAnsi" w:cstheme="majorHAnsi"/>
          <w:color w:val="auto"/>
        </w:rPr>
      </w:pPr>
      <w:r w:rsidRPr="006070EA">
        <w:rPr>
          <w:rFonts w:asciiTheme="majorHAnsi" w:hAnsiTheme="majorHAnsi" w:cstheme="majorHAnsi"/>
          <w:color w:val="auto"/>
        </w:rPr>
        <w:t>poloha v</w:t>
      </w:r>
      <w:r w:rsidR="00891241" w:rsidRPr="006070EA">
        <w:rPr>
          <w:rFonts w:asciiTheme="majorHAnsi" w:hAnsiTheme="majorHAnsi" w:cstheme="majorHAnsi"/>
          <w:color w:val="auto"/>
        </w:rPr>
        <w:t> dostupnosti vyšších spádových center</w:t>
      </w:r>
    </w:p>
    <w:p w14:paraId="77B15310" w14:textId="3225D97F" w:rsidR="00994060" w:rsidRPr="006070EA" w:rsidRDefault="0028473C" w:rsidP="0036779E">
      <w:pPr>
        <w:pStyle w:val="Mra2-reakceern"/>
        <w:keepNext/>
        <w:numPr>
          <w:ilvl w:val="1"/>
          <w:numId w:val="4"/>
        </w:numPr>
        <w:pBdr>
          <w:left w:val="none" w:sz="0" w:space="0" w:color="auto"/>
        </w:pBdr>
        <w:rPr>
          <w:rFonts w:asciiTheme="majorHAnsi" w:hAnsiTheme="majorHAnsi" w:cstheme="majorHAnsi"/>
          <w:color w:val="auto"/>
        </w:rPr>
      </w:pPr>
      <w:r w:rsidRPr="006070EA">
        <w:rPr>
          <w:rFonts w:asciiTheme="majorHAnsi" w:hAnsiTheme="majorHAnsi" w:cstheme="majorHAnsi"/>
          <w:color w:val="auto"/>
        </w:rPr>
        <w:t>blízkost metropolitní oblasti Praha a dostupnost hlavního města</w:t>
      </w:r>
    </w:p>
    <w:p w14:paraId="68CC897E" w14:textId="5078FE02" w:rsidR="00EB7975" w:rsidRPr="006070EA" w:rsidRDefault="00EB7975" w:rsidP="0036779E">
      <w:pPr>
        <w:pStyle w:val="Mra2-reakceern"/>
        <w:keepNext/>
        <w:numPr>
          <w:ilvl w:val="1"/>
          <w:numId w:val="4"/>
        </w:numPr>
        <w:pBdr>
          <w:left w:val="none" w:sz="0" w:space="0" w:color="auto"/>
        </w:pBdr>
        <w:rPr>
          <w:rFonts w:asciiTheme="majorHAnsi" w:hAnsiTheme="majorHAnsi" w:cstheme="majorHAnsi"/>
          <w:color w:val="auto"/>
        </w:rPr>
      </w:pPr>
      <w:r w:rsidRPr="006070EA">
        <w:rPr>
          <w:rFonts w:asciiTheme="majorHAnsi" w:hAnsiTheme="majorHAnsi" w:cstheme="majorHAnsi"/>
          <w:color w:val="auto"/>
        </w:rPr>
        <w:t xml:space="preserve">poloha na železniční trati č. </w:t>
      </w:r>
      <w:r w:rsidR="0028473C" w:rsidRPr="006070EA">
        <w:rPr>
          <w:rFonts w:asciiTheme="majorHAnsi" w:hAnsiTheme="majorHAnsi" w:cstheme="majorHAnsi"/>
          <w:color w:val="auto"/>
        </w:rPr>
        <w:t>231</w:t>
      </w:r>
    </w:p>
    <w:p w14:paraId="4CB57807" w14:textId="19B265F0" w:rsidR="0028473C" w:rsidRPr="006070EA" w:rsidRDefault="0028473C" w:rsidP="0036779E">
      <w:pPr>
        <w:pStyle w:val="Mra2-reakceern"/>
        <w:keepNext/>
        <w:numPr>
          <w:ilvl w:val="1"/>
          <w:numId w:val="4"/>
        </w:numPr>
        <w:pBdr>
          <w:left w:val="none" w:sz="0" w:space="0" w:color="auto"/>
        </w:pBdr>
        <w:rPr>
          <w:rFonts w:asciiTheme="majorHAnsi" w:hAnsiTheme="majorHAnsi" w:cstheme="majorHAnsi"/>
          <w:color w:val="auto"/>
        </w:rPr>
      </w:pPr>
      <w:r w:rsidRPr="006070EA">
        <w:rPr>
          <w:rFonts w:asciiTheme="majorHAnsi" w:hAnsiTheme="majorHAnsi" w:cstheme="majorHAnsi"/>
          <w:color w:val="auto"/>
        </w:rPr>
        <w:t>blízkost dálnice D11</w:t>
      </w:r>
    </w:p>
    <w:p w14:paraId="705B3B58" w14:textId="77777777" w:rsidR="00AE01CB" w:rsidRPr="006070EA" w:rsidRDefault="00AE01CB" w:rsidP="0036779E">
      <w:pPr>
        <w:pStyle w:val="Mra2-reakceern"/>
        <w:keepNext/>
        <w:numPr>
          <w:ilvl w:val="0"/>
          <w:numId w:val="23"/>
        </w:numPr>
        <w:pBdr>
          <w:left w:val="none" w:sz="0" w:space="0" w:color="auto"/>
        </w:pBdr>
        <w:spacing w:before="120" w:after="60"/>
        <w:ind w:left="1066" w:hanging="357"/>
        <w:rPr>
          <w:rFonts w:asciiTheme="majorHAnsi" w:hAnsiTheme="majorHAnsi" w:cstheme="majorHAnsi"/>
          <w:b/>
          <w:color w:val="auto"/>
        </w:rPr>
      </w:pPr>
      <w:r w:rsidRPr="006070EA">
        <w:rPr>
          <w:rFonts w:asciiTheme="majorHAnsi" w:hAnsiTheme="majorHAnsi" w:cstheme="majorHAnsi"/>
          <w:b/>
          <w:color w:val="auto"/>
        </w:rPr>
        <w:t xml:space="preserve">rozvojová </w:t>
      </w:r>
      <w:r w:rsidR="00DF5372" w:rsidRPr="006070EA">
        <w:rPr>
          <w:rFonts w:asciiTheme="majorHAnsi" w:hAnsiTheme="majorHAnsi" w:cstheme="majorHAnsi"/>
          <w:b/>
          <w:color w:val="auto"/>
        </w:rPr>
        <w:t>strategie místní samosprávy a potřeby obce</w:t>
      </w:r>
    </w:p>
    <w:p w14:paraId="7700A384" w14:textId="616F42E0" w:rsidR="00DF5372" w:rsidRPr="006070EA" w:rsidRDefault="00DF5372" w:rsidP="0036779E">
      <w:pPr>
        <w:pStyle w:val="Mra2-reakceern"/>
        <w:keepNext/>
        <w:numPr>
          <w:ilvl w:val="1"/>
          <w:numId w:val="23"/>
        </w:numPr>
        <w:pBdr>
          <w:left w:val="none" w:sz="0" w:space="0" w:color="auto"/>
        </w:pBdr>
        <w:ind w:left="1786" w:hanging="357"/>
        <w:rPr>
          <w:rFonts w:asciiTheme="majorHAnsi" w:hAnsiTheme="majorHAnsi" w:cstheme="majorHAnsi"/>
          <w:color w:val="auto"/>
        </w:rPr>
      </w:pPr>
      <w:r w:rsidRPr="006070EA">
        <w:rPr>
          <w:rFonts w:asciiTheme="majorHAnsi" w:hAnsiTheme="majorHAnsi" w:cstheme="majorHAnsi"/>
          <w:color w:val="auto"/>
        </w:rPr>
        <w:t>potřeba vymezení zastavitelných ploch dle aktuálních požadavků</w:t>
      </w:r>
      <w:r w:rsidR="0028473C" w:rsidRPr="006070EA">
        <w:rPr>
          <w:rFonts w:asciiTheme="majorHAnsi" w:hAnsiTheme="majorHAnsi" w:cstheme="majorHAnsi"/>
          <w:color w:val="auto"/>
        </w:rPr>
        <w:t xml:space="preserve"> a jejích občanů</w:t>
      </w:r>
    </w:p>
    <w:p w14:paraId="6E8DE53A" w14:textId="77777777" w:rsidR="00D16253" w:rsidRPr="006070EA" w:rsidRDefault="00D16253" w:rsidP="0036779E">
      <w:pPr>
        <w:pStyle w:val="Mra2-reakceern"/>
        <w:keepNext/>
        <w:numPr>
          <w:ilvl w:val="1"/>
          <w:numId w:val="23"/>
        </w:numPr>
        <w:pBdr>
          <w:left w:val="none" w:sz="0" w:space="0" w:color="auto"/>
        </w:pBdr>
        <w:spacing w:after="60"/>
        <w:ind w:left="1786" w:hanging="357"/>
        <w:rPr>
          <w:rFonts w:asciiTheme="majorHAnsi" w:hAnsiTheme="majorHAnsi" w:cstheme="majorHAnsi"/>
          <w:color w:val="auto"/>
        </w:rPr>
      </w:pPr>
      <w:r w:rsidRPr="006070EA">
        <w:rPr>
          <w:rFonts w:asciiTheme="majorHAnsi" w:hAnsiTheme="majorHAnsi" w:cstheme="majorHAnsi"/>
          <w:color w:val="auto"/>
        </w:rPr>
        <w:t>respektovat zastavitelné plochy ze stávající platné ÚPD obce</w:t>
      </w:r>
    </w:p>
    <w:p w14:paraId="549FE006" w14:textId="77777777" w:rsidR="00AE01CB" w:rsidRPr="006070EA" w:rsidRDefault="00AE01CB" w:rsidP="0036779E">
      <w:pPr>
        <w:pStyle w:val="Mra2-reakceern"/>
        <w:keepNext/>
        <w:numPr>
          <w:ilvl w:val="0"/>
          <w:numId w:val="23"/>
        </w:numPr>
        <w:pBdr>
          <w:left w:val="none" w:sz="0" w:space="0" w:color="auto"/>
        </w:pBdr>
        <w:spacing w:before="120" w:after="60"/>
        <w:ind w:left="1066" w:hanging="357"/>
        <w:rPr>
          <w:rFonts w:asciiTheme="majorHAnsi" w:hAnsiTheme="majorHAnsi" w:cstheme="majorHAnsi"/>
          <w:b/>
          <w:color w:val="auto"/>
        </w:rPr>
      </w:pPr>
      <w:r w:rsidRPr="006070EA">
        <w:rPr>
          <w:rFonts w:asciiTheme="majorHAnsi" w:hAnsiTheme="majorHAnsi" w:cstheme="majorHAnsi"/>
          <w:b/>
          <w:color w:val="auto"/>
        </w:rPr>
        <w:t>rezerva zastavěného území</w:t>
      </w:r>
    </w:p>
    <w:p w14:paraId="14622D0F" w14:textId="79521185" w:rsidR="00DF5372" w:rsidRPr="006070EA" w:rsidRDefault="00DF5372" w:rsidP="0036779E">
      <w:pPr>
        <w:pStyle w:val="Mra2-reakceern"/>
        <w:keepNext/>
        <w:numPr>
          <w:ilvl w:val="1"/>
          <w:numId w:val="23"/>
        </w:numPr>
        <w:pBdr>
          <w:left w:val="none" w:sz="0" w:space="0" w:color="auto"/>
        </w:pBdr>
        <w:spacing w:after="60"/>
        <w:ind w:left="1786" w:hanging="357"/>
        <w:rPr>
          <w:rFonts w:asciiTheme="majorHAnsi" w:hAnsiTheme="majorHAnsi" w:cstheme="majorHAnsi"/>
          <w:b/>
          <w:color w:val="auto"/>
        </w:rPr>
      </w:pPr>
      <w:r w:rsidRPr="006070EA">
        <w:rPr>
          <w:rFonts w:asciiTheme="majorHAnsi" w:hAnsiTheme="majorHAnsi" w:cstheme="majorHAnsi"/>
          <w:color w:val="auto"/>
        </w:rPr>
        <w:t xml:space="preserve">cca </w:t>
      </w:r>
      <w:r w:rsidR="0045067B" w:rsidRPr="006070EA">
        <w:rPr>
          <w:rFonts w:asciiTheme="majorHAnsi" w:hAnsiTheme="majorHAnsi" w:cstheme="majorHAnsi"/>
          <w:color w:val="auto"/>
        </w:rPr>
        <w:t>3</w:t>
      </w:r>
      <w:r w:rsidR="0028473C" w:rsidRPr="006070EA">
        <w:rPr>
          <w:rFonts w:asciiTheme="majorHAnsi" w:hAnsiTheme="majorHAnsi" w:cstheme="majorHAnsi"/>
          <w:color w:val="auto"/>
        </w:rPr>
        <w:t>9</w:t>
      </w:r>
      <w:r w:rsidRPr="006070EA">
        <w:rPr>
          <w:rFonts w:asciiTheme="majorHAnsi" w:hAnsiTheme="majorHAnsi" w:cstheme="majorHAnsi"/>
          <w:color w:val="auto"/>
        </w:rPr>
        <w:t xml:space="preserve"> RD</w:t>
      </w:r>
      <w:r w:rsidR="0028473C" w:rsidRPr="006070EA">
        <w:rPr>
          <w:rFonts w:asciiTheme="majorHAnsi" w:hAnsiTheme="majorHAnsi" w:cstheme="majorHAnsi"/>
          <w:color w:val="auto"/>
        </w:rPr>
        <w:t>, viz kapitola 10.1</w:t>
      </w:r>
    </w:p>
    <w:p w14:paraId="15675AFD" w14:textId="77777777" w:rsidR="00994060" w:rsidRPr="006070EA" w:rsidRDefault="00994060" w:rsidP="0036779E">
      <w:pPr>
        <w:pStyle w:val="Mra2-reakceern"/>
        <w:keepNext/>
        <w:numPr>
          <w:ilvl w:val="0"/>
          <w:numId w:val="23"/>
        </w:numPr>
        <w:pBdr>
          <w:left w:val="none" w:sz="0" w:space="0" w:color="auto"/>
        </w:pBdr>
        <w:spacing w:before="120" w:after="60"/>
        <w:ind w:left="1066" w:hanging="357"/>
        <w:rPr>
          <w:rFonts w:asciiTheme="majorHAnsi" w:hAnsiTheme="majorHAnsi" w:cstheme="majorHAnsi"/>
          <w:b/>
          <w:color w:val="auto"/>
        </w:rPr>
      </w:pPr>
      <w:r w:rsidRPr="006070EA">
        <w:rPr>
          <w:rFonts w:asciiTheme="majorHAnsi" w:hAnsiTheme="majorHAnsi" w:cstheme="majorHAnsi"/>
          <w:b/>
          <w:color w:val="auto"/>
        </w:rPr>
        <w:t>koncepc</w:t>
      </w:r>
      <w:r w:rsidR="00891241" w:rsidRPr="006070EA">
        <w:rPr>
          <w:rFonts w:asciiTheme="majorHAnsi" w:hAnsiTheme="majorHAnsi" w:cstheme="majorHAnsi"/>
          <w:b/>
          <w:color w:val="auto"/>
        </w:rPr>
        <w:t>e stanovená v předcházející ÚPD</w:t>
      </w:r>
    </w:p>
    <w:p w14:paraId="391A5AC7" w14:textId="77777777" w:rsidR="008473EB" w:rsidRPr="006070EA" w:rsidRDefault="008473EB" w:rsidP="009E07E1">
      <w:pPr>
        <w:pStyle w:val="Mra2-reakceern"/>
        <w:pBdr>
          <w:left w:val="none" w:sz="0" w:space="0" w:color="auto"/>
        </w:pBdr>
        <w:spacing w:before="120" w:after="60"/>
        <w:ind w:left="0" w:firstLine="709"/>
        <w:rPr>
          <w:rFonts w:asciiTheme="majorHAnsi" w:hAnsiTheme="majorHAnsi" w:cstheme="majorHAnsi"/>
          <w:b/>
          <w:color w:val="auto"/>
        </w:rPr>
      </w:pPr>
      <w:r w:rsidRPr="006070EA">
        <w:rPr>
          <w:rFonts w:asciiTheme="majorHAnsi" w:hAnsiTheme="majorHAnsi" w:cstheme="majorHAnsi"/>
          <w:b/>
          <w:color w:val="auto"/>
        </w:rPr>
        <w:t>Situování zastavitelných ploch vychází zejména z následujících principů:</w:t>
      </w:r>
    </w:p>
    <w:p w14:paraId="431946FB" w14:textId="77777777" w:rsidR="008473EB" w:rsidRPr="006070EA" w:rsidRDefault="008473EB" w:rsidP="0036779E">
      <w:pPr>
        <w:pStyle w:val="Mra2-reakceern"/>
        <w:numPr>
          <w:ilvl w:val="0"/>
          <w:numId w:val="4"/>
        </w:numPr>
        <w:pBdr>
          <w:left w:val="none" w:sz="0" w:space="0" w:color="auto"/>
        </w:pBdr>
        <w:ind w:left="1066" w:hanging="357"/>
        <w:rPr>
          <w:rFonts w:asciiTheme="majorHAnsi" w:hAnsiTheme="majorHAnsi" w:cstheme="majorHAnsi"/>
          <w:color w:val="auto"/>
        </w:rPr>
      </w:pPr>
      <w:r w:rsidRPr="006070EA">
        <w:rPr>
          <w:rFonts w:asciiTheme="majorHAnsi" w:hAnsiTheme="majorHAnsi" w:cstheme="majorHAnsi"/>
          <w:color w:val="auto"/>
        </w:rPr>
        <w:t>plošná a prostorová vazba stabilizovaných a zastavitelných ploch s rozdílným způsobem využití;</w:t>
      </w:r>
    </w:p>
    <w:p w14:paraId="3BC4D7FC" w14:textId="77777777" w:rsidR="008473EB" w:rsidRPr="006070EA" w:rsidRDefault="008473EB" w:rsidP="0036779E">
      <w:pPr>
        <w:pStyle w:val="Mra2-reakceern"/>
        <w:numPr>
          <w:ilvl w:val="0"/>
          <w:numId w:val="4"/>
        </w:numPr>
        <w:pBdr>
          <w:left w:val="none" w:sz="0" w:space="0" w:color="auto"/>
        </w:pBdr>
        <w:ind w:left="1066" w:hanging="357"/>
        <w:rPr>
          <w:rFonts w:asciiTheme="majorHAnsi" w:hAnsiTheme="majorHAnsi" w:cstheme="majorHAnsi"/>
          <w:color w:val="auto"/>
        </w:rPr>
      </w:pPr>
      <w:r w:rsidRPr="006070EA">
        <w:rPr>
          <w:rFonts w:asciiTheme="majorHAnsi" w:hAnsiTheme="majorHAnsi" w:cstheme="majorHAnsi"/>
          <w:color w:val="auto"/>
        </w:rPr>
        <w:t>vhodné doplnění stávající zástavby, respektování historicky vytvořené urbanistické struktury sídla;</w:t>
      </w:r>
    </w:p>
    <w:p w14:paraId="099EBF5C" w14:textId="77777777" w:rsidR="008473EB" w:rsidRPr="006070EA" w:rsidRDefault="008473EB" w:rsidP="0036779E">
      <w:pPr>
        <w:pStyle w:val="Mra2-reakceern"/>
        <w:numPr>
          <w:ilvl w:val="0"/>
          <w:numId w:val="4"/>
        </w:numPr>
        <w:pBdr>
          <w:left w:val="none" w:sz="0" w:space="0" w:color="auto"/>
        </w:pBdr>
        <w:ind w:left="1066" w:hanging="357"/>
        <w:rPr>
          <w:rFonts w:asciiTheme="majorHAnsi" w:hAnsiTheme="majorHAnsi" w:cstheme="majorHAnsi"/>
          <w:color w:val="auto"/>
        </w:rPr>
      </w:pPr>
      <w:r w:rsidRPr="006070EA">
        <w:rPr>
          <w:rFonts w:asciiTheme="majorHAnsi" w:hAnsiTheme="majorHAnsi" w:cstheme="majorHAnsi"/>
          <w:color w:val="auto"/>
        </w:rPr>
        <w:t>ochrana urbanistických a krajinných hodnot;</w:t>
      </w:r>
    </w:p>
    <w:p w14:paraId="2A1FD39C" w14:textId="77777777" w:rsidR="008473EB" w:rsidRPr="006070EA" w:rsidRDefault="008473EB" w:rsidP="0036779E">
      <w:pPr>
        <w:pStyle w:val="Mra2-reakceern"/>
        <w:numPr>
          <w:ilvl w:val="0"/>
          <w:numId w:val="4"/>
        </w:numPr>
        <w:pBdr>
          <w:left w:val="none" w:sz="0" w:space="0" w:color="auto"/>
        </w:pBdr>
        <w:ind w:left="1066" w:hanging="357"/>
        <w:rPr>
          <w:rFonts w:asciiTheme="majorHAnsi" w:hAnsiTheme="majorHAnsi" w:cstheme="majorHAnsi"/>
          <w:color w:val="auto"/>
        </w:rPr>
      </w:pPr>
      <w:r w:rsidRPr="006070EA">
        <w:rPr>
          <w:rFonts w:asciiTheme="majorHAnsi" w:hAnsiTheme="majorHAnsi" w:cstheme="majorHAnsi"/>
          <w:color w:val="auto"/>
        </w:rPr>
        <w:t>respektování všech složek limitů v území;</w:t>
      </w:r>
    </w:p>
    <w:p w14:paraId="2205E170" w14:textId="77777777" w:rsidR="008473EB" w:rsidRPr="006070EA" w:rsidRDefault="008473EB" w:rsidP="0036779E">
      <w:pPr>
        <w:pStyle w:val="Mra2-reakceern"/>
        <w:numPr>
          <w:ilvl w:val="0"/>
          <w:numId w:val="4"/>
        </w:numPr>
        <w:pBdr>
          <w:left w:val="none" w:sz="0" w:space="0" w:color="auto"/>
        </w:pBdr>
        <w:ind w:left="1066" w:hanging="357"/>
        <w:rPr>
          <w:rFonts w:asciiTheme="majorHAnsi" w:hAnsiTheme="majorHAnsi" w:cstheme="majorHAnsi"/>
          <w:color w:val="auto"/>
        </w:rPr>
      </w:pPr>
      <w:r w:rsidRPr="006070EA">
        <w:rPr>
          <w:rFonts w:asciiTheme="majorHAnsi" w:hAnsiTheme="majorHAnsi" w:cstheme="majorHAnsi"/>
          <w:color w:val="auto"/>
        </w:rPr>
        <w:t>ochrana přírody a krajiny především s ohledem na skladebné části ÚSES;</w:t>
      </w:r>
    </w:p>
    <w:p w14:paraId="56A65064" w14:textId="77777777" w:rsidR="008473EB" w:rsidRPr="006070EA" w:rsidRDefault="008473EB" w:rsidP="0036779E">
      <w:pPr>
        <w:pStyle w:val="Mra2-reakceern"/>
        <w:numPr>
          <w:ilvl w:val="0"/>
          <w:numId w:val="4"/>
        </w:numPr>
        <w:pBdr>
          <w:left w:val="none" w:sz="0" w:space="0" w:color="auto"/>
        </w:pBdr>
        <w:spacing w:after="120"/>
        <w:rPr>
          <w:rFonts w:asciiTheme="majorHAnsi" w:hAnsiTheme="majorHAnsi" w:cstheme="majorHAnsi"/>
          <w:color w:val="auto"/>
        </w:rPr>
      </w:pPr>
      <w:r w:rsidRPr="006070EA">
        <w:rPr>
          <w:rFonts w:asciiTheme="majorHAnsi" w:hAnsiTheme="majorHAnsi" w:cstheme="majorHAnsi"/>
          <w:color w:val="auto"/>
        </w:rPr>
        <w:t>vazby na dopravní a technickou infrastrukturu.</w:t>
      </w:r>
    </w:p>
    <w:p w14:paraId="4566E9D7" w14:textId="77777777" w:rsidR="00DF5372" w:rsidRPr="006070EA" w:rsidRDefault="00DF5372" w:rsidP="009E07E1">
      <w:pPr>
        <w:pStyle w:val="Atext"/>
        <w:spacing w:after="60"/>
        <w:rPr>
          <w:rFonts w:asciiTheme="majorHAnsi" w:hAnsiTheme="majorHAnsi" w:cstheme="majorHAnsi"/>
          <w:szCs w:val="18"/>
        </w:rPr>
      </w:pPr>
      <w:r w:rsidRPr="006070EA">
        <w:rPr>
          <w:rFonts w:asciiTheme="majorHAnsi" w:hAnsiTheme="majorHAnsi" w:cstheme="majorHAnsi"/>
          <w:szCs w:val="18"/>
        </w:rPr>
        <w:t xml:space="preserve">Potřebnost vymezení zastavitelných ploch byla identifikována ve výše uvedených částech textu a je shrnuta v následující tabulce: </w:t>
      </w:r>
    </w:p>
    <w:tbl>
      <w:tblPr>
        <w:tblW w:w="9072" w:type="dxa"/>
        <w:tblInd w:w="108" w:type="dxa"/>
        <w:tblBorders>
          <w:insideH w:val="single" w:sz="4" w:space="0" w:color="auto"/>
          <w:insideV w:val="single" w:sz="4" w:space="0" w:color="auto"/>
        </w:tblBorders>
        <w:tblLook w:val="04A0" w:firstRow="1" w:lastRow="0" w:firstColumn="1" w:lastColumn="0" w:noHBand="0" w:noVBand="1"/>
      </w:tblPr>
      <w:tblGrid>
        <w:gridCol w:w="2764"/>
        <w:gridCol w:w="1914"/>
        <w:gridCol w:w="4394"/>
      </w:tblGrid>
      <w:tr w:rsidR="00D204CA" w:rsidRPr="006070EA" w14:paraId="579ABDF5" w14:textId="77777777" w:rsidTr="009D4634">
        <w:trPr>
          <w:cantSplit/>
          <w:trHeight w:val="283"/>
          <w:tblHeader/>
        </w:trPr>
        <w:tc>
          <w:tcPr>
            <w:tcW w:w="2764" w:type="dxa"/>
            <w:tcBorders>
              <w:top w:val="nil"/>
              <w:left w:val="nil"/>
              <w:bottom w:val="single" w:sz="12" w:space="0" w:color="auto"/>
              <w:right w:val="single" w:sz="12" w:space="0" w:color="auto"/>
            </w:tcBorders>
            <w:vAlign w:val="center"/>
          </w:tcPr>
          <w:p w14:paraId="1825AAF5" w14:textId="77777777" w:rsidR="00DF5372" w:rsidRPr="006070EA" w:rsidRDefault="00DF5372" w:rsidP="0028473C">
            <w:pPr>
              <w:pStyle w:val="Zkladntext2"/>
              <w:keepNext/>
              <w:spacing w:after="0" w:line="240" w:lineRule="auto"/>
              <w:rPr>
                <w:rFonts w:asciiTheme="majorHAnsi" w:hAnsiTheme="majorHAnsi" w:cstheme="majorHAnsi"/>
                <w:b/>
                <w:i/>
                <w:sz w:val="18"/>
                <w:szCs w:val="18"/>
              </w:rPr>
            </w:pPr>
            <w:r w:rsidRPr="006070EA">
              <w:rPr>
                <w:rFonts w:asciiTheme="majorHAnsi" w:hAnsiTheme="majorHAnsi" w:cstheme="majorHAnsi"/>
                <w:b/>
                <w:i/>
                <w:sz w:val="18"/>
                <w:szCs w:val="18"/>
              </w:rPr>
              <w:lastRenderedPageBreak/>
              <w:t>hledisko</w:t>
            </w:r>
          </w:p>
        </w:tc>
        <w:tc>
          <w:tcPr>
            <w:tcW w:w="1914" w:type="dxa"/>
            <w:tcBorders>
              <w:top w:val="nil"/>
              <w:left w:val="single" w:sz="12" w:space="0" w:color="auto"/>
              <w:bottom w:val="single" w:sz="12" w:space="0" w:color="auto"/>
              <w:right w:val="single" w:sz="12" w:space="0" w:color="auto"/>
            </w:tcBorders>
            <w:vAlign w:val="center"/>
          </w:tcPr>
          <w:p w14:paraId="781C4846" w14:textId="77777777" w:rsidR="00DF5372" w:rsidRPr="006070EA" w:rsidRDefault="00DF5372" w:rsidP="0028473C">
            <w:pPr>
              <w:keepNext/>
              <w:spacing w:after="0" w:line="240" w:lineRule="auto"/>
              <w:ind w:left="-89" w:right="-80"/>
              <w:jc w:val="center"/>
              <w:rPr>
                <w:rFonts w:asciiTheme="majorHAnsi" w:hAnsiTheme="majorHAnsi" w:cstheme="majorHAnsi"/>
                <w:b/>
                <w:snapToGrid w:val="0"/>
                <w:sz w:val="18"/>
                <w:szCs w:val="18"/>
              </w:rPr>
            </w:pPr>
            <w:r w:rsidRPr="006070EA">
              <w:rPr>
                <w:rFonts w:asciiTheme="majorHAnsi" w:hAnsiTheme="majorHAnsi" w:cstheme="majorHAnsi"/>
                <w:b/>
                <w:snapToGrid w:val="0"/>
                <w:sz w:val="18"/>
                <w:szCs w:val="18"/>
              </w:rPr>
              <w:t>vyhodnocení potřeby nových bytů</w:t>
            </w:r>
            <w:r w:rsidR="0033322E" w:rsidRPr="006070EA">
              <w:rPr>
                <w:rFonts w:asciiTheme="majorHAnsi" w:hAnsiTheme="majorHAnsi" w:cstheme="majorHAnsi"/>
                <w:b/>
                <w:snapToGrid w:val="0"/>
                <w:sz w:val="18"/>
                <w:szCs w:val="18"/>
              </w:rPr>
              <w:t xml:space="preserve"> (RD)</w:t>
            </w:r>
          </w:p>
        </w:tc>
        <w:tc>
          <w:tcPr>
            <w:tcW w:w="4394" w:type="dxa"/>
            <w:tcBorders>
              <w:top w:val="nil"/>
              <w:left w:val="single" w:sz="12" w:space="0" w:color="auto"/>
              <w:bottom w:val="single" w:sz="12" w:space="0" w:color="auto"/>
            </w:tcBorders>
            <w:vAlign w:val="center"/>
          </w:tcPr>
          <w:p w14:paraId="700DAC5F" w14:textId="77777777" w:rsidR="00DF5372" w:rsidRPr="006070EA" w:rsidRDefault="00DF5372" w:rsidP="0028473C">
            <w:pPr>
              <w:keepNext/>
              <w:spacing w:after="0" w:line="240" w:lineRule="auto"/>
              <w:jc w:val="center"/>
              <w:rPr>
                <w:rFonts w:asciiTheme="majorHAnsi" w:hAnsiTheme="majorHAnsi" w:cstheme="majorHAnsi"/>
                <w:b/>
                <w:snapToGrid w:val="0"/>
                <w:sz w:val="18"/>
                <w:szCs w:val="18"/>
              </w:rPr>
            </w:pPr>
            <w:r w:rsidRPr="006070EA">
              <w:rPr>
                <w:rFonts w:asciiTheme="majorHAnsi" w:hAnsiTheme="majorHAnsi" w:cstheme="majorHAnsi"/>
                <w:b/>
                <w:snapToGrid w:val="0"/>
                <w:sz w:val="18"/>
                <w:szCs w:val="18"/>
              </w:rPr>
              <w:t>poznámka</w:t>
            </w:r>
          </w:p>
        </w:tc>
      </w:tr>
      <w:tr w:rsidR="00D204CA" w:rsidRPr="006070EA" w14:paraId="539DF122" w14:textId="77777777" w:rsidTr="009D4634">
        <w:trPr>
          <w:trHeight w:val="283"/>
        </w:trPr>
        <w:tc>
          <w:tcPr>
            <w:tcW w:w="2764" w:type="dxa"/>
            <w:tcBorders>
              <w:top w:val="single" w:sz="12" w:space="0" w:color="auto"/>
            </w:tcBorders>
            <w:vAlign w:val="center"/>
          </w:tcPr>
          <w:p w14:paraId="66764D2C" w14:textId="77777777" w:rsidR="00DF5372" w:rsidRPr="006070EA" w:rsidRDefault="00DF5372" w:rsidP="0028473C">
            <w:pPr>
              <w:pStyle w:val="Zkladntext2"/>
              <w:keepNext/>
              <w:spacing w:after="0" w:line="240" w:lineRule="auto"/>
              <w:rPr>
                <w:rFonts w:asciiTheme="majorHAnsi" w:hAnsiTheme="majorHAnsi" w:cstheme="majorHAnsi"/>
                <w:i/>
                <w:sz w:val="18"/>
                <w:szCs w:val="18"/>
              </w:rPr>
            </w:pPr>
            <w:r w:rsidRPr="006070EA">
              <w:rPr>
                <w:rFonts w:asciiTheme="majorHAnsi" w:hAnsiTheme="majorHAnsi" w:cstheme="majorHAnsi"/>
                <w:i/>
                <w:sz w:val="18"/>
                <w:szCs w:val="18"/>
              </w:rPr>
              <w:t>rezerva v zastavěném území</w:t>
            </w:r>
          </w:p>
        </w:tc>
        <w:tc>
          <w:tcPr>
            <w:tcW w:w="1914" w:type="dxa"/>
            <w:tcBorders>
              <w:top w:val="single" w:sz="12" w:space="0" w:color="auto"/>
            </w:tcBorders>
            <w:vAlign w:val="center"/>
          </w:tcPr>
          <w:p w14:paraId="637B83C6" w14:textId="013AE654" w:rsidR="00DF5372" w:rsidRPr="006070EA" w:rsidRDefault="00DF5372" w:rsidP="0028473C">
            <w:pPr>
              <w:keepNext/>
              <w:spacing w:after="0" w:line="240" w:lineRule="auto"/>
              <w:jc w:val="center"/>
              <w:rPr>
                <w:rFonts w:asciiTheme="majorHAnsi" w:hAnsiTheme="majorHAnsi" w:cstheme="majorHAnsi"/>
                <w:snapToGrid w:val="0"/>
                <w:sz w:val="18"/>
                <w:szCs w:val="18"/>
              </w:rPr>
            </w:pPr>
            <w:r w:rsidRPr="006070EA">
              <w:rPr>
                <w:rFonts w:asciiTheme="majorHAnsi" w:hAnsiTheme="majorHAnsi" w:cstheme="majorHAnsi"/>
                <w:snapToGrid w:val="0"/>
                <w:sz w:val="18"/>
                <w:szCs w:val="18"/>
              </w:rPr>
              <w:t>-</w:t>
            </w:r>
            <w:r w:rsidR="0045067B" w:rsidRPr="006070EA">
              <w:rPr>
                <w:rFonts w:asciiTheme="majorHAnsi" w:hAnsiTheme="majorHAnsi" w:cstheme="majorHAnsi"/>
                <w:snapToGrid w:val="0"/>
                <w:sz w:val="18"/>
                <w:szCs w:val="18"/>
              </w:rPr>
              <w:t>3</w:t>
            </w:r>
            <w:r w:rsidR="00D204CA" w:rsidRPr="006070EA">
              <w:rPr>
                <w:rFonts w:asciiTheme="majorHAnsi" w:hAnsiTheme="majorHAnsi" w:cstheme="majorHAnsi"/>
                <w:snapToGrid w:val="0"/>
                <w:sz w:val="18"/>
                <w:szCs w:val="18"/>
              </w:rPr>
              <w:t>9</w:t>
            </w:r>
          </w:p>
        </w:tc>
        <w:tc>
          <w:tcPr>
            <w:tcW w:w="4394" w:type="dxa"/>
            <w:tcBorders>
              <w:top w:val="single" w:sz="12" w:space="0" w:color="auto"/>
            </w:tcBorders>
            <w:vAlign w:val="center"/>
          </w:tcPr>
          <w:p w14:paraId="147B2743" w14:textId="4C2FEA32" w:rsidR="00DF5372" w:rsidRPr="006070EA" w:rsidRDefault="008449DE" w:rsidP="0028473C">
            <w:pPr>
              <w:keepNext/>
              <w:spacing w:after="0" w:line="240" w:lineRule="auto"/>
              <w:rPr>
                <w:rFonts w:asciiTheme="majorHAnsi" w:hAnsiTheme="majorHAnsi" w:cstheme="majorHAnsi"/>
                <w:snapToGrid w:val="0"/>
                <w:sz w:val="18"/>
                <w:szCs w:val="18"/>
              </w:rPr>
            </w:pPr>
            <w:r w:rsidRPr="006070EA">
              <w:rPr>
                <w:rFonts w:asciiTheme="majorHAnsi" w:hAnsiTheme="majorHAnsi" w:cstheme="majorHAnsi"/>
                <w:snapToGrid w:val="0"/>
                <w:sz w:val="18"/>
                <w:szCs w:val="18"/>
              </w:rPr>
              <w:t>stanoveno odhadem v souvislosti s dostupností pozemků pro bydlení ve vymezeném zastavěném území</w:t>
            </w:r>
            <w:r w:rsidR="00D204CA" w:rsidRPr="006070EA">
              <w:rPr>
                <w:rFonts w:asciiTheme="majorHAnsi" w:hAnsiTheme="majorHAnsi" w:cstheme="majorHAnsi"/>
                <w:snapToGrid w:val="0"/>
                <w:sz w:val="18"/>
                <w:szCs w:val="18"/>
              </w:rPr>
              <w:t>, viz kapitola 10.1</w:t>
            </w:r>
          </w:p>
        </w:tc>
      </w:tr>
      <w:tr w:rsidR="00101173" w:rsidRPr="006070EA" w14:paraId="70EAFD41" w14:textId="77777777" w:rsidTr="009D4634">
        <w:trPr>
          <w:trHeight w:val="283"/>
        </w:trPr>
        <w:tc>
          <w:tcPr>
            <w:tcW w:w="2764" w:type="dxa"/>
            <w:vAlign w:val="center"/>
          </w:tcPr>
          <w:p w14:paraId="6D387D3D" w14:textId="77777777" w:rsidR="00DF5372" w:rsidRPr="006070EA" w:rsidRDefault="00DF5372" w:rsidP="009E07E1">
            <w:pPr>
              <w:pStyle w:val="Zkladntext2"/>
              <w:spacing w:after="0" w:line="240" w:lineRule="auto"/>
              <w:rPr>
                <w:rFonts w:asciiTheme="majorHAnsi" w:hAnsiTheme="majorHAnsi" w:cstheme="majorHAnsi"/>
                <w:i/>
                <w:sz w:val="18"/>
                <w:szCs w:val="18"/>
              </w:rPr>
            </w:pPr>
            <w:r w:rsidRPr="006070EA">
              <w:rPr>
                <w:rFonts w:asciiTheme="majorHAnsi" w:hAnsiTheme="majorHAnsi" w:cstheme="majorHAnsi"/>
                <w:i/>
                <w:sz w:val="18"/>
                <w:szCs w:val="18"/>
              </w:rPr>
              <w:t>nárůst počtu obyvatel</w:t>
            </w:r>
          </w:p>
        </w:tc>
        <w:tc>
          <w:tcPr>
            <w:tcW w:w="1914" w:type="dxa"/>
            <w:vAlign w:val="center"/>
          </w:tcPr>
          <w:p w14:paraId="2B298FD6" w14:textId="09F78F93" w:rsidR="00DF5372" w:rsidRPr="006070EA" w:rsidRDefault="00101173" w:rsidP="009E07E1">
            <w:pPr>
              <w:spacing w:after="0" w:line="240" w:lineRule="auto"/>
              <w:jc w:val="center"/>
              <w:rPr>
                <w:rFonts w:asciiTheme="majorHAnsi" w:hAnsiTheme="majorHAnsi" w:cstheme="majorHAnsi"/>
                <w:snapToGrid w:val="0"/>
                <w:sz w:val="18"/>
                <w:szCs w:val="18"/>
              </w:rPr>
            </w:pPr>
            <w:r w:rsidRPr="006070EA">
              <w:rPr>
                <w:rFonts w:asciiTheme="majorHAnsi" w:hAnsiTheme="majorHAnsi" w:cstheme="majorHAnsi"/>
                <w:snapToGrid w:val="0"/>
                <w:sz w:val="18"/>
                <w:szCs w:val="18"/>
              </w:rPr>
              <w:t>70</w:t>
            </w:r>
          </w:p>
        </w:tc>
        <w:tc>
          <w:tcPr>
            <w:tcW w:w="4394" w:type="dxa"/>
            <w:vAlign w:val="center"/>
          </w:tcPr>
          <w:p w14:paraId="6720E4FF" w14:textId="60F929F1" w:rsidR="0057541B" w:rsidRPr="006070EA" w:rsidRDefault="00DF5372" w:rsidP="008449DE">
            <w:pPr>
              <w:spacing w:after="0" w:line="240" w:lineRule="auto"/>
              <w:rPr>
                <w:rFonts w:asciiTheme="majorHAnsi" w:hAnsiTheme="majorHAnsi" w:cstheme="majorHAnsi"/>
                <w:i/>
                <w:sz w:val="18"/>
                <w:szCs w:val="18"/>
              </w:rPr>
            </w:pPr>
            <w:r w:rsidRPr="006070EA">
              <w:rPr>
                <w:rFonts w:asciiTheme="majorHAnsi" w:hAnsiTheme="majorHAnsi" w:cstheme="majorHAnsi"/>
                <w:snapToGrid w:val="0"/>
                <w:sz w:val="18"/>
                <w:szCs w:val="18"/>
              </w:rPr>
              <w:t xml:space="preserve">viz </w:t>
            </w:r>
            <w:r w:rsidRPr="006070EA">
              <w:rPr>
                <w:rFonts w:asciiTheme="majorHAnsi" w:hAnsiTheme="majorHAnsi" w:cstheme="majorHAnsi"/>
                <w:i/>
                <w:snapToGrid w:val="0"/>
                <w:sz w:val="18"/>
                <w:szCs w:val="18"/>
              </w:rPr>
              <w:t>Vývoj počtu obyvatel, domů a bytů</w:t>
            </w:r>
            <w:r w:rsidRPr="006070EA">
              <w:rPr>
                <w:rFonts w:asciiTheme="majorHAnsi" w:hAnsiTheme="majorHAnsi" w:cstheme="majorHAnsi"/>
                <w:snapToGrid w:val="0"/>
                <w:sz w:val="18"/>
                <w:szCs w:val="18"/>
              </w:rPr>
              <w:t xml:space="preserve"> </w:t>
            </w:r>
            <w:r w:rsidR="0057541B" w:rsidRPr="006070EA">
              <w:rPr>
                <w:rFonts w:asciiTheme="majorHAnsi" w:hAnsiTheme="majorHAnsi" w:cstheme="majorHAnsi"/>
                <w:i/>
                <w:sz w:val="18"/>
                <w:szCs w:val="18"/>
              </w:rPr>
              <w:t>při cílové obydlenosti 2,</w:t>
            </w:r>
            <w:r w:rsidR="008449DE" w:rsidRPr="006070EA">
              <w:rPr>
                <w:rFonts w:asciiTheme="majorHAnsi" w:hAnsiTheme="majorHAnsi" w:cstheme="majorHAnsi"/>
                <w:i/>
                <w:sz w:val="18"/>
                <w:szCs w:val="18"/>
              </w:rPr>
              <w:t>2</w:t>
            </w:r>
            <w:r w:rsidR="0057541B" w:rsidRPr="006070EA">
              <w:rPr>
                <w:rFonts w:asciiTheme="majorHAnsi" w:hAnsiTheme="majorHAnsi" w:cstheme="majorHAnsi"/>
                <w:i/>
                <w:sz w:val="18"/>
                <w:szCs w:val="18"/>
              </w:rPr>
              <w:t xml:space="preserve"> obyv./byt</w:t>
            </w:r>
          </w:p>
          <w:p w14:paraId="6748DA48" w14:textId="39F84B2B" w:rsidR="00101173" w:rsidRPr="006070EA" w:rsidRDefault="00101173" w:rsidP="008449DE">
            <w:pPr>
              <w:spacing w:after="0" w:line="240" w:lineRule="auto"/>
              <w:rPr>
                <w:rFonts w:asciiTheme="majorHAnsi" w:hAnsiTheme="majorHAnsi" w:cstheme="majorHAnsi"/>
                <w:iCs/>
                <w:snapToGrid w:val="0"/>
                <w:sz w:val="18"/>
                <w:szCs w:val="18"/>
              </w:rPr>
            </w:pPr>
            <w:r w:rsidRPr="006070EA">
              <w:rPr>
                <w:rFonts w:asciiTheme="majorHAnsi" w:hAnsiTheme="majorHAnsi" w:cstheme="majorHAnsi"/>
                <w:iCs/>
                <w:snapToGrid w:val="0"/>
                <w:sz w:val="18"/>
                <w:szCs w:val="18"/>
              </w:rPr>
              <w:t>cílová hodnota k r. 2035</w:t>
            </w:r>
            <w:r w:rsidR="00A10CD0" w:rsidRPr="006070EA">
              <w:rPr>
                <w:rFonts w:asciiTheme="majorHAnsi" w:hAnsiTheme="majorHAnsi" w:cstheme="majorHAnsi"/>
                <w:iCs/>
                <w:snapToGrid w:val="0"/>
                <w:sz w:val="18"/>
                <w:szCs w:val="18"/>
              </w:rPr>
              <w:t xml:space="preserve"> (při zachování stávajícího demografického vývoje z uplynulých 20 let)</w:t>
            </w:r>
            <w:r w:rsidRPr="006070EA">
              <w:rPr>
                <w:rFonts w:asciiTheme="majorHAnsi" w:hAnsiTheme="majorHAnsi" w:cstheme="majorHAnsi"/>
                <w:iCs/>
                <w:snapToGrid w:val="0"/>
                <w:sz w:val="18"/>
                <w:szCs w:val="18"/>
              </w:rPr>
              <w:t xml:space="preserve"> </w:t>
            </w:r>
            <w:r w:rsidR="00A10CD0" w:rsidRPr="006070EA">
              <w:rPr>
                <w:rFonts w:asciiTheme="majorHAnsi" w:hAnsiTheme="majorHAnsi" w:cstheme="majorHAnsi"/>
                <w:iCs/>
                <w:snapToGrid w:val="0"/>
                <w:sz w:val="18"/>
                <w:szCs w:val="18"/>
              </w:rPr>
              <w:t>–</w:t>
            </w:r>
            <w:r w:rsidRPr="006070EA">
              <w:rPr>
                <w:rFonts w:asciiTheme="majorHAnsi" w:hAnsiTheme="majorHAnsi" w:cstheme="majorHAnsi"/>
                <w:iCs/>
                <w:snapToGrid w:val="0"/>
                <w:sz w:val="18"/>
                <w:szCs w:val="18"/>
              </w:rPr>
              <w:t xml:space="preserve"> počet</w:t>
            </w:r>
            <w:r w:rsidR="00A10CD0" w:rsidRPr="006070EA">
              <w:rPr>
                <w:rFonts w:asciiTheme="majorHAnsi" w:hAnsiTheme="majorHAnsi" w:cstheme="majorHAnsi"/>
                <w:iCs/>
                <w:snapToGrid w:val="0"/>
                <w:sz w:val="18"/>
                <w:szCs w:val="18"/>
              </w:rPr>
              <w:t> </w:t>
            </w:r>
            <w:r w:rsidRPr="006070EA">
              <w:rPr>
                <w:rFonts w:asciiTheme="majorHAnsi" w:hAnsiTheme="majorHAnsi" w:cstheme="majorHAnsi"/>
                <w:iCs/>
                <w:snapToGrid w:val="0"/>
                <w:sz w:val="18"/>
                <w:szCs w:val="18"/>
              </w:rPr>
              <w:t xml:space="preserve">obyvatel </w:t>
            </w:r>
            <w:r w:rsidR="00A10CD0" w:rsidRPr="006070EA">
              <w:rPr>
                <w:rFonts w:asciiTheme="majorHAnsi" w:hAnsiTheme="majorHAnsi" w:cstheme="majorHAnsi"/>
                <w:iCs/>
                <w:snapToGrid w:val="0"/>
                <w:sz w:val="18"/>
                <w:szCs w:val="18"/>
              </w:rPr>
              <w:t xml:space="preserve">= </w:t>
            </w:r>
            <w:r w:rsidRPr="006070EA">
              <w:rPr>
                <w:rFonts w:asciiTheme="majorHAnsi" w:hAnsiTheme="majorHAnsi" w:cstheme="majorHAnsi"/>
                <w:iCs/>
                <w:snapToGrid w:val="0"/>
                <w:sz w:val="18"/>
                <w:szCs w:val="18"/>
              </w:rPr>
              <w:t>2 039</w:t>
            </w:r>
          </w:p>
        </w:tc>
      </w:tr>
      <w:tr w:rsidR="00D204CA" w:rsidRPr="006070EA" w14:paraId="614C5D05" w14:textId="77777777" w:rsidTr="009D4634">
        <w:trPr>
          <w:trHeight w:val="283"/>
        </w:trPr>
        <w:tc>
          <w:tcPr>
            <w:tcW w:w="2764" w:type="dxa"/>
            <w:vAlign w:val="center"/>
          </w:tcPr>
          <w:p w14:paraId="0202A58C" w14:textId="77777777" w:rsidR="0033322E" w:rsidRPr="006070EA" w:rsidRDefault="0033322E" w:rsidP="00891241">
            <w:pPr>
              <w:pStyle w:val="Zkladntext2"/>
              <w:spacing w:after="0" w:line="240" w:lineRule="auto"/>
              <w:rPr>
                <w:rFonts w:asciiTheme="majorHAnsi" w:hAnsiTheme="majorHAnsi" w:cstheme="majorHAnsi"/>
                <w:i/>
                <w:sz w:val="18"/>
                <w:szCs w:val="18"/>
              </w:rPr>
            </w:pPr>
            <w:r w:rsidRPr="006070EA">
              <w:rPr>
                <w:rFonts w:asciiTheme="majorHAnsi" w:hAnsiTheme="majorHAnsi" w:cstheme="majorHAnsi"/>
                <w:i/>
                <w:sz w:val="18"/>
                <w:szCs w:val="18"/>
              </w:rPr>
              <w:t>pozice obce v systému osídlení</w:t>
            </w:r>
          </w:p>
        </w:tc>
        <w:tc>
          <w:tcPr>
            <w:tcW w:w="1914" w:type="dxa"/>
            <w:vAlign w:val="center"/>
          </w:tcPr>
          <w:p w14:paraId="3A9593F2" w14:textId="1EC768FB" w:rsidR="0033322E" w:rsidRPr="006070EA" w:rsidRDefault="00D204CA" w:rsidP="009E07E1">
            <w:pPr>
              <w:spacing w:after="0" w:line="240" w:lineRule="auto"/>
              <w:jc w:val="center"/>
              <w:rPr>
                <w:rFonts w:asciiTheme="majorHAnsi" w:hAnsiTheme="majorHAnsi" w:cstheme="majorHAnsi"/>
                <w:snapToGrid w:val="0"/>
                <w:sz w:val="18"/>
                <w:szCs w:val="18"/>
              </w:rPr>
            </w:pPr>
            <w:r w:rsidRPr="006070EA">
              <w:rPr>
                <w:rFonts w:asciiTheme="majorHAnsi" w:hAnsiTheme="majorHAnsi" w:cstheme="majorHAnsi"/>
                <w:snapToGrid w:val="0"/>
                <w:sz w:val="18"/>
                <w:szCs w:val="18"/>
              </w:rPr>
              <w:t>30</w:t>
            </w:r>
          </w:p>
        </w:tc>
        <w:tc>
          <w:tcPr>
            <w:tcW w:w="4394" w:type="dxa"/>
            <w:vAlign w:val="center"/>
          </w:tcPr>
          <w:p w14:paraId="17598B94" w14:textId="367D5591" w:rsidR="0033322E" w:rsidRPr="006070EA" w:rsidRDefault="00D204CA" w:rsidP="009E07E1">
            <w:pPr>
              <w:spacing w:after="0" w:line="240" w:lineRule="auto"/>
              <w:rPr>
                <w:rFonts w:asciiTheme="majorHAnsi" w:hAnsiTheme="majorHAnsi" w:cstheme="majorHAnsi"/>
                <w:snapToGrid w:val="0"/>
                <w:sz w:val="18"/>
                <w:szCs w:val="18"/>
              </w:rPr>
            </w:pPr>
            <w:r w:rsidRPr="006070EA">
              <w:rPr>
                <w:rFonts w:asciiTheme="majorHAnsi" w:hAnsiTheme="majorHAnsi" w:cstheme="majorHAnsi"/>
                <w:snapToGrid w:val="0"/>
                <w:sz w:val="18"/>
                <w:szCs w:val="18"/>
              </w:rPr>
              <w:t>stanoveno odborným odhadem s přihlédnutím ke kvalitě veřejné infrastruktury v řešeném území, spádovosti (vyjížďka a dojížďka), ekonomické struktuře a dalším východiskům, ovlivňující pozici obce v sídelní struktuře</w:t>
            </w:r>
          </w:p>
        </w:tc>
      </w:tr>
      <w:tr w:rsidR="00140D2A" w:rsidRPr="006070EA" w14:paraId="2423A673" w14:textId="77777777" w:rsidTr="009D4634">
        <w:trPr>
          <w:trHeight w:val="283"/>
        </w:trPr>
        <w:tc>
          <w:tcPr>
            <w:tcW w:w="2764" w:type="dxa"/>
            <w:vAlign w:val="center"/>
          </w:tcPr>
          <w:p w14:paraId="499961C2" w14:textId="1B7D7F1B" w:rsidR="00891241" w:rsidRPr="006070EA" w:rsidRDefault="00891241" w:rsidP="00F50E2C">
            <w:pPr>
              <w:pStyle w:val="Zkladntext2"/>
              <w:spacing w:after="0" w:line="240" w:lineRule="auto"/>
              <w:rPr>
                <w:rFonts w:asciiTheme="majorHAnsi" w:hAnsiTheme="majorHAnsi" w:cstheme="majorHAnsi"/>
                <w:i/>
                <w:sz w:val="18"/>
                <w:szCs w:val="18"/>
              </w:rPr>
            </w:pPr>
            <w:r w:rsidRPr="006070EA">
              <w:rPr>
                <w:rFonts w:asciiTheme="majorHAnsi" w:hAnsiTheme="majorHAnsi" w:cstheme="majorHAnsi"/>
                <w:i/>
                <w:sz w:val="18"/>
                <w:szCs w:val="18"/>
              </w:rPr>
              <w:t>zvýšené požadavky v souvislosti s</w:t>
            </w:r>
            <w:r w:rsidR="00140D2A" w:rsidRPr="006070EA">
              <w:rPr>
                <w:rFonts w:asciiTheme="majorHAnsi" w:hAnsiTheme="majorHAnsi" w:cstheme="majorHAnsi"/>
                <w:i/>
                <w:sz w:val="18"/>
                <w:szCs w:val="18"/>
              </w:rPr>
              <w:t xml:space="preserve"> blízkostí metropolitní oblasti a dostupností nadřazených správní center </w:t>
            </w:r>
          </w:p>
        </w:tc>
        <w:tc>
          <w:tcPr>
            <w:tcW w:w="1914" w:type="dxa"/>
            <w:vAlign w:val="center"/>
          </w:tcPr>
          <w:p w14:paraId="1C481A42" w14:textId="7BF7CD39" w:rsidR="00891241" w:rsidRPr="006070EA" w:rsidRDefault="00140D2A" w:rsidP="009E07E1">
            <w:pPr>
              <w:spacing w:after="0" w:line="240" w:lineRule="auto"/>
              <w:jc w:val="center"/>
              <w:rPr>
                <w:rFonts w:asciiTheme="majorHAnsi" w:hAnsiTheme="majorHAnsi" w:cstheme="majorHAnsi"/>
                <w:snapToGrid w:val="0"/>
                <w:sz w:val="18"/>
                <w:szCs w:val="18"/>
              </w:rPr>
            </w:pPr>
            <w:r w:rsidRPr="006070EA">
              <w:rPr>
                <w:rFonts w:asciiTheme="majorHAnsi" w:hAnsiTheme="majorHAnsi" w:cstheme="majorHAnsi"/>
                <w:snapToGrid w:val="0"/>
                <w:sz w:val="18"/>
                <w:szCs w:val="18"/>
              </w:rPr>
              <w:t>20</w:t>
            </w:r>
          </w:p>
        </w:tc>
        <w:tc>
          <w:tcPr>
            <w:tcW w:w="4394" w:type="dxa"/>
            <w:vAlign w:val="center"/>
          </w:tcPr>
          <w:p w14:paraId="31463A16" w14:textId="77777777" w:rsidR="00891241" w:rsidRPr="006070EA" w:rsidRDefault="00F50E2C" w:rsidP="00F50E2C">
            <w:pPr>
              <w:spacing w:after="0" w:line="240" w:lineRule="auto"/>
              <w:rPr>
                <w:rFonts w:asciiTheme="majorHAnsi" w:hAnsiTheme="majorHAnsi" w:cstheme="majorHAnsi"/>
                <w:snapToGrid w:val="0"/>
                <w:sz w:val="18"/>
                <w:szCs w:val="18"/>
              </w:rPr>
            </w:pPr>
            <w:r w:rsidRPr="006070EA">
              <w:rPr>
                <w:rFonts w:asciiTheme="majorHAnsi" w:hAnsiTheme="majorHAnsi" w:cstheme="majorHAnsi"/>
                <w:snapToGrid w:val="0"/>
                <w:sz w:val="18"/>
                <w:szCs w:val="18"/>
              </w:rPr>
              <w:t>Obec se nachází v</w:t>
            </w:r>
            <w:r w:rsidR="00140D2A" w:rsidRPr="006070EA">
              <w:rPr>
                <w:rFonts w:asciiTheme="majorHAnsi" w:hAnsiTheme="majorHAnsi" w:cstheme="majorHAnsi"/>
                <w:snapToGrid w:val="0"/>
                <w:sz w:val="18"/>
                <w:szCs w:val="18"/>
              </w:rPr>
              <w:t> dostupnosti hlavního města a v sousedství nadřazených center – sídlo ORP Nymburk, města Lysá nad Labem, Poděbrady, Milovice ad.</w:t>
            </w:r>
          </w:p>
          <w:p w14:paraId="15241418" w14:textId="3EC2A4E8" w:rsidR="00140D2A" w:rsidRPr="006070EA" w:rsidRDefault="00140D2A" w:rsidP="00F50E2C">
            <w:pPr>
              <w:spacing w:after="0" w:line="240" w:lineRule="auto"/>
              <w:rPr>
                <w:rFonts w:asciiTheme="majorHAnsi" w:hAnsiTheme="majorHAnsi" w:cstheme="majorHAnsi"/>
                <w:snapToGrid w:val="0"/>
                <w:sz w:val="18"/>
                <w:szCs w:val="18"/>
              </w:rPr>
            </w:pPr>
            <w:r w:rsidRPr="006070EA">
              <w:rPr>
                <w:rFonts w:asciiTheme="majorHAnsi" w:hAnsiTheme="majorHAnsi" w:cstheme="majorHAnsi"/>
                <w:snapToGrid w:val="0"/>
                <w:sz w:val="18"/>
                <w:szCs w:val="18"/>
              </w:rPr>
              <w:t>Blízkost dopravní tepny nadregionálního významu D11</w:t>
            </w:r>
          </w:p>
        </w:tc>
      </w:tr>
      <w:tr w:rsidR="00140D2A" w:rsidRPr="006070EA" w14:paraId="703B022F" w14:textId="77777777" w:rsidTr="009D4634">
        <w:trPr>
          <w:trHeight w:val="283"/>
        </w:trPr>
        <w:tc>
          <w:tcPr>
            <w:tcW w:w="2764" w:type="dxa"/>
            <w:vAlign w:val="center"/>
          </w:tcPr>
          <w:p w14:paraId="06B5596E" w14:textId="77777777" w:rsidR="00DF5372" w:rsidRPr="006070EA" w:rsidRDefault="00DF5372" w:rsidP="009E07E1">
            <w:pPr>
              <w:pStyle w:val="Zkladntext2"/>
              <w:spacing w:after="0" w:line="240" w:lineRule="auto"/>
              <w:rPr>
                <w:rFonts w:asciiTheme="majorHAnsi" w:hAnsiTheme="majorHAnsi" w:cstheme="majorHAnsi"/>
                <w:i/>
                <w:sz w:val="18"/>
                <w:szCs w:val="18"/>
              </w:rPr>
            </w:pPr>
            <w:r w:rsidRPr="006070EA">
              <w:rPr>
                <w:rFonts w:asciiTheme="majorHAnsi" w:hAnsiTheme="majorHAnsi" w:cstheme="majorHAnsi"/>
                <w:i/>
                <w:sz w:val="18"/>
                <w:szCs w:val="18"/>
              </w:rPr>
              <w:t>odpad bytů</w:t>
            </w:r>
            <w:r w:rsidR="0033322E" w:rsidRPr="006070EA">
              <w:rPr>
                <w:rFonts w:asciiTheme="majorHAnsi" w:hAnsiTheme="majorHAnsi" w:cstheme="majorHAnsi"/>
                <w:i/>
                <w:sz w:val="18"/>
                <w:szCs w:val="18"/>
              </w:rPr>
              <w:t>, nechtěné soužití, zvýšení kvality bydlení</w:t>
            </w:r>
          </w:p>
        </w:tc>
        <w:tc>
          <w:tcPr>
            <w:tcW w:w="1914" w:type="dxa"/>
            <w:vAlign w:val="center"/>
          </w:tcPr>
          <w:p w14:paraId="763487A8" w14:textId="293E770F" w:rsidR="00DF5372" w:rsidRPr="006070EA" w:rsidRDefault="00A10CD0" w:rsidP="009E07E1">
            <w:pPr>
              <w:spacing w:after="0" w:line="240" w:lineRule="auto"/>
              <w:jc w:val="center"/>
              <w:rPr>
                <w:rFonts w:asciiTheme="majorHAnsi" w:hAnsiTheme="majorHAnsi" w:cstheme="majorHAnsi"/>
                <w:snapToGrid w:val="0"/>
                <w:sz w:val="18"/>
                <w:szCs w:val="18"/>
              </w:rPr>
            </w:pPr>
            <w:r w:rsidRPr="006070EA">
              <w:rPr>
                <w:rFonts w:asciiTheme="majorHAnsi" w:hAnsiTheme="majorHAnsi" w:cstheme="majorHAnsi"/>
                <w:snapToGrid w:val="0"/>
                <w:sz w:val="18"/>
                <w:szCs w:val="18"/>
              </w:rPr>
              <w:t>17</w:t>
            </w:r>
          </w:p>
        </w:tc>
        <w:tc>
          <w:tcPr>
            <w:tcW w:w="4394" w:type="dxa"/>
            <w:vAlign w:val="center"/>
          </w:tcPr>
          <w:p w14:paraId="584528CC" w14:textId="2844824F" w:rsidR="00DF5372" w:rsidRPr="006070EA" w:rsidRDefault="00A10CD0" w:rsidP="009E07E1">
            <w:pPr>
              <w:spacing w:after="0" w:line="240" w:lineRule="auto"/>
              <w:rPr>
                <w:rFonts w:asciiTheme="majorHAnsi" w:hAnsiTheme="majorHAnsi" w:cstheme="majorHAnsi"/>
                <w:snapToGrid w:val="0"/>
                <w:sz w:val="18"/>
                <w:szCs w:val="18"/>
              </w:rPr>
            </w:pPr>
            <w:r w:rsidRPr="006070EA">
              <w:rPr>
                <w:rFonts w:asciiTheme="majorHAnsi" w:hAnsiTheme="majorHAnsi" w:cstheme="majorHAnsi"/>
                <w:snapToGrid w:val="0"/>
                <w:sz w:val="18"/>
                <w:szCs w:val="18"/>
              </w:rPr>
              <w:t>20</w:t>
            </w:r>
            <w:r w:rsidR="00140D2A" w:rsidRPr="006070EA">
              <w:rPr>
                <w:rFonts w:asciiTheme="majorHAnsi" w:hAnsiTheme="majorHAnsi" w:cstheme="majorHAnsi"/>
                <w:snapToGrid w:val="0"/>
                <w:sz w:val="18"/>
                <w:szCs w:val="18"/>
              </w:rPr>
              <w:t xml:space="preserve"> % z celkové potřeby</w:t>
            </w:r>
          </w:p>
        </w:tc>
      </w:tr>
      <w:tr w:rsidR="00F75D8C" w:rsidRPr="006070EA" w14:paraId="23DC1532" w14:textId="77777777" w:rsidTr="009D4634">
        <w:trPr>
          <w:trHeight w:val="283"/>
        </w:trPr>
        <w:tc>
          <w:tcPr>
            <w:tcW w:w="2764" w:type="dxa"/>
            <w:vAlign w:val="center"/>
          </w:tcPr>
          <w:p w14:paraId="22CFAA61" w14:textId="77777777" w:rsidR="00DF5372" w:rsidRPr="006070EA" w:rsidRDefault="00DF5372" w:rsidP="009E07E1">
            <w:pPr>
              <w:pStyle w:val="Zkladntext2"/>
              <w:spacing w:after="0" w:line="240" w:lineRule="auto"/>
              <w:rPr>
                <w:rFonts w:asciiTheme="majorHAnsi" w:hAnsiTheme="majorHAnsi" w:cstheme="majorHAnsi"/>
                <w:b/>
                <w:i/>
                <w:sz w:val="18"/>
                <w:szCs w:val="18"/>
              </w:rPr>
            </w:pPr>
            <w:r w:rsidRPr="006070EA">
              <w:rPr>
                <w:rFonts w:asciiTheme="majorHAnsi" w:hAnsiTheme="majorHAnsi" w:cstheme="majorHAnsi"/>
                <w:b/>
                <w:i/>
                <w:sz w:val="18"/>
                <w:szCs w:val="18"/>
              </w:rPr>
              <w:t>analyzovaná potřeba nových bytů</w:t>
            </w:r>
          </w:p>
        </w:tc>
        <w:tc>
          <w:tcPr>
            <w:tcW w:w="1914" w:type="dxa"/>
            <w:vAlign w:val="center"/>
          </w:tcPr>
          <w:p w14:paraId="13C814E5" w14:textId="3F63596A" w:rsidR="00DF5372" w:rsidRPr="006070EA" w:rsidRDefault="00066294" w:rsidP="009E07E1">
            <w:pPr>
              <w:spacing w:after="0" w:line="240" w:lineRule="auto"/>
              <w:jc w:val="center"/>
              <w:rPr>
                <w:rFonts w:asciiTheme="majorHAnsi" w:hAnsiTheme="majorHAnsi" w:cstheme="majorHAnsi"/>
                <w:b/>
                <w:snapToGrid w:val="0"/>
                <w:sz w:val="18"/>
                <w:szCs w:val="18"/>
              </w:rPr>
            </w:pPr>
            <w:r w:rsidRPr="006070EA">
              <w:rPr>
                <w:rFonts w:asciiTheme="majorHAnsi" w:hAnsiTheme="majorHAnsi" w:cstheme="majorHAnsi"/>
                <w:b/>
                <w:snapToGrid w:val="0"/>
                <w:sz w:val="18"/>
                <w:szCs w:val="18"/>
              </w:rPr>
              <w:t>98</w:t>
            </w:r>
          </w:p>
        </w:tc>
        <w:tc>
          <w:tcPr>
            <w:tcW w:w="4394" w:type="dxa"/>
            <w:vAlign w:val="center"/>
          </w:tcPr>
          <w:p w14:paraId="7DD65DDE" w14:textId="77777777" w:rsidR="00DF5372" w:rsidRPr="006070EA" w:rsidRDefault="00DF5372" w:rsidP="009E07E1">
            <w:pPr>
              <w:spacing w:after="0" w:line="240" w:lineRule="auto"/>
              <w:rPr>
                <w:rFonts w:asciiTheme="majorHAnsi" w:hAnsiTheme="majorHAnsi" w:cstheme="majorHAnsi"/>
                <w:snapToGrid w:val="0"/>
                <w:sz w:val="18"/>
                <w:szCs w:val="18"/>
              </w:rPr>
            </w:pPr>
            <w:r w:rsidRPr="006070EA">
              <w:rPr>
                <w:rFonts w:asciiTheme="majorHAnsi" w:hAnsiTheme="majorHAnsi" w:cstheme="majorHAnsi"/>
                <w:snapToGrid w:val="0"/>
                <w:sz w:val="18"/>
                <w:szCs w:val="18"/>
              </w:rPr>
              <w:t>-</w:t>
            </w:r>
          </w:p>
        </w:tc>
      </w:tr>
      <w:tr w:rsidR="00F75D8C" w:rsidRPr="006070EA" w14:paraId="15AD160B" w14:textId="77777777" w:rsidTr="009D4634">
        <w:trPr>
          <w:trHeight w:val="283"/>
        </w:trPr>
        <w:tc>
          <w:tcPr>
            <w:tcW w:w="2764" w:type="dxa"/>
            <w:vAlign w:val="center"/>
          </w:tcPr>
          <w:p w14:paraId="4D25E945" w14:textId="1D364265" w:rsidR="00DF5372" w:rsidRPr="006070EA" w:rsidRDefault="005E10B5" w:rsidP="009E07E1">
            <w:pPr>
              <w:pStyle w:val="Zkladntext2"/>
              <w:spacing w:after="0" w:line="240" w:lineRule="auto"/>
              <w:rPr>
                <w:rFonts w:asciiTheme="majorHAnsi" w:hAnsiTheme="majorHAnsi" w:cstheme="majorHAnsi"/>
                <w:i/>
                <w:sz w:val="18"/>
                <w:szCs w:val="18"/>
              </w:rPr>
            </w:pPr>
            <w:r w:rsidRPr="006070EA">
              <w:rPr>
                <w:rFonts w:asciiTheme="majorHAnsi" w:hAnsiTheme="majorHAnsi" w:cstheme="majorHAnsi"/>
                <w:i/>
                <w:sz w:val="18"/>
                <w:szCs w:val="18"/>
              </w:rPr>
              <w:t>2</w:t>
            </w:r>
            <w:r w:rsidR="00EB7975" w:rsidRPr="006070EA">
              <w:rPr>
                <w:rFonts w:asciiTheme="majorHAnsi" w:hAnsiTheme="majorHAnsi" w:cstheme="majorHAnsi"/>
                <w:i/>
                <w:sz w:val="18"/>
                <w:szCs w:val="18"/>
              </w:rPr>
              <w:t>0</w:t>
            </w:r>
            <w:r w:rsidR="0033322E" w:rsidRPr="006070EA">
              <w:rPr>
                <w:rFonts w:asciiTheme="majorHAnsi" w:hAnsiTheme="majorHAnsi" w:cstheme="majorHAnsi"/>
                <w:i/>
                <w:sz w:val="18"/>
                <w:szCs w:val="18"/>
              </w:rPr>
              <w:t>% rezerva</w:t>
            </w:r>
          </w:p>
        </w:tc>
        <w:tc>
          <w:tcPr>
            <w:tcW w:w="1914" w:type="dxa"/>
            <w:vAlign w:val="center"/>
          </w:tcPr>
          <w:p w14:paraId="4272C832" w14:textId="613E0DE0" w:rsidR="00DF5372" w:rsidRPr="006070EA" w:rsidRDefault="005E10B5" w:rsidP="00452D5C">
            <w:pPr>
              <w:spacing w:after="0" w:line="240" w:lineRule="auto"/>
              <w:jc w:val="center"/>
              <w:rPr>
                <w:rFonts w:asciiTheme="majorHAnsi" w:hAnsiTheme="majorHAnsi" w:cstheme="majorHAnsi"/>
                <w:snapToGrid w:val="0"/>
                <w:sz w:val="18"/>
                <w:szCs w:val="18"/>
              </w:rPr>
            </w:pPr>
            <w:r w:rsidRPr="006070EA">
              <w:rPr>
                <w:rFonts w:asciiTheme="majorHAnsi" w:hAnsiTheme="majorHAnsi" w:cstheme="majorHAnsi"/>
                <w:snapToGrid w:val="0"/>
                <w:sz w:val="18"/>
                <w:szCs w:val="18"/>
              </w:rPr>
              <w:t>20</w:t>
            </w:r>
          </w:p>
        </w:tc>
        <w:tc>
          <w:tcPr>
            <w:tcW w:w="4394" w:type="dxa"/>
            <w:vAlign w:val="center"/>
          </w:tcPr>
          <w:p w14:paraId="4876EE9F" w14:textId="77777777" w:rsidR="00DF5372" w:rsidRPr="006070EA" w:rsidRDefault="0033322E" w:rsidP="009E07E1">
            <w:pPr>
              <w:spacing w:after="0" w:line="240" w:lineRule="auto"/>
              <w:rPr>
                <w:rFonts w:asciiTheme="majorHAnsi" w:hAnsiTheme="majorHAnsi" w:cstheme="majorHAnsi"/>
                <w:snapToGrid w:val="0"/>
                <w:sz w:val="18"/>
                <w:szCs w:val="18"/>
              </w:rPr>
            </w:pPr>
            <w:r w:rsidRPr="006070EA">
              <w:rPr>
                <w:rFonts w:asciiTheme="majorHAnsi" w:hAnsiTheme="majorHAnsi" w:cstheme="majorHAnsi"/>
                <w:snapToGrid w:val="0"/>
                <w:sz w:val="18"/>
                <w:szCs w:val="18"/>
              </w:rPr>
              <w:t>rezerva je stanovena v souvislosti s možnou vlastnickou nedostupností pozemků, např. vlivem nezájmu vlastníků využít případně nabídnout pozemky pro obytnou výstavbu, vlivem dědických nebo jiných řízení při majetkoprávních změnách</w:t>
            </w:r>
          </w:p>
        </w:tc>
      </w:tr>
      <w:tr w:rsidR="00F75D8C" w:rsidRPr="006070EA" w14:paraId="7C890FA2" w14:textId="77777777" w:rsidTr="009D4634">
        <w:trPr>
          <w:trHeight w:val="283"/>
        </w:trPr>
        <w:tc>
          <w:tcPr>
            <w:tcW w:w="2764" w:type="dxa"/>
            <w:vAlign w:val="center"/>
          </w:tcPr>
          <w:p w14:paraId="2C335407" w14:textId="77777777" w:rsidR="00DF5372" w:rsidRPr="006070EA" w:rsidRDefault="00DF5372" w:rsidP="009E07E1">
            <w:pPr>
              <w:pStyle w:val="Zkladntext2"/>
              <w:spacing w:after="0" w:line="240" w:lineRule="auto"/>
              <w:rPr>
                <w:rFonts w:asciiTheme="majorHAnsi" w:hAnsiTheme="majorHAnsi" w:cstheme="majorHAnsi"/>
                <w:b/>
                <w:i/>
                <w:sz w:val="18"/>
                <w:szCs w:val="18"/>
              </w:rPr>
            </w:pPr>
            <w:r w:rsidRPr="006070EA">
              <w:rPr>
                <w:rFonts w:asciiTheme="majorHAnsi" w:hAnsiTheme="majorHAnsi" w:cstheme="majorHAnsi"/>
                <w:b/>
                <w:i/>
                <w:sz w:val="18"/>
                <w:szCs w:val="18"/>
              </w:rPr>
              <w:t>celková potřeba nových bytů</w:t>
            </w:r>
          </w:p>
        </w:tc>
        <w:tc>
          <w:tcPr>
            <w:tcW w:w="1914" w:type="dxa"/>
            <w:vAlign w:val="center"/>
          </w:tcPr>
          <w:p w14:paraId="482B5494" w14:textId="3ED3F93C" w:rsidR="00DF5372" w:rsidRPr="006070EA" w:rsidRDefault="00066294" w:rsidP="008449DE">
            <w:pPr>
              <w:spacing w:after="0" w:line="240" w:lineRule="auto"/>
              <w:jc w:val="center"/>
              <w:rPr>
                <w:rFonts w:asciiTheme="majorHAnsi" w:hAnsiTheme="majorHAnsi" w:cstheme="majorHAnsi"/>
                <w:b/>
                <w:snapToGrid w:val="0"/>
                <w:sz w:val="18"/>
                <w:szCs w:val="18"/>
              </w:rPr>
            </w:pPr>
            <w:r w:rsidRPr="006070EA">
              <w:rPr>
                <w:rFonts w:asciiTheme="majorHAnsi" w:hAnsiTheme="majorHAnsi" w:cstheme="majorHAnsi"/>
                <w:b/>
                <w:snapToGrid w:val="0"/>
                <w:sz w:val="18"/>
                <w:szCs w:val="18"/>
              </w:rPr>
              <w:t>1</w:t>
            </w:r>
            <w:r w:rsidR="005E10B5" w:rsidRPr="006070EA">
              <w:rPr>
                <w:rFonts w:asciiTheme="majorHAnsi" w:hAnsiTheme="majorHAnsi" w:cstheme="majorHAnsi"/>
                <w:b/>
                <w:snapToGrid w:val="0"/>
                <w:sz w:val="18"/>
                <w:szCs w:val="18"/>
              </w:rPr>
              <w:t>1</w:t>
            </w:r>
            <w:r w:rsidRPr="006070EA">
              <w:rPr>
                <w:rFonts w:asciiTheme="majorHAnsi" w:hAnsiTheme="majorHAnsi" w:cstheme="majorHAnsi"/>
                <w:b/>
                <w:snapToGrid w:val="0"/>
                <w:sz w:val="18"/>
                <w:szCs w:val="18"/>
              </w:rPr>
              <w:t>8</w:t>
            </w:r>
          </w:p>
        </w:tc>
        <w:tc>
          <w:tcPr>
            <w:tcW w:w="4394" w:type="dxa"/>
            <w:vAlign w:val="center"/>
          </w:tcPr>
          <w:p w14:paraId="415888E8" w14:textId="77777777" w:rsidR="009F1979" w:rsidRPr="006070EA" w:rsidRDefault="008449DE" w:rsidP="009E07E1">
            <w:pPr>
              <w:spacing w:after="0" w:line="240" w:lineRule="auto"/>
              <w:rPr>
                <w:rFonts w:asciiTheme="majorHAnsi" w:hAnsiTheme="majorHAnsi" w:cstheme="majorHAnsi"/>
                <w:snapToGrid w:val="0"/>
                <w:sz w:val="18"/>
                <w:szCs w:val="18"/>
              </w:rPr>
            </w:pPr>
            <w:r w:rsidRPr="006070EA">
              <w:rPr>
                <w:rFonts w:asciiTheme="majorHAnsi" w:hAnsiTheme="majorHAnsi" w:cstheme="majorHAnsi"/>
                <w:snapToGrid w:val="0"/>
                <w:sz w:val="18"/>
                <w:szCs w:val="18"/>
              </w:rPr>
              <w:t>-</w:t>
            </w:r>
          </w:p>
        </w:tc>
      </w:tr>
    </w:tbl>
    <w:p w14:paraId="3129B483" w14:textId="5A96AC11" w:rsidR="00DF5372" w:rsidRPr="006070EA" w:rsidRDefault="00DF5372" w:rsidP="00654835">
      <w:pPr>
        <w:pStyle w:val="Atext"/>
        <w:keepNext/>
        <w:rPr>
          <w:rFonts w:asciiTheme="majorHAnsi" w:hAnsiTheme="majorHAnsi" w:cstheme="majorHAnsi"/>
          <w:szCs w:val="18"/>
        </w:rPr>
      </w:pPr>
      <w:r w:rsidRPr="006070EA">
        <w:rPr>
          <w:rFonts w:asciiTheme="majorHAnsi" w:hAnsiTheme="majorHAnsi" w:cstheme="majorHAnsi"/>
          <w:szCs w:val="18"/>
        </w:rPr>
        <w:t>V následujícím přehledu je konfrontována vyhodnocená potřeba vymezení zastavitelných ploch a</w:t>
      </w:r>
      <w:r w:rsidR="0033322E" w:rsidRPr="006070EA">
        <w:rPr>
          <w:rFonts w:asciiTheme="majorHAnsi" w:hAnsiTheme="majorHAnsi" w:cstheme="majorHAnsi"/>
          <w:szCs w:val="18"/>
        </w:rPr>
        <w:t> </w:t>
      </w:r>
      <w:r w:rsidRPr="006070EA">
        <w:rPr>
          <w:rFonts w:asciiTheme="majorHAnsi" w:hAnsiTheme="majorHAnsi" w:cstheme="majorHAnsi"/>
          <w:szCs w:val="18"/>
        </w:rPr>
        <w:t xml:space="preserve">rozsah zastavitelných ploch bydlení v ÚP </w:t>
      </w:r>
      <w:r w:rsidR="00F75D8C" w:rsidRPr="006070EA">
        <w:rPr>
          <w:rFonts w:asciiTheme="majorHAnsi" w:hAnsiTheme="majorHAnsi" w:cstheme="majorHAnsi"/>
          <w:szCs w:val="18"/>
        </w:rPr>
        <w:t>Kostomlaty nad Labem</w:t>
      </w:r>
      <w:r w:rsidRPr="006070EA">
        <w:rPr>
          <w:rFonts w:asciiTheme="majorHAnsi" w:hAnsiTheme="majorHAnsi" w:cstheme="majorHAnsi"/>
          <w:szCs w:val="18"/>
        </w:rPr>
        <w:t xml:space="preserve">: </w:t>
      </w:r>
    </w:p>
    <w:tbl>
      <w:tblPr>
        <w:tblW w:w="9072" w:type="dxa"/>
        <w:tblInd w:w="108" w:type="dxa"/>
        <w:tblBorders>
          <w:insideH w:val="single" w:sz="4" w:space="0" w:color="auto"/>
          <w:insideV w:val="single" w:sz="4" w:space="0" w:color="auto"/>
        </w:tblBorders>
        <w:tblLook w:val="04A0" w:firstRow="1" w:lastRow="0" w:firstColumn="1" w:lastColumn="0" w:noHBand="0" w:noVBand="1"/>
      </w:tblPr>
      <w:tblGrid>
        <w:gridCol w:w="7938"/>
        <w:gridCol w:w="1134"/>
      </w:tblGrid>
      <w:tr w:rsidR="00A10CD0" w:rsidRPr="00A76411" w14:paraId="3ECEE51A" w14:textId="77777777" w:rsidTr="001610B6">
        <w:trPr>
          <w:cantSplit/>
          <w:trHeight w:val="283"/>
        </w:trPr>
        <w:tc>
          <w:tcPr>
            <w:tcW w:w="7938" w:type="dxa"/>
            <w:tcBorders>
              <w:top w:val="nil"/>
              <w:left w:val="nil"/>
              <w:bottom w:val="single" w:sz="12" w:space="0" w:color="auto"/>
              <w:right w:val="single" w:sz="12" w:space="0" w:color="auto"/>
            </w:tcBorders>
            <w:vAlign w:val="center"/>
          </w:tcPr>
          <w:p w14:paraId="27FEC668" w14:textId="389EFCF7" w:rsidR="00DF5372" w:rsidRPr="00A76411" w:rsidRDefault="00DF5372" w:rsidP="009E07E1">
            <w:pPr>
              <w:keepNext/>
              <w:spacing w:after="0" w:line="240" w:lineRule="auto"/>
              <w:rPr>
                <w:rFonts w:asciiTheme="majorHAnsi" w:hAnsiTheme="majorHAnsi" w:cstheme="majorHAnsi"/>
                <w:b/>
                <w:i/>
                <w:snapToGrid w:val="0"/>
                <w:sz w:val="18"/>
                <w:szCs w:val="18"/>
              </w:rPr>
            </w:pPr>
            <w:r w:rsidRPr="00A76411">
              <w:rPr>
                <w:rFonts w:asciiTheme="majorHAnsi" w:hAnsiTheme="majorHAnsi" w:cstheme="majorHAnsi"/>
                <w:b/>
                <w:i/>
                <w:snapToGrid w:val="0"/>
                <w:sz w:val="18"/>
                <w:szCs w:val="18"/>
              </w:rPr>
              <w:t xml:space="preserve">rozsah </w:t>
            </w:r>
            <w:r w:rsidR="00452D5C" w:rsidRPr="00A76411">
              <w:rPr>
                <w:rFonts w:asciiTheme="majorHAnsi" w:hAnsiTheme="majorHAnsi" w:cstheme="majorHAnsi"/>
                <w:b/>
                <w:i/>
                <w:snapToGrid w:val="0"/>
                <w:sz w:val="18"/>
                <w:szCs w:val="18"/>
              </w:rPr>
              <w:t>rozvojových</w:t>
            </w:r>
            <w:r w:rsidRPr="00A76411">
              <w:rPr>
                <w:rFonts w:asciiTheme="majorHAnsi" w:hAnsiTheme="majorHAnsi" w:cstheme="majorHAnsi"/>
                <w:b/>
                <w:i/>
                <w:snapToGrid w:val="0"/>
                <w:sz w:val="18"/>
                <w:szCs w:val="18"/>
              </w:rPr>
              <w:t xml:space="preserve"> ploch </w:t>
            </w:r>
            <w:r w:rsidR="00452D5C" w:rsidRPr="00A76411">
              <w:rPr>
                <w:rFonts w:asciiTheme="majorHAnsi" w:hAnsiTheme="majorHAnsi" w:cstheme="majorHAnsi"/>
                <w:b/>
                <w:i/>
                <w:snapToGrid w:val="0"/>
                <w:sz w:val="18"/>
                <w:szCs w:val="18"/>
              </w:rPr>
              <w:t xml:space="preserve">pro bydlení </w:t>
            </w:r>
            <w:r w:rsidRPr="00A76411">
              <w:rPr>
                <w:rFonts w:asciiTheme="majorHAnsi" w:hAnsiTheme="majorHAnsi" w:cstheme="majorHAnsi"/>
                <w:b/>
                <w:i/>
                <w:snapToGrid w:val="0"/>
                <w:sz w:val="18"/>
                <w:szCs w:val="18"/>
              </w:rPr>
              <w:t xml:space="preserve">v ÚP </w:t>
            </w:r>
            <w:r w:rsidR="00F75D8C" w:rsidRPr="00A76411">
              <w:rPr>
                <w:rFonts w:asciiTheme="majorHAnsi" w:hAnsiTheme="majorHAnsi" w:cstheme="majorHAnsi"/>
                <w:b/>
                <w:i/>
                <w:snapToGrid w:val="0"/>
                <w:sz w:val="18"/>
                <w:szCs w:val="18"/>
              </w:rPr>
              <w:t>Kostomlaty nad Labem</w:t>
            </w:r>
            <w:r w:rsidRPr="00A76411">
              <w:rPr>
                <w:rFonts w:asciiTheme="majorHAnsi" w:hAnsiTheme="majorHAnsi" w:cstheme="majorHAnsi"/>
                <w:b/>
                <w:i/>
                <w:snapToGrid w:val="0"/>
                <w:sz w:val="18"/>
                <w:szCs w:val="18"/>
              </w:rPr>
              <w:t xml:space="preserve"> (</w:t>
            </w:r>
            <w:r w:rsidR="0033322E" w:rsidRPr="00A76411">
              <w:rPr>
                <w:rFonts w:asciiTheme="majorHAnsi" w:hAnsiTheme="majorHAnsi" w:cstheme="majorHAnsi"/>
                <w:b/>
                <w:i/>
                <w:snapToGrid w:val="0"/>
                <w:sz w:val="18"/>
                <w:szCs w:val="18"/>
              </w:rPr>
              <w:t>m</w:t>
            </w:r>
            <w:r w:rsidR="0033322E" w:rsidRPr="00A76411">
              <w:rPr>
                <w:rFonts w:asciiTheme="majorHAnsi" w:hAnsiTheme="majorHAnsi" w:cstheme="majorHAnsi"/>
                <w:b/>
                <w:i/>
                <w:snapToGrid w:val="0"/>
                <w:sz w:val="18"/>
                <w:szCs w:val="18"/>
                <w:vertAlign w:val="superscript"/>
              </w:rPr>
              <w:t>2</w:t>
            </w:r>
            <w:r w:rsidRPr="00A76411">
              <w:rPr>
                <w:rFonts w:asciiTheme="majorHAnsi" w:hAnsiTheme="majorHAnsi" w:cstheme="majorHAnsi"/>
                <w:b/>
                <w:i/>
                <w:snapToGrid w:val="0"/>
                <w:sz w:val="18"/>
                <w:szCs w:val="18"/>
              </w:rPr>
              <w:t>)</w:t>
            </w:r>
          </w:p>
          <w:p w14:paraId="740E3BD3" w14:textId="0998EF2E" w:rsidR="00DF5372" w:rsidRPr="00A76411" w:rsidRDefault="00DF5372" w:rsidP="009E07E1">
            <w:pPr>
              <w:keepNext/>
              <w:spacing w:after="0" w:line="240" w:lineRule="auto"/>
              <w:rPr>
                <w:rFonts w:asciiTheme="majorHAnsi" w:hAnsiTheme="majorHAnsi" w:cstheme="majorHAnsi"/>
                <w:i/>
                <w:sz w:val="18"/>
                <w:szCs w:val="18"/>
              </w:rPr>
            </w:pPr>
            <w:r w:rsidRPr="00A76411">
              <w:rPr>
                <w:rFonts w:asciiTheme="majorHAnsi" w:hAnsiTheme="majorHAnsi" w:cstheme="majorHAnsi"/>
                <w:i/>
                <w:snapToGrid w:val="0"/>
                <w:sz w:val="18"/>
                <w:szCs w:val="18"/>
              </w:rPr>
              <w:t>(započtena je celková výměra zastavitelných ploch zařazených do ploch s rozdílným způsobem využití B</w:t>
            </w:r>
            <w:r w:rsidR="00F75D8C" w:rsidRPr="00A76411">
              <w:rPr>
                <w:rFonts w:asciiTheme="majorHAnsi" w:hAnsiTheme="majorHAnsi" w:cstheme="majorHAnsi"/>
                <w:i/>
                <w:snapToGrid w:val="0"/>
                <w:sz w:val="18"/>
                <w:szCs w:val="18"/>
              </w:rPr>
              <w:t>I</w:t>
            </w:r>
            <w:r w:rsidRPr="00A76411">
              <w:rPr>
                <w:rFonts w:asciiTheme="majorHAnsi" w:hAnsiTheme="majorHAnsi" w:cstheme="majorHAnsi"/>
                <w:i/>
                <w:snapToGrid w:val="0"/>
                <w:sz w:val="18"/>
                <w:szCs w:val="18"/>
              </w:rPr>
              <w:t xml:space="preserve"> – bydlení – v rodinných domech – </w:t>
            </w:r>
            <w:r w:rsidR="00F75D8C" w:rsidRPr="00A76411">
              <w:rPr>
                <w:rFonts w:asciiTheme="majorHAnsi" w:hAnsiTheme="majorHAnsi" w:cstheme="majorHAnsi"/>
                <w:i/>
                <w:snapToGrid w:val="0"/>
                <w:sz w:val="18"/>
                <w:szCs w:val="18"/>
              </w:rPr>
              <w:t xml:space="preserve">městské a příměstské </w:t>
            </w:r>
            <w:r w:rsidR="00891241" w:rsidRPr="00A76411">
              <w:rPr>
                <w:rFonts w:asciiTheme="majorHAnsi" w:hAnsiTheme="majorHAnsi" w:cstheme="majorHAnsi"/>
                <w:i/>
                <w:snapToGrid w:val="0"/>
                <w:sz w:val="18"/>
                <w:szCs w:val="18"/>
              </w:rPr>
              <w:t>a SV – smíšené obytné – venkovské</w:t>
            </w:r>
            <w:r w:rsidRPr="00A76411">
              <w:rPr>
                <w:rFonts w:asciiTheme="majorHAnsi" w:hAnsiTheme="majorHAnsi" w:cstheme="majorHAnsi"/>
                <w:i/>
                <w:snapToGrid w:val="0"/>
                <w:sz w:val="18"/>
                <w:szCs w:val="18"/>
              </w:rPr>
              <w:t>)</w:t>
            </w:r>
          </w:p>
        </w:tc>
        <w:tc>
          <w:tcPr>
            <w:tcW w:w="1134" w:type="dxa"/>
            <w:tcBorders>
              <w:top w:val="nil"/>
              <w:left w:val="single" w:sz="12" w:space="0" w:color="auto"/>
              <w:bottom w:val="single" w:sz="4" w:space="0" w:color="auto"/>
            </w:tcBorders>
            <w:vAlign w:val="center"/>
          </w:tcPr>
          <w:p w14:paraId="611A08C2" w14:textId="24392C72" w:rsidR="00DF5372" w:rsidRPr="00A76411" w:rsidRDefault="00DD53D3" w:rsidP="009E07E1">
            <w:pPr>
              <w:keepNext/>
              <w:spacing w:after="0" w:line="240" w:lineRule="auto"/>
              <w:jc w:val="center"/>
              <w:rPr>
                <w:rFonts w:asciiTheme="majorHAnsi" w:hAnsiTheme="majorHAnsi" w:cstheme="majorHAnsi"/>
                <w:b/>
                <w:snapToGrid w:val="0"/>
                <w:sz w:val="18"/>
                <w:szCs w:val="18"/>
              </w:rPr>
            </w:pPr>
            <w:r w:rsidRPr="00A76411">
              <w:rPr>
                <w:rFonts w:asciiTheme="majorHAnsi" w:hAnsiTheme="majorHAnsi" w:cstheme="majorHAnsi"/>
                <w:b/>
                <w:snapToGrid w:val="0"/>
                <w:sz w:val="18"/>
                <w:szCs w:val="18"/>
              </w:rPr>
              <w:t>183 226</w:t>
            </w:r>
          </w:p>
        </w:tc>
      </w:tr>
      <w:tr w:rsidR="00A10CD0" w:rsidRPr="00A76411" w14:paraId="35F8AE7C" w14:textId="77777777" w:rsidTr="001610B6">
        <w:trPr>
          <w:cantSplit/>
          <w:trHeight w:val="283"/>
        </w:trPr>
        <w:tc>
          <w:tcPr>
            <w:tcW w:w="7938" w:type="dxa"/>
            <w:tcBorders>
              <w:top w:val="single" w:sz="12" w:space="0" w:color="auto"/>
              <w:bottom w:val="single" w:sz="12" w:space="0" w:color="auto"/>
              <w:right w:val="single" w:sz="12" w:space="0" w:color="auto"/>
            </w:tcBorders>
            <w:vAlign w:val="center"/>
          </w:tcPr>
          <w:p w14:paraId="2237DC21" w14:textId="77777777" w:rsidR="00DF5372" w:rsidRPr="00A76411" w:rsidRDefault="00DF5372" w:rsidP="009E07E1">
            <w:pPr>
              <w:pStyle w:val="Zkladntext2"/>
              <w:spacing w:after="0" w:line="240" w:lineRule="auto"/>
              <w:rPr>
                <w:rFonts w:asciiTheme="majorHAnsi" w:hAnsiTheme="majorHAnsi" w:cstheme="majorHAnsi"/>
                <w:b/>
                <w:i/>
                <w:sz w:val="18"/>
                <w:szCs w:val="18"/>
              </w:rPr>
            </w:pPr>
            <w:r w:rsidRPr="00A76411">
              <w:rPr>
                <w:rFonts w:asciiTheme="majorHAnsi" w:hAnsiTheme="majorHAnsi" w:cstheme="majorHAnsi"/>
                <w:b/>
                <w:i/>
                <w:sz w:val="18"/>
                <w:szCs w:val="18"/>
              </w:rPr>
              <w:t>rozsah zastavitelných ploch využitelný pro výstavbu RD (</w:t>
            </w:r>
            <w:r w:rsidR="004A734E" w:rsidRPr="00A76411">
              <w:rPr>
                <w:rFonts w:asciiTheme="majorHAnsi" w:hAnsiTheme="majorHAnsi" w:cstheme="majorHAnsi"/>
                <w:b/>
                <w:i/>
                <w:snapToGrid w:val="0"/>
                <w:sz w:val="18"/>
                <w:szCs w:val="18"/>
              </w:rPr>
              <w:t>m</w:t>
            </w:r>
            <w:r w:rsidR="004A734E" w:rsidRPr="00A76411">
              <w:rPr>
                <w:rFonts w:asciiTheme="majorHAnsi" w:hAnsiTheme="majorHAnsi" w:cstheme="majorHAnsi"/>
                <w:b/>
                <w:i/>
                <w:snapToGrid w:val="0"/>
                <w:sz w:val="18"/>
                <w:szCs w:val="18"/>
                <w:vertAlign w:val="superscript"/>
              </w:rPr>
              <w:t>2</w:t>
            </w:r>
            <w:r w:rsidRPr="00A76411">
              <w:rPr>
                <w:rFonts w:asciiTheme="majorHAnsi" w:hAnsiTheme="majorHAnsi" w:cstheme="majorHAnsi"/>
                <w:b/>
                <w:i/>
                <w:sz w:val="18"/>
                <w:szCs w:val="18"/>
              </w:rPr>
              <w:t>)</w:t>
            </w:r>
          </w:p>
          <w:p w14:paraId="5404B4FB" w14:textId="77777777" w:rsidR="00DF5372" w:rsidRPr="00A76411" w:rsidRDefault="00DF5372" w:rsidP="00EB7975">
            <w:pPr>
              <w:pStyle w:val="Zkladntext2"/>
              <w:spacing w:after="0" w:line="240" w:lineRule="auto"/>
              <w:rPr>
                <w:rFonts w:asciiTheme="majorHAnsi" w:hAnsiTheme="majorHAnsi" w:cstheme="majorHAnsi"/>
                <w:i/>
                <w:sz w:val="18"/>
                <w:szCs w:val="18"/>
              </w:rPr>
            </w:pPr>
            <w:r w:rsidRPr="00A76411">
              <w:rPr>
                <w:rFonts w:asciiTheme="majorHAnsi" w:hAnsiTheme="majorHAnsi" w:cstheme="majorHAnsi"/>
                <w:i/>
                <w:sz w:val="18"/>
                <w:szCs w:val="18"/>
              </w:rPr>
              <w:t>(</w:t>
            </w:r>
            <w:r w:rsidR="00EB7975" w:rsidRPr="00A76411">
              <w:rPr>
                <w:rFonts w:asciiTheme="majorHAnsi" w:hAnsiTheme="majorHAnsi" w:cstheme="majorHAnsi"/>
                <w:i/>
                <w:sz w:val="18"/>
                <w:szCs w:val="18"/>
              </w:rPr>
              <w:t>70</w:t>
            </w:r>
            <w:r w:rsidR="0033322E" w:rsidRPr="00A76411">
              <w:rPr>
                <w:rFonts w:asciiTheme="majorHAnsi" w:hAnsiTheme="majorHAnsi" w:cstheme="majorHAnsi"/>
                <w:i/>
                <w:sz w:val="18"/>
                <w:szCs w:val="18"/>
              </w:rPr>
              <w:t xml:space="preserve"> </w:t>
            </w:r>
            <w:r w:rsidRPr="00A76411">
              <w:rPr>
                <w:rFonts w:asciiTheme="majorHAnsi" w:hAnsiTheme="majorHAnsi" w:cstheme="majorHAnsi"/>
                <w:i/>
                <w:sz w:val="18"/>
                <w:szCs w:val="18"/>
              </w:rPr>
              <w:t xml:space="preserve">% z celkového rozsahu; </w:t>
            </w:r>
            <w:r w:rsidR="00891241" w:rsidRPr="00A76411">
              <w:rPr>
                <w:rFonts w:asciiTheme="majorHAnsi" w:hAnsiTheme="majorHAnsi" w:cstheme="majorHAnsi"/>
                <w:i/>
                <w:sz w:val="18"/>
                <w:szCs w:val="18"/>
              </w:rPr>
              <w:t>3</w:t>
            </w:r>
            <w:r w:rsidRPr="00A76411">
              <w:rPr>
                <w:rFonts w:asciiTheme="majorHAnsi" w:hAnsiTheme="majorHAnsi" w:cstheme="majorHAnsi"/>
                <w:i/>
                <w:sz w:val="18"/>
                <w:szCs w:val="18"/>
              </w:rPr>
              <w:t>0</w:t>
            </w:r>
            <w:r w:rsidR="0033322E" w:rsidRPr="00A76411">
              <w:rPr>
                <w:rFonts w:asciiTheme="majorHAnsi" w:hAnsiTheme="majorHAnsi" w:cstheme="majorHAnsi"/>
                <w:i/>
                <w:sz w:val="18"/>
                <w:szCs w:val="18"/>
              </w:rPr>
              <w:t xml:space="preserve"> </w:t>
            </w:r>
            <w:r w:rsidRPr="00A76411">
              <w:rPr>
                <w:rFonts w:asciiTheme="majorHAnsi" w:hAnsiTheme="majorHAnsi" w:cstheme="majorHAnsi"/>
                <w:i/>
                <w:sz w:val="18"/>
                <w:szCs w:val="18"/>
              </w:rPr>
              <w:t>% bude využito pro související stavby a zařízení – přístupové komunikace, veřejná prostranství, technickou infrastrukturu, veřejnou, ochrannou či izolační zeleň, případně drobná zařízení občanského vybavení)</w:t>
            </w:r>
          </w:p>
        </w:tc>
        <w:tc>
          <w:tcPr>
            <w:tcW w:w="1134" w:type="dxa"/>
            <w:tcBorders>
              <w:top w:val="single" w:sz="4" w:space="0" w:color="auto"/>
              <w:left w:val="single" w:sz="12" w:space="0" w:color="auto"/>
              <w:bottom w:val="single" w:sz="4" w:space="0" w:color="auto"/>
            </w:tcBorders>
            <w:vAlign w:val="center"/>
          </w:tcPr>
          <w:p w14:paraId="539FD69A" w14:textId="2E4B9096" w:rsidR="00DF5372" w:rsidRPr="00A76411" w:rsidRDefault="00BD56A8" w:rsidP="009E07E1">
            <w:pPr>
              <w:spacing w:after="0" w:line="240" w:lineRule="auto"/>
              <w:jc w:val="center"/>
              <w:rPr>
                <w:rFonts w:asciiTheme="majorHAnsi" w:hAnsiTheme="majorHAnsi" w:cstheme="majorHAnsi"/>
                <w:b/>
                <w:snapToGrid w:val="0"/>
                <w:sz w:val="18"/>
                <w:szCs w:val="18"/>
              </w:rPr>
            </w:pPr>
            <w:r w:rsidRPr="00A76411">
              <w:rPr>
                <w:rFonts w:asciiTheme="majorHAnsi" w:hAnsiTheme="majorHAnsi" w:cstheme="majorHAnsi"/>
                <w:b/>
                <w:snapToGrid w:val="0"/>
                <w:sz w:val="18"/>
                <w:szCs w:val="18"/>
              </w:rPr>
              <w:t>12</w:t>
            </w:r>
            <w:r w:rsidR="00DD53D3" w:rsidRPr="00A76411">
              <w:rPr>
                <w:rFonts w:asciiTheme="majorHAnsi" w:hAnsiTheme="majorHAnsi" w:cstheme="majorHAnsi"/>
                <w:b/>
                <w:snapToGrid w:val="0"/>
                <w:sz w:val="18"/>
                <w:szCs w:val="18"/>
              </w:rPr>
              <w:t>8</w:t>
            </w:r>
            <w:r w:rsidRPr="00A76411">
              <w:rPr>
                <w:rFonts w:asciiTheme="majorHAnsi" w:hAnsiTheme="majorHAnsi" w:cstheme="majorHAnsi"/>
                <w:b/>
                <w:snapToGrid w:val="0"/>
                <w:sz w:val="18"/>
                <w:szCs w:val="18"/>
              </w:rPr>
              <w:t xml:space="preserve"> </w:t>
            </w:r>
            <w:r w:rsidR="00DD53D3" w:rsidRPr="00A76411">
              <w:rPr>
                <w:rFonts w:asciiTheme="majorHAnsi" w:hAnsiTheme="majorHAnsi" w:cstheme="majorHAnsi"/>
                <w:b/>
                <w:snapToGrid w:val="0"/>
                <w:sz w:val="18"/>
                <w:szCs w:val="18"/>
              </w:rPr>
              <w:t>258</w:t>
            </w:r>
          </w:p>
        </w:tc>
      </w:tr>
      <w:tr w:rsidR="00A10CD0" w:rsidRPr="00A76411" w14:paraId="6CBA02B7" w14:textId="77777777" w:rsidTr="001610B6">
        <w:trPr>
          <w:cantSplit/>
          <w:trHeight w:val="283"/>
        </w:trPr>
        <w:tc>
          <w:tcPr>
            <w:tcW w:w="7938" w:type="dxa"/>
            <w:tcBorders>
              <w:top w:val="single" w:sz="12" w:space="0" w:color="auto"/>
              <w:bottom w:val="single" w:sz="12" w:space="0" w:color="auto"/>
              <w:right w:val="single" w:sz="12" w:space="0" w:color="auto"/>
            </w:tcBorders>
            <w:vAlign w:val="center"/>
          </w:tcPr>
          <w:p w14:paraId="204A8B0A" w14:textId="764654C8" w:rsidR="00DF5372" w:rsidRPr="00A76411" w:rsidRDefault="00DF5372" w:rsidP="009E07E1">
            <w:pPr>
              <w:pStyle w:val="Zkladntext2"/>
              <w:spacing w:after="0" w:line="240" w:lineRule="auto"/>
              <w:rPr>
                <w:rFonts w:asciiTheme="majorHAnsi" w:hAnsiTheme="majorHAnsi" w:cstheme="majorHAnsi"/>
                <w:b/>
                <w:i/>
                <w:sz w:val="18"/>
                <w:szCs w:val="18"/>
              </w:rPr>
            </w:pPr>
            <w:r w:rsidRPr="00A76411">
              <w:rPr>
                <w:rFonts w:asciiTheme="majorHAnsi" w:hAnsiTheme="majorHAnsi" w:cstheme="majorHAnsi"/>
                <w:b/>
                <w:i/>
                <w:sz w:val="18"/>
                <w:szCs w:val="18"/>
              </w:rPr>
              <w:t>průměrná výměra pozemku pro výstavbu 1 bytu, resp. 1 RD (</w:t>
            </w:r>
            <w:r w:rsidR="004A734E" w:rsidRPr="00A76411">
              <w:rPr>
                <w:rFonts w:asciiTheme="majorHAnsi" w:hAnsiTheme="majorHAnsi" w:cstheme="majorHAnsi"/>
                <w:b/>
                <w:i/>
                <w:snapToGrid w:val="0"/>
                <w:sz w:val="18"/>
                <w:szCs w:val="18"/>
              </w:rPr>
              <w:t>m</w:t>
            </w:r>
            <w:r w:rsidR="004A734E" w:rsidRPr="00A76411">
              <w:rPr>
                <w:rFonts w:asciiTheme="majorHAnsi" w:hAnsiTheme="majorHAnsi" w:cstheme="majorHAnsi"/>
                <w:b/>
                <w:i/>
                <w:snapToGrid w:val="0"/>
                <w:sz w:val="18"/>
                <w:szCs w:val="18"/>
                <w:vertAlign w:val="superscript"/>
              </w:rPr>
              <w:t>2</w:t>
            </w:r>
            <w:r w:rsidRPr="00A76411">
              <w:rPr>
                <w:rFonts w:asciiTheme="majorHAnsi" w:hAnsiTheme="majorHAnsi" w:cstheme="majorHAnsi"/>
                <w:b/>
                <w:i/>
                <w:sz w:val="18"/>
                <w:szCs w:val="18"/>
              </w:rPr>
              <w:t>)</w:t>
            </w:r>
            <w:r w:rsidR="00EB7975" w:rsidRPr="00A76411">
              <w:rPr>
                <w:rFonts w:asciiTheme="majorHAnsi" w:hAnsiTheme="majorHAnsi" w:cstheme="majorHAnsi"/>
                <w:b/>
                <w:i/>
                <w:sz w:val="18"/>
                <w:szCs w:val="18"/>
              </w:rPr>
              <w:t xml:space="preserve"> v plochách B</w:t>
            </w:r>
            <w:r w:rsidR="00A10CD0" w:rsidRPr="00A76411">
              <w:rPr>
                <w:rFonts w:asciiTheme="majorHAnsi" w:hAnsiTheme="majorHAnsi" w:cstheme="majorHAnsi"/>
                <w:b/>
                <w:i/>
                <w:sz w:val="18"/>
                <w:szCs w:val="18"/>
              </w:rPr>
              <w:t>I</w:t>
            </w:r>
            <w:r w:rsidR="00EB7975" w:rsidRPr="00A76411">
              <w:rPr>
                <w:rFonts w:asciiTheme="majorHAnsi" w:hAnsiTheme="majorHAnsi" w:cstheme="majorHAnsi"/>
                <w:b/>
                <w:i/>
                <w:sz w:val="18"/>
                <w:szCs w:val="18"/>
              </w:rPr>
              <w:t xml:space="preserve"> a SV</w:t>
            </w:r>
          </w:p>
          <w:p w14:paraId="66C4B6C1" w14:textId="0E81638F" w:rsidR="00DF5372" w:rsidRPr="00A76411" w:rsidRDefault="00DF5372" w:rsidP="00EB7975">
            <w:pPr>
              <w:pStyle w:val="Zkladntext2"/>
              <w:spacing w:after="0" w:line="240" w:lineRule="auto"/>
              <w:rPr>
                <w:rFonts w:asciiTheme="majorHAnsi" w:hAnsiTheme="majorHAnsi" w:cstheme="majorHAnsi"/>
                <w:i/>
                <w:sz w:val="18"/>
                <w:szCs w:val="18"/>
              </w:rPr>
            </w:pPr>
            <w:r w:rsidRPr="00A76411">
              <w:rPr>
                <w:rFonts w:asciiTheme="majorHAnsi" w:hAnsiTheme="majorHAnsi" w:cstheme="majorHAnsi"/>
                <w:i/>
                <w:sz w:val="18"/>
                <w:szCs w:val="18"/>
              </w:rPr>
              <w:t xml:space="preserve">(s ohledem na charakter sídla </w:t>
            </w:r>
            <w:r w:rsidR="00A10CD0" w:rsidRPr="00A76411">
              <w:rPr>
                <w:rFonts w:asciiTheme="majorHAnsi" w:hAnsiTheme="majorHAnsi" w:cstheme="majorHAnsi"/>
                <w:i/>
                <w:sz w:val="18"/>
                <w:szCs w:val="18"/>
              </w:rPr>
              <w:t>Kostomlaty nad Labem</w:t>
            </w:r>
            <w:r w:rsidRPr="00A76411">
              <w:rPr>
                <w:rFonts w:asciiTheme="majorHAnsi" w:hAnsiTheme="majorHAnsi" w:cstheme="majorHAnsi"/>
                <w:i/>
                <w:sz w:val="18"/>
                <w:szCs w:val="18"/>
              </w:rPr>
              <w:t xml:space="preserve"> a vývojové trendy v oblasti bydlení je uvažováno s výstavbou nových bytů pouze ve formě rodinných domů s jed</w:t>
            </w:r>
            <w:r w:rsidR="003E2427" w:rsidRPr="00A76411">
              <w:rPr>
                <w:rFonts w:asciiTheme="majorHAnsi" w:hAnsiTheme="majorHAnsi" w:cstheme="majorHAnsi"/>
                <w:i/>
                <w:sz w:val="18"/>
                <w:szCs w:val="18"/>
              </w:rPr>
              <w:t>nou bytovou jednotkou, se</w:t>
            </w:r>
            <w:r w:rsidRPr="00A76411">
              <w:rPr>
                <w:rFonts w:asciiTheme="majorHAnsi" w:hAnsiTheme="majorHAnsi" w:cstheme="majorHAnsi"/>
                <w:i/>
                <w:sz w:val="18"/>
                <w:szCs w:val="18"/>
              </w:rPr>
              <w:t xml:space="preserve"> zahradou zahrnující také případné hospodářské zázemí</w:t>
            </w:r>
            <w:r w:rsidR="00A10CD0" w:rsidRPr="00A76411">
              <w:rPr>
                <w:rFonts w:asciiTheme="majorHAnsi" w:hAnsiTheme="majorHAnsi" w:cstheme="majorHAnsi"/>
                <w:i/>
                <w:sz w:val="18"/>
                <w:szCs w:val="18"/>
              </w:rPr>
              <w:t xml:space="preserve"> – v případě ploch SV</w:t>
            </w:r>
            <w:r w:rsidRPr="00A76411">
              <w:rPr>
                <w:rFonts w:asciiTheme="majorHAnsi" w:hAnsiTheme="majorHAnsi" w:cstheme="majorHAnsi"/>
                <w:i/>
                <w:sz w:val="18"/>
                <w:szCs w:val="18"/>
              </w:rPr>
              <w:t>)</w:t>
            </w:r>
          </w:p>
        </w:tc>
        <w:tc>
          <w:tcPr>
            <w:tcW w:w="1134" w:type="dxa"/>
            <w:tcBorders>
              <w:top w:val="single" w:sz="4" w:space="0" w:color="auto"/>
              <w:left w:val="single" w:sz="12" w:space="0" w:color="auto"/>
              <w:bottom w:val="single" w:sz="4" w:space="0" w:color="auto"/>
            </w:tcBorders>
            <w:vAlign w:val="center"/>
          </w:tcPr>
          <w:p w14:paraId="23A3E5D4" w14:textId="77E7BEA5" w:rsidR="00DF5372" w:rsidRPr="00A76411" w:rsidRDefault="00EB7975" w:rsidP="00452D5C">
            <w:pPr>
              <w:spacing w:after="0" w:line="240" w:lineRule="auto"/>
              <w:jc w:val="center"/>
              <w:rPr>
                <w:rFonts w:asciiTheme="majorHAnsi" w:hAnsiTheme="majorHAnsi" w:cstheme="majorHAnsi"/>
                <w:b/>
                <w:snapToGrid w:val="0"/>
                <w:sz w:val="18"/>
                <w:szCs w:val="18"/>
              </w:rPr>
            </w:pPr>
            <w:r w:rsidRPr="00A76411">
              <w:rPr>
                <w:rFonts w:asciiTheme="majorHAnsi" w:hAnsiTheme="majorHAnsi" w:cstheme="majorHAnsi"/>
                <w:b/>
                <w:snapToGrid w:val="0"/>
                <w:sz w:val="18"/>
                <w:szCs w:val="18"/>
              </w:rPr>
              <w:t>1 </w:t>
            </w:r>
            <w:r w:rsidR="00A10CD0" w:rsidRPr="00A76411">
              <w:rPr>
                <w:rFonts w:asciiTheme="majorHAnsi" w:hAnsiTheme="majorHAnsi" w:cstheme="majorHAnsi"/>
                <w:b/>
                <w:snapToGrid w:val="0"/>
                <w:sz w:val="18"/>
                <w:szCs w:val="18"/>
              </w:rPr>
              <w:t>000</w:t>
            </w:r>
            <w:r w:rsidRPr="00A76411">
              <w:rPr>
                <w:rFonts w:asciiTheme="majorHAnsi" w:hAnsiTheme="majorHAnsi" w:cstheme="majorHAnsi"/>
                <w:b/>
                <w:snapToGrid w:val="0"/>
                <w:sz w:val="18"/>
                <w:szCs w:val="18"/>
              </w:rPr>
              <w:t xml:space="preserve"> (</w:t>
            </w:r>
            <w:r w:rsidR="00BD56A8" w:rsidRPr="00A76411">
              <w:rPr>
                <w:rFonts w:asciiTheme="majorHAnsi" w:hAnsiTheme="majorHAnsi" w:cstheme="majorHAnsi"/>
                <w:b/>
                <w:snapToGrid w:val="0"/>
                <w:sz w:val="18"/>
                <w:szCs w:val="18"/>
              </w:rPr>
              <w:t>BI</w:t>
            </w:r>
            <w:r w:rsidRPr="00A76411">
              <w:rPr>
                <w:rFonts w:asciiTheme="majorHAnsi" w:hAnsiTheme="majorHAnsi" w:cstheme="majorHAnsi"/>
                <w:b/>
                <w:snapToGrid w:val="0"/>
                <w:sz w:val="18"/>
                <w:szCs w:val="18"/>
              </w:rPr>
              <w:t>)</w:t>
            </w:r>
          </w:p>
          <w:p w14:paraId="61B4B614" w14:textId="6B62F6C6" w:rsidR="00EB7975" w:rsidRPr="00A76411" w:rsidRDefault="00A10CD0" w:rsidP="00452D5C">
            <w:pPr>
              <w:spacing w:after="0" w:line="240" w:lineRule="auto"/>
              <w:jc w:val="center"/>
              <w:rPr>
                <w:rFonts w:asciiTheme="majorHAnsi" w:hAnsiTheme="majorHAnsi" w:cstheme="majorHAnsi"/>
                <w:b/>
                <w:snapToGrid w:val="0"/>
                <w:sz w:val="18"/>
                <w:szCs w:val="18"/>
              </w:rPr>
            </w:pPr>
            <w:r w:rsidRPr="00A76411">
              <w:rPr>
                <w:rFonts w:asciiTheme="majorHAnsi" w:hAnsiTheme="majorHAnsi" w:cstheme="majorHAnsi"/>
                <w:b/>
                <w:snapToGrid w:val="0"/>
                <w:sz w:val="18"/>
                <w:szCs w:val="18"/>
              </w:rPr>
              <w:t>1 500</w:t>
            </w:r>
            <w:r w:rsidR="00EB7975" w:rsidRPr="00A76411">
              <w:rPr>
                <w:rFonts w:asciiTheme="majorHAnsi" w:hAnsiTheme="majorHAnsi" w:cstheme="majorHAnsi"/>
                <w:b/>
                <w:snapToGrid w:val="0"/>
                <w:sz w:val="18"/>
                <w:szCs w:val="18"/>
              </w:rPr>
              <w:t xml:space="preserve"> (SV)</w:t>
            </w:r>
          </w:p>
        </w:tc>
      </w:tr>
      <w:tr w:rsidR="00A10CD0" w:rsidRPr="006070EA" w14:paraId="2D54966E" w14:textId="77777777" w:rsidTr="001610B6">
        <w:trPr>
          <w:cantSplit/>
          <w:trHeight w:val="283"/>
        </w:trPr>
        <w:tc>
          <w:tcPr>
            <w:tcW w:w="7938" w:type="dxa"/>
            <w:tcBorders>
              <w:top w:val="single" w:sz="12" w:space="0" w:color="auto"/>
              <w:bottom w:val="nil"/>
              <w:right w:val="single" w:sz="12" w:space="0" w:color="auto"/>
            </w:tcBorders>
            <w:vAlign w:val="center"/>
          </w:tcPr>
          <w:p w14:paraId="37072470" w14:textId="77777777" w:rsidR="00DF5372" w:rsidRPr="00A76411" w:rsidRDefault="00DF5372" w:rsidP="009E07E1">
            <w:pPr>
              <w:pStyle w:val="Zkladntext2"/>
              <w:spacing w:after="0" w:line="240" w:lineRule="auto"/>
              <w:rPr>
                <w:rFonts w:asciiTheme="majorHAnsi" w:hAnsiTheme="majorHAnsi" w:cstheme="majorHAnsi"/>
                <w:b/>
                <w:i/>
                <w:sz w:val="18"/>
                <w:szCs w:val="18"/>
              </w:rPr>
            </w:pPr>
            <w:r w:rsidRPr="00A76411">
              <w:rPr>
                <w:rFonts w:asciiTheme="majorHAnsi" w:hAnsiTheme="majorHAnsi" w:cstheme="majorHAnsi"/>
                <w:b/>
                <w:i/>
                <w:sz w:val="18"/>
                <w:szCs w:val="18"/>
              </w:rPr>
              <w:t>počet pozemků pro výstavbu bytů, resp. RD ve využitelném rozsahu zastavitelných ploch (počet RD)</w:t>
            </w:r>
          </w:p>
        </w:tc>
        <w:tc>
          <w:tcPr>
            <w:tcW w:w="1134" w:type="dxa"/>
            <w:tcBorders>
              <w:top w:val="single" w:sz="4" w:space="0" w:color="auto"/>
              <w:left w:val="single" w:sz="12" w:space="0" w:color="auto"/>
              <w:bottom w:val="nil"/>
            </w:tcBorders>
            <w:vAlign w:val="center"/>
          </w:tcPr>
          <w:p w14:paraId="0BEDBA6D" w14:textId="0437D22E" w:rsidR="00DF5372" w:rsidRPr="00A76411" w:rsidRDefault="00E4183C" w:rsidP="009E07E1">
            <w:pPr>
              <w:spacing w:after="0" w:line="240" w:lineRule="auto"/>
              <w:jc w:val="center"/>
              <w:rPr>
                <w:rFonts w:asciiTheme="majorHAnsi" w:hAnsiTheme="majorHAnsi" w:cstheme="majorHAnsi"/>
                <w:b/>
                <w:snapToGrid w:val="0"/>
                <w:sz w:val="18"/>
                <w:szCs w:val="18"/>
              </w:rPr>
            </w:pPr>
            <w:r w:rsidRPr="00A76411">
              <w:rPr>
                <w:rFonts w:asciiTheme="majorHAnsi" w:hAnsiTheme="majorHAnsi" w:cstheme="majorHAnsi"/>
                <w:b/>
                <w:snapToGrid w:val="0"/>
                <w:sz w:val="18"/>
                <w:szCs w:val="18"/>
              </w:rPr>
              <w:t>108</w:t>
            </w:r>
          </w:p>
          <w:p w14:paraId="3C095A16" w14:textId="28C566E5" w:rsidR="00A6707D" w:rsidRPr="00A76411" w:rsidRDefault="00A6707D" w:rsidP="00A6707D">
            <w:pPr>
              <w:spacing w:after="0" w:line="240" w:lineRule="auto"/>
              <w:jc w:val="center"/>
              <w:rPr>
                <w:rFonts w:asciiTheme="majorHAnsi" w:hAnsiTheme="majorHAnsi" w:cstheme="majorHAnsi"/>
                <w:snapToGrid w:val="0"/>
                <w:sz w:val="18"/>
                <w:szCs w:val="18"/>
              </w:rPr>
            </w:pPr>
            <w:r w:rsidRPr="00A76411">
              <w:rPr>
                <w:rFonts w:asciiTheme="majorHAnsi" w:hAnsiTheme="majorHAnsi" w:cstheme="majorHAnsi"/>
                <w:snapToGrid w:val="0"/>
                <w:sz w:val="18"/>
                <w:szCs w:val="18"/>
              </w:rPr>
              <w:t>(</w:t>
            </w:r>
            <w:r w:rsidR="00BD56A8" w:rsidRPr="00A76411">
              <w:rPr>
                <w:rFonts w:asciiTheme="majorHAnsi" w:hAnsiTheme="majorHAnsi" w:cstheme="majorHAnsi"/>
                <w:snapToGrid w:val="0"/>
                <w:sz w:val="18"/>
                <w:szCs w:val="18"/>
              </w:rPr>
              <w:t>6</w:t>
            </w:r>
            <w:r w:rsidR="00E4183C" w:rsidRPr="00A76411">
              <w:rPr>
                <w:rFonts w:asciiTheme="majorHAnsi" w:hAnsiTheme="majorHAnsi" w:cstheme="majorHAnsi"/>
                <w:snapToGrid w:val="0"/>
                <w:sz w:val="18"/>
                <w:szCs w:val="18"/>
              </w:rPr>
              <w:t>9</w:t>
            </w:r>
            <w:r w:rsidR="00BD56A8" w:rsidRPr="00A76411">
              <w:rPr>
                <w:rFonts w:asciiTheme="majorHAnsi" w:hAnsiTheme="majorHAnsi" w:cstheme="majorHAnsi"/>
                <w:snapToGrid w:val="0"/>
                <w:sz w:val="18"/>
                <w:szCs w:val="18"/>
              </w:rPr>
              <w:t xml:space="preserve"> </w:t>
            </w:r>
            <w:r w:rsidRPr="00A76411">
              <w:rPr>
                <w:rFonts w:asciiTheme="majorHAnsi" w:hAnsiTheme="majorHAnsi" w:cstheme="majorHAnsi"/>
                <w:snapToGrid w:val="0"/>
                <w:sz w:val="18"/>
                <w:szCs w:val="18"/>
              </w:rPr>
              <w:t>v B</w:t>
            </w:r>
            <w:r w:rsidR="00A10CD0" w:rsidRPr="00A76411">
              <w:rPr>
                <w:rFonts w:asciiTheme="majorHAnsi" w:hAnsiTheme="majorHAnsi" w:cstheme="majorHAnsi"/>
                <w:snapToGrid w:val="0"/>
                <w:sz w:val="18"/>
                <w:szCs w:val="18"/>
              </w:rPr>
              <w:t>I</w:t>
            </w:r>
          </w:p>
          <w:p w14:paraId="280D9D34" w14:textId="5A8F5ABC" w:rsidR="00A6707D" w:rsidRPr="006070EA" w:rsidRDefault="00A6707D" w:rsidP="00A6707D">
            <w:pPr>
              <w:spacing w:after="0" w:line="240" w:lineRule="auto"/>
              <w:jc w:val="center"/>
              <w:rPr>
                <w:rFonts w:asciiTheme="majorHAnsi" w:hAnsiTheme="majorHAnsi" w:cstheme="majorHAnsi"/>
                <w:snapToGrid w:val="0"/>
                <w:sz w:val="18"/>
                <w:szCs w:val="18"/>
              </w:rPr>
            </w:pPr>
            <w:r w:rsidRPr="00A76411">
              <w:rPr>
                <w:rFonts w:asciiTheme="majorHAnsi" w:hAnsiTheme="majorHAnsi" w:cstheme="majorHAnsi"/>
                <w:snapToGrid w:val="0"/>
                <w:sz w:val="18"/>
                <w:szCs w:val="18"/>
              </w:rPr>
              <w:t xml:space="preserve"> </w:t>
            </w:r>
            <w:r w:rsidR="00BD56A8" w:rsidRPr="00A76411">
              <w:rPr>
                <w:rFonts w:asciiTheme="majorHAnsi" w:hAnsiTheme="majorHAnsi" w:cstheme="majorHAnsi"/>
                <w:snapToGrid w:val="0"/>
                <w:sz w:val="18"/>
                <w:szCs w:val="18"/>
              </w:rPr>
              <w:t>3</w:t>
            </w:r>
            <w:r w:rsidR="00E4183C" w:rsidRPr="00A76411">
              <w:rPr>
                <w:rFonts w:asciiTheme="majorHAnsi" w:hAnsiTheme="majorHAnsi" w:cstheme="majorHAnsi"/>
                <w:snapToGrid w:val="0"/>
                <w:sz w:val="18"/>
                <w:szCs w:val="18"/>
              </w:rPr>
              <w:t>9</w:t>
            </w:r>
            <w:r w:rsidR="00BD56A8" w:rsidRPr="00A76411">
              <w:rPr>
                <w:rFonts w:asciiTheme="majorHAnsi" w:hAnsiTheme="majorHAnsi" w:cstheme="majorHAnsi"/>
                <w:snapToGrid w:val="0"/>
                <w:sz w:val="18"/>
                <w:szCs w:val="18"/>
              </w:rPr>
              <w:t xml:space="preserve"> </w:t>
            </w:r>
            <w:r w:rsidRPr="00A76411">
              <w:rPr>
                <w:rFonts w:asciiTheme="majorHAnsi" w:hAnsiTheme="majorHAnsi" w:cstheme="majorHAnsi"/>
                <w:snapToGrid w:val="0"/>
                <w:sz w:val="18"/>
                <w:szCs w:val="18"/>
              </w:rPr>
              <w:t>v SV)</w:t>
            </w:r>
          </w:p>
        </w:tc>
      </w:tr>
    </w:tbl>
    <w:p w14:paraId="211BB8D4" w14:textId="77777777" w:rsidR="00EB7975" w:rsidRPr="006070EA" w:rsidRDefault="00EB7975" w:rsidP="00EB7975">
      <w:pPr>
        <w:pStyle w:val="Atext"/>
        <w:ind w:firstLine="0"/>
        <w:rPr>
          <w:rFonts w:asciiTheme="majorHAnsi" w:hAnsiTheme="majorHAnsi" w:cstheme="majorHAnsi"/>
          <w:b/>
          <w:szCs w:val="18"/>
          <w:u w:val="single"/>
        </w:rPr>
      </w:pPr>
      <w:r w:rsidRPr="006070EA">
        <w:rPr>
          <w:rFonts w:asciiTheme="majorHAnsi" w:hAnsiTheme="majorHAnsi" w:cstheme="majorHAnsi"/>
          <w:b/>
          <w:szCs w:val="18"/>
          <w:u w:val="single"/>
        </w:rPr>
        <w:t>Závěr:</w:t>
      </w:r>
    </w:p>
    <w:p w14:paraId="3F8E5FB4" w14:textId="6C86DBAA" w:rsidR="00DF5372" w:rsidRPr="006070EA" w:rsidRDefault="00DF5372" w:rsidP="00426848">
      <w:pPr>
        <w:pStyle w:val="Atext"/>
        <w:rPr>
          <w:rFonts w:asciiTheme="majorHAnsi" w:hAnsiTheme="majorHAnsi" w:cstheme="majorHAnsi"/>
          <w:szCs w:val="18"/>
        </w:rPr>
      </w:pPr>
      <w:r w:rsidRPr="006070EA">
        <w:rPr>
          <w:rFonts w:asciiTheme="majorHAnsi" w:hAnsiTheme="majorHAnsi" w:cstheme="majorHAnsi"/>
          <w:szCs w:val="18"/>
        </w:rPr>
        <w:t xml:space="preserve">Rozsah zastavitelných ploch v ÚP </w:t>
      </w:r>
      <w:r w:rsidR="00066294" w:rsidRPr="006070EA">
        <w:rPr>
          <w:rFonts w:asciiTheme="majorHAnsi" w:hAnsiTheme="majorHAnsi" w:cstheme="majorHAnsi"/>
          <w:szCs w:val="18"/>
        </w:rPr>
        <w:t>Kostomlaty nad Labem</w:t>
      </w:r>
      <w:r w:rsidR="00EB7975" w:rsidRPr="006070EA">
        <w:rPr>
          <w:rFonts w:asciiTheme="majorHAnsi" w:hAnsiTheme="majorHAnsi" w:cstheme="majorHAnsi"/>
          <w:szCs w:val="18"/>
        </w:rPr>
        <w:t xml:space="preserve"> </w:t>
      </w:r>
      <w:r w:rsidR="00066294" w:rsidRPr="006070EA">
        <w:rPr>
          <w:rFonts w:asciiTheme="majorHAnsi" w:hAnsiTheme="majorHAnsi" w:cstheme="majorHAnsi"/>
          <w:szCs w:val="18"/>
        </w:rPr>
        <w:t xml:space="preserve">téměř odpovídá </w:t>
      </w:r>
      <w:r w:rsidRPr="006070EA">
        <w:rPr>
          <w:rFonts w:asciiTheme="majorHAnsi" w:hAnsiTheme="majorHAnsi" w:cstheme="majorHAnsi"/>
          <w:szCs w:val="18"/>
        </w:rPr>
        <w:t>identifikovan</w:t>
      </w:r>
      <w:r w:rsidR="00066294" w:rsidRPr="006070EA">
        <w:rPr>
          <w:rFonts w:asciiTheme="majorHAnsi" w:hAnsiTheme="majorHAnsi" w:cstheme="majorHAnsi"/>
          <w:szCs w:val="18"/>
        </w:rPr>
        <w:t>é</w:t>
      </w:r>
      <w:r w:rsidRPr="006070EA">
        <w:rPr>
          <w:rFonts w:asciiTheme="majorHAnsi" w:hAnsiTheme="majorHAnsi" w:cstheme="majorHAnsi"/>
          <w:szCs w:val="18"/>
        </w:rPr>
        <w:t xml:space="preserve"> potřeb</w:t>
      </w:r>
      <w:r w:rsidR="00066294" w:rsidRPr="006070EA">
        <w:rPr>
          <w:rFonts w:asciiTheme="majorHAnsi" w:hAnsiTheme="majorHAnsi" w:cstheme="majorHAnsi"/>
          <w:szCs w:val="18"/>
        </w:rPr>
        <w:t>ě</w:t>
      </w:r>
      <w:r w:rsidR="00EB7975" w:rsidRPr="006070EA">
        <w:rPr>
          <w:rFonts w:asciiTheme="majorHAnsi" w:hAnsiTheme="majorHAnsi" w:cstheme="majorHAnsi"/>
          <w:szCs w:val="18"/>
        </w:rPr>
        <w:t xml:space="preserve"> </w:t>
      </w:r>
      <w:r w:rsidRPr="006070EA">
        <w:rPr>
          <w:rFonts w:asciiTheme="majorHAnsi" w:hAnsiTheme="majorHAnsi" w:cstheme="majorHAnsi"/>
          <w:szCs w:val="18"/>
        </w:rPr>
        <w:t>vymezení zastavitelných ploch.</w:t>
      </w:r>
      <w:r w:rsidR="00452D5C" w:rsidRPr="006070EA">
        <w:rPr>
          <w:rFonts w:asciiTheme="majorHAnsi" w:hAnsiTheme="majorHAnsi" w:cstheme="majorHAnsi"/>
          <w:szCs w:val="18"/>
        </w:rPr>
        <w:t xml:space="preserve"> Územní plán prověřil plochy, vymezené za účelem výstavby v platné ÚPD a</w:t>
      </w:r>
      <w:r w:rsidR="004A734E" w:rsidRPr="006070EA">
        <w:rPr>
          <w:rFonts w:asciiTheme="majorHAnsi" w:hAnsiTheme="majorHAnsi" w:cstheme="majorHAnsi"/>
          <w:szCs w:val="18"/>
        </w:rPr>
        <w:t> </w:t>
      </w:r>
      <w:r w:rsidR="00066294" w:rsidRPr="006070EA">
        <w:rPr>
          <w:rFonts w:asciiTheme="majorHAnsi" w:hAnsiTheme="majorHAnsi" w:cstheme="majorHAnsi"/>
          <w:szCs w:val="18"/>
        </w:rPr>
        <w:t>ty, které nebyly dosud využity, přebírá do svého řešení</w:t>
      </w:r>
      <w:r w:rsidR="00452D5C" w:rsidRPr="006070EA">
        <w:rPr>
          <w:rFonts w:asciiTheme="majorHAnsi" w:hAnsiTheme="majorHAnsi" w:cstheme="majorHAnsi"/>
          <w:szCs w:val="18"/>
        </w:rPr>
        <w:t>. Dále byly při vymezování zastavitelných ploch zohledněny aktuální požadavky zájemců o</w:t>
      </w:r>
      <w:r w:rsidR="00066294" w:rsidRPr="006070EA">
        <w:rPr>
          <w:rFonts w:asciiTheme="majorHAnsi" w:hAnsiTheme="majorHAnsi" w:cstheme="majorHAnsi"/>
          <w:szCs w:val="18"/>
        </w:rPr>
        <w:t> </w:t>
      </w:r>
      <w:r w:rsidR="00452D5C" w:rsidRPr="006070EA">
        <w:rPr>
          <w:rFonts w:asciiTheme="majorHAnsi" w:hAnsiTheme="majorHAnsi" w:cstheme="majorHAnsi"/>
          <w:szCs w:val="18"/>
        </w:rPr>
        <w:t>bydlení v</w:t>
      </w:r>
      <w:r w:rsidR="00066294" w:rsidRPr="006070EA">
        <w:rPr>
          <w:rFonts w:asciiTheme="majorHAnsi" w:hAnsiTheme="majorHAnsi" w:cstheme="majorHAnsi"/>
          <w:szCs w:val="18"/>
        </w:rPr>
        <w:t xml:space="preserve"> území </w:t>
      </w:r>
      <w:r w:rsidR="00452D5C" w:rsidRPr="006070EA">
        <w:rPr>
          <w:rFonts w:asciiTheme="majorHAnsi" w:hAnsiTheme="majorHAnsi" w:cstheme="majorHAnsi"/>
          <w:szCs w:val="18"/>
        </w:rPr>
        <w:t xml:space="preserve">v souladu se strategií místní samosprávy. </w:t>
      </w:r>
      <w:r w:rsidR="00F10A03" w:rsidRPr="006070EA">
        <w:rPr>
          <w:rFonts w:asciiTheme="majorHAnsi" w:hAnsiTheme="majorHAnsi" w:cstheme="majorHAnsi"/>
          <w:szCs w:val="18"/>
        </w:rPr>
        <w:t>V rámci vymezování zastavitelných ploch byl zároveň kladen důraz na kompaktnost síd</w:t>
      </w:r>
      <w:r w:rsidR="00066294" w:rsidRPr="006070EA">
        <w:rPr>
          <w:rFonts w:asciiTheme="majorHAnsi" w:hAnsiTheme="majorHAnsi" w:cstheme="majorHAnsi"/>
          <w:szCs w:val="18"/>
        </w:rPr>
        <w:t>el</w:t>
      </w:r>
      <w:r w:rsidR="00F10A03" w:rsidRPr="006070EA">
        <w:rPr>
          <w:rFonts w:asciiTheme="majorHAnsi" w:hAnsiTheme="majorHAnsi" w:cstheme="majorHAnsi"/>
          <w:szCs w:val="18"/>
        </w:rPr>
        <w:t xml:space="preserve">, vhodné doplnění zastavěného území ve snaze o vytvoření funkčního a vzájemně propojeného </w:t>
      </w:r>
      <w:r w:rsidR="00A565A3" w:rsidRPr="006070EA">
        <w:rPr>
          <w:rFonts w:asciiTheme="majorHAnsi" w:hAnsiTheme="majorHAnsi" w:cstheme="majorHAnsi"/>
          <w:szCs w:val="18"/>
        </w:rPr>
        <w:t xml:space="preserve">urbanistického </w:t>
      </w:r>
      <w:r w:rsidR="00F10A03" w:rsidRPr="006070EA">
        <w:rPr>
          <w:rFonts w:asciiTheme="majorHAnsi" w:hAnsiTheme="majorHAnsi" w:cstheme="majorHAnsi"/>
          <w:szCs w:val="18"/>
        </w:rPr>
        <w:t xml:space="preserve">systému. </w:t>
      </w:r>
    </w:p>
    <w:p w14:paraId="53FA4931" w14:textId="77777777" w:rsidR="00BA6341" w:rsidRPr="006070EA" w:rsidRDefault="00BA6341" w:rsidP="0028473C">
      <w:pPr>
        <w:keepNext/>
        <w:keepLines/>
        <w:suppressAutoHyphens/>
        <w:spacing w:before="120" w:after="120" w:line="240" w:lineRule="auto"/>
        <w:jc w:val="both"/>
        <w:rPr>
          <w:rFonts w:asciiTheme="majorHAnsi" w:eastAsia="Calibri" w:hAnsiTheme="majorHAnsi" w:cstheme="majorHAnsi"/>
          <w:b/>
          <w:snapToGrid w:val="0"/>
          <w:sz w:val="20"/>
          <w:szCs w:val="18"/>
          <w:lang w:eastAsia="ar-SA"/>
        </w:rPr>
      </w:pPr>
      <w:bookmarkStart w:id="191" w:name="_Toc424119817"/>
      <w:r w:rsidRPr="006070EA">
        <w:rPr>
          <w:rFonts w:asciiTheme="majorHAnsi" w:eastAsia="Calibri" w:hAnsiTheme="majorHAnsi" w:cstheme="majorHAnsi"/>
          <w:b/>
          <w:snapToGrid w:val="0"/>
          <w:sz w:val="20"/>
          <w:szCs w:val="18"/>
          <w:lang w:eastAsia="ar-SA"/>
        </w:rPr>
        <w:lastRenderedPageBreak/>
        <w:t xml:space="preserve">Vyhodnocení potřeby vymezení ostatních zastavitelných ploch </w:t>
      </w:r>
    </w:p>
    <w:p w14:paraId="43D6BD9C" w14:textId="77777777" w:rsidR="004A734E" w:rsidRPr="006070EA" w:rsidRDefault="008473EB" w:rsidP="0028473C">
      <w:pPr>
        <w:keepNext/>
        <w:keepLines/>
        <w:spacing w:before="120" w:after="120"/>
        <w:ind w:firstLine="709"/>
        <w:jc w:val="both"/>
        <w:rPr>
          <w:rFonts w:asciiTheme="majorHAnsi" w:hAnsiTheme="majorHAnsi" w:cstheme="majorHAnsi"/>
          <w:sz w:val="18"/>
          <w:szCs w:val="18"/>
        </w:rPr>
      </w:pPr>
      <w:r w:rsidRPr="006070EA">
        <w:rPr>
          <w:rFonts w:asciiTheme="majorHAnsi" w:hAnsiTheme="majorHAnsi" w:cstheme="majorHAnsi"/>
          <w:sz w:val="18"/>
          <w:szCs w:val="18"/>
        </w:rPr>
        <w:t>V řešeném území jsou formou stabilizovaných ploch potvrzeny existující fu</w:t>
      </w:r>
      <w:r w:rsidR="00FF422E" w:rsidRPr="006070EA">
        <w:rPr>
          <w:rFonts w:asciiTheme="majorHAnsi" w:hAnsiTheme="majorHAnsi" w:cstheme="majorHAnsi"/>
          <w:sz w:val="18"/>
          <w:szCs w:val="18"/>
        </w:rPr>
        <w:t xml:space="preserve">nkce využití jednotlivých ploch, </w:t>
      </w:r>
      <w:r w:rsidR="004A734E" w:rsidRPr="006070EA">
        <w:rPr>
          <w:rFonts w:asciiTheme="majorHAnsi" w:hAnsiTheme="majorHAnsi" w:cstheme="majorHAnsi"/>
          <w:sz w:val="18"/>
          <w:szCs w:val="18"/>
        </w:rPr>
        <w:t>zejména</w:t>
      </w:r>
      <w:r w:rsidR="00301D89" w:rsidRPr="006070EA">
        <w:rPr>
          <w:rFonts w:asciiTheme="majorHAnsi" w:hAnsiTheme="majorHAnsi" w:cstheme="majorHAnsi"/>
          <w:sz w:val="18"/>
          <w:szCs w:val="18"/>
        </w:rPr>
        <w:t> </w:t>
      </w:r>
      <w:r w:rsidRPr="006070EA">
        <w:rPr>
          <w:rFonts w:asciiTheme="majorHAnsi" w:hAnsiTheme="majorHAnsi" w:cstheme="majorHAnsi"/>
          <w:sz w:val="18"/>
          <w:szCs w:val="18"/>
        </w:rPr>
        <w:t>plochy občanského vybavení, plochy výrobní</w:t>
      </w:r>
      <w:r w:rsidR="004A734E" w:rsidRPr="006070EA">
        <w:rPr>
          <w:rFonts w:asciiTheme="majorHAnsi" w:hAnsiTheme="majorHAnsi" w:cstheme="majorHAnsi"/>
          <w:sz w:val="18"/>
          <w:szCs w:val="18"/>
        </w:rPr>
        <w:t xml:space="preserve"> a skladování</w:t>
      </w:r>
      <w:r w:rsidRPr="006070EA">
        <w:rPr>
          <w:rFonts w:asciiTheme="majorHAnsi" w:hAnsiTheme="majorHAnsi" w:cstheme="majorHAnsi"/>
          <w:sz w:val="18"/>
          <w:szCs w:val="18"/>
        </w:rPr>
        <w:t>,</w:t>
      </w:r>
      <w:r w:rsidR="00301D89" w:rsidRPr="006070EA">
        <w:rPr>
          <w:rFonts w:asciiTheme="majorHAnsi" w:hAnsiTheme="majorHAnsi" w:cstheme="majorHAnsi"/>
          <w:sz w:val="18"/>
          <w:szCs w:val="18"/>
        </w:rPr>
        <w:t xml:space="preserve"> plochy</w:t>
      </w:r>
      <w:r w:rsidRPr="006070EA">
        <w:rPr>
          <w:rFonts w:asciiTheme="majorHAnsi" w:hAnsiTheme="majorHAnsi" w:cstheme="majorHAnsi"/>
          <w:sz w:val="18"/>
          <w:szCs w:val="18"/>
        </w:rPr>
        <w:t xml:space="preserve"> dopravní </w:t>
      </w:r>
      <w:r w:rsidR="004A734E" w:rsidRPr="006070EA">
        <w:rPr>
          <w:rFonts w:asciiTheme="majorHAnsi" w:hAnsiTheme="majorHAnsi" w:cstheme="majorHAnsi"/>
          <w:sz w:val="18"/>
          <w:szCs w:val="18"/>
        </w:rPr>
        <w:t xml:space="preserve">a technické </w:t>
      </w:r>
      <w:r w:rsidRPr="006070EA">
        <w:rPr>
          <w:rFonts w:asciiTheme="majorHAnsi" w:hAnsiTheme="majorHAnsi" w:cstheme="majorHAnsi"/>
          <w:sz w:val="18"/>
          <w:szCs w:val="18"/>
        </w:rPr>
        <w:t>infrastruktury</w:t>
      </w:r>
      <w:r w:rsidR="00301D89" w:rsidRPr="006070EA">
        <w:rPr>
          <w:rFonts w:asciiTheme="majorHAnsi" w:hAnsiTheme="majorHAnsi" w:cstheme="majorHAnsi"/>
          <w:sz w:val="18"/>
          <w:szCs w:val="18"/>
        </w:rPr>
        <w:t>, plochy veřejných prostranství, plochy zeleně</w:t>
      </w:r>
      <w:r w:rsidRPr="006070EA">
        <w:rPr>
          <w:rFonts w:asciiTheme="majorHAnsi" w:hAnsiTheme="majorHAnsi" w:cstheme="majorHAnsi"/>
          <w:sz w:val="18"/>
          <w:szCs w:val="18"/>
        </w:rPr>
        <w:t xml:space="preserve"> ad. </w:t>
      </w:r>
      <w:r w:rsidR="00FF422E" w:rsidRPr="006070EA">
        <w:rPr>
          <w:rFonts w:asciiTheme="majorHAnsi" w:hAnsiTheme="majorHAnsi" w:cstheme="majorHAnsi"/>
          <w:sz w:val="18"/>
          <w:szCs w:val="18"/>
        </w:rPr>
        <w:t>Pro rozvoj těchto funkcí jsou územním plánem vytvořeny podmínky – vymezením zastavitelných ploch</w:t>
      </w:r>
      <w:r w:rsidR="00B1012E" w:rsidRPr="006070EA">
        <w:rPr>
          <w:rFonts w:asciiTheme="majorHAnsi" w:hAnsiTheme="majorHAnsi" w:cstheme="majorHAnsi"/>
          <w:sz w:val="18"/>
          <w:szCs w:val="18"/>
        </w:rPr>
        <w:t xml:space="preserve"> a</w:t>
      </w:r>
      <w:r w:rsidR="00FF422E" w:rsidRPr="006070EA">
        <w:rPr>
          <w:rFonts w:asciiTheme="majorHAnsi" w:hAnsiTheme="majorHAnsi" w:cstheme="majorHAnsi"/>
          <w:sz w:val="18"/>
          <w:szCs w:val="18"/>
        </w:rPr>
        <w:t xml:space="preserve"> umožněním funkcí v rámci stanoveného využití jednotlivých ploch s rozdílným způsobem využití (RZV). Níže uvedená tabulka sumarizuje způsob řešení identifikované potřeby rozvoje jednotlivých funkcí </w:t>
      </w:r>
    </w:p>
    <w:tbl>
      <w:tblPr>
        <w:tblW w:w="9071" w:type="dxa"/>
        <w:jc w:val="center"/>
        <w:tblBorders>
          <w:insideH w:val="single" w:sz="4" w:space="0" w:color="auto"/>
          <w:insideV w:val="single" w:sz="4" w:space="0" w:color="auto"/>
        </w:tblBorders>
        <w:tblLook w:val="04A0" w:firstRow="1" w:lastRow="0" w:firstColumn="1" w:lastColumn="0" w:noHBand="0" w:noVBand="1"/>
      </w:tblPr>
      <w:tblGrid>
        <w:gridCol w:w="2268"/>
        <w:gridCol w:w="6803"/>
      </w:tblGrid>
      <w:tr w:rsidR="00066294" w:rsidRPr="006070EA" w14:paraId="53F40FA9" w14:textId="77777777" w:rsidTr="004E002A">
        <w:trPr>
          <w:cantSplit/>
          <w:trHeight w:val="283"/>
          <w:jc w:val="center"/>
        </w:trPr>
        <w:tc>
          <w:tcPr>
            <w:tcW w:w="2268" w:type="dxa"/>
            <w:tcBorders>
              <w:top w:val="nil"/>
              <w:left w:val="nil"/>
              <w:bottom w:val="single" w:sz="12" w:space="0" w:color="auto"/>
              <w:right w:val="single" w:sz="12" w:space="0" w:color="auto"/>
            </w:tcBorders>
            <w:vAlign w:val="center"/>
          </w:tcPr>
          <w:p w14:paraId="2034D73A" w14:textId="77777777" w:rsidR="00FF422E" w:rsidRPr="006070EA" w:rsidRDefault="00B1012E" w:rsidP="0028473C">
            <w:pPr>
              <w:keepNext/>
              <w:keepLines/>
              <w:spacing w:after="0" w:line="240" w:lineRule="auto"/>
              <w:rPr>
                <w:rFonts w:asciiTheme="majorHAnsi" w:hAnsiTheme="majorHAnsi" w:cstheme="majorHAnsi"/>
                <w:b/>
                <w:i/>
                <w:sz w:val="18"/>
                <w:szCs w:val="18"/>
              </w:rPr>
            </w:pPr>
            <w:r w:rsidRPr="006070EA">
              <w:rPr>
                <w:rFonts w:asciiTheme="majorHAnsi" w:hAnsiTheme="majorHAnsi" w:cstheme="majorHAnsi"/>
                <w:b/>
                <w:i/>
                <w:sz w:val="18"/>
                <w:szCs w:val="18"/>
              </w:rPr>
              <w:t>Plochy pro rozvoj:</w:t>
            </w:r>
          </w:p>
        </w:tc>
        <w:tc>
          <w:tcPr>
            <w:tcW w:w="6803" w:type="dxa"/>
            <w:tcBorders>
              <w:top w:val="nil"/>
              <w:left w:val="single" w:sz="12" w:space="0" w:color="auto"/>
              <w:bottom w:val="single" w:sz="4" w:space="0" w:color="auto"/>
            </w:tcBorders>
            <w:vAlign w:val="center"/>
          </w:tcPr>
          <w:p w14:paraId="26317F79" w14:textId="127C293F" w:rsidR="00FF422E" w:rsidRPr="006070EA" w:rsidRDefault="00B1012E" w:rsidP="0028473C">
            <w:pPr>
              <w:keepNext/>
              <w:keepLines/>
              <w:spacing w:after="0" w:line="240" w:lineRule="auto"/>
              <w:rPr>
                <w:rFonts w:asciiTheme="majorHAnsi" w:hAnsiTheme="majorHAnsi" w:cstheme="majorHAnsi"/>
                <w:b/>
                <w:i/>
                <w:snapToGrid w:val="0"/>
                <w:sz w:val="18"/>
                <w:szCs w:val="18"/>
              </w:rPr>
            </w:pPr>
            <w:r w:rsidRPr="006070EA">
              <w:rPr>
                <w:rFonts w:asciiTheme="majorHAnsi" w:hAnsiTheme="majorHAnsi" w:cstheme="majorHAnsi"/>
                <w:b/>
                <w:i/>
                <w:snapToGrid w:val="0"/>
                <w:sz w:val="18"/>
                <w:szCs w:val="18"/>
              </w:rPr>
              <w:t xml:space="preserve">Potřeba a její naplnění v ÚP </w:t>
            </w:r>
            <w:r w:rsidR="007B2588" w:rsidRPr="006070EA">
              <w:rPr>
                <w:rFonts w:asciiTheme="majorHAnsi" w:hAnsiTheme="majorHAnsi" w:cstheme="majorHAnsi"/>
                <w:b/>
                <w:i/>
                <w:snapToGrid w:val="0"/>
                <w:sz w:val="18"/>
                <w:szCs w:val="18"/>
              </w:rPr>
              <w:t>Kostomlaty nad Labem</w:t>
            </w:r>
          </w:p>
        </w:tc>
      </w:tr>
      <w:tr w:rsidR="00066294" w:rsidRPr="006070EA" w14:paraId="71717E2A" w14:textId="77777777" w:rsidTr="004E002A">
        <w:trPr>
          <w:cantSplit/>
          <w:trHeight w:val="283"/>
          <w:jc w:val="center"/>
        </w:trPr>
        <w:tc>
          <w:tcPr>
            <w:tcW w:w="2268" w:type="dxa"/>
            <w:tcBorders>
              <w:top w:val="nil"/>
              <w:left w:val="nil"/>
              <w:bottom w:val="single" w:sz="12" w:space="0" w:color="auto"/>
              <w:right w:val="single" w:sz="12" w:space="0" w:color="auto"/>
            </w:tcBorders>
            <w:vAlign w:val="center"/>
          </w:tcPr>
          <w:p w14:paraId="05D8FEC1" w14:textId="77777777" w:rsidR="003658C2" w:rsidRPr="006070EA" w:rsidRDefault="0095729A" w:rsidP="00426848">
            <w:pPr>
              <w:spacing w:after="0" w:line="240" w:lineRule="auto"/>
              <w:rPr>
                <w:rFonts w:asciiTheme="majorHAnsi" w:hAnsiTheme="majorHAnsi" w:cstheme="majorHAnsi"/>
                <w:b/>
                <w:i/>
                <w:sz w:val="18"/>
                <w:szCs w:val="18"/>
              </w:rPr>
            </w:pPr>
            <w:r w:rsidRPr="006070EA">
              <w:rPr>
                <w:rFonts w:asciiTheme="majorHAnsi" w:hAnsiTheme="majorHAnsi" w:cstheme="majorHAnsi"/>
                <w:b/>
                <w:i/>
                <w:sz w:val="18"/>
                <w:szCs w:val="18"/>
              </w:rPr>
              <w:t>technické infrastruktury</w:t>
            </w:r>
          </w:p>
        </w:tc>
        <w:tc>
          <w:tcPr>
            <w:tcW w:w="6803" w:type="dxa"/>
            <w:tcBorders>
              <w:top w:val="nil"/>
              <w:left w:val="single" w:sz="12" w:space="0" w:color="auto"/>
              <w:bottom w:val="single" w:sz="4" w:space="0" w:color="auto"/>
            </w:tcBorders>
            <w:vAlign w:val="center"/>
          </w:tcPr>
          <w:p w14:paraId="70B1D627" w14:textId="27CBD97B" w:rsidR="003658C2" w:rsidRPr="006070EA" w:rsidRDefault="0095729A" w:rsidP="0095729A">
            <w:pPr>
              <w:keepNext/>
              <w:spacing w:after="0" w:line="240" w:lineRule="auto"/>
              <w:rPr>
                <w:rFonts w:asciiTheme="majorHAnsi" w:hAnsiTheme="majorHAnsi" w:cstheme="majorHAnsi"/>
                <w:snapToGrid w:val="0"/>
                <w:sz w:val="18"/>
                <w:szCs w:val="18"/>
              </w:rPr>
            </w:pPr>
            <w:r w:rsidRPr="006070EA">
              <w:rPr>
                <w:rFonts w:asciiTheme="majorHAnsi" w:hAnsiTheme="majorHAnsi" w:cstheme="majorHAnsi"/>
                <w:snapToGrid w:val="0"/>
                <w:sz w:val="18"/>
                <w:szCs w:val="18"/>
              </w:rPr>
              <w:t xml:space="preserve">- vytvoření podmínek pro rozvoj technické vybavenosti na obecní úrovni – zajištění odpovídajícího způsobu </w:t>
            </w:r>
            <w:r w:rsidR="00066294" w:rsidRPr="006070EA">
              <w:rPr>
                <w:rFonts w:asciiTheme="majorHAnsi" w:hAnsiTheme="majorHAnsi" w:cstheme="majorHAnsi"/>
                <w:snapToGrid w:val="0"/>
                <w:sz w:val="18"/>
                <w:szCs w:val="18"/>
              </w:rPr>
              <w:t>nakládání s odpady</w:t>
            </w:r>
            <w:r w:rsidRPr="006070EA">
              <w:rPr>
                <w:rFonts w:asciiTheme="majorHAnsi" w:hAnsiTheme="majorHAnsi" w:cstheme="majorHAnsi"/>
                <w:snapToGrid w:val="0"/>
                <w:sz w:val="18"/>
                <w:szCs w:val="18"/>
              </w:rPr>
              <w:t xml:space="preserve"> – zastavitelná plocha Z</w:t>
            </w:r>
            <w:r w:rsidR="00804E2A" w:rsidRPr="006070EA">
              <w:rPr>
                <w:rFonts w:asciiTheme="majorHAnsi" w:hAnsiTheme="majorHAnsi" w:cstheme="majorHAnsi"/>
                <w:snapToGrid w:val="0"/>
                <w:sz w:val="18"/>
                <w:szCs w:val="18"/>
              </w:rPr>
              <w:t>.</w:t>
            </w:r>
            <w:r w:rsidR="00066294" w:rsidRPr="006070EA">
              <w:rPr>
                <w:rFonts w:asciiTheme="majorHAnsi" w:hAnsiTheme="majorHAnsi" w:cstheme="majorHAnsi"/>
                <w:snapToGrid w:val="0"/>
                <w:sz w:val="18"/>
                <w:szCs w:val="18"/>
              </w:rPr>
              <w:t>2</w:t>
            </w:r>
            <w:r w:rsidR="0079659D" w:rsidRPr="006070EA">
              <w:rPr>
                <w:rFonts w:asciiTheme="majorHAnsi" w:hAnsiTheme="majorHAnsi" w:cstheme="majorHAnsi"/>
                <w:snapToGrid w:val="0"/>
                <w:sz w:val="18"/>
                <w:szCs w:val="18"/>
              </w:rPr>
              <w:t>3</w:t>
            </w:r>
            <w:r w:rsidR="004A00DC" w:rsidRPr="006070EA">
              <w:rPr>
                <w:rFonts w:asciiTheme="majorHAnsi" w:hAnsiTheme="majorHAnsi" w:cstheme="majorHAnsi"/>
                <w:snapToGrid w:val="0"/>
                <w:sz w:val="18"/>
                <w:szCs w:val="18"/>
              </w:rPr>
              <w:t xml:space="preserve"> (T</w:t>
            </w:r>
            <w:r w:rsidR="00804E2A" w:rsidRPr="006070EA">
              <w:rPr>
                <w:rFonts w:asciiTheme="majorHAnsi" w:hAnsiTheme="majorHAnsi" w:cstheme="majorHAnsi"/>
                <w:snapToGrid w:val="0"/>
                <w:sz w:val="18"/>
                <w:szCs w:val="18"/>
              </w:rPr>
              <w:t>U</w:t>
            </w:r>
            <w:r w:rsidR="004A00DC" w:rsidRPr="006070EA">
              <w:rPr>
                <w:rFonts w:asciiTheme="majorHAnsi" w:hAnsiTheme="majorHAnsi" w:cstheme="majorHAnsi"/>
                <w:snapToGrid w:val="0"/>
                <w:sz w:val="18"/>
                <w:szCs w:val="18"/>
              </w:rPr>
              <w:t xml:space="preserve">) pro </w:t>
            </w:r>
            <w:r w:rsidR="00066294" w:rsidRPr="006070EA">
              <w:rPr>
                <w:rFonts w:asciiTheme="majorHAnsi" w:hAnsiTheme="majorHAnsi" w:cstheme="majorHAnsi"/>
                <w:snapToGrid w:val="0"/>
                <w:sz w:val="18"/>
                <w:szCs w:val="18"/>
              </w:rPr>
              <w:t>sběrný dvůr v Hroněticích, vymezena na základě požadavku samosprávy obce</w:t>
            </w:r>
          </w:p>
        </w:tc>
      </w:tr>
      <w:tr w:rsidR="00E4183C" w:rsidRPr="006070EA" w14:paraId="39822EC9" w14:textId="77777777" w:rsidTr="004E002A">
        <w:trPr>
          <w:cantSplit/>
          <w:trHeight w:val="283"/>
          <w:jc w:val="center"/>
        </w:trPr>
        <w:tc>
          <w:tcPr>
            <w:tcW w:w="2268" w:type="dxa"/>
            <w:tcBorders>
              <w:top w:val="nil"/>
              <w:left w:val="nil"/>
              <w:bottom w:val="single" w:sz="12" w:space="0" w:color="auto"/>
              <w:right w:val="single" w:sz="12" w:space="0" w:color="auto"/>
            </w:tcBorders>
            <w:vAlign w:val="center"/>
          </w:tcPr>
          <w:p w14:paraId="6428C4C4" w14:textId="7FD8F9C8" w:rsidR="00E4183C" w:rsidRPr="00A76411" w:rsidRDefault="00E4183C" w:rsidP="00426848">
            <w:pPr>
              <w:spacing w:after="0" w:line="240" w:lineRule="auto"/>
              <w:rPr>
                <w:rFonts w:asciiTheme="majorHAnsi" w:hAnsiTheme="majorHAnsi" w:cstheme="majorHAnsi"/>
                <w:b/>
                <w:i/>
                <w:sz w:val="18"/>
                <w:szCs w:val="18"/>
              </w:rPr>
            </w:pPr>
            <w:r w:rsidRPr="00A76411">
              <w:rPr>
                <w:rFonts w:asciiTheme="majorHAnsi" w:hAnsiTheme="majorHAnsi" w:cstheme="majorHAnsi"/>
                <w:b/>
                <w:i/>
                <w:sz w:val="18"/>
                <w:szCs w:val="18"/>
              </w:rPr>
              <w:t>dopravní infrastruktury</w:t>
            </w:r>
          </w:p>
        </w:tc>
        <w:tc>
          <w:tcPr>
            <w:tcW w:w="6803" w:type="dxa"/>
            <w:tcBorders>
              <w:top w:val="nil"/>
              <w:left w:val="single" w:sz="12" w:space="0" w:color="auto"/>
              <w:bottom w:val="single" w:sz="4" w:space="0" w:color="auto"/>
            </w:tcBorders>
            <w:vAlign w:val="center"/>
          </w:tcPr>
          <w:p w14:paraId="0B1180AD" w14:textId="3EEEE078" w:rsidR="00E4183C" w:rsidRPr="006070EA" w:rsidRDefault="00E4183C" w:rsidP="0095729A">
            <w:pPr>
              <w:keepNext/>
              <w:spacing w:after="0" w:line="240" w:lineRule="auto"/>
              <w:rPr>
                <w:rFonts w:asciiTheme="majorHAnsi" w:hAnsiTheme="majorHAnsi" w:cstheme="majorHAnsi"/>
                <w:snapToGrid w:val="0"/>
                <w:sz w:val="18"/>
                <w:szCs w:val="18"/>
              </w:rPr>
            </w:pPr>
            <w:r w:rsidRPr="00A76411">
              <w:rPr>
                <w:rFonts w:asciiTheme="majorHAnsi" w:hAnsiTheme="majorHAnsi" w:cstheme="majorHAnsi"/>
                <w:snapToGrid w:val="0"/>
                <w:sz w:val="18"/>
                <w:szCs w:val="18"/>
              </w:rPr>
              <w:t>- vytvoření podmínek pro optimalizaci dopravní dostupnosti severní části území, zejm. sídla Vápenska a Hronětic, a to po stávající silnici, která je v nevyhovujícím stavu – zastavitelná plocha Z.24 (DS) pro optimalizaci silnice z Vápenska na silnici II/332 spojující Milovice a Zbožíčko</w:t>
            </w:r>
          </w:p>
        </w:tc>
      </w:tr>
      <w:tr w:rsidR="007B5C82" w:rsidRPr="006070EA" w14:paraId="18E54D01" w14:textId="77777777" w:rsidTr="004E002A">
        <w:trPr>
          <w:trHeight w:val="283"/>
          <w:jc w:val="center"/>
        </w:trPr>
        <w:tc>
          <w:tcPr>
            <w:tcW w:w="2268" w:type="dxa"/>
            <w:tcBorders>
              <w:top w:val="single" w:sz="12" w:space="0" w:color="auto"/>
              <w:bottom w:val="single" w:sz="12" w:space="0" w:color="auto"/>
              <w:right w:val="single" w:sz="12" w:space="0" w:color="auto"/>
            </w:tcBorders>
            <w:vAlign w:val="center"/>
          </w:tcPr>
          <w:p w14:paraId="2A0215F5" w14:textId="1CF8491B" w:rsidR="00426848" w:rsidRPr="006070EA" w:rsidRDefault="00426848" w:rsidP="00B1012E">
            <w:pPr>
              <w:pStyle w:val="Zkladntext2"/>
              <w:spacing w:after="0" w:line="240" w:lineRule="auto"/>
              <w:rPr>
                <w:rFonts w:asciiTheme="majorHAnsi" w:hAnsiTheme="majorHAnsi" w:cstheme="majorHAnsi"/>
                <w:b/>
                <w:i/>
                <w:sz w:val="18"/>
                <w:szCs w:val="18"/>
              </w:rPr>
            </w:pPr>
            <w:r w:rsidRPr="006070EA">
              <w:rPr>
                <w:rFonts w:asciiTheme="majorHAnsi" w:hAnsiTheme="majorHAnsi" w:cstheme="majorHAnsi"/>
                <w:b/>
                <w:i/>
                <w:sz w:val="18"/>
                <w:szCs w:val="18"/>
              </w:rPr>
              <w:t>výrob</w:t>
            </w:r>
            <w:r w:rsidR="00B1012E" w:rsidRPr="006070EA">
              <w:rPr>
                <w:rFonts w:asciiTheme="majorHAnsi" w:hAnsiTheme="majorHAnsi" w:cstheme="majorHAnsi"/>
                <w:b/>
                <w:i/>
                <w:sz w:val="18"/>
                <w:szCs w:val="18"/>
              </w:rPr>
              <w:t>y a skladování</w:t>
            </w:r>
          </w:p>
        </w:tc>
        <w:tc>
          <w:tcPr>
            <w:tcW w:w="6803" w:type="dxa"/>
            <w:tcBorders>
              <w:top w:val="single" w:sz="4" w:space="0" w:color="auto"/>
              <w:left w:val="single" w:sz="12" w:space="0" w:color="auto"/>
              <w:bottom w:val="single" w:sz="4" w:space="0" w:color="auto"/>
            </w:tcBorders>
            <w:vAlign w:val="center"/>
          </w:tcPr>
          <w:p w14:paraId="2D1125DB" w14:textId="52630386" w:rsidR="003658C2" w:rsidRPr="006070EA" w:rsidRDefault="00426848" w:rsidP="004E002A">
            <w:pPr>
              <w:spacing w:after="0" w:line="240" w:lineRule="auto"/>
              <w:rPr>
                <w:rFonts w:asciiTheme="majorHAnsi" w:hAnsiTheme="majorHAnsi" w:cstheme="majorHAnsi"/>
                <w:snapToGrid w:val="0"/>
                <w:sz w:val="18"/>
                <w:szCs w:val="18"/>
              </w:rPr>
            </w:pPr>
            <w:r w:rsidRPr="006070EA">
              <w:rPr>
                <w:rFonts w:asciiTheme="majorHAnsi" w:hAnsiTheme="majorHAnsi" w:cstheme="majorHAnsi"/>
                <w:snapToGrid w:val="0"/>
                <w:sz w:val="18"/>
                <w:szCs w:val="18"/>
              </w:rPr>
              <w:t xml:space="preserve">- </w:t>
            </w:r>
            <w:r w:rsidR="003658C2" w:rsidRPr="006070EA">
              <w:rPr>
                <w:rFonts w:asciiTheme="majorHAnsi" w:hAnsiTheme="majorHAnsi" w:cstheme="majorHAnsi"/>
                <w:snapToGrid w:val="0"/>
                <w:sz w:val="18"/>
                <w:szCs w:val="18"/>
              </w:rPr>
              <w:t xml:space="preserve">plocha pro rozšíření </w:t>
            </w:r>
            <w:r w:rsidR="00066294" w:rsidRPr="006070EA">
              <w:rPr>
                <w:rFonts w:asciiTheme="majorHAnsi" w:hAnsiTheme="majorHAnsi" w:cstheme="majorHAnsi"/>
                <w:snapToGrid w:val="0"/>
                <w:sz w:val="18"/>
                <w:szCs w:val="18"/>
              </w:rPr>
              <w:t xml:space="preserve">stávajícího </w:t>
            </w:r>
            <w:r w:rsidR="003658C2" w:rsidRPr="006070EA">
              <w:rPr>
                <w:rFonts w:asciiTheme="majorHAnsi" w:hAnsiTheme="majorHAnsi" w:cstheme="majorHAnsi"/>
                <w:snapToGrid w:val="0"/>
                <w:sz w:val="18"/>
                <w:szCs w:val="18"/>
              </w:rPr>
              <w:t xml:space="preserve">areálu </w:t>
            </w:r>
            <w:r w:rsidR="00066294" w:rsidRPr="006070EA">
              <w:rPr>
                <w:rFonts w:asciiTheme="majorHAnsi" w:hAnsiTheme="majorHAnsi" w:cstheme="majorHAnsi"/>
                <w:snapToGrid w:val="0"/>
                <w:sz w:val="18"/>
                <w:szCs w:val="18"/>
              </w:rPr>
              <w:t xml:space="preserve">lehkého průmyslu </w:t>
            </w:r>
            <w:r w:rsidR="003658C2" w:rsidRPr="006070EA">
              <w:rPr>
                <w:rFonts w:asciiTheme="majorHAnsi" w:hAnsiTheme="majorHAnsi" w:cstheme="majorHAnsi"/>
                <w:snapToGrid w:val="0"/>
                <w:sz w:val="18"/>
                <w:szCs w:val="18"/>
              </w:rPr>
              <w:t>Z</w:t>
            </w:r>
            <w:r w:rsidR="00804E2A" w:rsidRPr="006070EA">
              <w:rPr>
                <w:rFonts w:asciiTheme="majorHAnsi" w:hAnsiTheme="majorHAnsi" w:cstheme="majorHAnsi"/>
                <w:snapToGrid w:val="0"/>
                <w:sz w:val="18"/>
                <w:szCs w:val="18"/>
              </w:rPr>
              <w:t>.</w:t>
            </w:r>
            <w:r w:rsidR="003658C2" w:rsidRPr="006070EA">
              <w:rPr>
                <w:rFonts w:asciiTheme="majorHAnsi" w:hAnsiTheme="majorHAnsi" w:cstheme="majorHAnsi"/>
                <w:snapToGrid w:val="0"/>
                <w:sz w:val="18"/>
                <w:szCs w:val="18"/>
              </w:rPr>
              <w:t>13 (V</w:t>
            </w:r>
            <w:r w:rsidR="00066294" w:rsidRPr="006070EA">
              <w:rPr>
                <w:rFonts w:asciiTheme="majorHAnsi" w:hAnsiTheme="majorHAnsi" w:cstheme="majorHAnsi"/>
                <w:snapToGrid w:val="0"/>
                <w:sz w:val="18"/>
                <w:szCs w:val="18"/>
              </w:rPr>
              <w:t>L</w:t>
            </w:r>
            <w:r w:rsidR="003658C2" w:rsidRPr="006070EA">
              <w:rPr>
                <w:rFonts w:asciiTheme="majorHAnsi" w:hAnsiTheme="majorHAnsi" w:cstheme="majorHAnsi"/>
                <w:snapToGrid w:val="0"/>
                <w:sz w:val="18"/>
                <w:szCs w:val="18"/>
              </w:rPr>
              <w:t xml:space="preserve">) – </w:t>
            </w:r>
            <w:r w:rsidR="00066294" w:rsidRPr="006070EA">
              <w:rPr>
                <w:rFonts w:asciiTheme="majorHAnsi" w:hAnsiTheme="majorHAnsi" w:cstheme="majorHAnsi"/>
                <w:snapToGrid w:val="0"/>
                <w:sz w:val="18"/>
                <w:szCs w:val="18"/>
              </w:rPr>
              <w:t xml:space="preserve">plocha je </w:t>
            </w:r>
            <w:r w:rsidR="003658C2" w:rsidRPr="006070EA">
              <w:rPr>
                <w:rFonts w:asciiTheme="majorHAnsi" w:hAnsiTheme="majorHAnsi" w:cstheme="majorHAnsi"/>
                <w:snapToGrid w:val="0"/>
                <w:sz w:val="18"/>
                <w:szCs w:val="18"/>
              </w:rPr>
              <w:t>převzata z</w:t>
            </w:r>
            <w:r w:rsidR="00066294" w:rsidRPr="006070EA">
              <w:rPr>
                <w:rFonts w:asciiTheme="majorHAnsi" w:hAnsiTheme="majorHAnsi" w:cstheme="majorHAnsi"/>
                <w:snapToGrid w:val="0"/>
                <w:sz w:val="18"/>
                <w:szCs w:val="18"/>
              </w:rPr>
              <w:t> </w:t>
            </w:r>
            <w:r w:rsidR="003658C2" w:rsidRPr="006070EA">
              <w:rPr>
                <w:rFonts w:asciiTheme="majorHAnsi" w:hAnsiTheme="majorHAnsi" w:cstheme="majorHAnsi"/>
                <w:snapToGrid w:val="0"/>
                <w:sz w:val="18"/>
                <w:szCs w:val="18"/>
              </w:rPr>
              <w:t>ÚPD</w:t>
            </w:r>
            <w:r w:rsidR="00066294" w:rsidRPr="006070EA">
              <w:rPr>
                <w:rFonts w:asciiTheme="majorHAnsi" w:hAnsiTheme="majorHAnsi" w:cstheme="majorHAnsi"/>
                <w:snapToGrid w:val="0"/>
                <w:sz w:val="18"/>
                <w:szCs w:val="18"/>
              </w:rPr>
              <w:t xml:space="preserve"> a je upraven způsob jejího vymezení ve snaze o doplnění kompaktního tvaru sídla</w:t>
            </w:r>
          </w:p>
          <w:p w14:paraId="7B187CDC" w14:textId="79B20E83" w:rsidR="00066294" w:rsidRPr="006070EA" w:rsidRDefault="00066294" w:rsidP="0095729A">
            <w:pPr>
              <w:keepNext/>
              <w:spacing w:after="0" w:line="240" w:lineRule="auto"/>
              <w:rPr>
                <w:rFonts w:asciiTheme="majorHAnsi" w:hAnsiTheme="majorHAnsi" w:cstheme="majorHAnsi"/>
                <w:snapToGrid w:val="0"/>
                <w:sz w:val="18"/>
                <w:szCs w:val="18"/>
              </w:rPr>
            </w:pPr>
            <w:r w:rsidRPr="006070EA">
              <w:rPr>
                <w:rFonts w:asciiTheme="majorHAnsi" w:hAnsiTheme="majorHAnsi" w:cstheme="majorHAnsi"/>
                <w:snapToGrid w:val="0"/>
                <w:sz w:val="18"/>
                <w:szCs w:val="18"/>
              </w:rPr>
              <w:t xml:space="preserve">- plocha je lokalizována v okrajové části Kostomlat nad Labem bez negativního dopadu na pohodu bydlení </w:t>
            </w:r>
          </w:p>
          <w:p w14:paraId="3EE3A18A" w14:textId="052EBB5E" w:rsidR="007B5C82" w:rsidRPr="006070EA" w:rsidRDefault="007B5C82" w:rsidP="0095729A">
            <w:pPr>
              <w:keepNext/>
              <w:spacing w:after="0" w:line="240" w:lineRule="auto"/>
              <w:rPr>
                <w:rFonts w:asciiTheme="majorHAnsi" w:hAnsiTheme="majorHAnsi" w:cstheme="majorHAnsi"/>
                <w:snapToGrid w:val="0"/>
                <w:sz w:val="18"/>
                <w:szCs w:val="18"/>
              </w:rPr>
            </w:pPr>
            <w:r w:rsidRPr="006070EA">
              <w:rPr>
                <w:rFonts w:asciiTheme="majorHAnsi" w:hAnsiTheme="majorHAnsi" w:cstheme="majorHAnsi"/>
                <w:snapToGrid w:val="0"/>
                <w:sz w:val="18"/>
                <w:szCs w:val="18"/>
              </w:rPr>
              <w:t>- stávající areály výroby a skladování jsou stabilizovány v rámci ploch VL a VZ</w:t>
            </w:r>
          </w:p>
          <w:p w14:paraId="4BC9D460" w14:textId="42D4D311" w:rsidR="003658C2" w:rsidRPr="006070EA" w:rsidRDefault="003658C2" w:rsidP="003658C2">
            <w:pPr>
              <w:spacing w:after="0" w:line="240" w:lineRule="auto"/>
              <w:rPr>
                <w:rFonts w:asciiTheme="majorHAnsi" w:hAnsiTheme="majorHAnsi" w:cstheme="majorHAnsi"/>
                <w:snapToGrid w:val="0"/>
                <w:sz w:val="18"/>
                <w:szCs w:val="18"/>
              </w:rPr>
            </w:pPr>
            <w:r w:rsidRPr="006070EA">
              <w:rPr>
                <w:rFonts w:asciiTheme="majorHAnsi" w:hAnsiTheme="majorHAnsi" w:cstheme="majorHAnsi"/>
                <w:snapToGrid w:val="0"/>
                <w:sz w:val="18"/>
                <w:szCs w:val="18"/>
              </w:rPr>
              <w:t>- další rozvojové plochy pro rozvoj výroby a skladování nejsou explicitně vymezeny – územní plán podporuje rozvoj výroby drobného a řemeslného charakteru v rámci podmínek využití daných ploch s RZV – zejm. ploch smíšených obytných (SV)</w:t>
            </w:r>
          </w:p>
        </w:tc>
      </w:tr>
      <w:tr w:rsidR="007B5C82" w:rsidRPr="006070EA" w14:paraId="04086B5F" w14:textId="77777777" w:rsidTr="00066294">
        <w:trPr>
          <w:trHeight w:val="283"/>
          <w:jc w:val="center"/>
        </w:trPr>
        <w:tc>
          <w:tcPr>
            <w:tcW w:w="2268" w:type="dxa"/>
            <w:tcBorders>
              <w:top w:val="single" w:sz="12" w:space="0" w:color="auto"/>
              <w:bottom w:val="nil"/>
              <w:right w:val="single" w:sz="12" w:space="0" w:color="auto"/>
            </w:tcBorders>
            <w:vAlign w:val="center"/>
          </w:tcPr>
          <w:p w14:paraId="2FC7E8F2" w14:textId="77777777" w:rsidR="00426848" w:rsidRPr="006070EA" w:rsidRDefault="00426848" w:rsidP="00B1012E">
            <w:pPr>
              <w:pStyle w:val="Zkladntext2"/>
              <w:spacing w:after="0" w:line="240" w:lineRule="auto"/>
              <w:rPr>
                <w:rFonts w:asciiTheme="majorHAnsi" w:hAnsiTheme="majorHAnsi" w:cstheme="majorHAnsi"/>
                <w:b/>
                <w:i/>
                <w:sz w:val="18"/>
                <w:szCs w:val="18"/>
              </w:rPr>
            </w:pPr>
            <w:r w:rsidRPr="006070EA">
              <w:rPr>
                <w:rFonts w:asciiTheme="majorHAnsi" w:hAnsiTheme="majorHAnsi" w:cstheme="majorHAnsi"/>
                <w:b/>
                <w:i/>
                <w:sz w:val="18"/>
                <w:szCs w:val="18"/>
              </w:rPr>
              <w:t>veřejných prostranství</w:t>
            </w:r>
            <w:r w:rsidR="00B1012E" w:rsidRPr="006070EA">
              <w:rPr>
                <w:rFonts w:asciiTheme="majorHAnsi" w:hAnsiTheme="majorHAnsi" w:cstheme="majorHAnsi"/>
                <w:b/>
                <w:i/>
                <w:sz w:val="18"/>
                <w:szCs w:val="18"/>
              </w:rPr>
              <w:t xml:space="preserve"> (včetně veřejně přístupné zeleně)</w:t>
            </w:r>
          </w:p>
        </w:tc>
        <w:tc>
          <w:tcPr>
            <w:tcW w:w="6803" w:type="dxa"/>
            <w:tcBorders>
              <w:top w:val="single" w:sz="4" w:space="0" w:color="auto"/>
              <w:left w:val="single" w:sz="12" w:space="0" w:color="auto"/>
              <w:bottom w:val="nil"/>
            </w:tcBorders>
            <w:vAlign w:val="center"/>
          </w:tcPr>
          <w:p w14:paraId="74EED86D" w14:textId="14CACB4F" w:rsidR="00426848" w:rsidRPr="006070EA" w:rsidRDefault="00426848" w:rsidP="004E002A">
            <w:pPr>
              <w:spacing w:after="0" w:line="240" w:lineRule="auto"/>
              <w:rPr>
                <w:rFonts w:asciiTheme="majorHAnsi" w:hAnsiTheme="majorHAnsi" w:cstheme="majorHAnsi"/>
                <w:snapToGrid w:val="0"/>
                <w:sz w:val="18"/>
                <w:szCs w:val="18"/>
              </w:rPr>
            </w:pPr>
            <w:r w:rsidRPr="006070EA">
              <w:rPr>
                <w:rFonts w:asciiTheme="majorHAnsi" w:hAnsiTheme="majorHAnsi" w:cstheme="majorHAnsi"/>
                <w:snapToGrid w:val="0"/>
                <w:sz w:val="18"/>
                <w:szCs w:val="18"/>
              </w:rPr>
              <w:t xml:space="preserve">- identifikovaná potřeba rozvoje </w:t>
            </w:r>
            <w:r w:rsidR="007B5C82" w:rsidRPr="006070EA">
              <w:rPr>
                <w:rFonts w:asciiTheme="majorHAnsi" w:hAnsiTheme="majorHAnsi" w:cstheme="majorHAnsi"/>
                <w:snapToGrid w:val="0"/>
                <w:sz w:val="18"/>
                <w:szCs w:val="18"/>
              </w:rPr>
              <w:t xml:space="preserve">veřejně přístupné zeleně </w:t>
            </w:r>
            <w:r w:rsidRPr="006070EA">
              <w:rPr>
                <w:rFonts w:asciiTheme="majorHAnsi" w:hAnsiTheme="majorHAnsi" w:cstheme="majorHAnsi"/>
                <w:snapToGrid w:val="0"/>
                <w:sz w:val="18"/>
                <w:szCs w:val="18"/>
              </w:rPr>
              <w:t>a doplnění je</w:t>
            </w:r>
            <w:r w:rsidR="007B5C82" w:rsidRPr="006070EA">
              <w:rPr>
                <w:rFonts w:asciiTheme="majorHAnsi" w:hAnsiTheme="majorHAnsi" w:cstheme="majorHAnsi"/>
                <w:snapToGrid w:val="0"/>
                <w:sz w:val="18"/>
                <w:szCs w:val="18"/>
              </w:rPr>
              <w:t>jího</w:t>
            </w:r>
            <w:r w:rsidRPr="006070EA">
              <w:rPr>
                <w:rFonts w:asciiTheme="majorHAnsi" w:hAnsiTheme="majorHAnsi" w:cstheme="majorHAnsi"/>
                <w:snapToGrid w:val="0"/>
                <w:sz w:val="18"/>
                <w:szCs w:val="18"/>
              </w:rPr>
              <w:t xml:space="preserve"> systému v urbanizovaném území</w:t>
            </w:r>
            <w:r w:rsidR="0095729A" w:rsidRPr="006070EA">
              <w:rPr>
                <w:rFonts w:asciiTheme="majorHAnsi" w:hAnsiTheme="majorHAnsi" w:cstheme="majorHAnsi"/>
                <w:snapToGrid w:val="0"/>
                <w:sz w:val="18"/>
                <w:szCs w:val="18"/>
              </w:rPr>
              <w:t xml:space="preserve"> </w:t>
            </w:r>
            <w:r w:rsidR="007B5C82" w:rsidRPr="006070EA">
              <w:rPr>
                <w:rFonts w:asciiTheme="majorHAnsi" w:hAnsiTheme="majorHAnsi" w:cstheme="majorHAnsi"/>
                <w:snapToGrid w:val="0"/>
                <w:sz w:val="18"/>
                <w:szCs w:val="18"/>
              </w:rPr>
              <w:t>sídla Kostomlaty nad Labem – vymezeny zastavitelné plochy Z</w:t>
            </w:r>
            <w:r w:rsidR="00804E2A" w:rsidRPr="006070EA">
              <w:rPr>
                <w:rFonts w:asciiTheme="majorHAnsi" w:hAnsiTheme="majorHAnsi" w:cstheme="majorHAnsi"/>
                <w:snapToGrid w:val="0"/>
                <w:sz w:val="18"/>
                <w:szCs w:val="18"/>
              </w:rPr>
              <w:t>.</w:t>
            </w:r>
            <w:r w:rsidR="007B5C82" w:rsidRPr="006070EA">
              <w:rPr>
                <w:rFonts w:asciiTheme="majorHAnsi" w:hAnsiTheme="majorHAnsi" w:cstheme="majorHAnsi"/>
                <w:snapToGrid w:val="0"/>
                <w:sz w:val="18"/>
                <w:szCs w:val="18"/>
              </w:rPr>
              <w:t>08 (Z</w:t>
            </w:r>
            <w:r w:rsidR="00804E2A" w:rsidRPr="006070EA">
              <w:rPr>
                <w:rFonts w:asciiTheme="majorHAnsi" w:hAnsiTheme="majorHAnsi" w:cstheme="majorHAnsi"/>
                <w:snapToGrid w:val="0"/>
                <w:sz w:val="18"/>
                <w:szCs w:val="18"/>
              </w:rPr>
              <w:t>P</w:t>
            </w:r>
            <w:r w:rsidR="007B5C82" w:rsidRPr="006070EA">
              <w:rPr>
                <w:rFonts w:asciiTheme="majorHAnsi" w:hAnsiTheme="majorHAnsi" w:cstheme="majorHAnsi"/>
                <w:snapToGrid w:val="0"/>
                <w:sz w:val="18"/>
                <w:szCs w:val="18"/>
              </w:rPr>
              <w:t>) – prostorové oddělení vodního toku Vlkava od rozsáhlé zastavitelné plochy Z</w:t>
            </w:r>
            <w:r w:rsidR="00804E2A" w:rsidRPr="006070EA">
              <w:rPr>
                <w:rFonts w:asciiTheme="majorHAnsi" w:hAnsiTheme="majorHAnsi" w:cstheme="majorHAnsi"/>
                <w:snapToGrid w:val="0"/>
                <w:sz w:val="18"/>
                <w:szCs w:val="18"/>
              </w:rPr>
              <w:t>.</w:t>
            </w:r>
            <w:r w:rsidR="007B5C82" w:rsidRPr="006070EA">
              <w:rPr>
                <w:rFonts w:asciiTheme="majorHAnsi" w:hAnsiTheme="majorHAnsi" w:cstheme="majorHAnsi"/>
                <w:snapToGrid w:val="0"/>
                <w:sz w:val="18"/>
                <w:szCs w:val="18"/>
              </w:rPr>
              <w:t>07 (BI), součást biokoridoru L</w:t>
            </w:r>
            <w:r w:rsidR="00804E2A" w:rsidRPr="006070EA">
              <w:rPr>
                <w:rFonts w:asciiTheme="majorHAnsi" w:hAnsiTheme="majorHAnsi" w:cstheme="majorHAnsi"/>
                <w:snapToGrid w:val="0"/>
                <w:sz w:val="18"/>
                <w:szCs w:val="18"/>
              </w:rPr>
              <w:t>B</w:t>
            </w:r>
            <w:r w:rsidR="007B5C82" w:rsidRPr="006070EA">
              <w:rPr>
                <w:rFonts w:asciiTheme="majorHAnsi" w:hAnsiTheme="majorHAnsi" w:cstheme="majorHAnsi"/>
                <w:snapToGrid w:val="0"/>
                <w:sz w:val="18"/>
                <w:szCs w:val="18"/>
              </w:rPr>
              <w:t>K</w:t>
            </w:r>
            <w:r w:rsidR="00804E2A" w:rsidRPr="006070EA">
              <w:rPr>
                <w:rFonts w:asciiTheme="majorHAnsi" w:hAnsiTheme="majorHAnsi" w:cstheme="majorHAnsi"/>
                <w:snapToGrid w:val="0"/>
                <w:sz w:val="18"/>
                <w:szCs w:val="18"/>
              </w:rPr>
              <w:t>.</w:t>
            </w:r>
            <w:r w:rsidR="007B5C82" w:rsidRPr="006070EA">
              <w:rPr>
                <w:rFonts w:asciiTheme="majorHAnsi" w:hAnsiTheme="majorHAnsi" w:cstheme="majorHAnsi"/>
                <w:snapToGrid w:val="0"/>
                <w:sz w:val="18"/>
                <w:szCs w:val="18"/>
              </w:rPr>
              <w:t>1 a Z</w:t>
            </w:r>
            <w:r w:rsidR="00804E2A" w:rsidRPr="006070EA">
              <w:rPr>
                <w:rFonts w:asciiTheme="majorHAnsi" w:hAnsiTheme="majorHAnsi" w:cstheme="majorHAnsi"/>
                <w:snapToGrid w:val="0"/>
                <w:sz w:val="18"/>
                <w:szCs w:val="18"/>
              </w:rPr>
              <w:t>.</w:t>
            </w:r>
            <w:r w:rsidR="007B5C82" w:rsidRPr="006070EA">
              <w:rPr>
                <w:rFonts w:asciiTheme="majorHAnsi" w:hAnsiTheme="majorHAnsi" w:cstheme="majorHAnsi"/>
                <w:snapToGrid w:val="0"/>
                <w:sz w:val="18"/>
                <w:szCs w:val="18"/>
              </w:rPr>
              <w:t>12 – prostorové oddělení železniční trati a zastavitelné plochy Z</w:t>
            </w:r>
            <w:r w:rsidR="00804E2A" w:rsidRPr="006070EA">
              <w:rPr>
                <w:rFonts w:asciiTheme="majorHAnsi" w:hAnsiTheme="majorHAnsi" w:cstheme="majorHAnsi"/>
                <w:snapToGrid w:val="0"/>
                <w:sz w:val="18"/>
                <w:szCs w:val="18"/>
              </w:rPr>
              <w:t>.</w:t>
            </w:r>
            <w:r w:rsidR="007B5C82" w:rsidRPr="006070EA">
              <w:rPr>
                <w:rFonts w:asciiTheme="majorHAnsi" w:hAnsiTheme="majorHAnsi" w:cstheme="majorHAnsi"/>
                <w:snapToGrid w:val="0"/>
                <w:sz w:val="18"/>
                <w:szCs w:val="18"/>
              </w:rPr>
              <w:t>11 (BI), součást lokálního biokoridoru L</w:t>
            </w:r>
            <w:r w:rsidR="00804E2A" w:rsidRPr="006070EA">
              <w:rPr>
                <w:rFonts w:asciiTheme="majorHAnsi" w:hAnsiTheme="majorHAnsi" w:cstheme="majorHAnsi"/>
                <w:snapToGrid w:val="0"/>
                <w:sz w:val="18"/>
                <w:szCs w:val="18"/>
              </w:rPr>
              <w:t>B</w:t>
            </w:r>
            <w:r w:rsidR="007B5C82" w:rsidRPr="006070EA">
              <w:rPr>
                <w:rFonts w:asciiTheme="majorHAnsi" w:hAnsiTheme="majorHAnsi" w:cstheme="majorHAnsi"/>
                <w:snapToGrid w:val="0"/>
                <w:sz w:val="18"/>
                <w:szCs w:val="18"/>
              </w:rPr>
              <w:t>K</w:t>
            </w:r>
            <w:r w:rsidR="00804E2A" w:rsidRPr="006070EA">
              <w:rPr>
                <w:rFonts w:asciiTheme="majorHAnsi" w:hAnsiTheme="majorHAnsi" w:cstheme="majorHAnsi"/>
                <w:snapToGrid w:val="0"/>
                <w:sz w:val="18"/>
                <w:szCs w:val="18"/>
              </w:rPr>
              <w:t>.</w:t>
            </w:r>
            <w:r w:rsidR="007B5C82" w:rsidRPr="006070EA">
              <w:rPr>
                <w:rFonts w:asciiTheme="majorHAnsi" w:hAnsiTheme="majorHAnsi" w:cstheme="majorHAnsi"/>
                <w:snapToGrid w:val="0"/>
                <w:sz w:val="18"/>
                <w:szCs w:val="18"/>
              </w:rPr>
              <w:t xml:space="preserve">1 </w:t>
            </w:r>
          </w:p>
          <w:p w14:paraId="1A041F28" w14:textId="0307BB4D" w:rsidR="00426848" w:rsidRPr="006070EA" w:rsidRDefault="00426848" w:rsidP="004E002A">
            <w:pPr>
              <w:spacing w:after="0" w:line="240" w:lineRule="auto"/>
              <w:rPr>
                <w:rFonts w:asciiTheme="majorHAnsi" w:hAnsiTheme="majorHAnsi" w:cstheme="majorHAnsi"/>
                <w:snapToGrid w:val="0"/>
                <w:sz w:val="18"/>
                <w:szCs w:val="18"/>
              </w:rPr>
            </w:pPr>
            <w:r w:rsidRPr="006070EA">
              <w:rPr>
                <w:rFonts w:asciiTheme="majorHAnsi" w:hAnsiTheme="majorHAnsi" w:cstheme="majorHAnsi"/>
                <w:snapToGrid w:val="0"/>
                <w:sz w:val="18"/>
                <w:szCs w:val="18"/>
              </w:rPr>
              <w:t>- zajištění prostupnosti území</w:t>
            </w:r>
            <w:r w:rsidR="007B5C82" w:rsidRPr="006070EA">
              <w:rPr>
                <w:rFonts w:asciiTheme="majorHAnsi" w:hAnsiTheme="majorHAnsi" w:cstheme="majorHAnsi"/>
                <w:snapToGrid w:val="0"/>
                <w:sz w:val="18"/>
                <w:szCs w:val="18"/>
              </w:rPr>
              <w:t xml:space="preserve"> a dopravní obsluhy urbanizovaného území – vymezena zastavitelná plocha Z</w:t>
            </w:r>
            <w:r w:rsidR="00804E2A" w:rsidRPr="006070EA">
              <w:rPr>
                <w:rFonts w:asciiTheme="majorHAnsi" w:hAnsiTheme="majorHAnsi" w:cstheme="majorHAnsi"/>
                <w:snapToGrid w:val="0"/>
                <w:sz w:val="18"/>
                <w:szCs w:val="18"/>
              </w:rPr>
              <w:t>.</w:t>
            </w:r>
            <w:r w:rsidR="007B5C82" w:rsidRPr="006070EA">
              <w:rPr>
                <w:rFonts w:asciiTheme="majorHAnsi" w:hAnsiTheme="majorHAnsi" w:cstheme="majorHAnsi"/>
                <w:snapToGrid w:val="0"/>
                <w:sz w:val="18"/>
                <w:szCs w:val="18"/>
              </w:rPr>
              <w:t>2</w:t>
            </w:r>
            <w:r w:rsidR="0079659D" w:rsidRPr="006070EA">
              <w:rPr>
                <w:rFonts w:asciiTheme="majorHAnsi" w:hAnsiTheme="majorHAnsi" w:cstheme="majorHAnsi"/>
                <w:snapToGrid w:val="0"/>
                <w:sz w:val="18"/>
                <w:szCs w:val="18"/>
              </w:rPr>
              <w:t>2</w:t>
            </w:r>
            <w:r w:rsidR="007B5C82" w:rsidRPr="006070EA">
              <w:rPr>
                <w:rFonts w:asciiTheme="majorHAnsi" w:hAnsiTheme="majorHAnsi" w:cstheme="majorHAnsi"/>
                <w:snapToGrid w:val="0"/>
                <w:sz w:val="18"/>
                <w:szCs w:val="18"/>
              </w:rPr>
              <w:t xml:space="preserve"> (P</w:t>
            </w:r>
            <w:r w:rsidR="00804E2A" w:rsidRPr="006070EA">
              <w:rPr>
                <w:rFonts w:asciiTheme="majorHAnsi" w:hAnsiTheme="majorHAnsi" w:cstheme="majorHAnsi"/>
                <w:snapToGrid w:val="0"/>
                <w:sz w:val="18"/>
                <w:szCs w:val="18"/>
              </w:rPr>
              <w:t>U</w:t>
            </w:r>
            <w:r w:rsidR="007B5C82" w:rsidRPr="006070EA">
              <w:rPr>
                <w:rFonts w:asciiTheme="majorHAnsi" w:hAnsiTheme="majorHAnsi" w:cstheme="majorHAnsi"/>
                <w:snapToGrid w:val="0"/>
                <w:sz w:val="18"/>
                <w:szCs w:val="18"/>
              </w:rPr>
              <w:t>) v rozsahu stávající komunikace v sídle Vápensko</w:t>
            </w:r>
          </w:p>
          <w:p w14:paraId="528826B2" w14:textId="77777777" w:rsidR="0095729A" w:rsidRPr="006070EA" w:rsidRDefault="0095729A" w:rsidP="0095729A">
            <w:pPr>
              <w:spacing w:after="0" w:line="240" w:lineRule="auto"/>
              <w:rPr>
                <w:rFonts w:asciiTheme="majorHAnsi" w:hAnsiTheme="majorHAnsi" w:cstheme="majorHAnsi"/>
                <w:snapToGrid w:val="0"/>
                <w:sz w:val="18"/>
                <w:szCs w:val="18"/>
              </w:rPr>
            </w:pPr>
            <w:r w:rsidRPr="006070EA">
              <w:rPr>
                <w:rFonts w:asciiTheme="majorHAnsi" w:hAnsiTheme="majorHAnsi" w:cstheme="majorHAnsi"/>
                <w:snapToGrid w:val="0"/>
                <w:sz w:val="18"/>
                <w:szCs w:val="18"/>
              </w:rPr>
              <w:t>- rozvoj veřejných prostranství je umožněn v souladu s podmínkami využití prakticky v rámci všech ploch s RZV v urbanizovaném území</w:t>
            </w:r>
          </w:p>
          <w:p w14:paraId="4C41668F" w14:textId="23CB15A5" w:rsidR="0095729A" w:rsidRPr="006070EA" w:rsidRDefault="0095729A" w:rsidP="0095729A">
            <w:pPr>
              <w:spacing w:after="0" w:line="240" w:lineRule="auto"/>
              <w:rPr>
                <w:rFonts w:asciiTheme="majorHAnsi" w:hAnsiTheme="majorHAnsi" w:cstheme="majorHAnsi"/>
                <w:snapToGrid w:val="0"/>
                <w:sz w:val="18"/>
                <w:szCs w:val="18"/>
              </w:rPr>
            </w:pPr>
            <w:r w:rsidRPr="006070EA">
              <w:rPr>
                <w:rFonts w:asciiTheme="majorHAnsi" w:hAnsiTheme="majorHAnsi" w:cstheme="majorHAnsi"/>
                <w:snapToGrid w:val="0"/>
                <w:sz w:val="18"/>
                <w:szCs w:val="18"/>
              </w:rPr>
              <w:t xml:space="preserve">- pro zajištění prostupnosti a obsluhy plošně rozsáhlých </w:t>
            </w:r>
            <w:r w:rsidR="007B5C82" w:rsidRPr="006070EA">
              <w:rPr>
                <w:rFonts w:asciiTheme="majorHAnsi" w:hAnsiTheme="majorHAnsi" w:cstheme="majorHAnsi"/>
                <w:snapToGrid w:val="0"/>
                <w:sz w:val="18"/>
                <w:szCs w:val="18"/>
              </w:rPr>
              <w:t xml:space="preserve">a urbanisticky komplikovaných </w:t>
            </w:r>
            <w:r w:rsidRPr="006070EA">
              <w:rPr>
                <w:rFonts w:asciiTheme="majorHAnsi" w:hAnsiTheme="majorHAnsi" w:cstheme="majorHAnsi"/>
                <w:snapToGrid w:val="0"/>
                <w:sz w:val="18"/>
                <w:szCs w:val="18"/>
              </w:rPr>
              <w:t xml:space="preserve">rozvojových ploch územní plán stanovuje tzv. </w:t>
            </w:r>
            <w:r w:rsidRPr="006070EA">
              <w:rPr>
                <w:rFonts w:asciiTheme="majorHAnsi" w:hAnsiTheme="majorHAnsi" w:cstheme="majorHAnsi"/>
                <w:i/>
                <w:snapToGrid w:val="0"/>
                <w:sz w:val="18"/>
                <w:szCs w:val="18"/>
              </w:rPr>
              <w:t>směry zajištění prostupnosti veřejným prostranstvím</w:t>
            </w:r>
            <w:r w:rsidRPr="006070EA">
              <w:rPr>
                <w:rFonts w:asciiTheme="majorHAnsi" w:hAnsiTheme="majorHAnsi" w:cstheme="majorHAnsi"/>
                <w:snapToGrid w:val="0"/>
                <w:sz w:val="18"/>
                <w:szCs w:val="18"/>
              </w:rPr>
              <w:t>, v rámci kterých je nezbytné v navazujícím stupni územní přípravy pro výstavbu (územní studie) navrhnout optimální řešení funkčního systému veřejných prostranství</w:t>
            </w:r>
          </w:p>
        </w:tc>
      </w:tr>
    </w:tbl>
    <w:p w14:paraId="48D8E8E2" w14:textId="77777777" w:rsidR="002A2337" w:rsidRPr="006070EA" w:rsidRDefault="002A2337" w:rsidP="00B64E3A">
      <w:pPr>
        <w:pStyle w:val="Odstavecseseznamem"/>
        <w:keepNext/>
        <w:pageBreakBefore/>
        <w:numPr>
          <w:ilvl w:val="0"/>
          <w:numId w:val="1"/>
        </w:numPr>
        <w:pBdr>
          <w:top w:val="single" w:sz="8" w:space="1" w:color="auto"/>
          <w:left w:val="single" w:sz="8" w:space="4" w:color="auto"/>
          <w:bottom w:val="single" w:sz="8" w:space="1" w:color="auto"/>
          <w:right w:val="single" w:sz="8" w:space="4" w:color="auto"/>
        </w:pBdr>
        <w:shd w:val="clear" w:color="auto" w:fill="F2F2F2" w:themeFill="background1" w:themeFillShade="F2"/>
        <w:spacing w:before="200" w:after="200" w:line="240" w:lineRule="auto"/>
        <w:ind w:left="709" w:hanging="709"/>
        <w:contextualSpacing w:val="0"/>
        <w:jc w:val="both"/>
        <w:outlineLvl w:val="0"/>
        <w:rPr>
          <w:rFonts w:asciiTheme="majorHAnsi" w:hAnsiTheme="majorHAnsi" w:cstheme="majorHAnsi"/>
          <w:b/>
          <w:sz w:val="24"/>
          <w:szCs w:val="28"/>
        </w:rPr>
      </w:pPr>
      <w:bookmarkStart w:id="192" w:name="_Toc424119818"/>
      <w:bookmarkStart w:id="193" w:name="_Toc204678185"/>
      <w:bookmarkEnd w:id="191"/>
      <w:r w:rsidRPr="006070EA">
        <w:rPr>
          <w:rFonts w:asciiTheme="majorHAnsi" w:hAnsiTheme="majorHAnsi" w:cstheme="majorHAnsi"/>
          <w:b/>
          <w:sz w:val="24"/>
          <w:szCs w:val="28"/>
        </w:rPr>
        <w:lastRenderedPageBreak/>
        <w:t>KOMPLEXNÍ ZDŮVODNĚNÍ PŘIJATÉHO ŘEŠENÍ</w:t>
      </w:r>
      <w:bookmarkEnd w:id="192"/>
      <w:bookmarkEnd w:id="193"/>
    </w:p>
    <w:p w14:paraId="446AFE11" w14:textId="77777777" w:rsidR="007D5AAE" w:rsidRPr="006070EA" w:rsidRDefault="007D5AAE" w:rsidP="008A7151">
      <w:pPr>
        <w:pStyle w:val="Mra2-reakceern"/>
        <w:keepNext/>
        <w:pBdr>
          <w:left w:val="none" w:sz="0" w:space="0" w:color="auto"/>
        </w:pBdr>
        <w:spacing w:before="120" w:after="120"/>
        <w:ind w:left="0" w:firstLine="709"/>
        <w:rPr>
          <w:rFonts w:asciiTheme="majorHAnsi" w:hAnsiTheme="majorHAnsi" w:cstheme="majorHAnsi"/>
          <w:i/>
          <w:color w:val="auto"/>
        </w:rPr>
      </w:pPr>
      <w:r w:rsidRPr="006070EA">
        <w:rPr>
          <w:rFonts w:asciiTheme="majorHAnsi" w:hAnsiTheme="majorHAnsi" w:cstheme="majorHAnsi"/>
          <w:i/>
          <w:color w:val="auto"/>
        </w:rPr>
        <w:t>Zákon č. 183/2006 Sb., § 53, odst. 5 e)</w:t>
      </w:r>
    </w:p>
    <w:p w14:paraId="57A1B574" w14:textId="77777777" w:rsidR="007D5AAE" w:rsidRPr="006070EA" w:rsidRDefault="007D5AAE" w:rsidP="008A7151">
      <w:pPr>
        <w:pStyle w:val="Mra2-reakceern"/>
        <w:keepNext/>
        <w:pBdr>
          <w:left w:val="none" w:sz="0" w:space="0" w:color="auto"/>
        </w:pBdr>
        <w:spacing w:before="120" w:after="120"/>
        <w:ind w:left="0" w:firstLine="709"/>
        <w:rPr>
          <w:rFonts w:asciiTheme="majorHAnsi" w:hAnsiTheme="majorHAnsi" w:cstheme="majorHAnsi"/>
          <w:b/>
          <w:i/>
          <w:color w:val="auto"/>
        </w:rPr>
      </w:pPr>
      <w:r w:rsidRPr="006070EA">
        <w:rPr>
          <w:rFonts w:asciiTheme="majorHAnsi" w:hAnsiTheme="majorHAnsi" w:cstheme="majorHAnsi"/>
          <w:b/>
          <w:i/>
          <w:color w:val="auto"/>
        </w:rPr>
        <w:t>Zpracovává projektant.</w:t>
      </w:r>
    </w:p>
    <w:p w14:paraId="71BB16D4" w14:textId="77777777" w:rsidR="00D07C1B" w:rsidRPr="006070EA" w:rsidRDefault="00D07C1B" w:rsidP="008A7151">
      <w:pPr>
        <w:pStyle w:val="Mra2-reakceern"/>
        <w:keepNext/>
        <w:pBdr>
          <w:left w:val="none" w:sz="0" w:space="0" w:color="auto"/>
        </w:pBdr>
        <w:spacing w:before="120" w:after="120"/>
        <w:ind w:left="0"/>
        <w:rPr>
          <w:rFonts w:asciiTheme="majorHAnsi" w:hAnsiTheme="majorHAnsi" w:cstheme="majorHAnsi"/>
          <w:color w:val="auto"/>
        </w:rPr>
      </w:pPr>
      <w:r w:rsidRPr="006070EA">
        <w:rPr>
          <w:rFonts w:asciiTheme="majorHAnsi" w:hAnsiTheme="majorHAnsi" w:cstheme="majorHAnsi"/>
          <w:b/>
          <w:color w:val="auto"/>
        </w:rPr>
        <w:tab/>
      </w:r>
      <w:r w:rsidRPr="006070EA">
        <w:rPr>
          <w:rFonts w:asciiTheme="majorHAnsi" w:hAnsiTheme="majorHAnsi" w:cstheme="majorHAnsi"/>
          <w:color w:val="auto"/>
        </w:rPr>
        <w:t>Ve smyslu § 18 odst. 1 stavebního zákona je cílem územního plánu vytvořit předpoklady pro udržitelný rozvoj území, spočívající ve vyváženém vztahu mezi hospodářským rozvojem, ochranou životního prostředí a soudržností společenství obyvatel území.</w:t>
      </w:r>
    </w:p>
    <w:p w14:paraId="3167AE3D" w14:textId="77777777" w:rsidR="00111926" w:rsidRPr="006070EA" w:rsidRDefault="00111926" w:rsidP="008A7151">
      <w:pPr>
        <w:pStyle w:val="Mra2-reakceern"/>
        <w:keepNext/>
        <w:pBdr>
          <w:left w:val="none" w:sz="0" w:space="0" w:color="auto"/>
        </w:pBdr>
        <w:shd w:val="clear" w:color="auto" w:fill="DEEAF6" w:themeFill="accent1" w:themeFillTint="33"/>
        <w:spacing w:before="240" w:after="120"/>
        <w:ind w:left="0"/>
        <w:rPr>
          <w:rFonts w:asciiTheme="majorHAnsi" w:hAnsiTheme="majorHAnsi" w:cstheme="majorHAnsi"/>
          <w:b/>
          <w:i/>
          <w:color w:val="auto"/>
          <w:sz w:val="22"/>
        </w:rPr>
      </w:pPr>
      <w:r w:rsidRPr="006070EA">
        <w:rPr>
          <w:rFonts w:asciiTheme="majorHAnsi" w:hAnsiTheme="majorHAnsi" w:cstheme="majorHAnsi"/>
          <w:b/>
          <w:i/>
          <w:color w:val="auto"/>
          <w:sz w:val="22"/>
        </w:rPr>
        <w:t>AD 1</w:t>
      </w:r>
      <w:r w:rsidRPr="006070EA">
        <w:rPr>
          <w:rFonts w:asciiTheme="majorHAnsi" w:hAnsiTheme="majorHAnsi" w:cstheme="majorHAnsi"/>
          <w:b/>
          <w:i/>
          <w:color w:val="auto"/>
          <w:sz w:val="22"/>
        </w:rPr>
        <w:tab/>
        <w:t>VYMEZENÍ ZASTAVĚNÉHO ÚZEMÍ</w:t>
      </w:r>
    </w:p>
    <w:p w14:paraId="7194314D" w14:textId="77777777" w:rsidR="007D5AAE" w:rsidRPr="006070EA" w:rsidRDefault="00111926" w:rsidP="003A4B1E">
      <w:pPr>
        <w:pStyle w:val="Odstavecseseznamem"/>
        <w:keepNext/>
        <w:numPr>
          <w:ilvl w:val="1"/>
          <w:numId w:val="30"/>
        </w:numPr>
        <w:spacing w:before="160" w:after="120" w:line="240" w:lineRule="auto"/>
        <w:ind w:left="709" w:hanging="709"/>
        <w:contextualSpacing w:val="0"/>
        <w:outlineLvl w:val="1"/>
        <w:rPr>
          <w:rFonts w:asciiTheme="majorHAnsi" w:hAnsiTheme="majorHAnsi" w:cstheme="majorHAnsi"/>
          <w:b/>
          <w:sz w:val="24"/>
          <w:szCs w:val="20"/>
        </w:rPr>
      </w:pPr>
      <w:bookmarkStart w:id="194" w:name="_Toc415755964"/>
      <w:bookmarkStart w:id="195" w:name="_Toc415756330"/>
      <w:bookmarkStart w:id="196" w:name="_Toc415756689"/>
      <w:bookmarkStart w:id="197" w:name="_Toc415756939"/>
      <w:bookmarkStart w:id="198" w:name="_Toc415757189"/>
      <w:bookmarkStart w:id="199" w:name="_Toc415757438"/>
      <w:bookmarkStart w:id="200" w:name="_Toc415757596"/>
      <w:bookmarkStart w:id="201" w:name="_Toc424050122"/>
      <w:bookmarkStart w:id="202" w:name="_Toc424050296"/>
      <w:bookmarkStart w:id="203" w:name="_Toc424050454"/>
      <w:bookmarkStart w:id="204" w:name="_Toc424112316"/>
      <w:bookmarkStart w:id="205" w:name="_Toc424119340"/>
      <w:bookmarkStart w:id="206" w:name="_Toc424119819"/>
      <w:bookmarkStart w:id="207" w:name="_Toc424120075"/>
      <w:bookmarkStart w:id="208" w:name="_Toc424120501"/>
      <w:bookmarkStart w:id="209" w:name="_Toc424126207"/>
      <w:bookmarkStart w:id="210" w:name="_Toc424138788"/>
      <w:bookmarkStart w:id="211" w:name="_Toc445291905"/>
      <w:bookmarkStart w:id="212" w:name="_Toc445910418"/>
      <w:bookmarkStart w:id="213" w:name="_Toc448831897"/>
      <w:bookmarkStart w:id="214" w:name="_Toc448832087"/>
      <w:bookmarkStart w:id="215" w:name="_Toc450037747"/>
      <w:bookmarkStart w:id="216" w:name="_Toc450223041"/>
      <w:bookmarkStart w:id="217" w:name="_Toc485214907"/>
      <w:bookmarkStart w:id="218" w:name="_Toc485378060"/>
      <w:bookmarkStart w:id="219" w:name="_Toc485378182"/>
      <w:bookmarkStart w:id="220" w:name="_Toc485214908"/>
      <w:bookmarkStart w:id="221" w:name="_Toc485378061"/>
      <w:bookmarkStart w:id="222" w:name="_Toc485378183"/>
      <w:bookmarkStart w:id="223" w:name="_Toc485214909"/>
      <w:bookmarkStart w:id="224" w:name="_Toc485378062"/>
      <w:bookmarkStart w:id="225" w:name="_Toc485378184"/>
      <w:bookmarkStart w:id="226" w:name="_Toc424119820"/>
      <w:bookmarkStart w:id="227" w:name="_Toc204678186"/>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r w:rsidRPr="006070EA">
        <w:rPr>
          <w:rFonts w:asciiTheme="majorHAnsi" w:hAnsiTheme="majorHAnsi" w:cstheme="majorHAnsi"/>
          <w:b/>
          <w:sz w:val="24"/>
          <w:szCs w:val="20"/>
        </w:rPr>
        <w:t>Odůvodnění v</w:t>
      </w:r>
      <w:r w:rsidR="007D5AAE" w:rsidRPr="006070EA">
        <w:rPr>
          <w:rFonts w:asciiTheme="majorHAnsi" w:hAnsiTheme="majorHAnsi" w:cstheme="majorHAnsi"/>
          <w:b/>
          <w:sz w:val="24"/>
          <w:szCs w:val="20"/>
        </w:rPr>
        <w:t xml:space="preserve">ymezení </w:t>
      </w:r>
      <w:r w:rsidRPr="006070EA">
        <w:rPr>
          <w:rFonts w:asciiTheme="majorHAnsi" w:hAnsiTheme="majorHAnsi" w:cstheme="majorHAnsi"/>
          <w:b/>
          <w:sz w:val="24"/>
          <w:szCs w:val="20"/>
        </w:rPr>
        <w:t xml:space="preserve">zastavěného </w:t>
      </w:r>
      <w:r w:rsidR="007D5AAE" w:rsidRPr="006070EA">
        <w:rPr>
          <w:rFonts w:asciiTheme="majorHAnsi" w:hAnsiTheme="majorHAnsi" w:cstheme="majorHAnsi"/>
          <w:b/>
          <w:sz w:val="24"/>
          <w:szCs w:val="20"/>
        </w:rPr>
        <w:t>území</w:t>
      </w:r>
      <w:bookmarkEnd w:id="226"/>
      <w:bookmarkEnd w:id="227"/>
    </w:p>
    <w:p w14:paraId="5D343A53" w14:textId="77777777" w:rsidR="00111926" w:rsidRPr="006070EA" w:rsidRDefault="00111926" w:rsidP="008A7151">
      <w:pPr>
        <w:pStyle w:val="Mra2-reakceern"/>
        <w:keepNext/>
        <w:pBdr>
          <w:left w:val="none" w:sz="0" w:space="0" w:color="auto"/>
        </w:pBdr>
        <w:spacing w:before="120" w:after="60"/>
        <w:ind w:left="0"/>
        <w:jc w:val="right"/>
        <w:rPr>
          <w:rFonts w:asciiTheme="majorHAnsi" w:hAnsiTheme="majorHAnsi" w:cstheme="majorHAnsi"/>
          <w:i/>
          <w:color w:val="auto"/>
          <w:u w:val="single"/>
        </w:rPr>
      </w:pPr>
      <w:r w:rsidRPr="006070EA">
        <w:rPr>
          <w:rFonts w:asciiTheme="majorHAnsi" w:hAnsiTheme="majorHAnsi" w:cstheme="majorHAnsi"/>
          <w:i/>
          <w:color w:val="auto"/>
          <w:u w:val="single"/>
        </w:rPr>
        <w:t xml:space="preserve">Odůvodnění odst. </w:t>
      </w:r>
      <w:r w:rsidRPr="006070EA">
        <w:rPr>
          <w:rFonts w:asciiTheme="majorHAnsi" w:hAnsiTheme="majorHAnsi" w:cstheme="majorHAnsi"/>
          <w:b/>
          <w:i/>
          <w:color w:val="auto"/>
          <w:u w:val="single"/>
        </w:rPr>
        <w:t>(1)</w:t>
      </w:r>
      <w:r w:rsidRPr="006070EA">
        <w:rPr>
          <w:rFonts w:asciiTheme="majorHAnsi" w:hAnsiTheme="majorHAnsi" w:cstheme="majorHAnsi"/>
          <w:i/>
          <w:color w:val="auto"/>
          <w:u w:val="single"/>
        </w:rPr>
        <w:t xml:space="preserve"> výrokové části</w:t>
      </w:r>
    </w:p>
    <w:p w14:paraId="646D8774" w14:textId="3DAEF836" w:rsidR="003765C5" w:rsidRPr="006070EA" w:rsidRDefault="003765C5" w:rsidP="003765C5">
      <w:pPr>
        <w:pStyle w:val="Atext"/>
        <w:rPr>
          <w:rFonts w:asciiTheme="majorHAnsi" w:hAnsiTheme="majorHAnsi" w:cstheme="majorHAnsi"/>
        </w:rPr>
      </w:pPr>
      <w:r w:rsidRPr="00A76411">
        <w:rPr>
          <w:rFonts w:asciiTheme="majorHAnsi" w:hAnsiTheme="majorHAnsi" w:cstheme="majorHAnsi"/>
        </w:rPr>
        <w:t xml:space="preserve">Hranice zastavěného území je vymezena k datu </w:t>
      </w:r>
      <w:r w:rsidR="00C2266C" w:rsidRPr="00A76411">
        <w:rPr>
          <w:rFonts w:asciiTheme="majorHAnsi" w:hAnsiTheme="majorHAnsi" w:cstheme="majorHAnsi"/>
        </w:rPr>
        <w:t>5. 8. 2024</w:t>
      </w:r>
      <w:r w:rsidRPr="00A76411">
        <w:rPr>
          <w:rFonts w:asciiTheme="majorHAnsi" w:hAnsiTheme="majorHAnsi" w:cstheme="majorHAnsi"/>
        </w:rPr>
        <w:t>, a to v souladu s § 58 stavebního zákona. Podkladem pro vymezení hranice zastavěného území byla hranice intravilánu z roku 1966 a aktuální katastrální mapa s evidencí zastavěných ploch a nádvoří. Ve vazbě na zákon č. 256/2013 Sb., ve znění pozdějších předpisů (katastrální zákon) jsou v zastavěném území vymezeny kromě pozemků zahrnutých do intravilánu (hranice sídel z roku 1966, viz obrázek níže) také pozemky evidované v</w:t>
      </w:r>
      <w:r w:rsidR="00804E2A" w:rsidRPr="00A76411">
        <w:rPr>
          <w:rFonts w:asciiTheme="majorHAnsi" w:hAnsiTheme="majorHAnsi" w:cstheme="majorHAnsi"/>
        </w:rPr>
        <w:t> </w:t>
      </w:r>
      <w:r w:rsidRPr="00A76411">
        <w:rPr>
          <w:rFonts w:asciiTheme="majorHAnsi" w:hAnsiTheme="majorHAnsi" w:cstheme="majorHAnsi"/>
        </w:rPr>
        <w:t>Katastru nemovitostí ČR jako zastavěné stavební pozemky včetně okolních souvisejících pozemků, kterými se rozumí pozemky pod společným oplocením s dotčenou stavbou na zastavěném stavebním pozemku, stavební proluky, pozemní komunikace nebo jejich části, ostatní veřejná prostranství a další pozemky.</w:t>
      </w:r>
      <w:r w:rsidRPr="006070EA">
        <w:rPr>
          <w:rFonts w:asciiTheme="majorHAnsi" w:hAnsiTheme="majorHAnsi" w:cstheme="majorHAnsi"/>
        </w:rPr>
        <w:t xml:space="preserve"> </w:t>
      </w:r>
    </w:p>
    <w:p w14:paraId="58F25152" w14:textId="70803E43" w:rsidR="003765C5" w:rsidRPr="006070EA" w:rsidRDefault="003765C5" w:rsidP="003765C5">
      <w:pPr>
        <w:pStyle w:val="Atext"/>
        <w:rPr>
          <w:rFonts w:asciiTheme="majorHAnsi" w:hAnsiTheme="majorHAnsi" w:cstheme="majorHAnsi"/>
        </w:rPr>
      </w:pPr>
      <w:r w:rsidRPr="006070EA">
        <w:rPr>
          <w:rFonts w:asciiTheme="majorHAnsi" w:hAnsiTheme="majorHAnsi" w:cstheme="majorHAnsi"/>
        </w:rPr>
        <w:t>Vymezení zastavěného území vychází (kromě zákonných požadavků) z terénního průzkumu zpracovatele a v nejednoznačných případech z jeho odborného úsudku s ohledem na lokální charakter zastavěného území, způsob využívání pozemků nebo vlastnické vztahy.</w:t>
      </w:r>
    </w:p>
    <w:p w14:paraId="63268B02" w14:textId="60F43D30" w:rsidR="003765C5" w:rsidRPr="006070EA" w:rsidRDefault="003765C5" w:rsidP="00433C39">
      <w:pPr>
        <w:pStyle w:val="Atext"/>
        <w:keepLines/>
        <w:rPr>
          <w:rFonts w:asciiTheme="majorHAnsi" w:hAnsiTheme="majorHAnsi" w:cstheme="majorHAnsi"/>
        </w:rPr>
      </w:pPr>
      <w:r w:rsidRPr="006070EA">
        <w:rPr>
          <w:rFonts w:asciiTheme="majorHAnsi" w:hAnsiTheme="majorHAnsi" w:cstheme="majorHAnsi"/>
        </w:rPr>
        <w:t xml:space="preserve">V souladu s § 58 stavebního zákona nebyly do zastavěného území zahrnuty parcely, na nichž v současné době probíhá výstavba (pokud nejsou prolukami ve výše uvedeným smyslu), neboť se nejedná o stabilizované / již využité plochy a zároveň tyto dosud nedokončené stavby nefigurují ve statistikách týkajících se počtu bytů, počtu dokončených bytů i počtu trvale bydlících obyvatel, proto jsou pro účely analytické činnosti v rámci tvorby návrhu ÚP považovány za plochy zastavitelné s tím, že předpokládaná kapacita těchto ploch stanovená v rámci dílčích vyhodnocení zohlednila již probíhající výstavbu resp. její parametry. </w:t>
      </w:r>
    </w:p>
    <w:p w14:paraId="4C2EDA4E" w14:textId="72C8CE28" w:rsidR="006514BB" w:rsidRPr="006070EA" w:rsidRDefault="00471A6A" w:rsidP="00471A6A">
      <w:pPr>
        <w:pStyle w:val="Mra2-reakceern"/>
        <w:keepNext/>
        <w:pBdr>
          <w:left w:val="none" w:sz="0" w:space="0" w:color="auto"/>
        </w:pBdr>
        <w:spacing w:before="120" w:after="60"/>
        <w:ind w:left="0"/>
        <w:rPr>
          <w:rFonts w:asciiTheme="majorHAnsi" w:hAnsiTheme="majorHAnsi" w:cstheme="majorHAnsi"/>
          <w:i/>
          <w:iCs w:val="0"/>
          <w:color w:val="auto"/>
        </w:rPr>
      </w:pPr>
      <w:r w:rsidRPr="006070EA">
        <w:rPr>
          <w:rFonts w:asciiTheme="majorHAnsi" w:hAnsiTheme="majorHAnsi" w:cstheme="majorHAnsi"/>
          <w:i/>
          <w:iCs w:val="0"/>
          <w:color w:val="auto"/>
        </w:rPr>
        <w:t>Obr.: Zastavěné území vymezené v ÚP Kostomlaty nad Labem</w:t>
      </w:r>
      <w:r w:rsidR="005B489D" w:rsidRPr="006070EA">
        <w:rPr>
          <w:rFonts w:asciiTheme="majorHAnsi" w:hAnsiTheme="majorHAnsi" w:cstheme="majorHAnsi"/>
          <w:i/>
          <w:iCs w:val="0"/>
          <w:color w:val="auto"/>
        </w:rPr>
        <w:t xml:space="preserve"> </w:t>
      </w:r>
      <w:r w:rsidRPr="006070EA">
        <w:rPr>
          <w:rFonts w:asciiTheme="majorHAnsi" w:hAnsiTheme="majorHAnsi" w:cstheme="majorHAnsi"/>
          <w:i/>
          <w:iCs w:val="0"/>
          <w:color w:val="auto"/>
        </w:rPr>
        <w:t>a hranice intravilánu 1966</w:t>
      </w:r>
      <w:r w:rsidR="00FB6DE5" w:rsidRPr="006070EA">
        <w:rPr>
          <w:rFonts w:asciiTheme="majorHAnsi" w:hAnsiTheme="majorHAnsi" w:cstheme="majorHAnsi"/>
          <w:i/>
          <w:iCs w:val="0"/>
          <w:color w:val="auto"/>
        </w:rPr>
        <w:t xml:space="preserve"> – sídlo Kostomlaty nad Labem</w:t>
      </w:r>
    </w:p>
    <w:p w14:paraId="41858E40" w14:textId="0AD7EF51" w:rsidR="00FB6DE5" w:rsidRPr="006070EA" w:rsidRDefault="00FB6DE5" w:rsidP="00FB6DE5">
      <w:pPr>
        <w:pStyle w:val="Mra2-reakceern"/>
        <w:pBdr>
          <w:left w:val="none" w:sz="0" w:space="0" w:color="auto"/>
        </w:pBdr>
        <w:spacing w:before="120" w:after="60"/>
        <w:ind w:left="0"/>
        <w:rPr>
          <w:rFonts w:asciiTheme="majorHAnsi" w:hAnsiTheme="majorHAnsi" w:cstheme="majorHAnsi"/>
          <w:i/>
          <w:iCs w:val="0"/>
          <w:noProof/>
          <w:color w:val="FF0000"/>
        </w:rPr>
      </w:pPr>
      <w:r w:rsidRPr="006070EA">
        <w:rPr>
          <w:rFonts w:asciiTheme="majorHAnsi" w:hAnsiTheme="majorHAnsi" w:cstheme="majorHAnsi"/>
          <w:i/>
          <w:iCs w:val="0"/>
          <w:noProof/>
          <w:color w:val="FF0000"/>
        </w:rPr>
        <w:drawing>
          <wp:inline distT="0" distB="0" distL="0" distR="0" wp14:anchorId="7C207D0B" wp14:editId="047C1300">
            <wp:extent cx="5759450" cy="3065145"/>
            <wp:effectExtent l="0" t="0" r="0" b="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59450" cy="3065145"/>
                    </a:xfrm>
                    <a:prstGeom prst="rect">
                      <a:avLst/>
                    </a:prstGeom>
                    <a:noFill/>
                    <a:ln>
                      <a:noFill/>
                    </a:ln>
                  </pic:spPr>
                </pic:pic>
              </a:graphicData>
            </a:graphic>
          </wp:inline>
        </w:drawing>
      </w:r>
      <w:r w:rsidRPr="006070EA">
        <w:rPr>
          <w:rFonts w:asciiTheme="majorHAnsi" w:hAnsiTheme="majorHAnsi" w:cstheme="majorHAnsi"/>
          <w:i/>
          <w:iCs w:val="0"/>
          <w:noProof/>
          <w:color w:val="FF0000"/>
        </w:rPr>
        <w:t xml:space="preserve"> </w:t>
      </w:r>
    </w:p>
    <w:p w14:paraId="6355B052" w14:textId="77777777" w:rsidR="00FB6DE5" w:rsidRPr="006070EA" w:rsidRDefault="00FB6DE5" w:rsidP="00FB6DE5">
      <w:pPr>
        <w:pStyle w:val="Mra2-reakceern"/>
        <w:pBdr>
          <w:left w:val="none" w:sz="0" w:space="0" w:color="auto"/>
        </w:pBdr>
        <w:spacing w:before="120" w:after="60"/>
        <w:ind w:left="0"/>
        <w:rPr>
          <w:rFonts w:asciiTheme="majorHAnsi" w:hAnsiTheme="majorHAnsi" w:cstheme="majorHAnsi"/>
          <w:i/>
          <w:iCs w:val="0"/>
          <w:color w:val="auto"/>
        </w:rPr>
      </w:pPr>
      <w:r w:rsidRPr="006070EA">
        <w:rPr>
          <w:rFonts w:asciiTheme="majorHAnsi" w:hAnsiTheme="majorHAnsi" w:cstheme="majorHAnsi"/>
          <w:i/>
          <w:iCs w:val="0"/>
          <w:color w:val="auto"/>
        </w:rPr>
        <w:t>Pozn.: zastavěné území vymezené v ÚP Kostomlaty nad Labem zobrazeno šedou plochou, hranice intravilánu zobrazena červenou čarou, budovy evidované v KN k II/2022 zobrazeny černou plochou</w:t>
      </w:r>
    </w:p>
    <w:p w14:paraId="27AFDEB7" w14:textId="77777777" w:rsidR="00FB6DE5" w:rsidRPr="006070EA" w:rsidRDefault="00FB6DE5" w:rsidP="00FB6DE5">
      <w:pPr>
        <w:pStyle w:val="Mra2-reakceern"/>
        <w:keepNext/>
        <w:pBdr>
          <w:left w:val="none" w:sz="0" w:space="0" w:color="auto"/>
        </w:pBdr>
        <w:spacing w:before="120" w:after="60"/>
        <w:ind w:left="0"/>
        <w:rPr>
          <w:rFonts w:asciiTheme="majorHAnsi" w:hAnsiTheme="majorHAnsi" w:cstheme="majorHAnsi"/>
          <w:i/>
          <w:iCs w:val="0"/>
          <w:color w:val="auto"/>
        </w:rPr>
      </w:pPr>
      <w:r w:rsidRPr="006070EA">
        <w:rPr>
          <w:rFonts w:asciiTheme="majorHAnsi" w:hAnsiTheme="majorHAnsi" w:cstheme="majorHAnsi"/>
          <w:i/>
          <w:iCs w:val="0"/>
          <w:color w:val="auto"/>
        </w:rPr>
        <w:lastRenderedPageBreak/>
        <w:t>Obr.: Zastavěné území vymezené v ÚP Kostomlaty nad Labem a hranice intravilánu 1966 – sídlo Rozkoš</w:t>
      </w:r>
    </w:p>
    <w:p w14:paraId="20FFCC7A" w14:textId="77777777" w:rsidR="00FB6DE5" w:rsidRPr="006070EA" w:rsidRDefault="00FB6DE5" w:rsidP="00E22D6E">
      <w:pPr>
        <w:pStyle w:val="Mra2-reakceern"/>
        <w:pBdr>
          <w:left w:val="none" w:sz="0" w:space="0" w:color="auto"/>
        </w:pBdr>
        <w:spacing w:before="120" w:after="60"/>
        <w:ind w:left="0"/>
        <w:jc w:val="left"/>
        <w:rPr>
          <w:rFonts w:asciiTheme="majorHAnsi" w:hAnsiTheme="majorHAnsi" w:cstheme="majorHAnsi"/>
          <w:i/>
          <w:iCs w:val="0"/>
          <w:color w:val="FF0000"/>
        </w:rPr>
      </w:pPr>
      <w:r w:rsidRPr="006070EA">
        <w:rPr>
          <w:rFonts w:asciiTheme="majorHAnsi" w:hAnsiTheme="majorHAnsi" w:cstheme="majorHAnsi"/>
          <w:i/>
          <w:iCs w:val="0"/>
          <w:noProof/>
          <w:color w:val="FF0000"/>
        </w:rPr>
        <w:drawing>
          <wp:inline distT="0" distB="0" distL="0" distR="0" wp14:anchorId="0885D7BA" wp14:editId="1DFABAB0">
            <wp:extent cx="5229225" cy="2933700"/>
            <wp:effectExtent l="0" t="0" r="0" b="0"/>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229225" cy="2933700"/>
                    </a:xfrm>
                    <a:prstGeom prst="rect">
                      <a:avLst/>
                    </a:prstGeom>
                    <a:noFill/>
                    <a:ln>
                      <a:noFill/>
                    </a:ln>
                  </pic:spPr>
                </pic:pic>
              </a:graphicData>
            </a:graphic>
          </wp:inline>
        </w:drawing>
      </w:r>
    </w:p>
    <w:p w14:paraId="10542E6D" w14:textId="77777777" w:rsidR="00FB6DE5" w:rsidRPr="006070EA" w:rsidRDefault="00FB6DE5" w:rsidP="00FB6DE5">
      <w:pPr>
        <w:pStyle w:val="Mra2-reakceern"/>
        <w:pBdr>
          <w:left w:val="none" w:sz="0" w:space="0" w:color="auto"/>
        </w:pBdr>
        <w:spacing w:before="120" w:after="60"/>
        <w:ind w:left="0"/>
        <w:rPr>
          <w:rFonts w:asciiTheme="majorHAnsi" w:hAnsiTheme="majorHAnsi" w:cstheme="majorHAnsi"/>
          <w:i/>
          <w:iCs w:val="0"/>
          <w:color w:val="auto"/>
        </w:rPr>
      </w:pPr>
      <w:r w:rsidRPr="006070EA">
        <w:rPr>
          <w:rFonts w:asciiTheme="majorHAnsi" w:hAnsiTheme="majorHAnsi" w:cstheme="majorHAnsi"/>
          <w:i/>
          <w:iCs w:val="0"/>
          <w:color w:val="auto"/>
        </w:rPr>
        <w:t>Pozn.: zastavěné území vymezené v ÚP Kostomlaty nad Labem zobrazeno šedou plochou, hranice intravilánu zobrazena červenou čarou, budovy evidované v KN k II/2022 zobrazeny černou plochou</w:t>
      </w:r>
    </w:p>
    <w:p w14:paraId="17E9C0E0" w14:textId="77777777" w:rsidR="00FB6DE5" w:rsidRPr="006070EA" w:rsidRDefault="00FB6DE5" w:rsidP="00FB6DE5">
      <w:pPr>
        <w:pStyle w:val="Mra2-reakceern"/>
        <w:keepNext/>
        <w:pBdr>
          <w:left w:val="none" w:sz="0" w:space="0" w:color="auto"/>
        </w:pBdr>
        <w:spacing w:before="120" w:after="60"/>
        <w:ind w:left="0"/>
        <w:rPr>
          <w:rFonts w:asciiTheme="majorHAnsi" w:hAnsiTheme="majorHAnsi" w:cstheme="majorHAnsi"/>
          <w:i/>
          <w:iCs w:val="0"/>
          <w:color w:val="auto"/>
        </w:rPr>
      </w:pPr>
      <w:r w:rsidRPr="006070EA">
        <w:rPr>
          <w:rFonts w:asciiTheme="majorHAnsi" w:hAnsiTheme="majorHAnsi" w:cstheme="majorHAnsi"/>
          <w:i/>
          <w:iCs w:val="0"/>
          <w:color w:val="auto"/>
        </w:rPr>
        <w:lastRenderedPageBreak/>
        <w:t>Obr.: Zastavěné území vymezené v ÚP Kostomlaty nad Labem a hranice intravilánu 1966 – sídlo Lány</w:t>
      </w:r>
    </w:p>
    <w:p w14:paraId="7D990539" w14:textId="77777777" w:rsidR="00FB6DE5" w:rsidRPr="006070EA" w:rsidRDefault="00FB6DE5" w:rsidP="00E22D6E">
      <w:pPr>
        <w:pStyle w:val="Mra2-reakceern"/>
        <w:pBdr>
          <w:left w:val="none" w:sz="0" w:space="0" w:color="auto"/>
        </w:pBdr>
        <w:spacing w:before="120" w:after="60"/>
        <w:ind w:left="0"/>
        <w:jc w:val="left"/>
        <w:rPr>
          <w:rFonts w:asciiTheme="majorHAnsi" w:hAnsiTheme="majorHAnsi" w:cstheme="majorHAnsi"/>
          <w:i/>
          <w:iCs w:val="0"/>
          <w:color w:val="FF0000"/>
        </w:rPr>
      </w:pPr>
      <w:r w:rsidRPr="006070EA">
        <w:rPr>
          <w:rFonts w:asciiTheme="majorHAnsi" w:hAnsiTheme="majorHAnsi" w:cstheme="majorHAnsi"/>
          <w:i/>
          <w:iCs w:val="0"/>
          <w:noProof/>
          <w:color w:val="FF0000"/>
        </w:rPr>
        <w:drawing>
          <wp:inline distT="0" distB="0" distL="0" distR="0" wp14:anchorId="754D9BC0" wp14:editId="3D5D02F8">
            <wp:extent cx="3996000" cy="8248378"/>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996000" cy="8248378"/>
                    </a:xfrm>
                    <a:prstGeom prst="rect">
                      <a:avLst/>
                    </a:prstGeom>
                    <a:noFill/>
                    <a:ln>
                      <a:noFill/>
                    </a:ln>
                  </pic:spPr>
                </pic:pic>
              </a:graphicData>
            </a:graphic>
          </wp:inline>
        </w:drawing>
      </w:r>
    </w:p>
    <w:p w14:paraId="726A5BB8" w14:textId="77777777" w:rsidR="00FB6DE5" w:rsidRPr="006070EA" w:rsidRDefault="00FB6DE5" w:rsidP="00FB6DE5">
      <w:pPr>
        <w:pStyle w:val="Mra2-reakceern"/>
        <w:pBdr>
          <w:left w:val="none" w:sz="0" w:space="0" w:color="auto"/>
        </w:pBdr>
        <w:spacing w:before="120" w:after="60"/>
        <w:ind w:left="0"/>
        <w:rPr>
          <w:rFonts w:asciiTheme="majorHAnsi" w:hAnsiTheme="majorHAnsi" w:cstheme="majorHAnsi"/>
          <w:i/>
          <w:iCs w:val="0"/>
          <w:color w:val="auto"/>
        </w:rPr>
      </w:pPr>
      <w:r w:rsidRPr="006070EA">
        <w:rPr>
          <w:rFonts w:asciiTheme="majorHAnsi" w:hAnsiTheme="majorHAnsi" w:cstheme="majorHAnsi"/>
          <w:i/>
          <w:iCs w:val="0"/>
          <w:color w:val="auto"/>
        </w:rPr>
        <w:t>Pozn.: zastavěné území vymezené v ÚP Kostomlaty nad Labem zobrazeno šedou plochou, hranice intravilánu zobrazena červenou čarou, budovy evidované v KN k II/2022 zobrazeny černou plochou</w:t>
      </w:r>
    </w:p>
    <w:p w14:paraId="423C5BCE" w14:textId="5303923E" w:rsidR="00FB6DE5" w:rsidRPr="006070EA" w:rsidRDefault="00FB6DE5" w:rsidP="00FB6DE5">
      <w:pPr>
        <w:pStyle w:val="Mra2-reakceern"/>
        <w:keepNext/>
        <w:pBdr>
          <w:left w:val="none" w:sz="0" w:space="0" w:color="auto"/>
        </w:pBdr>
        <w:spacing w:before="120" w:after="60"/>
        <w:ind w:left="0"/>
        <w:rPr>
          <w:rFonts w:asciiTheme="majorHAnsi" w:hAnsiTheme="majorHAnsi" w:cstheme="majorHAnsi"/>
          <w:i/>
          <w:iCs w:val="0"/>
          <w:color w:val="auto"/>
        </w:rPr>
      </w:pPr>
      <w:r w:rsidRPr="006070EA">
        <w:rPr>
          <w:rFonts w:asciiTheme="majorHAnsi" w:hAnsiTheme="majorHAnsi" w:cstheme="majorHAnsi"/>
          <w:i/>
          <w:iCs w:val="0"/>
          <w:color w:val="auto"/>
        </w:rPr>
        <w:lastRenderedPageBreak/>
        <w:t>Obr.: Zastavěné území vymezené v ÚP Kostomlaty nad Labem a hranice intravilánu 1966 – sídlo Hronětice</w:t>
      </w:r>
    </w:p>
    <w:p w14:paraId="3F07E982" w14:textId="7985BDEC" w:rsidR="00FB6DE5" w:rsidRPr="006070EA" w:rsidRDefault="00FB6DE5" w:rsidP="00FB6DE5">
      <w:pPr>
        <w:pStyle w:val="Mra2-reakceern"/>
        <w:pBdr>
          <w:left w:val="none" w:sz="0" w:space="0" w:color="auto"/>
        </w:pBdr>
        <w:spacing w:before="120" w:after="60"/>
        <w:ind w:left="0"/>
        <w:rPr>
          <w:rFonts w:asciiTheme="majorHAnsi" w:hAnsiTheme="majorHAnsi" w:cstheme="majorHAnsi"/>
          <w:i/>
          <w:iCs w:val="0"/>
          <w:color w:val="FF0000"/>
        </w:rPr>
      </w:pPr>
      <w:r w:rsidRPr="006070EA">
        <w:rPr>
          <w:rFonts w:asciiTheme="majorHAnsi" w:hAnsiTheme="majorHAnsi" w:cstheme="majorHAnsi"/>
          <w:i/>
          <w:iCs w:val="0"/>
          <w:noProof/>
          <w:color w:val="FF0000"/>
        </w:rPr>
        <w:drawing>
          <wp:inline distT="0" distB="0" distL="0" distR="0" wp14:anchorId="76F50B87" wp14:editId="31C81FDF">
            <wp:extent cx="5753100" cy="3352800"/>
            <wp:effectExtent l="0" t="0" r="0" b="0"/>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53100" cy="3352800"/>
                    </a:xfrm>
                    <a:prstGeom prst="rect">
                      <a:avLst/>
                    </a:prstGeom>
                    <a:noFill/>
                    <a:ln>
                      <a:noFill/>
                    </a:ln>
                  </pic:spPr>
                </pic:pic>
              </a:graphicData>
            </a:graphic>
          </wp:inline>
        </w:drawing>
      </w:r>
    </w:p>
    <w:p w14:paraId="4F6C215A" w14:textId="77777777" w:rsidR="00FB6DE5" w:rsidRPr="006070EA" w:rsidRDefault="00FB6DE5" w:rsidP="00FB6DE5">
      <w:pPr>
        <w:pStyle w:val="Mra2-reakceern"/>
        <w:pBdr>
          <w:left w:val="none" w:sz="0" w:space="0" w:color="auto"/>
        </w:pBdr>
        <w:spacing w:before="120" w:after="60"/>
        <w:ind w:left="0"/>
        <w:rPr>
          <w:rFonts w:asciiTheme="majorHAnsi" w:hAnsiTheme="majorHAnsi" w:cstheme="majorHAnsi"/>
          <w:i/>
          <w:iCs w:val="0"/>
          <w:color w:val="auto"/>
        </w:rPr>
      </w:pPr>
      <w:r w:rsidRPr="006070EA">
        <w:rPr>
          <w:rFonts w:asciiTheme="majorHAnsi" w:hAnsiTheme="majorHAnsi" w:cstheme="majorHAnsi"/>
          <w:i/>
          <w:iCs w:val="0"/>
          <w:color w:val="auto"/>
        </w:rPr>
        <w:t>Pozn.: zastavěné území vymezené v ÚP Kostomlaty nad Labem zobrazeno šedou plochou, hranice intravilánu zobrazena červenou čarou, budovy evidované v KN k II/2022 zobrazeny černou plochou</w:t>
      </w:r>
    </w:p>
    <w:p w14:paraId="2E0C85AC" w14:textId="733E5F97" w:rsidR="00FB6DE5" w:rsidRPr="006070EA" w:rsidRDefault="00FB6DE5" w:rsidP="00FB6DE5">
      <w:pPr>
        <w:pStyle w:val="Mra2-reakceern"/>
        <w:keepNext/>
        <w:pBdr>
          <w:left w:val="none" w:sz="0" w:space="0" w:color="auto"/>
        </w:pBdr>
        <w:spacing w:before="120" w:after="60"/>
        <w:ind w:left="0"/>
        <w:rPr>
          <w:rFonts w:asciiTheme="majorHAnsi" w:hAnsiTheme="majorHAnsi" w:cstheme="majorHAnsi"/>
          <w:i/>
          <w:iCs w:val="0"/>
          <w:color w:val="auto"/>
        </w:rPr>
      </w:pPr>
      <w:r w:rsidRPr="006070EA">
        <w:rPr>
          <w:rFonts w:asciiTheme="majorHAnsi" w:hAnsiTheme="majorHAnsi" w:cstheme="majorHAnsi"/>
          <w:i/>
          <w:iCs w:val="0"/>
          <w:color w:val="auto"/>
        </w:rPr>
        <w:t>Obr.: Zastavěné území vymezené v ÚP Kostomlaty nad Labem a hranice intravilánu 1966 – sídlo Vápensko</w:t>
      </w:r>
    </w:p>
    <w:p w14:paraId="1D707186" w14:textId="288F55F5" w:rsidR="005B489D" w:rsidRPr="006070EA" w:rsidRDefault="005B489D" w:rsidP="00FB6DE5">
      <w:pPr>
        <w:pStyle w:val="Mra2-reakceern"/>
        <w:pBdr>
          <w:left w:val="none" w:sz="0" w:space="0" w:color="auto"/>
        </w:pBdr>
        <w:spacing w:before="120" w:after="60"/>
        <w:ind w:left="0"/>
        <w:rPr>
          <w:rFonts w:asciiTheme="majorHAnsi" w:hAnsiTheme="majorHAnsi" w:cstheme="majorHAnsi"/>
          <w:i/>
          <w:iCs w:val="0"/>
          <w:color w:val="FF0000"/>
        </w:rPr>
      </w:pPr>
      <w:r w:rsidRPr="006070EA">
        <w:rPr>
          <w:rFonts w:asciiTheme="majorHAnsi" w:hAnsiTheme="majorHAnsi" w:cstheme="majorHAnsi"/>
          <w:i/>
          <w:iCs w:val="0"/>
          <w:noProof/>
          <w:color w:val="FF0000"/>
        </w:rPr>
        <w:drawing>
          <wp:inline distT="0" distB="0" distL="0" distR="0" wp14:anchorId="32FF28A8" wp14:editId="13EAF7B5">
            <wp:extent cx="3543300" cy="3971925"/>
            <wp:effectExtent l="0" t="0" r="0" b="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543300" cy="3971925"/>
                    </a:xfrm>
                    <a:prstGeom prst="rect">
                      <a:avLst/>
                    </a:prstGeom>
                    <a:noFill/>
                    <a:ln>
                      <a:noFill/>
                    </a:ln>
                  </pic:spPr>
                </pic:pic>
              </a:graphicData>
            </a:graphic>
          </wp:inline>
        </w:drawing>
      </w:r>
    </w:p>
    <w:p w14:paraId="684D1184" w14:textId="77777777" w:rsidR="00FB6DE5" w:rsidRPr="006070EA" w:rsidRDefault="00FB6DE5" w:rsidP="00FB6DE5">
      <w:pPr>
        <w:pStyle w:val="Mra2-reakceern"/>
        <w:pBdr>
          <w:left w:val="none" w:sz="0" w:space="0" w:color="auto"/>
        </w:pBdr>
        <w:spacing w:before="120" w:after="60"/>
        <w:ind w:left="0"/>
        <w:rPr>
          <w:rFonts w:asciiTheme="majorHAnsi" w:hAnsiTheme="majorHAnsi" w:cstheme="majorHAnsi"/>
          <w:i/>
          <w:iCs w:val="0"/>
          <w:color w:val="auto"/>
        </w:rPr>
      </w:pPr>
      <w:r w:rsidRPr="006070EA">
        <w:rPr>
          <w:rFonts w:asciiTheme="majorHAnsi" w:hAnsiTheme="majorHAnsi" w:cstheme="majorHAnsi"/>
          <w:i/>
          <w:iCs w:val="0"/>
          <w:color w:val="auto"/>
        </w:rPr>
        <w:t>Pozn.: zastavěné území vymezené v ÚP Kostomlaty nad Labem zobrazeno šedou plochou, hranice intravilánu zobrazena červenou čarou, budovy evidované v KN k II/2022 zobrazeny černou plochou</w:t>
      </w:r>
    </w:p>
    <w:p w14:paraId="3BFCB80B" w14:textId="77777777" w:rsidR="00D07C1B" w:rsidRPr="006070EA" w:rsidRDefault="00D07C1B" w:rsidP="00654835">
      <w:pPr>
        <w:pStyle w:val="Mra2-reakceern"/>
        <w:keepNext/>
        <w:pBdr>
          <w:left w:val="none" w:sz="0" w:space="0" w:color="auto"/>
        </w:pBdr>
        <w:shd w:val="clear" w:color="auto" w:fill="DEEAF6" w:themeFill="accent1" w:themeFillTint="33"/>
        <w:spacing w:before="240" w:after="120"/>
        <w:ind w:left="0"/>
        <w:rPr>
          <w:rFonts w:asciiTheme="majorHAnsi" w:hAnsiTheme="majorHAnsi" w:cstheme="majorHAnsi"/>
          <w:b/>
          <w:i/>
          <w:color w:val="auto"/>
          <w:sz w:val="22"/>
        </w:rPr>
      </w:pPr>
      <w:r w:rsidRPr="006070EA">
        <w:rPr>
          <w:rFonts w:asciiTheme="majorHAnsi" w:hAnsiTheme="majorHAnsi" w:cstheme="majorHAnsi"/>
          <w:b/>
          <w:i/>
          <w:color w:val="auto"/>
          <w:sz w:val="22"/>
        </w:rPr>
        <w:lastRenderedPageBreak/>
        <w:t>AD 2</w:t>
      </w:r>
      <w:r w:rsidRPr="006070EA">
        <w:rPr>
          <w:rFonts w:asciiTheme="majorHAnsi" w:hAnsiTheme="majorHAnsi" w:cstheme="majorHAnsi"/>
          <w:b/>
          <w:i/>
          <w:color w:val="auto"/>
          <w:sz w:val="22"/>
        </w:rPr>
        <w:tab/>
        <w:t>ZÁKLADNÍ KONCEPCE ROZVOJE ÚZEMÍ OBCE, OCHRANY A ROZVOJE JEHO HODNOT</w:t>
      </w:r>
    </w:p>
    <w:p w14:paraId="692D4D31" w14:textId="77777777" w:rsidR="001A0DBB" w:rsidRPr="006070EA" w:rsidRDefault="001A0DBB" w:rsidP="003A4B1E">
      <w:pPr>
        <w:pStyle w:val="Odstavecseseznamem"/>
        <w:keepNext/>
        <w:numPr>
          <w:ilvl w:val="1"/>
          <w:numId w:val="30"/>
        </w:numPr>
        <w:spacing w:before="160" w:after="120" w:line="240" w:lineRule="auto"/>
        <w:ind w:left="709" w:hanging="709"/>
        <w:contextualSpacing w:val="0"/>
        <w:outlineLvl w:val="1"/>
        <w:rPr>
          <w:rFonts w:asciiTheme="majorHAnsi" w:hAnsiTheme="majorHAnsi" w:cstheme="majorHAnsi"/>
          <w:b/>
          <w:sz w:val="24"/>
          <w:szCs w:val="20"/>
        </w:rPr>
      </w:pPr>
      <w:bookmarkStart w:id="228" w:name="_Toc204678187"/>
      <w:r w:rsidRPr="006070EA">
        <w:rPr>
          <w:rFonts w:asciiTheme="majorHAnsi" w:hAnsiTheme="majorHAnsi" w:cstheme="majorHAnsi"/>
          <w:b/>
          <w:sz w:val="24"/>
          <w:szCs w:val="20"/>
        </w:rPr>
        <w:t>Odůvodnění koncepce rozvoje území obce, ochrany a rozvoje jeho hodnot</w:t>
      </w:r>
      <w:bookmarkEnd w:id="228"/>
    </w:p>
    <w:p w14:paraId="09F750C8" w14:textId="77777777" w:rsidR="00954E4B" w:rsidRPr="006070EA" w:rsidRDefault="00954E4B" w:rsidP="003A4B1E">
      <w:pPr>
        <w:pStyle w:val="Odstavecseseznamem"/>
        <w:keepNext/>
        <w:numPr>
          <w:ilvl w:val="2"/>
          <w:numId w:val="30"/>
        </w:numPr>
        <w:spacing w:before="160" w:after="120" w:line="240" w:lineRule="auto"/>
        <w:ind w:left="709" w:hanging="709"/>
        <w:contextualSpacing w:val="0"/>
        <w:outlineLvl w:val="2"/>
        <w:rPr>
          <w:rFonts w:asciiTheme="majorHAnsi" w:hAnsiTheme="majorHAnsi" w:cstheme="majorHAnsi"/>
          <w:b/>
        </w:rPr>
      </w:pPr>
      <w:bookmarkStart w:id="229" w:name="_Toc485214912"/>
      <w:bookmarkStart w:id="230" w:name="_Toc485378065"/>
      <w:bookmarkStart w:id="231" w:name="_Toc485378187"/>
      <w:bookmarkStart w:id="232" w:name="_Toc485214913"/>
      <w:bookmarkStart w:id="233" w:name="_Toc485378066"/>
      <w:bookmarkStart w:id="234" w:name="_Toc485378188"/>
      <w:bookmarkStart w:id="235" w:name="_Toc485214914"/>
      <w:bookmarkStart w:id="236" w:name="_Toc485378067"/>
      <w:bookmarkStart w:id="237" w:name="_Toc485378189"/>
      <w:bookmarkStart w:id="238" w:name="_Toc485214915"/>
      <w:bookmarkStart w:id="239" w:name="_Toc485378068"/>
      <w:bookmarkStart w:id="240" w:name="_Toc485378190"/>
      <w:bookmarkStart w:id="241" w:name="_Toc472325697"/>
      <w:bookmarkStart w:id="242" w:name="_Toc204678188"/>
      <w:bookmarkEnd w:id="229"/>
      <w:bookmarkEnd w:id="230"/>
      <w:bookmarkEnd w:id="231"/>
      <w:bookmarkEnd w:id="232"/>
      <w:bookmarkEnd w:id="233"/>
      <w:bookmarkEnd w:id="234"/>
      <w:bookmarkEnd w:id="235"/>
      <w:bookmarkEnd w:id="236"/>
      <w:bookmarkEnd w:id="237"/>
      <w:bookmarkEnd w:id="238"/>
      <w:bookmarkEnd w:id="239"/>
      <w:bookmarkEnd w:id="240"/>
      <w:bookmarkEnd w:id="241"/>
      <w:r w:rsidRPr="006070EA">
        <w:rPr>
          <w:rFonts w:asciiTheme="majorHAnsi" w:hAnsiTheme="majorHAnsi" w:cstheme="majorHAnsi"/>
          <w:b/>
        </w:rPr>
        <w:t>Odůvodnění vymezení řešeného území</w:t>
      </w:r>
      <w:bookmarkEnd w:id="242"/>
    </w:p>
    <w:p w14:paraId="6FE2C56C" w14:textId="77777777" w:rsidR="00954E4B" w:rsidRPr="006070EA" w:rsidRDefault="00954E4B" w:rsidP="003D1486">
      <w:pPr>
        <w:pStyle w:val="Mra2-reakceern"/>
        <w:pBdr>
          <w:left w:val="none" w:sz="0" w:space="0" w:color="auto"/>
        </w:pBdr>
        <w:spacing w:before="120" w:after="60"/>
        <w:ind w:left="0"/>
        <w:jc w:val="right"/>
        <w:rPr>
          <w:rFonts w:asciiTheme="majorHAnsi" w:hAnsiTheme="majorHAnsi" w:cstheme="majorHAnsi"/>
          <w:b/>
          <w:i/>
          <w:color w:val="auto"/>
          <w:u w:val="single"/>
        </w:rPr>
      </w:pPr>
      <w:r w:rsidRPr="006070EA">
        <w:rPr>
          <w:rFonts w:asciiTheme="majorHAnsi" w:hAnsiTheme="majorHAnsi" w:cstheme="majorHAnsi"/>
          <w:i/>
          <w:color w:val="auto"/>
          <w:u w:val="single"/>
        </w:rPr>
        <w:t xml:space="preserve">Odůvodnění odst. </w:t>
      </w:r>
      <w:r w:rsidRPr="006070EA">
        <w:rPr>
          <w:rFonts w:asciiTheme="majorHAnsi" w:hAnsiTheme="majorHAnsi" w:cstheme="majorHAnsi"/>
          <w:b/>
          <w:i/>
          <w:color w:val="auto"/>
          <w:u w:val="single"/>
        </w:rPr>
        <w:t>(</w:t>
      </w:r>
      <w:r w:rsidR="003D1486" w:rsidRPr="006070EA">
        <w:rPr>
          <w:rFonts w:asciiTheme="majorHAnsi" w:hAnsiTheme="majorHAnsi" w:cstheme="majorHAnsi"/>
          <w:b/>
          <w:i/>
          <w:color w:val="auto"/>
          <w:u w:val="single"/>
        </w:rPr>
        <w:t>2</w:t>
      </w:r>
      <w:r w:rsidRPr="006070EA">
        <w:rPr>
          <w:rFonts w:asciiTheme="majorHAnsi" w:hAnsiTheme="majorHAnsi" w:cstheme="majorHAnsi"/>
          <w:b/>
          <w:i/>
          <w:color w:val="auto"/>
          <w:u w:val="single"/>
        </w:rPr>
        <w:t>)</w:t>
      </w:r>
      <w:r w:rsidRPr="006070EA">
        <w:rPr>
          <w:rFonts w:asciiTheme="majorHAnsi" w:hAnsiTheme="majorHAnsi" w:cstheme="majorHAnsi"/>
          <w:i/>
          <w:color w:val="auto"/>
          <w:u w:val="single"/>
        </w:rPr>
        <w:t xml:space="preserve"> výrokové části</w:t>
      </w:r>
    </w:p>
    <w:p w14:paraId="69BCA5FC" w14:textId="7B8CD0A1" w:rsidR="007D5AAE" w:rsidRPr="006070EA" w:rsidRDefault="007D5AAE" w:rsidP="009E07E1">
      <w:pPr>
        <w:pStyle w:val="Mra2-reakceern"/>
        <w:pBdr>
          <w:left w:val="none" w:sz="0" w:space="0" w:color="auto"/>
        </w:pBdr>
        <w:spacing w:before="120" w:after="60"/>
        <w:ind w:left="0" w:firstLine="709"/>
        <w:rPr>
          <w:rFonts w:asciiTheme="majorHAnsi" w:hAnsiTheme="majorHAnsi" w:cstheme="majorHAnsi"/>
          <w:color w:val="auto"/>
        </w:rPr>
      </w:pPr>
      <w:r w:rsidRPr="006070EA">
        <w:rPr>
          <w:rFonts w:asciiTheme="majorHAnsi" w:hAnsiTheme="majorHAnsi" w:cstheme="majorHAnsi"/>
          <w:color w:val="auto"/>
        </w:rPr>
        <w:t xml:space="preserve">Řešené území je vymezeno správním územím obce </w:t>
      </w:r>
      <w:r w:rsidR="008402A6" w:rsidRPr="006070EA">
        <w:rPr>
          <w:rFonts w:asciiTheme="majorHAnsi" w:hAnsiTheme="majorHAnsi" w:cstheme="majorHAnsi"/>
          <w:color w:val="auto"/>
        </w:rPr>
        <w:t>Kostomlaty nad Labem</w:t>
      </w:r>
      <w:r w:rsidR="00CF1AC7" w:rsidRPr="006070EA">
        <w:rPr>
          <w:rFonts w:asciiTheme="majorHAnsi" w:hAnsiTheme="majorHAnsi" w:cstheme="majorHAnsi"/>
          <w:color w:val="auto"/>
        </w:rPr>
        <w:t xml:space="preserve"> o celkové rozloze </w:t>
      </w:r>
      <w:r w:rsidR="008402A6" w:rsidRPr="006070EA">
        <w:rPr>
          <w:rFonts w:asciiTheme="majorHAnsi" w:hAnsiTheme="majorHAnsi" w:cstheme="majorHAnsi"/>
          <w:color w:val="auto"/>
        </w:rPr>
        <w:t>1 825,23</w:t>
      </w:r>
      <w:r w:rsidR="008E7FD7" w:rsidRPr="006070EA">
        <w:rPr>
          <w:rFonts w:asciiTheme="majorHAnsi" w:hAnsiTheme="majorHAnsi" w:cstheme="majorHAnsi"/>
          <w:color w:val="auto"/>
        </w:rPr>
        <w:t xml:space="preserve"> </w:t>
      </w:r>
      <w:r w:rsidR="00CF1AC7" w:rsidRPr="006070EA">
        <w:rPr>
          <w:rFonts w:asciiTheme="majorHAnsi" w:hAnsiTheme="majorHAnsi" w:cstheme="majorHAnsi"/>
          <w:color w:val="auto"/>
        </w:rPr>
        <w:t>ha</w:t>
      </w:r>
      <w:r w:rsidRPr="006070EA">
        <w:rPr>
          <w:rFonts w:asciiTheme="majorHAnsi" w:hAnsiTheme="majorHAnsi" w:cstheme="majorHAnsi"/>
          <w:color w:val="auto"/>
        </w:rPr>
        <w:t xml:space="preserve">. Obec tvoří </w:t>
      </w:r>
      <w:r w:rsidR="008402A6" w:rsidRPr="006070EA">
        <w:rPr>
          <w:rFonts w:asciiTheme="majorHAnsi" w:hAnsiTheme="majorHAnsi" w:cstheme="majorHAnsi"/>
          <w:color w:val="auto"/>
        </w:rPr>
        <w:t>tři</w:t>
      </w:r>
      <w:r w:rsidR="005D74BD" w:rsidRPr="006070EA">
        <w:rPr>
          <w:rFonts w:asciiTheme="majorHAnsi" w:hAnsiTheme="majorHAnsi" w:cstheme="majorHAnsi"/>
          <w:color w:val="auto"/>
        </w:rPr>
        <w:t xml:space="preserve"> katastrální území </w:t>
      </w:r>
      <w:r w:rsidR="00FA6A9A" w:rsidRPr="006070EA">
        <w:rPr>
          <w:rFonts w:asciiTheme="majorHAnsi" w:hAnsiTheme="majorHAnsi" w:cstheme="majorHAnsi"/>
          <w:color w:val="auto"/>
        </w:rPr>
        <w:t>(</w:t>
      </w:r>
      <w:r w:rsidR="008402A6" w:rsidRPr="006070EA">
        <w:rPr>
          <w:rFonts w:asciiTheme="majorHAnsi" w:hAnsiTheme="majorHAnsi" w:cstheme="majorHAnsi"/>
          <w:color w:val="auto"/>
        </w:rPr>
        <w:t>Kostomlaty nad Labem, Hronětice a Lány u Kostomlat nad Labem</w:t>
      </w:r>
      <w:r w:rsidR="00FA6A9A" w:rsidRPr="006070EA">
        <w:rPr>
          <w:rFonts w:asciiTheme="majorHAnsi" w:hAnsiTheme="majorHAnsi" w:cstheme="majorHAnsi"/>
          <w:color w:val="auto"/>
        </w:rPr>
        <w:t xml:space="preserve">) a </w:t>
      </w:r>
      <w:r w:rsidR="008402A6" w:rsidRPr="006070EA">
        <w:rPr>
          <w:rFonts w:asciiTheme="majorHAnsi" w:hAnsiTheme="majorHAnsi" w:cstheme="majorHAnsi"/>
          <w:color w:val="auto"/>
        </w:rPr>
        <w:t xml:space="preserve">pět částí obce </w:t>
      </w:r>
      <w:r w:rsidR="00FA6A9A" w:rsidRPr="006070EA">
        <w:rPr>
          <w:rFonts w:asciiTheme="majorHAnsi" w:hAnsiTheme="majorHAnsi" w:cstheme="majorHAnsi"/>
          <w:color w:val="auto"/>
        </w:rPr>
        <w:t xml:space="preserve">– </w:t>
      </w:r>
      <w:r w:rsidR="008402A6" w:rsidRPr="006070EA">
        <w:rPr>
          <w:rFonts w:asciiTheme="majorHAnsi" w:hAnsiTheme="majorHAnsi" w:cstheme="majorHAnsi"/>
          <w:color w:val="auto"/>
        </w:rPr>
        <w:t>Hronětice, Kostomlaty nad Labem, Lány, Rozkoš a Vápensko (současně základní sídelní jednotky)</w:t>
      </w:r>
      <w:r w:rsidR="00FA6A9A" w:rsidRPr="006070EA">
        <w:rPr>
          <w:rFonts w:asciiTheme="majorHAnsi" w:hAnsiTheme="majorHAnsi" w:cstheme="majorHAnsi"/>
          <w:color w:val="auto"/>
        </w:rPr>
        <w:t>.</w:t>
      </w:r>
    </w:p>
    <w:p w14:paraId="0538A82A" w14:textId="1659333A" w:rsidR="00CF1AC7" w:rsidRPr="006070EA" w:rsidRDefault="00CF1AC7" w:rsidP="009E07E1">
      <w:pPr>
        <w:pStyle w:val="Mra2-reakceern"/>
        <w:pBdr>
          <w:left w:val="none" w:sz="0" w:space="0" w:color="auto"/>
        </w:pBdr>
        <w:spacing w:after="60"/>
        <w:ind w:left="0" w:firstLine="709"/>
        <w:rPr>
          <w:rFonts w:asciiTheme="majorHAnsi" w:hAnsiTheme="majorHAnsi" w:cstheme="majorHAnsi"/>
          <w:color w:val="auto"/>
        </w:rPr>
      </w:pPr>
      <w:r w:rsidRPr="006070EA">
        <w:rPr>
          <w:rFonts w:asciiTheme="majorHAnsi" w:hAnsiTheme="majorHAnsi" w:cstheme="majorHAnsi"/>
          <w:color w:val="auto"/>
        </w:rPr>
        <w:t xml:space="preserve">Obec </w:t>
      </w:r>
      <w:r w:rsidR="008402A6" w:rsidRPr="006070EA">
        <w:rPr>
          <w:rFonts w:asciiTheme="majorHAnsi" w:hAnsiTheme="majorHAnsi" w:cstheme="majorHAnsi"/>
          <w:color w:val="auto"/>
        </w:rPr>
        <w:t>Kostomlaty nad Labem</w:t>
      </w:r>
      <w:r w:rsidR="00FA6A9A" w:rsidRPr="006070EA">
        <w:rPr>
          <w:rFonts w:asciiTheme="majorHAnsi" w:hAnsiTheme="majorHAnsi" w:cstheme="majorHAnsi"/>
          <w:color w:val="auto"/>
        </w:rPr>
        <w:t xml:space="preserve"> náleží dle administrativního členění do </w:t>
      </w:r>
      <w:r w:rsidR="008402A6" w:rsidRPr="006070EA">
        <w:rPr>
          <w:rFonts w:asciiTheme="majorHAnsi" w:hAnsiTheme="majorHAnsi" w:cstheme="majorHAnsi"/>
          <w:color w:val="auto"/>
        </w:rPr>
        <w:t xml:space="preserve">Středočeského </w:t>
      </w:r>
      <w:r w:rsidR="00FA6A9A" w:rsidRPr="006070EA">
        <w:rPr>
          <w:rFonts w:asciiTheme="majorHAnsi" w:hAnsiTheme="majorHAnsi" w:cstheme="majorHAnsi"/>
          <w:color w:val="auto"/>
        </w:rPr>
        <w:t xml:space="preserve">kraje. Obcí s rozšířenou působností a zároveň obcí s pověřeným úřadem je </w:t>
      </w:r>
      <w:r w:rsidR="008402A6" w:rsidRPr="006070EA">
        <w:rPr>
          <w:rFonts w:asciiTheme="majorHAnsi" w:hAnsiTheme="majorHAnsi" w:cstheme="majorHAnsi"/>
          <w:color w:val="auto"/>
        </w:rPr>
        <w:t>město Nymburk</w:t>
      </w:r>
      <w:r w:rsidR="0011181C" w:rsidRPr="006070EA">
        <w:rPr>
          <w:rFonts w:asciiTheme="majorHAnsi" w:hAnsiTheme="majorHAnsi" w:cstheme="majorHAnsi"/>
          <w:color w:val="auto"/>
        </w:rPr>
        <w:t>.</w:t>
      </w:r>
    </w:p>
    <w:p w14:paraId="69981125" w14:textId="77777777" w:rsidR="00FA6A9A" w:rsidRPr="006070EA" w:rsidRDefault="00FA6A9A" w:rsidP="003A4B1E">
      <w:pPr>
        <w:pStyle w:val="Odstavecseseznamem"/>
        <w:keepNext/>
        <w:numPr>
          <w:ilvl w:val="2"/>
          <w:numId w:val="30"/>
        </w:numPr>
        <w:spacing w:before="160" w:after="120" w:line="240" w:lineRule="auto"/>
        <w:ind w:left="709" w:hanging="709"/>
        <w:contextualSpacing w:val="0"/>
        <w:outlineLvl w:val="2"/>
        <w:rPr>
          <w:rFonts w:asciiTheme="majorHAnsi" w:hAnsiTheme="majorHAnsi" w:cstheme="majorHAnsi"/>
          <w:b/>
        </w:rPr>
      </w:pPr>
      <w:bookmarkStart w:id="243" w:name="_Toc424119827"/>
      <w:bookmarkStart w:id="244" w:name="_Toc204678189"/>
      <w:bookmarkStart w:id="245" w:name="_Toc424119825"/>
      <w:r w:rsidRPr="006070EA">
        <w:rPr>
          <w:rFonts w:asciiTheme="majorHAnsi" w:hAnsiTheme="majorHAnsi" w:cstheme="majorHAnsi"/>
          <w:b/>
        </w:rPr>
        <w:t>Odůvodnění koncepce rozvoje území</w:t>
      </w:r>
      <w:bookmarkEnd w:id="243"/>
      <w:r w:rsidRPr="006070EA">
        <w:rPr>
          <w:rFonts w:asciiTheme="majorHAnsi" w:hAnsiTheme="majorHAnsi" w:cstheme="majorHAnsi"/>
          <w:b/>
        </w:rPr>
        <w:t xml:space="preserve"> obce</w:t>
      </w:r>
      <w:bookmarkEnd w:id="244"/>
    </w:p>
    <w:p w14:paraId="09D6B9FF" w14:textId="77777777" w:rsidR="00DD1FEF" w:rsidRPr="006070EA" w:rsidRDefault="00DD1FEF" w:rsidP="002118D2">
      <w:pPr>
        <w:pStyle w:val="Mra2-reakceern"/>
        <w:keepNext/>
        <w:pBdr>
          <w:left w:val="none" w:sz="0" w:space="0" w:color="auto"/>
        </w:pBdr>
        <w:spacing w:before="120" w:after="60"/>
        <w:ind w:left="0"/>
        <w:rPr>
          <w:rFonts w:asciiTheme="majorHAnsi" w:hAnsiTheme="majorHAnsi" w:cstheme="majorHAnsi"/>
          <w:color w:val="auto"/>
          <w:u w:val="single"/>
        </w:rPr>
      </w:pPr>
      <w:r w:rsidRPr="006070EA">
        <w:rPr>
          <w:rFonts w:asciiTheme="majorHAnsi" w:hAnsiTheme="majorHAnsi" w:cstheme="majorHAnsi"/>
          <w:color w:val="auto"/>
          <w:u w:val="single"/>
        </w:rPr>
        <w:t>Hlavní podklady pro stanovení koncepce rozvoje území obce:</w:t>
      </w:r>
    </w:p>
    <w:p w14:paraId="0DAA214A" w14:textId="77777777" w:rsidR="00DD1FEF" w:rsidRPr="006070EA" w:rsidRDefault="00DD1FEF" w:rsidP="0036779E">
      <w:pPr>
        <w:pStyle w:val="Mra2-reakceern"/>
        <w:numPr>
          <w:ilvl w:val="0"/>
          <w:numId w:val="19"/>
        </w:numPr>
        <w:pBdr>
          <w:left w:val="none" w:sz="0" w:space="0" w:color="auto"/>
        </w:pBdr>
        <w:rPr>
          <w:rFonts w:asciiTheme="majorHAnsi" w:hAnsiTheme="majorHAnsi" w:cstheme="majorHAnsi"/>
          <w:color w:val="auto"/>
          <w:szCs w:val="20"/>
        </w:rPr>
      </w:pPr>
      <w:r w:rsidRPr="006070EA">
        <w:rPr>
          <w:rFonts w:asciiTheme="majorHAnsi" w:hAnsiTheme="majorHAnsi" w:cstheme="majorHAnsi"/>
          <w:color w:val="auto"/>
          <w:szCs w:val="20"/>
        </w:rPr>
        <w:t>zákon č. 183/2006 Sb., o územním plánování a stavebním řádu, a jeho prováděcí vyhlášky</w:t>
      </w:r>
    </w:p>
    <w:p w14:paraId="52CBC975" w14:textId="769897DE" w:rsidR="00DD1FEF" w:rsidRPr="006070EA" w:rsidRDefault="00DD1FEF" w:rsidP="0036779E">
      <w:pPr>
        <w:pStyle w:val="Mra2-reakceern"/>
        <w:numPr>
          <w:ilvl w:val="0"/>
          <w:numId w:val="19"/>
        </w:numPr>
        <w:pBdr>
          <w:left w:val="none" w:sz="0" w:space="0" w:color="auto"/>
        </w:pBdr>
        <w:rPr>
          <w:rFonts w:asciiTheme="majorHAnsi" w:hAnsiTheme="majorHAnsi" w:cstheme="majorHAnsi"/>
          <w:color w:val="auto"/>
          <w:szCs w:val="20"/>
        </w:rPr>
      </w:pPr>
      <w:r w:rsidRPr="006070EA">
        <w:rPr>
          <w:rFonts w:asciiTheme="majorHAnsi" w:hAnsiTheme="majorHAnsi" w:cstheme="majorHAnsi"/>
          <w:color w:val="auto"/>
          <w:szCs w:val="20"/>
        </w:rPr>
        <w:t>PÚR ČR (</w:t>
      </w:r>
      <w:r w:rsidR="008A49E7" w:rsidRPr="006070EA">
        <w:rPr>
          <w:rFonts w:asciiTheme="majorHAnsi" w:hAnsiTheme="majorHAnsi" w:cstheme="majorHAnsi"/>
          <w:color w:val="auto"/>
          <w:szCs w:val="20"/>
        </w:rPr>
        <w:t>ve znění aktualizací č. 1, 2, 3, 4</w:t>
      </w:r>
      <w:r w:rsidR="00804E2A" w:rsidRPr="006070EA">
        <w:rPr>
          <w:rFonts w:asciiTheme="majorHAnsi" w:hAnsiTheme="majorHAnsi" w:cstheme="majorHAnsi"/>
          <w:color w:val="auto"/>
          <w:szCs w:val="20"/>
        </w:rPr>
        <w:t>,</w:t>
      </w:r>
      <w:r w:rsidR="008A49E7" w:rsidRPr="006070EA">
        <w:rPr>
          <w:rFonts w:asciiTheme="majorHAnsi" w:hAnsiTheme="majorHAnsi" w:cstheme="majorHAnsi"/>
          <w:color w:val="auto"/>
          <w:szCs w:val="20"/>
        </w:rPr>
        <w:t xml:space="preserve"> 5</w:t>
      </w:r>
      <w:r w:rsidR="00804E2A" w:rsidRPr="006070EA">
        <w:rPr>
          <w:rFonts w:asciiTheme="majorHAnsi" w:hAnsiTheme="majorHAnsi" w:cstheme="majorHAnsi"/>
          <w:color w:val="auto"/>
          <w:szCs w:val="20"/>
        </w:rPr>
        <w:t xml:space="preserve"> a 6</w:t>
      </w:r>
      <w:r w:rsidRPr="006070EA">
        <w:rPr>
          <w:rFonts w:asciiTheme="majorHAnsi" w:hAnsiTheme="majorHAnsi" w:cstheme="majorHAnsi"/>
          <w:color w:val="auto"/>
          <w:szCs w:val="20"/>
        </w:rPr>
        <w:t>)</w:t>
      </w:r>
    </w:p>
    <w:p w14:paraId="6EFC6278" w14:textId="05EA60C0" w:rsidR="00DD1FEF" w:rsidRPr="006070EA" w:rsidRDefault="00DD1FEF" w:rsidP="0036779E">
      <w:pPr>
        <w:pStyle w:val="Mra2-reakceern"/>
        <w:numPr>
          <w:ilvl w:val="0"/>
          <w:numId w:val="19"/>
        </w:numPr>
        <w:pBdr>
          <w:left w:val="none" w:sz="0" w:space="0" w:color="auto"/>
        </w:pBdr>
        <w:rPr>
          <w:rFonts w:asciiTheme="majorHAnsi" w:hAnsiTheme="majorHAnsi" w:cstheme="majorHAnsi"/>
          <w:color w:val="auto"/>
          <w:szCs w:val="20"/>
        </w:rPr>
      </w:pPr>
      <w:r w:rsidRPr="006070EA">
        <w:rPr>
          <w:rFonts w:asciiTheme="majorHAnsi" w:hAnsiTheme="majorHAnsi" w:cstheme="majorHAnsi"/>
          <w:color w:val="auto"/>
          <w:szCs w:val="20"/>
        </w:rPr>
        <w:t xml:space="preserve">Zásady územního rozvoje </w:t>
      </w:r>
      <w:r w:rsidR="00B11564" w:rsidRPr="006070EA">
        <w:rPr>
          <w:rFonts w:asciiTheme="majorHAnsi" w:hAnsiTheme="majorHAnsi" w:cstheme="majorHAnsi"/>
          <w:color w:val="auto"/>
          <w:szCs w:val="20"/>
        </w:rPr>
        <w:t>Středočeského</w:t>
      </w:r>
      <w:r w:rsidRPr="006070EA">
        <w:rPr>
          <w:rFonts w:asciiTheme="majorHAnsi" w:hAnsiTheme="majorHAnsi" w:cstheme="majorHAnsi"/>
          <w:color w:val="auto"/>
          <w:szCs w:val="20"/>
        </w:rPr>
        <w:t xml:space="preserve"> kraje (</w:t>
      </w:r>
      <w:r w:rsidR="008A49E7" w:rsidRPr="006070EA">
        <w:rPr>
          <w:rFonts w:asciiTheme="majorHAnsi" w:hAnsiTheme="majorHAnsi" w:cstheme="majorHAnsi"/>
          <w:color w:val="auto"/>
          <w:szCs w:val="20"/>
        </w:rPr>
        <w:t>ve znění Aktualizací č. 1</w:t>
      </w:r>
      <w:r w:rsidR="00804E2A" w:rsidRPr="006070EA">
        <w:rPr>
          <w:rFonts w:asciiTheme="majorHAnsi" w:hAnsiTheme="majorHAnsi" w:cstheme="majorHAnsi"/>
          <w:color w:val="auto"/>
          <w:szCs w:val="20"/>
        </w:rPr>
        <w:t>,</w:t>
      </w:r>
      <w:r w:rsidR="008A49E7" w:rsidRPr="006070EA">
        <w:rPr>
          <w:rFonts w:asciiTheme="majorHAnsi" w:hAnsiTheme="majorHAnsi" w:cstheme="majorHAnsi"/>
          <w:color w:val="auto"/>
          <w:szCs w:val="20"/>
        </w:rPr>
        <w:t xml:space="preserve"> 2</w:t>
      </w:r>
      <w:r w:rsidR="00804E2A" w:rsidRPr="006070EA">
        <w:rPr>
          <w:rFonts w:asciiTheme="majorHAnsi" w:hAnsiTheme="majorHAnsi" w:cstheme="majorHAnsi"/>
          <w:color w:val="auto"/>
          <w:szCs w:val="20"/>
        </w:rPr>
        <w:t>, 7 a 6</w:t>
      </w:r>
      <w:r w:rsidRPr="006070EA">
        <w:rPr>
          <w:rFonts w:asciiTheme="majorHAnsi" w:hAnsiTheme="majorHAnsi" w:cstheme="majorHAnsi"/>
          <w:color w:val="auto"/>
          <w:szCs w:val="20"/>
        </w:rPr>
        <w:t>)</w:t>
      </w:r>
    </w:p>
    <w:p w14:paraId="635A950C" w14:textId="22A179EA" w:rsidR="00DD1FEF" w:rsidRPr="006070EA" w:rsidRDefault="00DD1FEF" w:rsidP="0036779E">
      <w:pPr>
        <w:pStyle w:val="Mra2-reakceern"/>
        <w:numPr>
          <w:ilvl w:val="0"/>
          <w:numId w:val="19"/>
        </w:numPr>
        <w:pBdr>
          <w:left w:val="none" w:sz="0" w:space="0" w:color="auto"/>
        </w:pBdr>
        <w:rPr>
          <w:rFonts w:asciiTheme="majorHAnsi" w:hAnsiTheme="majorHAnsi" w:cstheme="majorHAnsi"/>
          <w:color w:val="auto"/>
          <w:szCs w:val="20"/>
        </w:rPr>
      </w:pPr>
      <w:r w:rsidRPr="006070EA">
        <w:rPr>
          <w:rFonts w:asciiTheme="majorHAnsi" w:hAnsiTheme="majorHAnsi" w:cstheme="majorHAnsi"/>
          <w:color w:val="auto"/>
          <w:szCs w:val="20"/>
        </w:rPr>
        <w:t xml:space="preserve">ÚAP SO ORP </w:t>
      </w:r>
      <w:r w:rsidR="008A49E7" w:rsidRPr="006070EA">
        <w:rPr>
          <w:rFonts w:asciiTheme="majorHAnsi" w:hAnsiTheme="majorHAnsi" w:cstheme="majorHAnsi"/>
          <w:color w:val="auto"/>
          <w:szCs w:val="20"/>
        </w:rPr>
        <w:t>Nymburk</w:t>
      </w:r>
      <w:r w:rsidRPr="006070EA">
        <w:rPr>
          <w:rFonts w:asciiTheme="majorHAnsi" w:hAnsiTheme="majorHAnsi" w:cstheme="majorHAnsi"/>
          <w:color w:val="auto"/>
          <w:szCs w:val="20"/>
        </w:rPr>
        <w:t xml:space="preserve"> </w:t>
      </w:r>
    </w:p>
    <w:p w14:paraId="2514C627" w14:textId="626C1CAE" w:rsidR="00BF0CD7" w:rsidRPr="006070EA" w:rsidRDefault="00BF0CD7" w:rsidP="0036779E">
      <w:pPr>
        <w:pStyle w:val="Odstavecseseznamem"/>
        <w:numPr>
          <w:ilvl w:val="0"/>
          <w:numId w:val="19"/>
        </w:numPr>
        <w:spacing w:after="0" w:line="240" w:lineRule="auto"/>
        <w:contextualSpacing w:val="0"/>
        <w:jc w:val="both"/>
        <w:rPr>
          <w:rFonts w:asciiTheme="majorHAnsi" w:hAnsiTheme="majorHAnsi" w:cstheme="majorHAnsi"/>
          <w:sz w:val="18"/>
        </w:rPr>
      </w:pPr>
      <w:r w:rsidRPr="006070EA">
        <w:rPr>
          <w:rFonts w:asciiTheme="majorHAnsi" w:hAnsiTheme="majorHAnsi" w:cstheme="majorHAnsi"/>
          <w:sz w:val="18"/>
        </w:rPr>
        <w:t xml:space="preserve">ÚPO </w:t>
      </w:r>
      <w:r w:rsidR="008A49E7" w:rsidRPr="006070EA">
        <w:rPr>
          <w:rFonts w:asciiTheme="majorHAnsi" w:hAnsiTheme="majorHAnsi" w:cstheme="majorHAnsi"/>
          <w:sz w:val="18"/>
        </w:rPr>
        <w:t>Kostomlaty nad Labem</w:t>
      </w:r>
      <w:r w:rsidRPr="006070EA">
        <w:rPr>
          <w:rFonts w:asciiTheme="majorHAnsi" w:hAnsiTheme="majorHAnsi" w:cstheme="majorHAnsi"/>
          <w:sz w:val="18"/>
        </w:rPr>
        <w:t xml:space="preserve"> (200</w:t>
      </w:r>
      <w:r w:rsidR="008A49E7" w:rsidRPr="006070EA">
        <w:rPr>
          <w:rFonts w:asciiTheme="majorHAnsi" w:hAnsiTheme="majorHAnsi" w:cstheme="majorHAnsi"/>
          <w:sz w:val="18"/>
        </w:rPr>
        <w:t>3</w:t>
      </w:r>
      <w:r w:rsidRPr="006070EA">
        <w:rPr>
          <w:rFonts w:asciiTheme="majorHAnsi" w:hAnsiTheme="majorHAnsi" w:cstheme="majorHAnsi"/>
          <w:sz w:val="18"/>
        </w:rPr>
        <w:t>)</w:t>
      </w:r>
    </w:p>
    <w:p w14:paraId="29028303" w14:textId="2C2B151A" w:rsidR="004254E6" w:rsidRPr="006070EA" w:rsidRDefault="004254E6" w:rsidP="0036779E">
      <w:pPr>
        <w:pStyle w:val="Mra2-reakceern"/>
        <w:numPr>
          <w:ilvl w:val="0"/>
          <w:numId w:val="19"/>
        </w:numPr>
        <w:pBdr>
          <w:left w:val="none" w:sz="0" w:space="0" w:color="auto"/>
        </w:pBdr>
        <w:rPr>
          <w:rFonts w:asciiTheme="majorHAnsi" w:hAnsiTheme="majorHAnsi" w:cstheme="majorHAnsi"/>
          <w:color w:val="auto"/>
          <w:szCs w:val="20"/>
        </w:rPr>
      </w:pPr>
      <w:r w:rsidRPr="006070EA">
        <w:rPr>
          <w:rFonts w:asciiTheme="majorHAnsi" w:hAnsiTheme="majorHAnsi" w:cstheme="majorHAnsi"/>
          <w:color w:val="auto"/>
          <w:szCs w:val="20"/>
        </w:rPr>
        <w:t xml:space="preserve">Zadání ÚP </w:t>
      </w:r>
      <w:r w:rsidR="008A49E7" w:rsidRPr="006070EA">
        <w:rPr>
          <w:rFonts w:asciiTheme="majorHAnsi" w:hAnsiTheme="majorHAnsi" w:cstheme="majorHAnsi"/>
          <w:color w:val="auto"/>
        </w:rPr>
        <w:t>Kostomlaty nad Labem</w:t>
      </w:r>
      <w:r w:rsidR="00BF0CD7" w:rsidRPr="006070EA">
        <w:rPr>
          <w:rFonts w:asciiTheme="majorHAnsi" w:hAnsiTheme="majorHAnsi" w:cstheme="majorHAnsi"/>
          <w:color w:val="auto"/>
        </w:rPr>
        <w:t xml:space="preserve"> </w:t>
      </w:r>
      <w:r w:rsidRPr="006070EA">
        <w:rPr>
          <w:rFonts w:asciiTheme="majorHAnsi" w:hAnsiTheme="majorHAnsi" w:cstheme="majorHAnsi"/>
          <w:color w:val="auto"/>
          <w:szCs w:val="20"/>
        </w:rPr>
        <w:t>(20</w:t>
      </w:r>
      <w:r w:rsidR="008A49E7" w:rsidRPr="006070EA">
        <w:rPr>
          <w:rFonts w:asciiTheme="majorHAnsi" w:hAnsiTheme="majorHAnsi" w:cstheme="majorHAnsi"/>
          <w:color w:val="auto"/>
          <w:szCs w:val="20"/>
        </w:rPr>
        <w:t>21</w:t>
      </w:r>
      <w:r w:rsidRPr="006070EA">
        <w:rPr>
          <w:rFonts w:asciiTheme="majorHAnsi" w:hAnsiTheme="majorHAnsi" w:cstheme="majorHAnsi"/>
          <w:color w:val="auto"/>
          <w:szCs w:val="20"/>
        </w:rPr>
        <w:t>)</w:t>
      </w:r>
    </w:p>
    <w:p w14:paraId="6068D072" w14:textId="23EE14B2" w:rsidR="004254E6" w:rsidRPr="006070EA" w:rsidRDefault="004254E6" w:rsidP="0036779E">
      <w:pPr>
        <w:pStyle w:val="Mra2-reakceern"/>
        <w:numPr>
          <w:ilvl w:val="0"/>
          <w:numId w:val="19"/>
        </w:numPr>
        <w:pBdr>
          <w:left w:val="none" w:sz="0" w:space="0" w:color="auto"/>
        </w:pBdr>
        <w:rPr>
          <w:rFonts w:asciiTheme="majorHAnsi" w:hAnsiTheme="majorHAnsi" w:cstheme="majorHAnsi"/>
          <w:color w:val="auto"/>
          <w:szCs w:val="20"/>
        </w:rPr>
      </w:pPr>
      <w:r w:rsidRPr="006070EA">
        <w:rPr>
          <w:rFonts w:asciiTheme="majorHAnsi" w:hAnsiTheme="majorHAnsi" w:cstheme="majorHAnsi"/>
          <w:color w:val="auto"/>
          <w:szCs w:val="20"/>
        </w:rPr>
        <w:t>Terénní průzkum</w:t>
      </w:r>
      <w:r w:rsidR="008A49E7" w:rsidRPr="006070EA">
        <w:rPr>
          <w:rFonts w:asciiTheme="majorHAnsi" w:hAnsiTheme="majorHAnsi" w:cstheme="majorHAnsi"/>
          <w:color w:val="auto"/>
          <w:szCs w:val="20"/>
        </w:rPr>
        <w:t xml:space="preserve"> a analytická činnost</w:t>
      </w:r>
      <w:r w:rsidRPr="006070EA">
        <w:rPr>
          <w:rFonts w:asciiTheme="majorHAnsi" w:hAnsiTheme="majorHAnsi" w:cstheme="majorHAnsi"/>
          <w:color w:val="auto"/>
          <w:szCs w:val="20"/>
        </w:rPr>
        <w:t xml:space="preserve"> zpracovatele ÚP</w:t>
      </w:r>
    </w:p>
    <w:p w14:paraId="29A2FA98" w14:textId="77777777" w:rsidR="008A49E7" w:rsidRPr="006070EA" w:rsidRDefault="008A49E7" w:rsidP="008A49E7">
      <w:pPr>
        <w:pStyle w:val="Odstavecseseznamem"/>
        <w:numPr>
          <w:ilvl w:val="0"/>
          <w:numId w:val="19"/>
        </w:numPr>
        <w:spacing w:after="120" w:line="240" w:lineRule="auto"/>
        <w:jc w:val="both"/>
        <w:rPr>
          <w:rFonts w:asciiTheme="majorHAnsi" w:hAnsiTheme="majorHAnsi" w:cstheme="majorHAnsi"/>
          <w:sz w:val="18"/>
        </w:rPr>
      </w:pPr>
      <w:r w:rsidRPr="006070EA">
        <w:rPr>
          <w:rFonts w:asciiTheme="majorHAnsi" w:hAnsiTheme="majorHAnsi" w:cstheme="majorHAnsi"/>
          <w:sz w:val="18"/>
        </w:rPr>
        <w:t>strategické a koncepční dokumenty Středočeského kraje (konkrétní dokumenty jsou uvedeny v tematických kapitolách)</w:t>
      </w:r>
    </w:p>
    <w:p w14:paraId="4099CE9B" w14:textId="77777777" w:rsidR="008A49E7" w:rsidRPr="006070EA" w:rsidRDefault="008A49E7" w:rsidP="008A49E7">
      <w:pPr>
        <w:pStyle w:val="Odstavecseseznamem"/>
        <w:numPr>
          <w:ilvl w:val="0"/>
          <w:numId w:val="19"/>
        </w:numPr>
        <w:spacing w:after="0" w:line="240" w:lineRule="auto"/>
        <w:jc w:val="both"/>
        <w:rPr>
          <w:rFonts w:asciiTheme="majorHAnsi" w:hAnsiTheme="majorHAnsi" w:cstheme="majorHAnsi"/>
          <w:sz w:val="18"/>
        </w:rPr>
      </w:pPr>
      <w:r w:rsidRPr="006070EA">
        <w:rPr>
          <w:rFonts w:asciiTheme="majorHAnsi" w:hAnsiTheme="majorHAnsi" w:cstheme="majorHAnsi"/>
          <w:sz w:val="18"/>
        </w:rPr>
        <w:t>platná legislativa a ČSN</w:t>
      </w:r>
    </w:p>
    <w:p w14:paraId="301194C2" w14:textId="39D9A43C" w:rsidR="00FA6A9A" w:rsidRPr="006070EA" w:rsidRDefault="009D4634" w:rsidP="009E07E1">
      <w:pPr>
        <w:pStyle w:val="Mra2-reakceern"/>
        <w:pBdr>
          <w:left w:val="none" w:sz="0" w:space="0" w:color="auto"/>
        </w:pBdr>
        <w:spacing w:before="120" w:after="60"/>
        <w:ind w:left="0"/>
        <w:jc w:val="right"/>
        <w:rPr>
          <w:rFonts w:asciiTheme="majorHAnsi" w:hAnsiTheme="majorHAnsi" w:cstheme="majorHAnsi"/>
          <w:i/>
          <w:color w:val="auto"/>
          <w:u w:val="single"/>
        </w:rPr>
      </w:pPr>
      <w:r w:rsidRPr="006070EA">
        <w:rPr>
          <w:rFonts w:asciiTheme="majorHAnsi" w:hAnsiTheme="majorHAnsi" w:cstheme="majorHAnsi"/>
          <w:i/>
          <w:color w:val="auto"/>
          <w:u w:val="single"/>
        </w:rPr>
        <w:t xml:space="preserve">Odůvodnění </w:t>
      </w:r>
      <w:r w:rsidR="00FA6A9A" w:rsidRPr="006070EA">
        <w:rPr>
          <w:rFonts w:asciiTheme="majorHAnsi" w:hAnsiTheme="majorHAnsi" w:cstheme="majorHAnsi"/>
          <w:i/>
          <w:color w:val="auto"/>
          <w:u w:val="single"/>
        </w:rPr>
        <w:t xml:space="preserve">odst. </w:t>
      </w:r>
      <w:r w:rsidR="00FA6A9A" w:rsidRPr="006070EA">
        <w:rPr>
          <w:rFonts w:asciiTheme="majorHAnsi" w:hAnsiTheme="majorHAnsi" w:cstheme="majorHAnsi"/>
          <w:b/>
          <w:i/>
          <w:color w:val="auto"/>
          <w:u w:val="single"/>
        </w:rPr>
        <w:t>(</w:t>
      </w:r>
      <w:r w:rsidR="003D1486" w:rsidRPr="006070EA">
        <w:rPr>
          <w:rFonts w:asciiTheme="majorHAnsi" w:hAnsiTheme="majorHAnsi" w:cstheme="majorHAnsi"/>
          <w:b/>
          <w:i/>
          <w:color w:val="auto"/>
          <w:u w:val="single"/>
        </w:rPr>
        <w:t>3</w:t>
      </w:r>
      <w:r w:rsidR="00FA6A9A" w:rsidRPr="006070EA">
        <w:rPr>
          <w:rFonts w:asciiTheme="majorHAnsi" w:hAnsiTheme="majorHAnsi" w:cstheme="majorHAnsi"/>
          <w:b/>
          <w:i/>
          <w:color w:val="auto"/>
          <w:u w:val="single"/>
        </w:rPr>
        <w:t>)</w:t>
      </w:r>
      <w:r w:rsidR="00FA6A9A" w:rsidRPr="006070EA">
        <w:rPr>
          <w:rFonts w:asciiTheme="majorHAnsi" w:hAnsiTheme="majorHAnsi" w:cstheme="majorHAnsi"/>
          <w:i/>
          <w:color w:val="auto"/>
          <w:u w:val="single"/>
        </w:rPr>
        <w:t xml:space="preserve"> výrokové části</w:t>
      </w:r>
      <w:r w:rsidRPr="006070EA">
        <w:rPr>
          <w:rFonts w:asciiTheme="majorHAnsi" w:hAnsiTheme="majorHAnsi" w:cstheme="majorHAnsi"/>
          <w:i/>
          <w:color w:val="auto"/>
          <w:u w:val="single"/>
        </w:rPr>
        <w:t xml:space="preserve">, obecné odůvodnění </w:t>
      </w:r>
      <w:r w:rsidR="008A49E7" w:rsidRPr="006070EA">
        <w:rPr>
          <w:rFonts w:asciiTheme="majorHAnsi" w:hAnsiTheme="majorHAnsi" w:cstheme="majorHAnsi"/>
          <w:i/>
          <w:color w:val="auto"/>
          <w:u w:val="single"/>
        </w:rPr>
        <w:t xml:space="preserve">koncepce </w:t>
      </w:r>
      <w:r w:rsidRPr="006070EA">
        <w:rPr>
          <w:rFonts w:asciiTheme="majorHAnsi" w:hAnsiTheme="majorHAnsi" w:cstheme="majorHAnsi"/>
          <w:i/>
          <w:color w:val="auto"/>
          <w:u w:val="single"/>
        </w:rPr>
        <w:t xml:space="preserve">ÚP </w:t>
      </w:r>
      <w:r w:rsidR="008A49E7" w:rsidRPr="006070EA">
        <w:rPr>
          <w:rFonts w:asciiTheme="majorHAnsi" w:hAnsiTheme="majorHAnsi" w:cstheme="majorHAnsi"/>
          <w:i/>
          <w:color w:val="auto"/>
          <w:u w:val="single"/>
        </w:rPr>
        <w:t>Kostomlaty nad Labem</w:t>
      </w:r>
    </w:p>
    <w:p w14:paraId="2D84AD2C" w14:textId="4584F69F" w:rsidR="00FA6A9A" w:rsidRPr="006070EA" w:rsidRDefault="00FA6A9A" w:rsidP="009E07E1">
      <w:pPr>
        <w:spacing w:before="120" w:after="120" w:line="240" w:lineRule="auto"/>
        <w:rPr>
          <w:rFonts w:asciiTheme="majorHAnsi" w:hAnsiTheme="majorHAnsi" w:cstheme="majorHAnsi"/>
          <w:b/>
          <w:sz w:val="18"/>
          <w:szCs w:val="20"/>
        </w:rPr>
      </w:pPr>
      <w:r w:rsidRPr="006070EA">
        <w:rPr>
          <w:rFonts w:asciiTheme="majorHAnsi" w:hAnsiTheme="majorHAnsi" w:cstheme="majorHAnsi"/>
          <w:b/>
          <w:sz w:val="18"/>
          <w:szCs w:val="20"/>
        </w:rPr>
        <w:t>Východiska koncepce rozvoje území</w:t>
      </w:r>
    </w:p>
    <w:p w14:paraId="55F42A87" w14:textId="675B317F" w:rsidR="00FA6A9A" w:rsidRPr="006070EA" w:rsidRDefault="00FA6A9A" w:rsidP="0036779E">
      <w:pPr>
        <w:pStyle w:val="Odstavecseseznamem"/>
        <w:numPr>
          <w:ilvl w:val="0"/>
          <w:numId w:val="4"/>
        </w:numPr>
        <w:spacing w:after="120" w:line="240" w:lineRule="auto"/>
        <w:jc w:val="both"/>
        <w:rPr>
          <w:rFonts w:asciiTheme="majorHAnsi" w:hAnsiTheme="majorHAnsi" w:cstheme="majorHAnsi"/>
          <w:sz w:val="18"/>
          <w:szCs w:val="18"/>
        </w:rPr>
      </w:pPr>
      <w:r w:rsidRPr="006070EA">
        <w:rPr>
          <w:rFonts w:asciiTheme="majorHAnsi" w:hAnsiTheme="majorHAnsi" w:cstheme="majorHAnsi"/>
          <w:sz w:val="18"/>
          <w:szCs w:val="18"/>
        </w:rPr>
        <w:t xml:space="preserve">stabilizovaná historicky utvářená urbanistická struktura a prostorové uspořádání </w:t>
      </w:r>
      <w:r w:rsidR="008A49E7" w:rsidRPr="006070EA">
        <w:rPr>
          <w:rFonts w:asciiTheme="majorHAnsi" w:hAnsiTheme="majorHAnsi" w:cstheme="majorHAnsi"/>
          <w:sz w:val="18"/>
          <w:szCs w:val="18"/>
        </w:rPr>
        <w:t>sídel (viz kapitola 11.3)</w:t>
      </w:r>
    </w:p>
    <w:p w14:paraId="13106A11" w14:textId="2887DE3F" w:rsidR="00FA6A9A" w:rsidRPr="006070EA" w:rsidRDefault="00FA6A9A" w:rsidP="0036779E">
      <w:pPr>
        <w:pStyle w:val="Odstavecseseznamem"/>
        <w:numPr>
          <w:ilvl w:val="0"/>
          <w:numId w:val="4"/>
        </w:numPr>
        <w:spacing w:before="120" w:after="120" w:line="240" w:lineRule="auto"/>
        <w:jc w:val="both"/>
        <w:rPr>
          <w:rFonts w:asciiTheme="majorHAnsi" w:hAnsiTheme="majorHAnsi" w:cstheme="majorHAnsi"/>
          <w:sz w:val="18"/>
          <w:szCs w:val="18"/>
        </w:rPr>
      </w:pPr>
      <w:r w:rsidRPr="006070EA">
        <w:rPr>
          <w:rFonts w:asciiTheme="majorHAnsi" w:hAnsiTheme="majorHAnsi" w:cstheme="majorHAnsi"/>
          <w:sz w:val="18"/>
          <w:szCs w:val="18"/>
        </w:rPr>
        <w:t>geografická poloha obce</w:t>
      </w:r>
      <w:r w:rsidR="008A49E7" w:rsidRPr="006070EA">
        <w:rPr>
          <w:rFonts w:asciiTheme="majorHAnsi" w:hAnsiTheme="majorHAnsi" w:cstheme="majorHAnsi"/>
          <w:sz w:val="18"/>
          <w:szCs w:val="18"/>
        </w:rPr>
        <w:t xml:space="preserve"> a související východiska</w:t>
      </w:r>
    </w:p>
    <w:p w14:paraId="77C1CCAA" w14:textId="77777777" w:rsidR="00640505" w:rsidRPr="006070EA" w:rsidRDefault="00640505" w:rsidP="0036779E">
      <w:pPr>
        <w:pStyle w:val="Odstavecseseznamem"/>
        <w:numPr>
          <w:ilvl w:val="0"/>
          <w:numId w:val="4"/>
        </w:numPr>
        <w:spacing w:before="120" w:after="120" w:line="240" w:lineRule="auto"/>
        <w:jc w:val="both"/>
        <w:rPr>
          <w:rFonts w:asciiTheme="majorHAnsi" w:hAnsiTheme="majorHAnsi" w:cstheme="majorHAnsi"/>
          <w:sz w:val="18"/>
          <w:szCs w:val="18"/>
        </w:rPr>
      </w:pPr>
      <w:r w:rsidRPr="006070EA">
        <w:rPr>
          <w:rFonts w:asciiTheme="majorHAnsi" w:hAnsiTheme="majorHAnsi" w:cstheme="majorHAnsi"/>
          <w:sz w:val="18"/>
          <w:szCs w:val="18"/>
        </w:rPr>
        <w:t>dopravní dostupnost obce</w:t>
      </w:r>
    </w:p>
    <w:p w14:paraId="60D58254" w14:textId="4C46F9DD" w:rsidR="009D4634" w:rsidRPr="006070EA" w:rsidRDefault="009D4634" w:rsidP="0036779E">
      <w:pPr>
        <w:pStyle w:val="Odstavecseseznamem"/>
        <w:numPr>
          <w:ilvl w:val="0"/>
          <w:numId w:val="4"/>
        </w:numPr>
        <w:spacing w:before="120" w:after="120" w:line="240" w:lineRule="auto"/>
        <w:jc w:val="both"/>
        <w:rPr>
          <w:rFonts w:asciiTheme="majorHAnsi" w:hAnsiTheme="majorHAnsi" w:cstheme="majorHAnsi"/>
          <w:sz w:val="18"/>
          <w:szCs w:val="18"/>
        </w:rPr>
      </w:pPr>
      <w:r w:rsidRPr="006070EA">
        <w:rPr>
          <w:rFonts w:asciiTheme="majorHAnsi" w:hAnsiTheme="majorHAnsi" w:cstheme="majorHAnsi"/>
          <w:sz w:val="18"/>
          <w:szCs w:val="18"/>
        </w:rPr>
        <w:t xml:space="preserve">rozvojové zásady a záměry vymezené </w:t>
      </w:r>
      <w:r w:rsidR="00067B72" w:rsidRPr="006070EA">
        <w:rPr>
          <w:rFonts w:asciiTheme="majorHAnsi" w:hAnsiTheme="majorHAnsi" w:cstheme="majorHAnsi"/>
          <w:sz w:val="18"/>
          <w:szCs w:val="18"/>
        </w:rPr>
        <w:t>v PÚR ČR,</w:t>
      </w:r>
      <w:r w:rsidR="00863CDB" w:rsidRPr="006070EA">
        <w:rPr>
          <w:rFonts w:asciiTheme="majorHAnsi" w:hAnsiTheme="majorHAnsi" w:cstheme="majorHAnsi"/>
          <w:sz w:val="18"/>
          <w:szCs w:val="18"/>
        </w:rPr>
        <w:t xml:space="preserve"> </w:t>
      </w:r>
      <w:r w:rsidRPr="006070EA">
        <w:rPr>
          <w:rFonts w:asciiTheme="majorHAnsi" w:hAnsiTheme="majorHAnsi" w:cstheme="majorHAnsi"/>
          <w:sz w:val="18"/>
          <w:szCs w:val="18"/>
        </w:rPr>
        <w:t xml:space="preserve">v nadřazené ÚPD – ZÚR </w:t>
      </w:r>
      <w:r w:rsidR="008A49E7" w:rsidRPr="006070EA">
        <w:rPr>
          <w:rFonts w:asciiTheme="majorHAnsi" w:hAnsiTheme="majorHAnsi" w:cstheme="majorHAnsi"/>
          <w:sz w:val="18"/>
          <w:szCs w:val="18"/>
        </w:rPr>
        <w:t>Středočeského</w:t>
      </w:r>
      <w:r w:rsidRPr="006070EA">
        <w:rPr>
          <w:rFonts w:asciiTheme="majorHAnsi" w:hAnsiTheme="majorHAnsi" w:cstheme="majorHAnsi"/>
          <w:sz w:val="18"/>
          <w:szCs w:val="18"/>
        </w:rPr>
        <w:t xml:space="preserve"> kraje</w:t>
      </w:r>
      <w:r w:rsidR="00067B72" w:rsidRPr="006070EA">
        <w:rPr>
          <w:rFonts w:asciiTheme="majorHAnsi" w:hAnsiTheme="majorHAnsi" w:cstheme="majorHAnsi"/>
          <w:sz w:val="18"/>
          <w:szCs w:val="18"/>
        </w:rPr>
        <w:t xml:space="preserve"> a</w:t>
      </w:r>
      <w:r w:rsidR="00E40186" w:rsidRPr="006070EA">
        <w:rPr>
          <w:rFonts w:asciiTheme="majorHAnsi" w:hAnsiTheme="majorHAnsi" w:cstheme="majorHAnsi"/>
          <w:sz w:val="18"/>
          <w:szCs w:val="18"/>
        </w:rPr>
        <w:t> </w:t>
      </w:r>
      <w:r w:rsidR="00067B72" w:rsidRPr="006070EA">
        <w:rPr>
          <w:rFonts w:asciiTheme="majorHAnsi" w:hAnsiTheme="majorHAnsi" w:cstheme="majorHAnsi"/>
          <w:sz w:val="18"/>
          <w:szCs w:val="18"/>
        </w:rPr>
        <w:t>v souvisejících rozvojových a strategických dokumentech</w:t>
      </w:r>
    </w:p>
    <w:p w14:paraId="79F5B1FE" w14:textId="77777777" w:rsidR="00F44A32" w:rsidRPr="006070EA" w:rsidRDefault="008A7151" w:rsidP="0036779E">
      <w:pPr>
        <w:pStyle w:val="Odstavecseseznamem"/>
        <w:numPr>
          <w:ilvl w:val="0"/>
          <w:numId w:val="4"/>
        </w:numPr>
        <w:spacing w:before="120" w:after="120" w:line="240" w:lineRule="auto"/>
        <w:jc w:val="both"/>
        <w:rPr>
          <w:rFonts w:asciiTheme="majorHAnsi" w:hAnsiTheme="majorHAnsi" w:cstheme="majorHAnsi"/>
          <w:sz w:val="18"/>
          <w:szCs w:val="18"/>
        </w:rPr>
      </w:pPr>
      <w:r w:rsidRPr="006070EA">
        <w:rPr>
          <w:rFonts w:asciiTheme="majorHAnsi" w:hAnsiTheme="majorHAnsi" w:cstheme="majorHAnsi"/>
          <w:sz w:val="18"/>
          <w:szCs w:val="18"/>
        </w:rPr>
        <w:t>tradice hospodaření v krajině</w:t>
      </w:r>
    </w:p>
    <w:p w14:paraId="61BA698A" w14:textId="62D64FC2" w:rsidR="00F44A32" w:rsidRPr="006070EA" w:rsidRDefault="00F44A32" w:rsidP="0036779E">
      <w:pPr>
        <w:pStyle w:val="Odstavecseseznamem"/>
        <w:numPr>
          <w:ilvl w:val="0"/>
          <w:numId w:val="4"/>
        </w:numPr>
        <w:spacing w:before="120" w:after="120" w:line="240" w:lineRule="auto"/>
        <w:jc w:val="both"/>
        <w:rPr>
          <w:rFonts w:asciiTheme="majorHAnsi" w:hAnsiTheme="majorHAnsi" w:cstheme="majorHAnsi"/>
          <w:sz w:val="18"/>
          <w:szCs w:val="18"/>
        </w:rPr>
      </w:pPr>
      <w:r w:rsidRPr="006070EA">
        <w:rPr>
          <w:rFonts w:asciiTheme="majorHAnsi" w:hAnsiTheme="majorHAnsi" w:cstheme="majorHAnsi"/>
          <w:sz w:val="18"/>
          <w:szCs w:val="18"/>
        </w:rPr>
        <w:t>koncepce stanovená předcházející ÚPD obce (</w:t>
      </w:r>
      <w:r w:rsidR="00B8174E" w:rsidRPr="006070EA">
        <w:rPr>
          <w:rFonts w:asciiTheme="majorHAnsi" w:hAnsiTheme="majorHAnsi" w:cstheme="majorHAnsi"/>
          <w:sz w:val="18"/>
          <w:szCs w:val="18"/>
        </w:rPr>
        <w:t>ÚP</w:t>
      </w:r>
      <w:r w:rsidR="00067B72" w:rsidRPr="006070EA">
        <w:rPr>
          <w:rFonts w:asciiTheme="majorHAnsi" w:hAnsiTheme="majorHAnsi" w:cstheme="majorHAnsi"/>
          <w:sz w:val="18"/>
          <w:szCs w:val="18"/>
        </w:rPr>
        <w:t>O</w:t>
      </w:r>
      <w:r w:rsidR="00B8174E" w:rsidRPr="006070EA">
        <w:rPr>
          <w:rFonts w:asciiTheme="majorHAnsi" w:hAnsiTheme="majorHAnsi" w:cstheme="majorHAnsi"/>
          <w:sz w:val="18"/>
          <w:szCs w:val="18"/>
        </w:rPr>
        <w:t xml:space="preserve"> </w:t>
      </w:r>
      <w:r w:rsidR="008A49E7" w:rsidRPr="006070EA">
        <w:rPr>
          <w:rFonts w:asciiTheme="majorHAnsi" w:hAnsiTheme="majorHAnsi" w:cstheme="majorHAnsi"/>
          <w:sz w:val="18"/>
          <w:szCs w:val="18"/>
        </w:rPr>
        <w:t>Kostomlaty nad Labem</w:t>
      </w:r>
      <w:r w:rsidRPr="006070EA">
        <w:rPr>
          <w:rFonts w:asciiTheme="majorHAnsi" w:hAnsiTheme="majorHAnsi" w:cstheme="majorHAnsi"/>
          <w:sz w:val="18"/>
          <w:szCs w:val="18"/>
        </w:rPr>
        <w:t xml:space="preserve">, </w:t>
      </w:r>
      <w:r w:rsidR="008A49E7" w:rsidRPr="006070EA">
        <w:rPr>
          <w:rFonts w:asciiTheme="majorHAnsi" w:hAnsiTheme="majorHAnsi" w:cstheme="majorHAnsi"/>
          <w:sz w:val="18"/>
          <w:szCs w:val="18"/>
        </w:rPr>
        <w:t>2003</w:t>
      </w:r>
      <w:r w:rsidRPr="006070EA">
        <w:rPr>
          <w:rFonts w:asciiTheme="majorHAnsi" w:hAnsiTheme="majorHAnsi" w:cstheme="majorHAnsi"/>
          <w:sz w:val="18"/>
          <w:szCs w:val="18"/>
        </w:rPr>
        <w:t>)</w:t>
      </w:r>
    </w:p>
    <w:p w14:paraId="476FAE2C" w14:textId="52BEB3FF" w:rsidR="00FA6A9A" w:rsidRPr="006070EA" w:rsidRDefault="00FA6A9A" w:rsidP="0036779E">
      <w:pPr>
        <w:pStyle w:val="Odstavecseseznamem"/>
        <w:numPr>
          <w:ilvl w:val="0"/>
          <w:numId w:val="4"/>
        </w:numPr>
        <w:spacing w:before="120" w:after="120" w:line="240" w:lineRule="auto"/>
        <w:jc w:val="both"/>
        <w:rPr>
          <w:rFonts w:asciiTheme="majorHAnsi" w:hAnsiTheme="majorHAnsi" w:cstheme="majorHAnsi"/>
          <w:sz w:val="18"/>
          <w:szCs w:val="18"/>
        </w:rPr>
      </w:pPr>
      <w:r w:rsidRPr="006070EA">
        <w:rPr>
          <w:rFonts w:asciiTheme="majorHAnsi" w:hAnsiTheme="majorHAnsi" w:cstheme="majorHAnsi"/>
          <w:sz w:val="18"/>
          <w:szCs w:val="18"/>
        </w:rPr>
        <w:t>zásady a záměry vyplývající z členství obce v</w:t>
      </w:r>
      <w:r w:rsidR="009D4634" w:rsidRPr="006070EA">
        <w:rPr>
          <w:rFonts w:asciiTheme="majorHAnsi" w:hAnsiTheme="majorHAnsi" w:cstheme="majorHAnsi"/>
          <w:sz w:val="18"/>
          <w:szCs w:val="18"/>
        </w:rPr>
        <w:t xml:space="preserve">e </w:t>
      </w:r>
      <w:r w:rsidR="00067B72" w:rsidRPr="006070EA">
        <w:rPr>
          <w:rFonts w:asciiTheme="majorHAnsi" w:hAnsiTheme="majorHAnsi" w:cstheme="majorHAnsi"/>
          <w:sz w:val="18"/>
          <w:szCs w:val="18"/>
        </w:rPr>
        <w:t>sdružení</w:t>
      </w:r>
      <w:r w:rsidR="004254E6" w:rsidRPr="006070EA">
        <w:rPr>
          <w:rFonts w:asciiTheme="majorHAnsi" w:hAnsiTheme="majorHAnsi" w:cstheme="majorHAnsi"/>
          <w:sz w:val="18"/>
          <w:szCs w:val="18"/>
        </w:rPr>
        <w:t xml:space="preserve"> obcí </w:t>
      </w:r>
    </w:p>
    <w:p w14:paraId="22799C10" w14:textId="6D1B5D04" w:rsidR="004254E6" w:rsidRPr="006070EA" w:rsidRDefault="004254E6" w:rsidP="009E07E1">
      <w:pPr>
        <w:pStyle w:val="Mra2-reakceern"/>
        <w:pBdr>
          <w:left w:val="none" w:sz="0" w:space="0" w:color="auto"/>
        </w:pBdr>
        <w:spacing w:after="60"/>
        <w:ind w:left="0" w:firstLine="709"/>
        <w:rPr>
          <w:rFonts w:asciiTheme="majorHAnsi" w:hAnsiTheme="majorHAnsi" w:cstheme="majorHAnsi"/>
          <w:color w:val="auto"/>
        </w:rPr>
      </w:pPr>
      <w:r w:rsidRPr="006070EA">
        <w:rPr>
          <w:rFonts w:asciiTheme="majorHAnsi" w:hAnsiTheme="majorHAnsi" w:cstheme="majorHAnsi"/>
          <w:color w:val="auto"/>
        </w:rPr>
        <w:t>Základním východiskem pro koncepci rozvoje území obce je vytvoření optimální urbanistické a organizační struktury ploch, spočívající ve vyváženém vztahu podmínek pro příznivé životní prostředí, hospodářský růst, stabilizaci a rozvoj osídlení, ochranu hodnot a zlepšování soudržnosti společenství obyvatel obce. Územní plán je navržen tak, aby umožňoval obnovu a</w:t>
      </w:r>
      <w:r w:rsidR="00067B72" w:rsidRPr="006070EA">
        <w:rPr>
          <w:rFonts w:asciiTheme="majorHAnsi" w:hAnsiTheme="majorHAnsi" w:cstheme="majorHAnsi"/>
          <w:color w:val="auto"/>
        </w:rPr>
        <w:t> </w:t>
      </w:r>
      <w:r w:rsidRPr="006070EA">
        <w:rPr>
          <w:rFonts w:asciiTheme="majorHAnsi" w:hAnsiTheme="majorHAnsi" w:cstheme="majorHAnsi"/>
          <w:color w:val="auto"/>
        </w:rPr>
        <w:t>rozvoj území ve všech jeho funkčních složkách a současně vytvářel podmínky pro ochranu hodnot a</w:t>
      </w:r>
      <w:r w:rsidR="009E3A49" w:rsidRPr="006070EA">
        <w:rPr>
          <w:rFonts w:asciiTheme="majorHAnsi" w:hAnsiTheme="majorHAnsi" w:cstheme="majorHAnsi"/>
          <w:color w:val="auto"/>
        </w:rPr>
        <w:t> </w:t>
      </w:r>
      <w:r w:rsidRPr="006070EA">
        <w:rPr>
          <w:rFonts w:asciiTheme="majorHAnsi" w:hAnsiTheme="majorHAnsi" w:cstheme="majorHAnsi"/>
          <w:color w:val="auto"/>
        </w:rPr>
        <w:t>respektoval limity využití území.</w:t>
      </w:r>
    </w:p>
    <w:p w14:paraId="2E64CFA1" w14:textId="420F60F3" w:rsidR="00FA6A9A" w:rsidRPr="006070EA" w:rsidRDefault="00FA6A9A" w:rsidP="009E07E1">
      <w:pPr>
        <w:spacing w:before="120" w:after="120" w:line="240" w:lineRule="auto"/>
        <w:rPr>
          <w:rFonts w:asciiTheme="majorHAnsi" w:hAnsiTheme="majorHAnsi" w:cstheme="majorHAnsi"/>
          <w:b/>
          <w:sz w:val="20"/>
          <w:szCs w:val="20"/>
        </w:rPr>
      </w:pPr>
      <w:r w:rsidRPr="006070EA">
        <w:rPr>
          <w:rFonts w:asciiTheme="majorHAnsi" w:hAnsiTheme="majorHAnsi" w:cstheme="majorHAnsi"/>
          <w:b/>
          <w:sz w:val="20"/>
          <w:szCs w:val="20"/>
        </w:rPr>
        <w:t xml:space="preserve">Odůvodnění </w:t>
      </w:r>
      <w:r w:rsidR="004254E6" w:rsidRPr="006070EA">
        <w:rPr>
          <w:rFonts w:asciiTheme="majorHAnsi" w:hAnsiTheme="majorHAnsi" w:cstheme="majorHAnsi"/>
          <w:b/>
          <w:sz w:val="20"/>
          <w:szCs w:val="20"/>
        </w:rPr>
        <w:t xml:space="preserve">stanovené </w:t>
      </w:r>
      <w:r w:rsidRPr="006070EA">
        <w:rPr>
          <w:rFonts w:asciiTheme="majorHAnsi" w:hAnsiTheme="majorHAnsi" w:cstheme="majorHAnsi"/>
          <w:b/>
          <w:sz w:val="20"/>
          <w:szCs w:val="20"/>
        </w:rPr>
        <w:t>koncepce rozvoje území</w:t>
      </w:r>
    </w:p>
    <w:p w14:paraId="6C7E27B5" w14:textId="6815C603" w:rsidR="0075767B" w:rsidRPr="006070EA" w:rsidRDefault="0075767B" w:rsidP="009E07E1">
      <w:pPr>
        <w:pStyle w:val="Atext"/>
        <w:rPr>
          <w:rFonts w:asciiTheme="majorHAnsi" w:hAnsiTheme="majorHAnsi" w:cstheme="majorHAnsi"/>
          <w:lang w:eastAsia="cs-CZ"/>
        </w:rPr>
      </w:pPr>
      <w:r w:rsidRPr="006070EA">
        <w:rPr>
          <w:rFonts w:asciiTheme="majorHAnsi" w:hAnsiTheme="majorHAnsi" w:cstheme="majorHAnsi"/>
          <w:lang w:eastAsia="cs-CZ"/>
        </w:rPr>
        <w:t>Koncepce rozvoje území obce vychází ze stávajícího, historickým vývojem definovaného charakteru území a</w:t>
      </w:r>
      <w:r w:rsidR="00067B72" w:rsidRPr="006070EA">
        <w:rPr>
          <w:rFonts w:asciiTheme="majorHAnsi" w:hAnsiTheme="majorHAnsi" w:cstheme="majorHAnsi"/>
          <w:lang w:eastAsia="cs-CZ"/>
        </w:rPr>
        <w:t> </w:t>
      </w:r>
      <w:r w:rsidRPr="006070EA">
        <w:rPr>
          <w:rFonts w:asciiTheme="majorHAnsi" w:hAnsiTheme="majorHAnsi" w:cstheme="majorHAnsi"/>
          <w:lang w:eastAsia="cs-CZ"/>
        </w:rPr>
        <w:t xml:space="preserve">významu obce. Územním plánem je rozvíjen stávající charakter </w:t>
      </w:r>
      <w:r w:rsidR="006828A2" w:rsidRPr="006070EA">
        <w:rPr>
          <w:rFonts w:asciiTheme="majorHAnsi" w:hAnsiTheme="majorHAnsi" w:cstheme="majorHAnsi"/>
          <w:lang w:eastAsia="cs-CZ"/>
        </w:rPr>
        <w:t>území</w:t>
      </w:r>
      <w:r w:rsidRPr="006070EA">
        <w:rPr>
          <w:rFonts w:asciiTheme="majorHAnsi" w:hAnsiTheme="majorHAnsi" w:cstheme="majorHAnsi"/>
          <w:lang w:eastAsia="cs-CZ"/>
        </w:rPr>
        <w:t xml:space="preserve"> s</w:t>
      </w:r>
      <w:r w:rsidR="006828A2" w:rsidRPr="006070EA">
        <w:rPr>
          <w:rFonts w:asciiTheme="majorHAnsi" w:hAnsiTheme="majorHAnsi" w:cstheme="majorHAnsi"/>
          <w:lang w:eastAsia="cs-CZ"/>
        </w:rPr>
        <w:t> centrálním postavením hlavního sídla Kostomlat nad Labem se základní občanskou vybaveností, které je obslužným těžištěm celého řešeného území. V ostatních sídlech v území (Rozkoš, Lány, Hronětice a Vápensko) převažuje funkce</w:t>
      </w:r>
      <w:r w:rsidRPr="006070EA">
        <w:rPr>
          <w:rFonts w:asciiTheme="majorHAnsi" w:hAnsiTheme="majorHAnsi" w:cstheme="majorHAnsi"/>
          <w:lang w:eastAsia="cs-CZ"/>
        </w:rPr>
        <w:t xml:space="preserve"> bydlení </w:t>
      </w:r>
      <w:r w:rsidR="006828A2" w:rsidRPr="006070EA">
        <w:rPr>
          <w:rFonts w:asciiTheme="majorHAnsi" w:hAnsiTheme="majorHAnsi" w:cstheme="majorHAnsi"/>
          <w:lang w:eastAsia="cs-CZ"/>
        </w:rPr>
        <w:t xml:space="preserve">a související hospodářské funkce venkovských sídel. </w:t>
      </w:r>
      <w:r w:rsidRPr="006070EA">
        <w:rPr>
          <w:rFonts w:asciiTheme="majorHAnsi" w:hAnsiTheme="majorHAnsi" w:cstheme="majorHAnsi"/>
          <w:lang w:eastAsia="cs-CZ"/>
        </w:rPr>
        <w:t xml:space="preserve">Řešením ÚP je zachováno </w:t>
      </w:r>
      <w:r w:rsidR="006828A2" w:rsidRPr="006070EA">
        <w:rPr>
          <w:rFonts w:asciiTheme="majorHAnsi" w:hAnsiTheme="majorHAnsi" w:cstheme="majorHAnsi"/>
          <w:lang w:eastAsia="cs-CZ"/>
        </w:rPr>
        <w:t xml:space="preserve">a posíleno </w:t>
      </w:r>
      <w:r w:rsidRPr="006070EA">
        <w:rPr>
          <w:rFonts w:asciiTheme="majorHAnsi" w:hAnsiTheme="majorHAnsi" w:cstheme="majorHAnsi"/>
          <w:lang w:eastAsia="cs-CZ"/>
        </w:rPr>
        <w:t xml:space="preserve">dosavadní postavení </w:t>
      </w:r>
      <w:r w:rsidR="006828A2" w:rsidRPr="006070EA">
        <w:rPr>
          <w:rFonts w:asciiTheme="majorHAnsi" w:hAnsiTheme="majorHAnsi" w:cstheme="majorHAnsi"/>
          <w:lang w:eastAsia="cs-CZ"/>
        </w:rPr>
        <w:t xml:space="preserve">obce </w:t>
      </w:r>
      <w:r w:rsidRPr="006070EA">
        <w:rPr>
          <w:rFonts w:asciiTheme="majorHAnsi" w:hAnsiTheme="majorHAnsi" w:cstheme="majorHAnsi"/>
          <w:lang w:eastAsia="cs-CZ"/>
        </w:rPr>
        <w:t xml:space="preserve">v rámci sídelní struktury. </w:t>
      </w:r>
      <w:r w:rsidR="006828A2" w:rsidRPr="006070EA">
        <w:rPr>
          <w:rFonts w:asciiTheme="majorHAnsi" w:hAnsiTheme="majorHAnsi" w:cstheme="majorHAnsi"/>
          <w:lang w:eastAsia="cs-CZ"/>
        </w:rPr>
        <w:t>Kostomlaty nad Labem jsou rozvíjeny jakožto lokální centrum se stabilizovanými plochami občanského vybavení, smíšených městských funkcí i bydlení individuálního příměstského charakteru; současně jsou vytvořeny podmínky pro rozvoj ekonomických aktivit. Venkovská sídla Lány, Rozkoš, Hronětice a</w:t>
      </w:r>
      <w:r w:rsidR="00106C28" w:rsidRPr="006070EA">
        <w:rPr>
          <w:rFonts w:asciiTheme="majorHAnsi" w:hAnsiTheme="majorHAnsi" w:cstheme="majorHAnsi"/>
          <w:lang w:eastAsia="cs-CZ"/>
        </w:rPr>
        <w:t> </w:t>
      </w:r>
      <w:r w:rsidR="006828A2" w:rsidRPr="006070EA">
        <w:rPr>
          <w:rFonts w:asciiTheme="majorHAnsi" w:hAnsiTheme="majorHAnsi" w:cstheme="majorHAnsi"/>
          <w:lang w:eastAsia="cs-CZ"/>
        </w:rPr>
        <w:t xml:space="preserve">Vápensko jsou rozvíjeny v souladu s jejich stávajícím charakterem, který není územním plánem narušen, a to jako sídla s převahou obytné a rekreační </w:t>
      </w:r>
      <w:r w:rsidR="00192B59" w:rsidRPr="006070EA">
        <w:rPr>
          <w:rFonts w:asciiTheme="majorHAnsi" w:hAnsiTheme="majorHAnsi" w:cstheme="majorHAnsi"/>
          <w:lang w:eastAsia="cs-CZ"/>
        </w:rPr>
        <w:t>funkce.</w:t>
      </w:r>
      <w:r w:rsidR="006828A2" w:rsidRPr="006070EA">
        <w:rPr>
          <w:rFonts w:asciiTheme="majorHAnsi" w:hAnsiTheme="majorHAnsi" w:cstheme="majorHAnsi"/>
          <w:lang w:eastAsia="cs-CZ"/>
        </w:rPr>
        <w:t xml:space="preserve"> </w:t>
      </w:r>
    </w:p>
    <w:p w14:paraId="3EC62AE3" w14:textId="03E7B3E5" w:rsidR="0075767B" w:rsidRPr="006070EA" w:rsidRDefault="0075767B" w:rsidP="009E07E1">
      <w:pPr>
        <w:pStyle w:val="Atext"/>
        <w:rPr>
          <w:rFonts w:asciiTheme="majorHAnsi" w:hAnsiTheme="majorHAnsi" w:cstheme="majorHAnsi"/>
        </w:rPr>
      </w:pPr>
      <w:r w:rsidRPr="006070EA">
        <w:rPr>
          <w:rFonts w:asciiTheme="majorHAnsi" w:hAnsiTheme="majorHAnsi" w:cstheme="majorHAnsi"/>
          <w:lang w:eastAsia="cs-CZ"/>
        </w:rPr>
        <w:t xml:space="preserve">Hlavním cílem koncepce je stabilizace existující struktury </w:t>
      </w:r>
      <w:r w:rsidR="00192B59" w:rsidRPr="006070EA">
        <w:rPr>
          <w:rFonts w:asciiTheme="majorHAnsi" w:hAnsiTheme="majorHAnsi" w:cstheme="majorHAnsi"/>
          <w:lang w:eastAsia="cs-CZ"/>
        </w:rPr>
        <w:t>sídel</w:t>
      </w:r>
      <w:r w:rsidRPr="006070EA">
        <w:rPr>
          <w:rFonts w:asciiTheme="majorHAnsi" w:hAnsiTheme="majorHAnsi" w:cstheme="majorHAnsi"/>
          <w:lang w:eastAsia="cs-CZ"/>
        </w:rPr>
        <w:t xml:space="preserve"> a vytvoření podmínek pro jej</w:t>
      </w:r>
      <w:r w:rsidR="00192B59" w:rsidRPr="006070EA">
        <w:rPr>
          <w:rFonts w:asciiTheme="majorHAnsi" w:hAnsiTheme="majorHAnsi" w:cstheme="majorHAnsi"/>
          <w:lang w:eastAsia="cs-CZ"/>
        </w:rPr>
        <w:t>ich</w:t>
      </w:r>
      <w:r w:rsidRPr="006070EA">
        <w:rPr>
          <w:rFonts w:asciiTheme="majorHAnsi" w:hAnsiTheme="majorHAnsi" w:cstheme="majorHAnsi"/>
          <w:lang w:eastAsia="cs-CZ"/>
        </w:rPr>
        <w:t xml:space="preserve"> plošný a kvalitativní rozvoj zejména z důvodu zvyšování kvality bydlení, kvality a dostupnosti veřejné infrastruktury, </w:t>
      </w:r>
      <w:r w:rsidRPr="006070EA">
        <w:rPr>
          <w:rFonts w:asciiTheme="majorHAnsi" w:hAnsiTheme="majorHAnsi" w:cstheme="majorHAnsi"/>
        </w:rPr>
        <w:t>zejména dopravní a technické infrastruktury, ale také kvality a rozsahu občanského vybavení s cílem vytvořit přiměřenou nabídku ploch pro trvalé bydlení a</w:t>
      </w:r>
      <w:r w:rsidR="00FA0488" w:rsidRPr="006070EA">
        <w:rPr>
          <w:rFonts w:asciiTheme="majorHAnsi" w:hAnsiTheme="majorHAnsi" w:cstheme="majorHAnsi"/>
        </w:rPr>
        <w:t> </w:t>
      </w:r>
      <w:r w:rsidRPr="006070EA">
        <w:rPr>
          <w:rFonts w:asciiTheme="majorHAnsi" w:hAnsiTheme="majorHAnsi" w:cstheme="majorHAnsi"/>
        </w:rPr>
        <w:t xml:space="preserve">základní socioekonomické struktury přispívající k zajištění optimálních životních podmínek pro obyvatelstvo. </w:t>
      </w:r>
    </w:p>
    <w:p w14:paraId="5368221A" w14:textId="347DA70B" w:rsidR="00FA6A9A" w:rsidRPr="006070EA" w:rsidRDefault="00FA6A9A" w:rsidP="00433C39">
      <w:pPr>
        <w:keepLines/>
        <w:spacing w:before="60" w:after="60" w:line="240" w:lineRule="auto"/>
        <w:ind w:firstLine="709"/>
        <w:jc w:val="both"/>
        <w:rPr>
          <w:rFonts w:asciiTheme="majorHAnsi" w:hAnsiTheme="majorHAnsi" w:cstheme="majorHAnsi"/>
          <w:sz w:val="18"/>
        </w:rPr>
      </w:pPr>
      <w:r w:rsidRPr="006070EA">
        <w:rPr>
          <w:rFonts w:asciiTheme="majorHAnsi" w:hAnsiTheme="majorHAnsi" w:cstheme="majorHAnsi"/>
          <w:sz w:val="18"/>
        </w:rPr>
        <w:lastRenderedPageBreak/>
        <w:t xml:space="preserve">Jedním z úkolů územního plánu je vytvoření předpokladů pro dosažení udržitelného rozvoje území, který je podmíněn vytvořením podmínek pro odpovídající hospodářský rozvoj, pro zvyšování soudržnosti obyvatel a pro zlepšování životního prostředí v území. ÚP </w:t>
      </w:r>
      <w:r w:rsidR="00192B59" w:rsidRPr="006070EA">
        <w:rPr>
          <w:rFonts w:asciiTheme="majorHAnsi" w:hAnsiTheme="majorHAnsi" w:cstheme="majorHAnsi"/>
          <w:sz w:val="18"/>
        </w:rPr>
        <w:t xml:space="preserve">Kostomlaty nad Labem </w:t>
      </w:r>
      <w:r w:rsidRPr="006070EA">
        <w:rPr>
          <w:rFonts w:asciiTheme="majorHAnsi" w:hAnsiTheme="majorHAnsi" w:cstheme="majorHAnsi"/>
          <w:sz w:val="18"/>
        </w:rPr>
        <w:t xml:space="preserve">vymezenými zastavitelnými plochami respektuje původní urbanistickou strukturu </w:t>
      </w:r>
      <w:r w:rsidR="00192B59" w:rsidRPr="006070EA">
        <w:rPr>
          <w:rFonts w:asciiTheme="majorHAnsi" w:hAnsiTheme="majorHAnsi" w:cstheme="majorHAnsi"/>
          <w:sz w:val="18"/>
        </w:rPr>
        <w:t xml:space="preserve">území </w:t>
      </w:r>
      <w:r w:rsidRPr="006070EA">
        <w:rPr>
          <w:rFonts w:asciiTheme="majorHAnsi" w:hAnsiTheme="majorHAnsi" w:cstheme="majorHAnsi"/>
          <w:sz w:val="18"/>
        </w:rPr>
        <w:t>a charakter krajiny a usiluje o posilování identity obce</w:t>
      </w:r>
      <w:r w:rsidR="00192B59" w:rsidRPr="006070EA">
        <w:rPr>
          <w:rFonts w:asciiTheme="majorHAnsi" w:hAnsiTheme="majorHAnsi" w:cstheme="majorHAnsi"/>
          <w:sz w:val="18"/>
        </w:rPr>
        <w:t xml:space="preserve"> a charakteristických znaků jednotlivých sídel</w:t>
      </w:r>
      <w:r w:rsidRPr="006070EA">
        <w:rPr>
          <w:rFonts w:asciiTheme="majorHAnsi" w:hAnsiTheme="majorHAnsi" w:cstheme="majorHAnsi"/>
          <w:sz w:val="18"/>
        </w:rPr>
        <w:t xml:space="preserve">. </w:t>
      </w:r>
    </w:p>
    <w:p w14:paraId="293B6D7E" w14:textId="6EB359B6" w:rsidR="00FA6A9A" w:rsidRPr="006070EA" w:rsidRDefault="00FA6A9A" w:rsidP="009E07E1">
      <w:pPr>
        <w:spacing w:before="60" w:after="60" w:line="240" w:lineRule="auto"/>
        <w:ind w:firstLine="709"/>
        <w:jc w:val="both"/>
        <w:rPr>
          <w:rFonts w:asciiTheme="majorHAnsi" w:hAnsiTheme="majorHAnsi" w:cstheme="majorHAnsi"/>
          <w:sz w:val="18"/>
        </w:rPr>
      </w:pPr>
      <w:r w:rsidRPr="006070EA">
        <w:rPr>
          <w:rFonts w:asciiTheme="majorHAnsi" w:hAnsiTheme="majorHAnsi" w:cstheme="majorHAnsi"/>
          <w:sz w:val="18"/>
        </w:rPr>
        <w:t xml:space="preserve">Východisky pro </w:t>
      </w:r>
      <w:r w:rsidR="00192B59" w:rsidRPr="006070EA">
        <w:rPr>
          <w:rFonts w:asciiTheme="majorHAnsi" w:hAnsiTheme="majorHAnsi" w:cstheme="majorHAnsi"/>
          <w:sz w:val="18"/>
        </w:rPr>
        <w:t xml:space="preserve">koncepci </w:t>
      </w:r>
      <w:r w:rsidRPr="006070EA">
        <w:rPr>
          <w:rFonts w:asciiTheme="majorHAnsi" w:hAnsiTheme="majorHAnsi" w:cstheme="majorHAnsi"/>
          <w:sz w:val="18"/>
        </w:rPr>
        <w:t>rozvoj</w:t>
      </w:r>
      <w:r w:rsidR="00192B59" w:rsidRPr="006070EA">
        <w:rPr>
          <w:rFonts w:asciiTheme="majorHAnsi" w:hAnsiTheme="majorHAnsi" w:cstheme="majorHAnsi"/>
          <w:sz w:val="18"/>
        </w:rPr>
        <w:t>e</w:t>
      </w:r>
      <w:r w:rsidRPr="006070EA">
        <w:rPr>
          <w:rFonts w:asciiTheme="majorHAnsi" w:hAnsiTheme="majorHAnsi" w:cstheme="majorHAnsi"/>
          <w:sz w:val="18"/>
        </w:rPr>
        <w:t xml:space="preserve"> území obce jsou kromě dobré dopravní dostupnosti rovněž současný progresivní populační vývoj obce, existence základních sítí technické infrastruktury a základní občanské vybavenosti a další</w:t>
      </w:r>
      <w:r w:rsidR="00192B59" w:rsidRPr="006070EA">
        <w:rPr>
          <w:rFonts w:asciiTheme="majorHAnsi" w:hAnsiTheme="majorHAnsi" w:cstheme="majorHAnsi"/>
          <w:sz w:val="18"/>
        </w:rPr>
        <w:t xml:space="preserve"> předpoklady</w:t>
      </w:r>
      <w:r w:rsidRPr="006070EA">
        <w:rPr>
          <w:rFonts w:asciiTheme="majorHAnsi" w:hAnsiTheme="majorHAnsi" w:cstheme="majorHAnsi"/>
          <w:sz w:val="18"/>
        </w:rPr>
        <w:t xml:space="preserve">. Tato východiska vytvářejí předpoklad pro budoucí poptávku po plochách bydlení. S ohledem na výše popsané je cílem stanovené koncepce rozvoje území ÚP </w:t>
      </w:r>
      <w:r w:rsidR="00192B59" w:rsidRPr="006070EA">
        <w:rPr>
          <w:rFonts w:asciiTheme="majorHAnsi" w:hAnsiTheme="majorHAnsi" w:cstheme="majorHAnsi"/>
          <w:sz w:val="18"/>
        </w:rPr>
        <w:t>Kostomlaty nad Labem</w:t>
      </w:r>
      <w:r w:rsidRPr="006070EA">
        <w:rPr>
          <w:rFonts w:asciiTheme="majorHAnsi" w:hAnsiTheme="majorHAnsi" w:cstheme="majorHAnsi"/>
          <w:sz w:val="18"/>
        </w:rPr>
        <w:t xml:space="preserve"> umožnění pokračování pozitivního populačního vývoje obce a</w:t>
      </w:r>
      <w:r w:rsidR="00192B59" w:rsidRPr="006070EA">
        <w:rPr>
          <w:rFonts w:asciiTheme="majorHAnsi" w:hAnsiTheme="majorHAnsi" w:cstheme="majorHAnsi"/>
          <w:sz w:val="18"/>
        </w:rPr>
        <w:t> </w:t>
      </w:r>
      <w:r w:rsidRPr="006070EA">
        <w:rPr>
          <w:rFonts w:asciiTheme="majorHAnsi" w:hAnsiTheme="majorHAnsi" w:cstheme="majorHAnsi"/>
          <w:sz w:val="18"/>
        </w:rPr>
        <w:t>postupná stabilizace počtu obyvatel</w:t>
      </w:r>
      <w:r w:rsidR="00192B59" w:rsidRPr="006070EA">
        <w:rPr>
          <w:rFonts w:asciiTheme="majorHAnsi" w:hAnsiTheme="majorHAnsi" w:cstheme="majorHAnsi"/>
          <w:sz w:val="18"/>
        </w:rPr>
        <w:t xml:space="preserve"> mezi 2 000 a 2 100</w:t>
      </w:r>
      <w:r w:rsidRPr="006070EA">
        <w:rPr>
          <w:rFonts w:asciiTheme="majorHAnsi" w:hAnsiTheme="majorHAnsi" w:cstheme="majorHAnsi"/>
          <w:sz w:val="18"/>
        </w:rPr>
        <w:t>.</w:t>
      </w:r>
    </w:p>
    <w:p w14:paraId="67E451FD" w14:textId="15CAF777" w:rsidR="00FA6A9A" w:rsidRPr="006070EA" w:rsidRDefault="00FA6A9A" w:rsidP="009E07E1">
      <w:pPr>
        <w:spacing w:before="60" w:after="60" w:line="240" w:lineRule="auto"/>
        <w:ind w:firstLine="709"/>
        <w:jc w:val="both"/>
        <w:rPr>
          <w:rFonts w:asciiTheme="majorHAnsi" w:hAnsiTheme="majorHAnsi" w:cstheme="majorHAnsi"/>
          <w:sz w:val="18"/>
        </w:rPr>
      </w:pPr>
      <w:r w:rsidRPr="006070EA">
        <w:rPr>
          <w:rFonts w:asciiTheme="majorHAnsi" w:hAnsiTheme="majorHAnsi" w:cstheme="majorHAnsi"/>
          <w:sz w:val="18"/>
        </w:rPr>
        <w:t xml:space="preserve">Rozsah zastavitelných ploch pro bydlení byl územním plánem vymezen na základě vyhodnocení využití zastavitelných ploch, vymezených předcházející ÚPD obce (ÚPO </w:t>
      </w:r>
      <w:r w:rsidR="00192B59" w:rsidRPr="006070EA">
        <w:rPr>
          <w:rFonts w:asciiTheme="majorHAnsi" w:hAnsiTheme="majorHAnsi" w:cstheme="majorHAnsi"/>
          <w:sz w:val="18"/>
        </w:rPr>
        <w:t>Kostomlaty nad Labem</w:t>
      </w:r>
      <w:r w:rsidRPr="006070EA">
        <w:rPr>
          <w:rFonts w:asciiTheme="majorHAnsi" w:hAnsiTheme="majorHAnsi" w:cstheme="majorHAnsi"/>
          <w:sz w:val="18"/>
        </w:rPr>
        <w:t xml:space="preserve">, </w:t>
      </w:r>
      <w:r w:rsidR="00192B59" w:rsidRPr="006070EA">
        <w:rPr>
          <w:rFonts w:asciiTheme="majorHAnsi" w:hAnsiTheme="majorHAnsi" w:cstheme="majorHAnsi"/>
          <w:sz w:val="18"/>
        </w:rPr>
        <w:t>2003</w:t>
      </w:r>
      <w:r w:rsidR="00FA0488" w:rsidRPr="006070EA">
        <w:rPr>
          <w:rFonts w:asciiTheme="majorHAnsi" w:hAnsiTheme="majorHAnsi" w:cstheme="majorHAnsi"/>
          <w:sz w:val="18"/>
        </w:rPr>
        <w:t>)</w:t>
      </w:r>
      <w:r w:rsidRPr="006070EA">
        <w:rPr>
          <w:rFonts w:asciiTheme="majorHAnsi" w:hAnsiTheme="majorHAnsi" w:cstheme="majorHAnsi"/>
          <w:sz w:val="18"/>
        </w:rPr>
        <w:t>,</w:t>
      </w:r>
      <w:r w:rsidR="00B50F4A" w:rsidRPr="006070EA">
        <w:rPr>
          <w:rFonts w:asciiTheme="majorHAnsi" w:hAnsiTheme="majorHAnsi" w:cstheme="majorHAnsi"/>
          <w:sz w:val="18"/>
        </w:rPr>
        <w:t xml:space="preserve"> stupně projektové přípravy výstavby v rozvojových plochách, </w:t>
      </w:r>
      <w:r w:rsidRPr="006070EA">
        <w:rPr>
          <w:rFonts w:asciiTheme="majorHAnsi" w:hAnsiTheme="majorHAnsi" w:cstheme="majorHAnsi"/>
          <w:sz w:val="18"/>
        </w:rPr>
        <w:t>za současného zohlednění analýzy dlouhodobého demografického vývoje obce, a</w:t>
      </w:r>
      <w:r w:rsidR="00FA0488" w:rsidRPr="006070EA">
        <w:rPr>
          <w:rFonts w:asciiTheme="majorHAnsi" w:hAnsiTheme="majorHAnsi" w:cstheme="majorHAnsi"/>
          <w:sz w:val="18"/>
        </w:rPr>
        <w:t> </w:t>
      </w:r>
      <w:r w:rsidRPr="006070EA">
        <w:rPr>
          <w:rFonts w:asciiTheme="majorHAnsi" w:hAnsiTheme="majorHAnsi" w:cstheme="majorHAnsi"/>
          <w:sz w:val="18"/>
        </w:rPr>
        <w:t xml:space="preserve">s přihlédnutím k současným požadavkům, rozvojovým limitům, poloze obce v systému osídlení, koncepci dané </w:t>
      </w:r>
      <w:r w:rsidR="0075767B" w:rsidRPr="006070EA">
        <w:rPr>
          <w:rFonts w:asciiTheme="majorHAnsi" w:hAnsiTheme="majorHAnsi" w:cstheme="majorHAnsi"/>
          <w:sz w:val="18"/>
        </w:rPr>
        <w:t>stávající ÚPD, kvalitě bytového a domovního fondu v obci</w:t>
      </w:r>
      <w:r w:rsidRPr="006070EA">
        <w:rPr>
          <w:rFonts w:asciiTheme="majorHAnsi" w:hAnsiTheme="majorHAnsi" w:cstheme="majorHAnsi"/>
          <w:sz w:val="18"/>
        </w:rPr>
        <w:t xml:space="preserve"> apod. </w:t>
      </w:r>
    </w:p>
    <w:p w14:paraId="3D2A413C" w14:textId="07F162C9" w:rsidR="00FA6A9A" w:rsidRPr="006070EA" w:rsidRDefault="00FA6A9A" w:rsidP="009E07E1">
      <w:pPr>
        <w:spacing w:before="60" w:after="60" w:line="240" w:lineRule="auto"/>
        <w:ind w:firstLine="709"/>
        <w:jc w:val="both"/>
        <w:rPr>
          <w:rFonts w:asciiTheme="majorHAnsi" w:hAnsiTheme="majorHAnsi" w:cstheme="majorHAnsi"/>
          <w:sz w:val="18"/>
        </w:rPr>
      </w:pPr>
      <w:r w:rsidRPr="006070EA">
        <w:rPr>
          <w:rFonts w:asciiTheme="majorHAnsi" w:hAnsiTheme="majorHAnsi" w:cstheme="majorHAnsi"/>
          <w:sz w:val="18"/>
        </w:rPr>
        <w:t>V rámci koncepce rozvoje vytváří ÚP podmínky pro posilování rezidenčního charakteru obce, a to zejména vymezením zastavěného území, ve kterém dominuje funkční využití ploch s rozdílným způsobem využití</w:t>
      </w:r>
      <w:r w:rsidR="00FA0488" w:rsidRPr="006070EA">
        <w:rPr>
          <w:rFonts w:asciiTheme="majorHAnsi" w:hAnsiTheme="majorHAnsi" w:cstheme="majorHAnsi"/>
          <w:i/>
          <w:sz w:val="18"/>
        </w:rPr>
        <w:t xml:space="preserve"> smíšených obytných venkovských</w:t>
      </w:r>
      <w:r w:rsidR="00FA0488" w:rsidRPr="006070EA">
        <w:rPr>
          <w:rFonts w:asciiTheme="majorHAnsi" w:hAnsiTheme="majorHAnsi" w:cstheme="majorHAnsi"/>
          <w:sz w:val="18"/>
        </w:rPr>
        <w:t xml:space="preserve"> (SV) </w:t>
      </w:r>
      <w:r w:rsidR="00192B59" w:rsidRPr="006070EA">
        <w:rPr>
          <w:rFonts w:asciiTheme="majorHAnsi" w:hAnsiTheme="majorHAnsi" w:cstheme="majorHAnsi"/>
          <w:sz w:val="18"/>
        </w:rPr>
        <w:t xml:space="preserve">a </w:t>
      </w:r>
      <w:r w:rsidR="00804E2A" w:rsidRPr="006070EA">
        <w:rPr>
          <w:rFonts w:asciiTheme="majorHAnsi" w:hAnsiTheme="majorHAnsi" w:cstheme="majorHAnsi"/>
          <w:i/>
          <w:iCs/>
          <w:sz w:val="18"/>
        </w:rPr>
        <w:t xml:space="preserve">smíšených obytných </w:t>
      </w:r>
      <w:r w:rsidR="00192B59" w:rsidRPr="006070EA">
        <w:rPr>
          <w:rFonts w:asciiTheme="majorHAnsi" w:hAnsiTheme="majorHAnsi" w:cstheme="majorHAnsi"/>
          <w:i/>
          <w:iCs/>
          <w:sz w:val="18"/>
        </w:rPr>
        <w:t xml:space="preserve">městských </w:t>
      </w:r>
      <w:r w:rsidR="00192B59" w:rsidRPr="006070EA">
        <w:rPr>
          <w:rFonts w:asciiTheme="majorHAnsi" w:hAnsiTheme="majorHAnsi" w:cstheme="majorHAnsi"/>
          <w:sz w:val="18"/>
        </w:rPr>
        <w:t xml:space="preserve">(SM) </w:t>
      </w:r>
      <w:r w:rsidR="00FA0488" w:rsidRPr="006070EA">
        <w:rPr>
          <w:rFonts w:asciiTheme="majorHAnsi" w:hAnsiTheme="majorHAnsi" w:cstheme="majorHAnsi"/>
          <w:sz w:val="18"/>
        </w:rPr>
        <w:t xml:space="preserve">a </w:t>
      </w:r>
      <w:r w:rsidR="0075767B" w:rsidRPr="006070EA">
        <w:rPr>
          <w:rFonts w:asciiTheme="majorHAnsi" w:hAnsiTheme="majorHAnsi" w:cstheme="majorHAnsi"/>
          <w:i/>
          <w:sz w:val="18"/>
        </w:rPr>
        <w:t xml:space="preserve">bydlení </w:t>
      </w:r>
      <w:r w:rsidR="00804E2A" w:rsidRPr="006070EA">
        <w:rPr>
          <w:rFonts w:asciiTheme="majorHAnsi" w:hAnsiTheme="majorHAnsi" w:cstheme="majorHAnsi"/>
          <w:i/>
          <w:sz w:val="18"/>
        </w:rPr>
        <w:t xml:space="preserve">individuální </w:t>
      </w:r>
      <w:r w:rsidR="0075767B" w:rsidRPr="006070EA">
        <w:rPr>
          <w:rFonts w:asciiTheme="majorHAnsi" w:hAnsiTheme="majorHAnsi" w:cstheme="majorHAnsi"/>
          <w:sz w:val="18"/>
        </w:rPr>
        <w:t>(B</w:t>
      </w:r>
      <w:r w:rsidR="00192B59" w:rsidRPr="006070EA">
        <w:rPr>
          <w:rFonts w:asciiTheme="majorHAnsi" w:hAnsiTheme="majorHAnsi" w:cstheme="majorHAnsi"/>
          <w:sz w:val="18"/>
        </w:rPr>
        <w:t>I</w:t>
      </w:r>
      <w:r w:rsidR="0075767B" w:rsidRPr="006070EA">
        <w:rPr>
          <w:rFonts w:asciiTheme="majorHAnsi" w:hAnsiTheme="majorHAnsi" w:cstheme="majorHAnsi"/>
          <w:sz w:val="18"/>
        </w:rPr>
        <w:t>)</w:t>
      </w:r>
      <w:r w:rsidRPr="006070EA">
        <w:rPr>
          <w:rFonts w:asciiTheme="majorHAnsi" w:hAnsiTheme="majorHAnsi" w:cstheme="majorHAnsi"/>
          <w:sz w:val="18"/>
        </w:rPr>
        <w:t xml:space="preserve">. V rámci těchto ploch je umožněna integrace vzájemně se nerušících funkcí bydlení, lehké výroby, občanského vybavení, rekreace, individuálních ekonomických aktivit apod. </w:t>
      </w:r>
    </w:p>
    <w:p w14:paraId="19156AF9" w14:textId="271877D1" w:rsidR="00FA0488" w:rsidRPr="006070EA" w:rsidRDefault="0075767B" w:rsidP="009E07E1">
      <w:pPr>
        <w:spacing w:before="60" w:after="60" w:line="240" w:lineRule="auto"/>
        <w:ind w:firstLine="709"/>
        <w:jc w:val="both"/>
        <w:rPr>
          <w:rFonts w:asciiTheme="majorHAnsi" w:hAnsiTheme="majorHAnsi" w:cstheme="majorHAnsi"/>
          <w:sz w:val="18"/>
        </w:rPr>
      </w:pPr>
      <w:r w:rsidRPr="006070EA">
        <w:rPr>
          <w:rFonts w:asciiTheme="majorHAnsi" w:hAnsiTheme="majorHAnsi" w:cstheme="majorHAnsi"/>
          <w:sz w:val="18"/>
        </w:rPr>
        <w:t>Významným východiskem koncepce rozvoje území obce je stav, struktura a hodnoty volné krajiny. ÚP vytváří předpoklady pro dílčí obnovu a posílení ekostabilizačních složek krajiny, zajišťuje v maximální možné míře ochranu nezastavěného území – definuje urbanistický rozvoj v přímé vazbě na existující zástavbu a systémy veřejné dopravní a</w:t>
      </w:r>
      <w:r w:rsidR="00FA0488" w:rsidRPr="006070EA">
        <w:rPr>
          <w:rFonts w:asciiTheme="majorHAnsi" w:hAnsiTheme="majorHAnsi" w:cstheme="majorHAnsi"/>
          <w:sz w:val="18"/>
        </w:rPr>
        <w:t> </w:t>
      </w:r>
      <w:r w:rsidRPr="006070EA">
        <w:rPr>
          <w:rFonts w:asciiTheme="majorHAnsi" w:hAnsiTheme="majorHAnsi" w:cstheme="majorHAnsi"/>
          <w:sz w:val="18"/>
        </w:rPr>
        <w:t xml:space="preserve">technické infrastruktury, vymezuje plochy v principu dotváření kompaktních urbanistických útvarů zajišťujících efektivní využití ploch a minimalizaci záborů zemědělské půdy. </w:t>
      </w:r>
      <w:r w:rsidR="00192B59" w:rsidRPr="006070EA">
        <w:rPr>
          <w:rFonts w:asciiTheme="majorHAnsi" w:hAnsiTheme="majorHAnsi" w:cstheme="majorHAnsi"/>
          <w:sz w:val="18"/>
        </w:rPr>
        <w:t xml:space="preserve">Záměrem stanovené koncepce územního plánu je rozvíjet extenzivní rekreační využití krajiny (například vymezením ploch smíšených nezastavěného území – </w:t>
      </w:r>
      <w:r w:rsidR="00804E2A" w:rsidRPr="006070EA">
        <w:rPr>
          <w:rFonts w:asciiTheme="majorHAnsi" w:hAnsiTheme="majorHAnsi" w:cstheme="majorHAnsi"/>
          <w:sz w:val="18"/>
        </w:rPr>
        <w:t xml:space="preserve">rekreace nepobytová </w:t>
      </w:r>
      <w:r w:rsidR="00192B59" w:rsidRPr="006070EA">
        <w:rPr>
          <w:rFonts w:asciiTheme="majorHAnsi" w:hAnsiTheme="majorHAnsi" w:cstheme="majorHAnsi"/>
          <w:sz w:val="18"/>
        </w:rPr>
        <w:t>(</w:t>
      </w:r>
      <w:r w:rsidR="00804E2A" w:rsidRPr="006070EA">
        <w:rPr>
          <w:rFonts w:asciiTheme="majorHAnsi" w:hAnsiTheme="majorHAnsi" w:cstheme="majorHAnsi"/>
          <w:sz w:val="18"/>
        </w:rPr>
        <w:t>MU.r</w:t>
      </w:r>
      <w:r w:rsidR="00192B59" w:rsidRPr="006070EA">
        <w:rPr>
          <w:rFonts w:asciiTheme="majorHAnsi" w:hAnsiTheme="majorHAnsi" w:cstheme="majorHAnsi"/>
          <w:sz w:val="18"/>
        </w:rPr>
        <w:t>) a sportovní</w:t>
      </w:r>
      <w:r w:rsidR="00804E2A" w:rsidRPr="006070EA">
        <w:rPr>
          <w:rFonts w:asciiTheme="majorHAnsi" w:hAnsiTheme="majorHAnsi" w:cstheme="majorHAnsi"/>
          <w:sz w:val="18"/>
        </w:rPr>
        <w:t xml:space="preserve"> využití</w:t>
      </w:r>
      <w:r w:rsidR="00192B59" w:rsidRPr="006070EA">
        <w:rPr>
          <w:rFonts w:asciiTheme="majorHAnsi" w:hAnsiTheme="majorHAnsi" w:cstheme="majorHAnsi"/>
          <w:sz w:val="18"/>
        </w:rPr>
        <w:t xml:space="preserve"> (</w:t>
      </w:r>
      <w:r w:rsidR="00804E2A" w:rsidRPr="006070EA">
        <w:rPr>
          <w:rFonts w:asciiTheme="majorHAnsi" w:hAnsiTheme="majorHAnsi" w:cstheme="majorHAnsi"/>
          <w:sz w:val="18"/>
        </w:rPr>
        <w:t>MU.s</w:t>
      </w:r>
      <w:r w:rsidR="00192B59" w:rsidRPr="006070EA">
        <w:rPr>
          <w:rFonts w:asciiTheme="majorHAnsi" w:hAnsiTheme="majorHAnsi" w:cstheme="majorHAnsi"/>
          <w:sz w:val="18"/>
        </w:rPr>
        <w:t>), zejména zlepšovat prostupnost krajiny ve vazbě na sousední území (např. v rámci směrů zajištění prostupnosti území veřejným prostranstvím)</w:t>
      </w:r>
      <w:r w:rsidR="00A3720B" w:rsidRPr="006070EA">
        <w:rPr>
          <w:rFonts w:asciiTheme="majorHAnsi" w:hAnsiTheme="majorHAnsi" w:cstheme="majorHAnsi"/>
          <w:sz w:val="18"/>
        </w:rPr>
        <w:t xml:space="preserve">. Současně územní plán vytváří podmínky pro využití částí krajiny v přímé návaznosti na zastavěné území sídel pro každodenní rekreaci obyvatel, konkrétním způsobem se tento princip uplatňuje například vymezením ploch smíšených nezastavěného území – </w:t>
      </w:r>
      <w:r w:rsidR="00804E2A" w:rsidRPr="006070EA">
        <w:rPr>
          <w:rFonts w:asciiTheme="majorHAnsi" w:hAnsiTheme="majorHAnsi" w:cstheme="majorHAnsi"/>
          <w:sz w:val="18"/>
        </w:rPr>
        <w:t>rekreace nepobytová</w:t>
      </w:r>
      <w:r w:rsidR="00A3720B" w:rsidRPr="006070EA">
        <w:rPr>
          <w:rFonts w:asciiTheme="majorHAnsi" w:hAnsiTheme="majorHAnsi" w:cstheme="majorHAnsi"/>
          <w:sz w:val="18"/>
        </w:rPr>
        <w:t xml:space="preserve"> (</w:t>
      </w:r>
      <w:r w:rsidR="00804E2A" w:rsidRPr="006070EA">
        <w:rPr>
          <w:rFonts w:asciiTheme="majorHAnsi" w:hAnsiTheme="majorHAnsi" w:cstheme="majorHAnsi"/>
          <w:sz w:val="18"/>
        </w:rPr>
        <w:t>MU.r</w:t>
      </w:r>
      <w:r w:rsidR="00A3720B" w:rsidRPr="006070EA">
        <w:rPr>
          <w:rFonts w:asciiTheme="majorHAnsi" w:hAnsiTheme="majorHAnsi" w:cstheme="majorHAnsi"/>
          <w:sz w:val="18"/>
        </w:rPr>
        <w:t>) v prstenci okolo zastavěného území a rozvojových ploch sídla Kostomlaty nad Labem.</w:t>
      </w:r>
    </w:p>
    <w:p w14:paraId="65B59391" w14:textId="079A2C62" w:rsidR="00FA6A9A" w:rsidRPr="006070EA" w:rsidRDefault="0075767B" w:rsidP="009E07E1">
      <w:pPr>
        <w:spacing w:before="60" w:after="60" w:line="240" w:lineRule="auto"/>
        <w:ind w:firstLine="709"/>
        <w:jc w:val="both"/>
        <w:rPr>
          <w:rFonts w:asciiTheme="majorHAnsi" w:hAnsiTheme="majorHAnsi" w:cstheme="majorHAnsi"/>
          <w:sz w:val="18"/>
        </w:rPr>
      </w:pPr>
      <w:r w:rsidRPr="006070EA">
        <w:rPr>
          <w:rFonts w:asciiTheme="majorHAnsi" w:hAnsiTheme="majorHAnsi" w:cstheme="majorHAnsi"/>
          <w:sz w:val="18"/>
        </w:rPr>
        <w:t xml:space="preserve">V nezastavěném území obce jsou v největší míře zastoupeny </w:t>
      </w:r>
      <w:r w:rsidR="00FA0488" w:rsidRPr="006070EA">
        <w:rPr>
          <w:rFonts w:asciiTheme="majorHAnsi" w:hAnsiTheme="majorHAnsi" w:cstheme="majorHAnsi"/>
          <w:iCs/>
          <w:sz w:val="18"/>
        </w:rPr>
        <w:t>plochy</w:t>
      </w:r>
      <w:r w:rsidR="00FA0488" w:rsidRPr="006070EA">
        <w:rPr>
          <w:rFonts w:asciiTheme="majorHAnsi" w:hAnsiTheme="majorHAnsi" w:cstheme="majorHAnsi"/>
          <w:i/>
          <w:sz w:val="18"/>
        </w:rPr>
        <w:t xml:space="preserve"> zemědělské</w:t>
      </w:r>
      <w:r w:rsidR="00FA0488" w:rsidRPr="006070EA">
        <w:rPr>
          <w:rFonts w:asciiTheme="majorHAnsi" w:hAnsiTheme="majorHAnsi" w:cstheme="majorHAnsi"/>
          <w:sz w:val="18"/>
        </w:rPr>
        <w:t xml:space="preserve"> </w:t>
      </w:r>
      <w:r w:rsidR="00804E2A" w:rsidRPr="006070EA">
        <w:rPr>
          <w:rFonts w:asciiTheme="majorHAnsi" w:hAnsiTheme="majorHAnsi" w:cstheme="majorHAnsi"/>
          <w:i/>
          <w:iCs/>
          <w:sz w:val="18"/>
        </w:rPr>
        <w:t xml:space="preserve">všeobecné </w:t>
      </w:r>
      <w:r w:rsidR="00FA0488" w:rsidRPr="006070EA">
        <w:rPr>
          <w:rFonts w:asciiTheme="majorHAnsi" w:hAnsiTheme="majorHAnsi" w:cstheme="majorHAnsi"/>
          <w:sz w:val="18"/>
        </w:rPr>
        <w:t>(</w:t>
      </w:r>
      <w:r w:rsidR="00804E2A" w:rsidRPr="006070EA">
        <w:rPr>
          <w:rFonts w:asciiTheme="majorHAnsi" w:hAnsiTheme="majorHAnsi" w:cstheme="majorHAnsi"/>
          <w:sz w:val="18"/>
        </w:rPr>
        <w:t>AU</w:t>
      </w:r>
      <w:r w:rsidR="00FA0488" w:rsidRPr="006070EA">
        <w:rPr>
          <w:rFonts w:asciiTheme="majorHAnsi" w:hAnsiTheme="majorHAnsi" w:cstheme="majorHAnsi"/>
          <w:sz w:val="18"/>
        </w:rPr>
        <w:t xml:space="preserve">), </w:t>
      </w:r>
      <w:r w:rsidR="00FA0488" w:rsidRPr="006070EA">
        <w:rPr>
          <w:rFonts w:asciiTheme="majorHAnsi" w:hAnsiTheme="majorHAnsi" w:cstheme="majorHAnsi"/>
          <w:i/>
          <w:sz w:val="18"/>
        </w:rPr>
        <w:t>lesní</w:t>
      </w:r>
      <w:r w:rsidR="00804E2A" w:rsidRPr="006070EA">
        <w:rPr>
          <w:rFonts w:asciiTheme="majorHAnsi" w:hAnsiTheme="majorHAnsi" w:cstheme="majorHAnsi"/>
          <w:i/>
          <w:sz w:val="18"/>
        </w:rPr>
        <w:t xml:space="preserve"> všeobecné</w:t>
      </w:r>
      <w:r w:rsidR="00FA0488" w:rsidRPr="006070EA">
        <w:rPr>
          <w:rFonts w:asciiTheme="majorHAnsi" w:hAnsiTheme="majorHAnsi" w:cstheme="majorHAnsi"/>
          <w:sz w:val="18"/>
        </w:rPr>
        <w:t xml:space="preserve"> (</w:t>
      </w:r>
      <w:r w:rsidR="00804E2A" w:rsidRPr="006070EA">
        <w:rPr>
          <w:rFonts w:asciiTheme="majorHAnsi" w:hAnsiTheme="majorHAnsi" w:cstheme="majorHAnsi"/>
          <w:sz w:val="18"/>
        </w:rPr>
        <w:t>LU</w:t>
      </w:r>
      <w:r w:rsidR="00FA0488" w:rsidRPr="006070EA">
        <w:rPr>
          <w:rFonts w:asciiTheme="majorHAnsi" w:hAnsiTheme="majorHAnsi" w:cstheme="majorHAnsi"/>
          <w:sz w:val="18"/>
        </w:rPr>
        <w:t xml:space="preserve">) a </w:t>
      </w:r>
      <w:r w:rsidR="009E3A49" w:rsidRPr="006070EA">
        <w:rPr>
          <w:rFonts w:asciiTheme="majorHAnsi" w:hAnsiTheme="majorHAnsi" w:cstheme="majorHAnsi"/>
          <w:i/>
          <w:sz w:val="18"/>
        </w:rPr>
        <w:t xml:space="preserve">smíšené nezastavěného území </w:t>
      </w:r>
      <w:r w:rsidR="00804E2A" w:rsidRPr="006070EA">
        <w:rPr>
          <w:rFonts w:asciiTheme="majorHAnsi" w:hAnsiTheme="majorHAnsi" w:cstheme="majorHAnsi"/>
          <w:i/>
          <w:sz w:val="18"/>
        </w:rPr>
        <w:t>–</w:t>
      </w:r>
      <w:r w:rsidR="009E3A49" w:rsidRPr="006070EA">
        <w:rPr>
          <w:rFonts w:asciiTheme="majorHAnsi" w:hAnsiTheme="majorHAnsi" w:cstheme="majorHAnsi"/>
          <w:i/>
          <w:sz w:val="18"/>
        </w:rPr>
        <w:t xml:space="preserve"> zeměděls</w:t>
      </w:r>
      <w:r w:rsidR="00804E2A" w:rsidRPr="006070EA">
        <w:rPr>
          <w:rFonts w:asciiTheme="majorHAnsi" w:hAnsiTheme="majorHAnsi" w:cstheme="majorHAnsi"/>
          <w:i/>
          <w:sz w:val="18"/>
        </w:rPr>
        <w:t>tví extenzivní</w:t>
      </w:r>
      <w:r w:rsidR="009E3A49" w:rsidRPr="006070EA">
        <w:rPr>
          <w:rFonts w:asciiTheme="majorHAnsi" w:hAnsiTheme="majorHAnsi" w:cstheme="majorHAnsi"/>
          <w:i/>
          <w:sz w:val="18"/>
        </w:rPr>
        <w:t>, přírodní</w:t>
      </w:r>
      <w:r w:rsidR="00804E2A" w:rsidRPr="006070EA">
        <w:rPr>
          <w:rFonts w:asciiTheme="majorHAnsi" w:hAnsiTheme="majorHAnsi" w:cstheme="majorHAnsi"/>
          <w:sz w:val="18"/>
        </w:rPr>
        <w:t xml:space="preserve"> </w:t>
      </w:r>
      <w:r w:rsidR="00804E2A" w:rsidRPr="006070EA">
        <w:rPr>
          <w:rFonts w:asciiTheme="majorHAnsi" w:hAnsiTheme="majorHAnsi" w:cstheme="majorHAnsi"/>
          <w:i/>
          <w:iCs/>
          <w:sz w:val="18"/>
        </w:rPr>
        <w:t xml:space="preserve">priority </w:t>
      </w:r>
      <w:r w:rsidR="00FA0488" w:rsidRPr="006070EA">
        <w:rPr>
          <w:rFonts w:asciiTheme="majorHAnsi" w:hAnsiTheme="majorHAnsi" w:cstheme="majorHAnsi"/>
          <w:sz w:val="18"/>
        </w:rPr>
        <w:t>(</w:t>
      </w:r>
      <w:r w:rsidR="00804E2A" w:rsidRPr="006070EA">
        <w:rPr>
          <w:rFonts w:asciiTheme="majorHAnsi" w:hAnsiTheme="majorHAnsi" w:cstheme="majorHAnsi"/>
          <w:sz w:val="18"/>
        </w:rPr>
        <w:t>MU.zp</w:t>
      </w:r>
      <w:r w:rsidR="00FA0488" w:rsidRPr="006070EA">
        <w:rPr>
          <w:rFonts w:asciiTheme="majorHAnsi" w:hAnsiTheme="majorHAnsi" w:cstheme="majorHAnsi"/>
          <w:sz w:val="18"/>
        </w:rPr>
        <w:t>)</w:t>
      </w:r>
      <w:r w:rsidRPr="006070EA">
        <w:rPr>
          <w:rFonts w:asciiTheme="majorHAnsi" w:hAnsiTheme="majorHAnsi" w:cstheme="majorHAnsi"/>
          <w:sz w:val="18"/>
        </w:rPr>
        <w:t>, v nichž je primárním cílem podpora historicky vytvořeného lesozemědělského charakteru území a ochrana, popř. obnova ekologicky nejstabilnějších částí krajiny. Rozvoj obce nelze koncipovat bez zohlednění jejích přírodních a krajinných hodnot. V tomto směru je klíčové zajistit ochranu nezastavěného území a krajiny před nekoordinovaným rozvojem zástavby.</w:t>
      </w:r>
      <w:r w:rsidR="009E3A49" w:rsidRPr="006070EA">
        <w:rPr>
          <w:rFonts w:asciiTheme="majorHAnsi" w:hAnsiTheme="majorHAnsi" w:cstheme="majorHAnsi"/>
          <w:sz w:val="18"/>
        </w:rPr>
        <w:t xml:space="preserve"> </w:t>
      </w:r>
      <w:r w:rsidR="00FA6A9A" w:rsidRPr="006070EA">
        <w:rPr>
          <w:rFonts w:asciiTheme="majorHAnsi" w:hAnsiTheme="majorHAnsi" w:cstheme="majorHAnsi"/>
          <w:sz w:val="18"/>
        </w:rPr>
        <w:t>Rozvoj obce nelze koncipovat bez zohlednění jejích přírodních a</w:t>
      </w:r>
      <w:r w:rsidR="00FA0488" w:rsidRPr="006070EA">
        <w:rPr>
          <w:rFonts w:asciiTheme="majorHAnsi" w:hAnsiTheme="majorHAnsi" w:cstheme="majorHAnsi"/>
          <w:sz w:val="18"/>
        </w:rPr>
        <w:t> </w:t>
      </w:r>
      <w:r w:rsidR="00FA6A9A" w:rsidRPr="006070EA">
        <w:rPr>
          <w:rFonts w:asciiTheme="majorHAnsi" w:hAnsiTheme="majorHAnsi" w:cstheme="majorHAnsi"/>
          <w:sz w:val="18"/>
        </w:rPr>
        <w:t>krajinných hodnot. V tomto směru je klíčové zajistit ochranu nezastavěného území a krajiny před nekoordinovaným rozvojem zástavby</w:t>
      </w:r>
      <w:r w:rsidR="009E3A49" w:rsidRPr="006070EA">
        <w:rPr>
          <w:rFonts w:asciiTheme="majorHAnsi" w:hAnsiTheme="majorHAnsi" w:cstheme="majorHAnsi"/>
          <w:sz w:val="18"/>
        </w:rPr>
        <w:t xml:space="preserve"> a současná priorita hospodárného využívání zastavěného území</w:t>
      </w:r>
      <w:r w:rsidR="00FA6A9A" w:rsidRPr="006070EA">
        <w:rPr>
          <w:rFonts w:asciiTheme="majorHAnsi" w:hAnsiTheme="majorHAnsi" w:cstheme="majorHAnsi"/>
          <w:sz w:val="18"/>
        </w:rPr>
        <w:t>.</w:t>
      </w:r>
      <w:r w:rsidR="00A3720B" w:rsidRPr="006070EA">
        <w:rPr>
          <w:rFonts w:asciiTheme="majorHAnsi" w:hAnsiTheme="majorHAnsi" w:cstheme="majorHAnsi"/>
          <w:sz w:val="18"/>
        </w:rPr>
        <w:t xml:space="preserve"> Současně územní plán vymezuje provázaný a koordinovaný územní systém ekologické stability a vytváří podmínky pro posílení vodního režimu území přírodě blízkými opatřeními.</w:t>
      </w:r>
    </w:p>
    <w:p w14:paraId="01EB1BF6" w14:textId="77777777" w:rsidR="004254E6" w:rsidRPr="006070EA" w:rsidRDefault="004254E6" w:rsidP="003A4B1E">
      <w:pPr>
        <w:pStyle w:val="Odstavecseseznamem"/>
        <w:keepNext/>
        <w:numPr>
          <w:ilvl w:val="2"/>
          <w:numId w:val="30"/>
        </w:numPr>
        <w:spacing w:before="160" w:after="120" w:line="240" w:lineRule="auto"/>
        <w:ind w:left="709" w:hanging="709"/>
        <w:contextualSpacing w:val="0"/>
        <w:outlineLvl w:val="2"/>
        <w:rPr>
          <w:rFonts w:asciiTheme="majorHAnsi" w:hAnsiTheme="majorHAnsi" w:cstheme="majorHAnsi"/>
          <w:b/>
        </w:rPr>
      </w:pPr>
      <w:bookmarkStart w:id="246" w:name="_Toc204678190"/>
      <w:r w:rsidRPr="006070EA">
        <w:rPr>
          <w:rFonts w:asciiTheme="majorHAnsi" w:hAnsiTheme="majorHAnsi" w:cstheme="majorHAnsi"/>
          <w:b/>
        </w:rPr>
        <w:t>Odůvodnění koncepce ochrany a rozvoje hodnot území</w:t>
      </w:r>
      <w:bookmarkEnd w:id="246"/>
    </w:p>
    <w:p w14:paraId="339C70A1" w14:textId="77777777" w:rsidR="00BE019F" w:rsidRPr="006070EA" w:rsidRDefault="00BE019F" w:rsidP="009E07E1">
      <w:pPr>
        <w:pStyle w:val="Mra2-reakceern"/>
        <w:pBdr>
          <w:left w:val="none" w:sz="0" w:space="0" w:color="auto"/>
        </w:pBdr>
        <w:spacing w:before="120" w:after="60"/>
        <w:ind w:left="0"/>
        <w:jc w:val="right"/>
        <w:rPr>
          <w:rFonts w:asciiTheme="majorHAnsi" w:hAnsiTheme="majorHAnsi" w:cstheme="majorHAnsi"/>
          <w:i/>
          <w:color w:val="auto"/>
          <w:u w:val="single"/>
        </w:rPr>
      </w:pPr>
      <w:bookmarkStart w:id="247" w:name="_Toc415755983"/>
      <w:bookmarkStart w:id="248" w:name="_Toc415756349"/>
      <w:bookmarkStart w:id="249" w:name="_Toc415756708"/>
      <w:bookmarkStart w:id="250" w:name="_Toc415756958"/>
      <w:bookmarkStart w:id="251" w:name="_Toc415757208"/>
      <w:bookmarkStart w:id="252" w:name="_Toc415757457"/>
      <w:bookmarkStart w:id="253" w:name="_Toc415757615"/>
      <w:bookmarkStart w:id="254" w:name="_Toc424050140"/>
      <w:bookmarkStart w:id="255" w:name="_Toc424050314"/>
      <w:bookmarkStart w:id="256" w:name="_Toc424050472"/>
      <w:bookmarkStart w:id="257" w:name="_Toc424112334"/>
      <w:bookmarkStart w:id="258" w:name="_Toc424119358"/>
      <w:bookmarkStart w:id="259" w:name="_Toc424119837"/>
      <w:bookmarkStart w:id="260" w:name="_Toc424120093"/>
      <w:bookmarkStart w:id="261" w:name="_Toc424120519"/>
      <w:bookmarkStart w:id="262" w:name="_Toc424126225"/>
      <w:bookmarkStart w:id="263" w:name="_Toc424138806"/>
      <w:bookmarkStart w:id="264" w:name="_Toc445291927"/>
      <w:bookmarkStart w:id="265" w:name="_Toc445910440"/>
      <w:bookmarkStart w:id="266" w:name="_Toc448831924"/>
      <w:bookmarkStart w:id="267" w:name="_Toc448832114"/>
      <w:bookmarkStart w:id="268" w:name="_Toc450037774"/>
      <w:bookmarkStart w:id="269" w:name="_Toc450223068"/>
      <w:bookmarkStart w:id="270" w:name="_Toc472325703"/>
      <w:bookmarkStart w:id="271" w:name="_Toc485214919"/>
      <w:bookmarkStart w:id="272" w:name="_Toc485378072"/>
      <w:bookmarkStart w:id="273" w:name="_Toc485378194"/>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r w:rsidRPr="006070EA">
        <w:rPr>
          <w:rFonts w:asciiTheme="majorHAnsi" w:hAnsiTheme="majorHAnsi" w:cstheme="majorHAnsi"/>
          <w:i/>
          <w:color w:val="auto"/>
          <w:u w:val="single"/>
        </w:rPr>
        <w:t xml:space="preserve">Odůvodnění odst. </w:t>
      </w:r>
      <w:r w:rsidRPr="006070EA">
        <w:rPr>
          <w:rFonts w:asciiTheme="majorHAnsi" w:hAnsiTheme="majorHAnsi" w:cstheme="majorHAnsi"/>
          <w:b/>
          <w:i/>
          <w:color w:val="auto"/>
          <w:u w:val="single"/>
        </w:rPr>
        <w:t>(4)</w:t>
      </w:r>
      <w:r w:rsidRPr="006070EA">
        <w:rPr>
          <w:rFonts w:asciiTheme="majorHAnsi" w:hAnsiTheme="majorHAnsi" w:cstheme="majorHAnsi"/>
          <w:i/>
          <w:color w:val="auto"/>
          <w:u w:val="single"/>
        </w:rPr>
        <w:t xml:space="preserve"> výrokové části</w:t>
      </w:r>
    </w:p>
    <w:p w14:paraId="1399962D" w14:textId="6E9FD1F4" w:rsidR="00BE019F" w:rsidRPr="006070EA" w:rsidRDefault="00BE019F" w:rsidP="009E07E1">
      <w:pPr>
        <w:spacing w:line="240" w:lineRule="auto"/>
        <w:rPr>
          <w:rFonts w:asciiTheme="majorHAnsi" w:hAnsiTheme="majorHAnsi" w:cstheme="majorHAnsi"/>
          <w:b/>
          <w:sz w:val="18"/>
          <w:szCs w:val="18"/>
          <w:u w:val="single"/>
        </w:rPr>
      </w:pPr>
      <w:r w:rsidRPr="006070EA">
        <w:rPr>
          <w:rFonts w:asciiTheme="majorHAnsi" w:hAnsiTheme="majorHAnsi" w:cstheme="majorHAnsi"/>
          <w:b/>
          <w:sz w:val="18"/>
          <w:szCs w:val="18"/>
          <w:u w:val="single"/>
        </w:rPr>
        <w:t xml:space="preserve">Ochrana </w:t>
      </w:r>
      <w:r w:rsidR="00E22D6E" w:rsidRPr="006070EA">
        <w:rPr>
          <w:rFonts w:asciiTheme="majorHAnsi" w:hAnsiTheme="majorHAnsi" w:cstheme="majorHAnsi"/>
          <w:b/>
          <w:sz w:val="18"/>
          <w:szCs w:val="18"/>
          <w:u w:val="single"/>
        </w:rPr>
        <w:t xml:space="preserve">kulturních, </w:t>
      </w:r>
      <w:r w:rsidRPr="006070EA">
        <w:rPr>
          <w:rFonts w:asciiTheme="majorHAnsi" w:hAnsiTheme="majorHAnsi" w:cstheme="majorHAnsi"/>
          <w:b/>
          <w:sz w:val="18"/>
          <w:szCs w:val="18"/>
          <w:u w:val="single"/>
        </w:rPr>
        <w:t>urbanistických</w:t>
      </w:r>
      <w:r w:rsidR="00E22D6E" w:rsidRPr="006070EA">
        <w:rPr>
          <w:rFonts w:asciiTheme="majorHAnsi" w:hAnsiTheme="majorHAnsi" w:cstheme="majorHAnsi"/>
          <w:b/>
          <w:sz w:val="18"/>
          <w:szCs w:val="18"/>
          <w:u w:val="single"/>
        </w:rPr>
        <w:t xml:space="preserve"> a</w:t>
      </w:r>
      <w:r w:rsidRPr="006070EA">
        <w:rPr>
          <w:rFonts w:asciiTheme="majorHAnsi" w:hAnsiTheme="majorHAnsi" w:cstheme="majorHAnsi"/>
          <w:b/>
          <w:sz w:val="18"/>
          <w:szCs w:val="18"/>
          <w:u w:val="single"/>
        </w:rPr>
        <w:t xml:space="preserve"> architektonických hodnot</w:t>
      </w:r>
    </w:p>
    <w:p w14:paraId="62923894" w14:textId="77777777" w:rsidR="00031996" w:rsidRPr="006070EA" w:rsidRDefault="00031996" w:rsidP="00031996">
      <w:pPr>
        <w:pStyle w:val="Atext"/>
        <w:rPr>
          <w:rFonts w:asciiTheme="majorHAnsi" w:hAnsiTheme="majorHAnsi" w:cstheme="majorHAnsi"/>
        </w:rPr>
      </w:pPr>
      <w:r w:rsidRPr="006070EA">
        <w:rPr>
          <w:rFonts w:asciiTheme="majorHAnsi" w:hAnsiTheme="majorHAnsi" w:cstheme="majorHAnsi"/>
        </w:rPr>
        <w:t xml:space="preserve">Ochrana kulturních hodnot vyplývá z cílů a úkolů územního plánování v § 18 odst. 4 a v § 19 odst. 1 písm. a) a b) stavebního zákona. Ochrana kulturních hodnot v území dále vyplývá především ze zákona č. 20/1987 Sb., o státní památkové péči, ve znění pozdějších předpisů. Řešení územního plánu tyto hodnoty respektuje, stabilizuje, případně rozvíjí. </w:t>
      </w:r>
    </w:p>
    <w:p w14:paraId="1E9178C8" w14:textId="23A4CF49" w:rsidR="00031996" w:rsidRPr="006070EA" w:rsidRDefault="00031996" w:rsidP="00031996">
      <w:pPr>
        <w:pStyle w:val="Atext"/>
        <w:rPr>
          <w:rFonts w:asciiTheme="majorHAnsi" w:hAnsiTheme="majorHAnsi" w:cstheme="majorHAnsi"/>
        </w:rPr>
      </w:pPr>
      <w:r w:rsidRPr="006070EA">
        <w:rPr>
          <w:rFonts w:asciiTheme="majorHAnsi" w:hAnsiTheme="majorHAnsi" w:cstheme="majorHAnsi"/>
        </w:rPr>
        <w:t>Pro zajištění ochrany a rozvoje identifikovaných urbanistických, architektonických a kulturních hodnot na území obce jsou v řešení ÚP stanoveny obecné zásady uplatnitelné při rozhodování o změnách v území. Nezbytnost zajištění ochrany, respektování a vhodného rozvoje hodnot vychází mimo jiné z požadavku</w:t>
      </w:r>
      <w:r w:rsidRPr="006070EA">
        <w:rPr>
          <w:rFonts w:asciiTheme="majorHAnsi" w:hAnsiTheme="majorHAnsi" w:cstheme="majorHAnsi"/>
          <w:i/>
        </w:rPr>
        <w:t xml:space="preserve"> PÚR ČR, priorita 14</w:t>
      </w:r>
      <w:r w:rsidRPr="006070EA">
        <w:rPr>
          <w:rFonts w:asciiTheme="majorHAnsi" w:hAnsiTheme="majorHAnsi" w:cstheme="majorHAnsi"/>
        </w:rPr>
        <w:t xml:space="preserve">: </w:t>
      </w:r>
      <w:r w:rsidRPr="006070EA">
        <w:rPr>
          <w:rFonts w:asciiTheme="majorHAnsi" w:hAnsiTheme="majorHAnsi" w:cstheme="majorHAnsi"/>
          <w:i/>
        </w:rPr>
        <w:t>„Ve veřejném zájmu chránit a</w:t>
      </w:r>
      <w:r w:rsidR="00804E2A" w:rsidRPr="006070EA">
        <w:rPr>
          <w:rFonts w:asciiTheme="majorHAnsi" w:hAnsiTheme="majorHAnsi" w:cstheme="majorHAnsi"/>
          <w:i/>
        </w:rPr>
        <w:t> </w:t>
      </w:r>
      <w:r w:rsidRPr="006070EA">
        <w:rPr>
          <w:rFonts w:asciiTheme="majorHAnsi" w:hAnsiTheme="majorHAnsi" w:cstheme="majorHAnsi"/>
          <w:i/>
        </w:rPr>
        <w:t>rozvíjet přírodní, civilizační a kulturní hodnoty území, včetně urbanistického, architektonického a archeologického dědictví. Zachovat ráz jedinečné urbanistické struktury území, struktury osídlení a jedinečné kulturní krajiny, které jsou výrazem identity území, jeho historie a tradice. Tato území mají značnou hodnotu, např. i jako turistické atraktivity.“</w:t>
      </w:r>
      <w:r w:rsidRPr="006070EA">
        <w:rPr>
          <w:rFonts w:asciiTheme="majorHAnsi" w:hAnsiTheme="majorHAnsi" w:cstheme="majorHAnsi"/>
          <w:iCs w:val="0"/>
        </w:rPr>
        <w:t xml:space="preserve"> Ochrana hodnot se dále propisuje do řešení ÚP ve formě stanovení prostorové struktury zástavby, ochrany a vymezení veřejných prostranství, stanovení podmínek využití atd. </w:t>
      </w:r>
    </w:p>
    <w:p w14:paraId="062303FC" w14:textId="77777777" w:rsidR="00BE019F" w:rsidRPr="006070EA" w:rsidRDefault="00BE019F" w:rsidP="009E07E1">
      <w:pPr>
        <w:pStyle w:val="Atext"/>
        <w:rPr>
          <w:rFonts w:asciiTheme="majorHAnsi" w:hAnsiTheme="majorHAnsi" w:cstheme="majorHAnsi"/>
          <w:szCs w:val="18"/>
        </w:rPr>
      </w:pPr>
      <w:r w:rsidRPr="006070EA">
        <w:rPr>
          <w:rFonts w:asciiTheme="majorHAnsi" w:hAnsiTheme="majorHAnsi" w:cstheme="majorHAnsi"/>
          <w:szCs w:val="18"/>
        </w:rPr>
        <w:t xml:space="preserve">Ochrana kulturních hodnot v území vyplývá především ze zákona 20/1987 Sb., o státní památkové péči, ve znění pozdějších předpisů. Řešení ÚP tyto hodnoty respektuje a stabilizuje. Jedná se o následující: </w:t>
      </w:r>
    </w:p>
    <w:p w14:paraId="085C808A" w14:textId="77777777" w:rsidR="004254E6" w:rsidRPr="006070EA" w:rsidRDefault="004254E6" w:rsidP="00985509">
      <w:pPr>
        <w:keepNext/>
        <w:spacing w:before="120" w:after="60" w:line="240" w:lineRule="auto"/>
        <w:jc w:val="both"/>
        <w:rPr>
          <w:rFonts w:asciiTheme="majorHAnsi" w:hAnsiTheme="majorHAnsi" w:cstheme="majorHAnsi"/>
          <w:b/>
          <w:sz w:val="18"/>
          <w:szCs w:val="18"/>
        </w:rPr>
      </w:pPr>
      <w:r w:rsidRPr="006070EA">
        <w:rPr>
          <w:rFonts w:asciiTheme="majorHAnsi" w:hAnsiTheme="majorHAnsi" w:cstheme="majorHAnsi"/>
          <w:b/>
          <w:sz w:val="18"/>
          <w:szCs w:val="18"/>
        </w:rPr>
        <w:lastRenderedPageBreak/>
        <w:t>Nemovité kulturní památky</w:t>
      </w:r>
    </w:p>
    <w:p w14:paraId="720C0F11" w14:textId="05736498" w:rsidR="002F3880" w:rsidRPr="006070EA" w:rsidRDefault="002F3880" w:rsidP="00985509">
      <w:pPr>
        <w:pStyle w:val="Atext"/>
        <w:keepNext/>
        <w:rPr>
          <w:rFonts w:asciiTheme="majorHAnsi" w:hAnsiTheme="majorHAnsi" w:cstheme="majorHAnsi"/>
          <w:szCs w:val="18"/>
        </w:rPr>
      </w:pPr>
      <w:r w:rsidRPr="006070EA">
        <w:rPr>
          <w:rFonts w:asciiTheme="majorHAnsi" w:hAnsiTheme="majorHAnsi" w:cstheme="majorHAnsi"/>
          <w:szCs w:val="18"/>
        </w:rPr>
        <w:t>V ústředním seznamu nemovitých kulturních památek České republiky jsou zapsány následující objekty</w:t>
      </w:r>
      <w:r w:rsidR="00985509" w:rsidRPr="006070EA">
        <w:rPr>
          <w:rFonts w:asciiTheme="majorHAnsi" w:hAnsiTheme="majorHAnsi" w:cstheme="majorHAnsi"/>
          <w:szCs w:val="18"/>
        </w:rPr>
        <w:t xml:space="preserve"> v řešeném území</w:t>
      </w:r>
      <w:r w:rsidRPr="006070EA">
        <w:rPr>
          <w:rFonts w:asciiTheme="majorHAnsi" w:hAnsiTheme="majorHAnsi" w:cstheme="majorHAnsi"/>
          <w:szCs w:val="18"/>
        </w:rPr>
        <w:t xml:space="preserve">: </w:t>
      </w:r>
    </w:p>
    <w:tbl>
      <w:tblPr>
        <w:tblW w:w="90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9"/>
        <w:gridCol w:w="1798"/>
        <w:gridCol w:w="3065"/>
        <w:gridCol w:w="2552"/>
      </w:tblGrid>
      <w:tr w:rsidR="002F3880" w:rsidRPr="006070EA" w14:paraId="5F94A8F7" w14:textId="77777777" w:rsidTr="00985509">
        <w:trPr>
          <w:cantSplit/>
          <w:trHeight w:val="20"/>
          <w:tblHeader/>
          <w:jc w:val="center"/>
        </w:trPr>
        <w:tc>
          <w:tcPr>
            <w:tcW w:w="1589" w:type="dxa"/>
            <w:tcBorders>
              <w:top w:val="nil"/>
              <w:left w:val="nil"/>
              <w:bottom w:val="single" w:sz="12" w:space="0" w:color="auto"/>
              <w:right w:val="single" w:sz="12" w:space="0" w:color="auto"/>
            </w:tcBorders>
            <w:shd w:val="clear" w:color="auto" w:fill="auto"/>
            <w:vAlign w:val="center"/>
            <w:hideMark/>
          </w:tcPr>
          <w:p w14:paraId="53AAE800" w14:textId="77777777" w:rsidR="002F3880" w:rsidRPr="006070EA" w:rsidRDefault="002F3880" w:rsidP="00985509">
            <w:pPr>
              <w:pStyle w:val="Bezmezer"/>
              <w:keepNext/>
              <w:jc w:val="center"/>
              <w:rPr>
                <w:rFonts w:asciiTheme="majorHAnsi" w:hAnsiTheme="majorHAnsi" w:cstheme="majorHAnsi"/>
                <w:b/>
                <w:lang w:val="cs-CZ"/>
              </w:rPr>
            </w:pPr>
            <w:r w:rsidRPr="006070EA">
              <w:rPr>
                <w:rFonts w:asciiTheme="majorHAnsi" w:hAnsiTheme="majorHAnsi" w:cstheme="majorHAnsi"/>
                <w:b/>
                <w:lang w:val="cs-CZ"/>
              </w:rPr>
              <w:t>číslo rejstříku</w:t>
            </w:r>
          </w:p>
        </w:tc>
        <w:tc>
          <w:tcPr>
            <w:tcW w:w="1798" w:type="dxa"/>
            <w:tcBorders>
              <w:top w:val="nil"/>
              <w:left w:val="single" w:sz="12" w:space="0" w:color="auto"/>
              <w:bottom w:val="single" w:sz="12" w:space="0" w:color="auto"/>
              <w:right w:val="single" w:sz="12" w:space="0" w:color="auto"/>
            </w:tcBorders>
            <w:shd w:val="clear" w:color="auto" w:fill="auto"/>
            <w:vAlign w:val="center"/>
            <w:hideMark/>
          </w:tcPr>
          <w:p w14:paraId="5E932655" w14:textId="77777777" w:rsidR="002F3880" w:rsidRPr="006070EA" w:rsidRDefault="002F3880" w:rsidP="00985509">
            <w:pPr>
              <w:pStyle w:val="Bezmezer"/>
              <w:keepNext/>
              <w:jc w:val="center"/>
              <w:rPr>
                <w:rFonts w:asciiTheme="majorHAnsi" w:hAnsiTheme="majorHAnsi" w:cstheme="majorHAnsi"/>
                <w:b/>
                <w:lang w:val="cs-CZ"/>
              </w:rPr>
            </w:pPr>
            <w:r w:rsidRPr="006070EA">
              <w:rPr>
                <w:rFonts w:asciiTheme="majorHAnsi" w:hAnsiTheme="majorHAnsi" w:cstheme="majorHAnsi"/>
                <w:b/>
                <w:lang w:val="cs-CZ"/>
              </w:rPr>
              <w:t>sídlo</w:t>
            </w:r>
          </w:p>
        </w:tc>
        <w:tc>
          <w:tcPr>
            <w:tcW w:w="3065" w:type="dxa"/>
            <w:tcBorders>
              <w:top w:val="nil"/>
              <w:left w:val="single" w:sz="12" w:space="0" w:color="auto"/>
              <w:bottom w:val="single" w:sz="12" w:space="0" w:color="auto"/>
              <w:right w:val="single" w:sz="12" w:space="0" w:color="auto"/>
            </w:tcBorders>
            <w:shd w:val="clear" w:color="auto" w:fill="auto"/>
            <w:vAlign w:val="center"/>
            <w:hideMark/>
          </w:tcPr>
          <w:p w14:paraId="4E327F04" w14:textId="77777777" w:rsidR="002F3880" w:rsidRPr="006070EA" w:rsidRDefault="002F3880" w:rsidP="00985509">
            <w:pPr>
              <w:pStyle w:val="Bezmezer"/>
              <w:keepNext/>
              <w:jc w:val="center"/>
              <w:rPr>
                <w:rFonts w:asciiTheme="majorHAnsi" w:hAnsiTheme="majorHAnsi" w:cstheme="majorHAnsi"/>
                <w:b/>
                <w:lang w:val="cs-CZ"/>
              </w:rPr>
            </w:pPr>
            <w:r w:rsidRPr="006070EA">
              <w:rPr>
                <w:rFonts w:asciiTheme="majorHAnsi" w:hAnsiTheme="majorHAnsi" w:cstheme="majorHAnsi"/>
                <w:b/>
                <w:lang w:val="cs-CZ"/>
              </w:rPr>
              <w:t>památka</w:t>
            </w:r>
          </w:p>
        </w:tc>
        <w:tc>
          <w:tcPr>
            <w:tcW w:w="2552" w:type="dxa"/>
            <w:tcBorders>
              <w:top w:val="nil"/>
              <w:left w:val="single" w:sz="12" w:space="0" w:color="auto"/>
              <w:bottom w:val="single" w:sz="12" w:space="0" w:color="auto"/>
              <w:right w:val="nil"/>
            </w:tcBorders>
            <w:shd w:val="clear" w:color="auto" w:fill="auto"/>
            <w:vAlign w:val="center"/>
            <w:hideMark/>
          </w:tcPr>
          <w:p w14:paraId="023FAB20" w14:textId="77777777" w:rsidR="002F3880" w:rsidRPr="006070EA" w:rsidRDefault="002F3880" w:rsidP="00985509">
            <w:pPr>
              <w:pStyle w:val="Bezmezer"/>
              <w:keepNext/>
              <w:jc w:val="center"/>
              <w:rPr>
                <w:rFonts w:asciiTheme="majorHAnsi" w:hAnsiTheme="majorHAnsi" w:cstheme="majorHAnsi"/>
                <w:b/>
                <w:lang w:val="cs-CZ"/>
              </w:rPr>
            </w:pPr>
            <w:r w:rsidRPr="006070EA">
              <w:rPr>
                <w:rFonts w:asciiTheme="majorHAnsi" w:hAnsiTheme="majorHAnsi" w:cstheme="majorHAnsi"/>
                <w:b/>
                <w:lang w:val="cs-CZ"/>
              </w:rPr>
              <w:t>ulice, nám. / umístění</w:t>
            </w:r>
          </w:p>
        </w:tc>
      </w:tr>
      <w:tr w:rsidR="002F3880" w:rsidRPr="006070EA" w14:paraId="46F0B576" w14:textId="77777777" w:rsidTr="00985509">
        <w:trPr>
          <w:trHeight w:val="20"/>
          <w:jc w:val="center"/>
        </w:trPr>
        <w:tc>
          <w:tcPr>
            <w:tcW w:w="1589" w:type="dxa"/>
            <w:tcBorders>
              <w:top w:val="single" w:sz="12" w:space="0" w:color="auto"/>
              <w:left w:val="nil"/>
              <w:bottom w:val="single" w:sz="4" w:space="0" w:color="auto"/>
              <w:right w:val="single" w:sz="4" w:space="0" w:color="auto"/>
            </w:tcBorders>
            <w:shd w:val="clear" w:color="auto" w:fill="auto"/>
            <w:vAlign w:val="center"/>
            <w:hideMark/>
          </w:tcPr>
          <w:p w14:paraId="6522EA5E" w14:textId="77777777" w:rsidR="002F3880" w:rsidRPr="006070EA" w:rsidRDefault="002F3880" w:rsidP="00985509">
            <w:pPr>
              <w:autoSpaceDE w:val="0"/>
              <w:autoSpaceDN w:val="0"/>
              <w:adjustRightInd w:val="0"/>
              <w:spacing w:after="0"/>
              <w:jc w:val="center"/>
              <w:rPr>
                <w:rFonts w:asciiTheme="majorHAnsi" w:hAnsiTheme="majorHAnsi" w:cstheme="majorHAnsi"/>
                <w:sz w:val="18"/>
                <w:szCs w:val="18"/>
              </w:rPr>
            </w:pPr>
            <w:r w:rsidRPr="006070EA">
              <w:rPr>
                <w:rFonts w:asciiTheme="majorHAnsi" w:hAnsiTheme="majorHAnsi" w:cstheme="majorHAnsi"/>
                <w:b/>
                <w:bCs/>
                <w:sz w:val="18"/>
                <w:szCs w:val="18"/>
              </w:rPr>
              <w:t>12963 / 2-1834</w:t>
            </w:r>
          </w:p>
        </w:tc>
        <w:tc>
          <w:tcPr>
            <w:tcW w:w="1798"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0785F271" w14:textId="77777777" w:rsidR="002F3880" w:rsidRPr="006070EA" w:rsidRDefault="002F3880" w:rsidP="00985509">
            <w:pPr>
              <w:autoSpaceDE w:val="0"/>
              <w:autoSpaceDN w:val="0"/>
              <w:adjustRightInd w:val="0"/>
              <w:spacing w:after="0"/>
              <w:jc w:val="center"/>
              <w:rPr>
                <w:rFonts w:asciiTheme="majorHAnsi" w:hAnsiTheme="majorHAnsi" w:cstheme="majorHAnsi"/>
                <w:sz w:val="18"/>
                <w:szCs w:val="18"/>
              </w:rPr>
            </w:pPr>
            <w:r w:rsidRPr="006070EA">
              <w:rPr>
                <w:rFonts w:asciiTheme="majorHAnsi" w:hAnsiTheme="majorHAnsi" w:cstheme="majorHAnsi"/>
                <w:sz w:val="18"/>
                <w:szCs w:val="18"/>
              </w:rPr>
              <w:t>Kostomlaty nad Labem</w:t>
            </w:r>
          </w:p>
        </w:tc>
        <w:tc>
          <w:tcPr>
            <w:tcW w:w="3065"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38B287CF" w14:textId="77777777" w:rsidR="002F3880" w:rsidRPr="006070EA" w:rsidRDefault="002F3880" w:rsidP="00985509">
            <w:pPr>
              <w:autoSpaceDE w:val="0"/>
              <w:autoSpaceDN w:val="0"/>
              <w:adjustRightInd w:val="0"/>
              <w:spacing w:after="0"/>
              <w:jc w:val="center"/>
              <w:rPr>
                <w:rFonts w:asciiTheme="majorHAnsi" w:hAnsiTheme="majorHAnsi" w:cstheme="majorHAnsi"/>
                <w:sz w:val="18"/>
                <w:szCs w:val="18"/>
              </w:rPr>
            </w:pPr>
            <w:r w:rsidRPr="006070EA">
              <w:rPr>
                <w:rFonts w:asciiTheme="majorHAnsi" w:hAnsiTheme="majorHAnsi" w:cstheme="majorHAnsi"/>
                <w:sz w:val="18"/>
                <w:szCs w:val="18"/>
              </w:rPr>
              <w:t>kostel sv. Bartoloměje</w:t>
            </w:r>
          </w:p>
        </w:tc>
        <w:tc>
          <w:tcPr>
            <w:tcW w:w="2552" w:type="dxa"/>
            <w:tcBorders>
              <w:top w:val="single" w:sz="12" w:space="0" w:color="auto"/>
              <w:left w:val="single" w:sz="4" w:space="0" w:color="auto"/>
              <w:bottom w:val="single" w:sz="4" w:space="0" w:color="auto"/>
              <w:right w:val="nil"/>
            </w:tcBorders>
            <w:shd w:val="clear" w:color="auto" w:fill="auto"/>
            <w:vAlign w:val="center"/>
            <w:hideMark/>
          </w:tcPr>
          <w:p w14:paraId="3410D0DD" w14:textId="77777777" w:rsidR="002F3880" w:rsidRPr="006070EA" w:rsidRDefault="002F3880" w:rsidP="00985509">
            <w:pPr>
              <w:autoSpaceDE w:val="0"/>
              <w:autoSpaceDN w:val="0"/>
              <w:adjustRightInd w:val="0"/>
              <w:spacing w:after="0"/>
              <w:jc w:val="center"/>
              <w:rPr>
                <w:rFonts w:asciiTheme="majorHAnsi" w:hAnsiTheme="majorHAnsi" w:cstheme="majorHAnsi"/>
                <w:sz w:val="18"/>
                <w:szCs w:val="18"/>
              </w:rPr>
            </w:pPr>
            <w:r w:rsidRPr="006070EA">
              <w:rPr>
                <w:rFonts w:asciiTheme="majorHAnsi" w:hAnsiTheme="majorHAnsi" w:cstheme="majorHAnsi"/>
                <w:sz w:val="18"/>
                <w:szCs w:val="18"/>
              </w:rPr>
              <w:t>náves, st. č. 1</w:t>
            </w:r>
          </w:p>
          <w:p w14:paraId="04297EC3" w14:textId="77777777" w:rsidR="002F3880" w:rsidRPr="006070EA" w:rsidRDefault="002F3880" w:rsidP="00985509">
            <w:pPr>
              <w:autoSpaceDE w:val="0"/>
              <w:autoSpaceDN w:val="0"/>
              <w:adjustRightInd w:val="0"/>
              <w:spacing w:after="0"/>
              <w:jc w:val="center"/>
              <w:rPr>
                <w:rFonts w:asciiTheme="majorHAnsi" w:hAnsiTheme="majorHAnsi" w:cstheme="majorHAnsi"/>
                <w:sz w:val="18"/>
                <w:szCs w:val="18"/>
              </w:rPr>
            </w:pPr>
          </w:p>
        </w:tc>
      </w:tr>
      <w:tr w:rsidR="002F3880" w:rsidRPr="006070EA" w14:paraId="71FF3FCD" w14:textId="77777777" w:rsidTr="00985509">
        <w:trPr>
          <w:trHeight w:val="20"/>
          <w:jc w:val="center"/>
        </w:trPr>
        <w:tc>
          <w:tcPr>
            <w:tcW w:w="1589" w:type="dxa"/>
            <w:tcBorders>
              <w:top w:val="single" w:sz="4" w:space="0" w:color="auto"/>
              <w:left w:val="nil"/>
              <w:bottom w:val="single" w:sz="4" w:space="0" w:color="auto"/>
              <w:right w:val="single" w:sz="4" w:space="0" w:color="auto"/>
            </w:tcBorders>
            <w:shd w:val="clear" w:color="auto" w:fill="auto"/>
            <w:vAlign w:val="center"/>
            <w:hideMark/>
          </w:tcPr>
          <w:p w14:paraId="1B6E59AB" w14:textId="77777777" w:rsidR="002F3880" w:rsidRPr="006070EA" w:rsidRDefault="002F3880" w:rsidP="00985509">
            <w:pPr>
              <w:autoSpaceDE w:val="0"/>
              <w:autoSpaceDN w:val="0"/>
              <w:adjustRightInd w:val="0"/>
              <w:spacing w:after="0"/>
              <w:jc w:val="center"/>
              <w:rPr>
                <w:rFonts w:asciiTheme="majorHAnsi" w:hAnsiTheme="majorHAnsi" w:cstheme="majorHAnsi"/>
                <w:b/>
                <w:bCs/>
                <w:sz w:val="18"/>
                <w:szCs w:val="18"/>
              </w:rPr>
            </w:pPr>
            <w:r w:rsidRPr="006070EA">
              <w:rPr>
                <w:rFonts w:asciiTheme="majorHAnsi" w:hAnsiTheme="majorHAnsi" w:cstheme="majorHAnsi"/>
                <w:b/>
                <w:bCs/>
                <w:sz w:val="18"/>
                <w:szCs w:val="18"/>
              </w:rPr>
              <w:t>32800 / 2-3141</w:t>
            </w:r>
          </w:p>
        </w:tc>
        <w:tc>
          <w:tcPr>
            <w:tcW w:w="17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72BAE0" w14:textId="77777777" w:rsidR="002F3880" w:rsidRPr="006070EA" w:rsidRDefault="002F3880" w:rsidP="00985509">
            <w:pPr>
              <w:autoSpaceDE w:val="0"/>
              <w:autoSpaceDN w:val="0"/>
              <w:adjustRightInd w:val="0"/>
              <w:spacing w:after="0"/>
              <w:jc w:val="center"/>
              <w:rPr>
                <w:rFonts w:asciiTheme="majorHAnsi" w:hAnsiTheme="majorHAnsi" w:cstheme="majorHAnsi"/>
                <w:sz w:val="18"/>
                <w:szCs w:val="18"/>
              </w:rPr>
            </w:pPr>
            <w:r w:rsidRPr="006070EA">
              <w:rPr>
                <w:rFonts w:asciiTheme="majorHAnsi" w:hAnsiTheme="majorHAnsi" w:cstheme="majorHAnsi"/>
                <w:sz w:val="18"/>
                <w:szCs w:val="18"/>
              </w:rPr>
              <w:t>Kostomlaty nad Labem</w:t>
            </w:r>
          </w:p>
        </w:tc>
        <w:tc>
          <w:tcPr>
            <w:tcW w:w="306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7827B4" w14:textId="77777777" w:rsidR="002F3880" w:rsidRPr="006070EA" w:rsidRDefault="002F3880" w:rsidP="00985509">
            <w:pPr>
              <w:autoSpaceDE w:val="0"/>
              <w:autoSpaceDN w:val="0"/>
              <w:adjustRightInd w:val="0"/>
              <w:spacing w:after="0"/>
              <w:jc w:val="center"/>
              <w:rPr>
                <w:rFonts w:asciiTheme="majorHAnsi" w:hAnsiTheme="majorHAnsi" w:cstheme="majorHAnsi"/>
                <w:sz w:val="18"/>
                <w:szCs w:val="18"/>
              </w:rPr>
            </w:pPr>
            <w:r w:rsidRPr="006070EA">
              <w:rPr>
                <w:rFonts w:asciiTheme="majorHAnsi" w:hAnsiTheme="majorHAnsi" w:cstheme="majorHAnsi"/>
                <w:sz w:val="18"/>
                <w:szCs w:val="18"/>
              </w:rPr>
              <w:t>socha sv. Jana Nepomuckého</w:t>
            </w:r>
          </w:p>
        </w:tc>
        <w:tc>
          <w:tcPr>
            <w:tcW w:w="2552" w:type="dxa"/>
            <w:tcBorders>
              <w:top w:val="single" w:sz="4" w:space="0" w:color="auto"/>
              <w:left w:val="single" w:sz="4" w:space="0" w:color="auto"/>
              <w:bottom w:val="single" w:sz="4" w:space="0" w:color="auto"/>
              <w:right w:val="nil"/>
            </w:tcBorders>
            <w:shd w:val="clear" w:color="auto" w:fill="auto"/>
            <w:vAlign w:val="center"/>
            <w:hideMark/>
          </w:tcPr>
          <w:p w14:paraId="0397CF7A" w14:textId="77777777" w:rsidR="002F3880" w:rsidRPr="006070EA" w:rsidRDefault="002F3880" w:rsidP="00985509">
            <w:pPr>
              <w:autoSpaceDE w:val="0"/>
              <w:autoSpaceDN w:val="0"/>
              <w:adjustRightInd w:val="0"/>
              <w:spacing w:after="0"/>
              <w:jc w:val="center"/>
              <w:rPr>
                <w:rFonts w:asciiTheme="majorHAnsi" w:hAnsiTheme="majorHAnsi" w:cstheme="majorHAnsi"/>
                <w:sz w:val="18"/>
                <w:szCs w:val="18"/>
              </w:rPr>
            </w:pPr>
            <w:r w:rsidRPr="006070EA">
              <w:rPr>
                <w:rFonts w:asciiTheme="majorHAnsi" w:hAnsiTheme="majorHAnsi" w:cstheme="majorHAnsi"/>
                <w:sz w:val="18"/>
                <w:szCs w:val="18"/>
              </w:rPr>
              <w:t>u Farského potoka, proti čp. 42</w:t>
            </w:r>
          </w:p>
        </w:tc>
      </w:tr>
      <w:tr w:rsidR="002F3880" w:rsidRPr="006070EA" w14:paraId="1D99BBE8" w14:textId="77777777" w:rsidTr="00985509">
        <w:trPr>
          <w:trHeight w:val="20"/>
          <w:jc w:val="center"/>
        </w:trPr>
        <w:tc>
          <w:tcPr>
            <w:tcW w:w="1589" w:type="dxa"/>
            <w:tcBorders>
              <w:top w:val="single" w:sz="4" w:space="0" w:color="auto"/>
              <w:left w:val="nil"/>
              <w:bottom w:val="single" w:sz="4" w:space="0" w:color="auto"/>
              <w:right w:val="single" w:sz="4" w:space="0" w:color="auto"/>
            </w:tcBorders>
            <w:shd w:val="clear" w:color="auto" w:fill="auto"/>
            <w:vAlign w:val="center"/>
          </w:tcPr>
          <w:p w14:paraId="683F9C6C" w14:textId="77777777" w:rsidR="002F3880" w:rsidRPr="006070EA" w:rsidRDefault="002F3880" w:rsidP="00985509">
            <w:pPr>
              <w:autoSpaceDE w:val="0"/>
              <w:autoSpaceDN w:val="0"/>
              <w:adjustRightInd w:val="0"/>
              <w:spacing w:after="0"/>
              <w:jc w:val="center"/>
              <w:rPr>
                <w:rFonts w:asciiTheme="majorHAnsi" w:hAnsiTheme="majorHAnsi" w:cstheme="majorHAnsi"/>
                <w:sz w:val="18"/>
                <w:szCs w:val="18"/>
              </w:rPr>
            </w:pPr>
            <w:r w:rsidRPr="006070EA">
              <w:rPr>
                <w:rFonts w:asciiTheme="majorHAnsi" w:hAnsiTheme="majorHAnsi" w:cstheme="majorHAnsi"/>
                <w:b/>
                <w:bCs/>
                <w:sz w:val="18"/>
                <w:szCs w:val="18"/>
              </w:rPr>
              <w:t>41022 / 2-3142</w:t>
            </w:r>
          </w:p>
        </w:tc>
        <w:tc>
          <w:tcPr>
            <w:tcW w:w="1798" w:type="dxa"/>
            <w:tcBorders>
              <w:top w:val="single" w:sz="4" w:space="0" w:color="auto"/>
              <w:left w:val="single" w:sz="4" w:space="0" w:color="auto"/>
              <w:bottom w:val="single" w:sz="4" w:space="0" w:color="auto"/>
              <w:right w:val="single" w:sz="4" w:space="0" w:color="auto"/>
            </w:tcBorders>
            <w:shd w:val="clear" w:color="auto" w:fill="auto"/>
            <w:vAlign w:val="center"/>
          </w:tcPr>
          <w:p w14:paraId="6B60CC4D" w14:textId="77777777" w:rsidR="002F3880" w:rsidRPr="006070EA" w:rsidRDefault="002F3880" w:rsidP="00985509">
            <w:pPr>
              <w:autoSpaceDE w:val="0"/>
              <w:autoSpaceDN w:val="0"/>
              <w:adjustRightInd w:val="0"/>
              <w:spacing w:after="0"/>
              <w:jc w:val="center"/>
              <w:rPr>
                <w:rFonts w:asciiTheme="majorHAnsi" w:hAnsiTheme="majorHAnsi" w:cstheme="majorHAnsi"/>
                <w:sz w:val="18"/>
                <w:szCs w:val="18"/>
              </w:rPr>
            </w:pPr>
            <w:r w:rsidRPr="006070EA">
              <w:rPr>
                <w:rFonts w:asciiTheme="majorHAnsi" w:hAnsiTheme="majorHAnsi" w:cstheme="majorHAnsi"/>
                <w:sz w:val="18"/>
                <w:szCs w:val="18"/>
              </w:rPr>
              <w:t>Hronětice</w:t>
            </w:r>
          </w:p>
        </w:tc>
        <w:tc>
          <w:tcPr>
            <w:tcW w:w="3065" w:type="dxa"/>
            <w:tcBorders>
              <w:top w:val="single" w:sz="4" w:space="0" w:color="auto"/>
              <w:left w:val="single" w:sz="4" w:space="0" w:color="auto"/>
              <w:bottom w:val="single" w:sz="4" w:space="0" w:color="auto"/>
              <w:right w:val="single" w:sz="4" w:space="0" w:color="auto"/>
            </w:tcBorders>
            <w:shd w:val="clear" w:color="auto" w:fill="auto"/>
            <w:vAlign w:val="center"/>
          </w:tcPr>
          <w:p w14:paraId="7B8A837B" w14:textId="77777777" w:rsidR="002F3880" w:rsidRPr="006070EA" w:rsidRDefault="002F3880" w:rsidP="00985509">
            <w:pPr>
              <w:autoSpaceDE w:val="0"/>
              <w:autoSpaceDN w:val="0"/>
              <w:adjustRightInd w:val="0"/>
              <w:spacing w:after="0"/>
              <w:jc w:val="center"/>
              <w:rPr>
                <w:rFonts w:asciiTheme="majorHAnsi" w:hAnsiTheme="majorHAnsi" w:cstheme="majorHAnsi"/>
                <w:sz w:val="18"/>
                <w:szCs w:val="18"/>
              </w:rPr>
            </w:pPr>
            <w:r w:rsidRPr="006070EA">
              <w:rPr>
                <w:rFonts w:asciiTheme="majorHAnsi" w:hAnsiTheme="majorHAnsi" w:cstheme="majorHAnsi"/>
                <w:sz w:val="18"/>
                <w:szCs w:val="18"/>
              </w:rPr>
              <w:t>kaplička sv. Vojtěcha</w:t>
            </w:r>
          </w:p>
        </w:tc>
        <w:tc>
          <w:tcPr>
            <w:tcW w:w="2552" w:type="dxa"/>
            <w:tcBorders>
              <w:top w:val="single" w:sz="4" w:space="0" w:color="auto"/>
              <w:left w:val="single" w:sz="4" w:space="0" w:color="auto"/>
              <w:bottom w:val="single" w:sz="4" w:space="0" w:color="auto"/>
              <w:right w:val="nil"/>
            </w:tcBorders>
            <w:shd w:val="clear" w:color="auto" w:fill="auto"/>
            <w:vAlign w:val="center"/>
          </w:tcPr>
          <w:p w14:paraId="0BE2F9E7" w14:textId="77777777" w:rsidR="002F3880" w:rsidRPr="006070EA" w:rsidRDefault="002F3880" w:rsidP="00985509">
            <w:pPr>
              <w:pStyle w:val="Bezmezer"/>
              <w:jc w:val="center"/>
              <w:rPr>
                <w:rFonts w:asciiTheme="majorHAnsi" w:hAnsiTheme="majorHAnsi" w:cstheme="majorHAnsi"/>
                <w:szCs w:val="18"/>
                <w:lang w:val="cs-CZ"/>
              </w:rPr>
            </w:pPr>
          </w:p>
        </w:tc>
      </w:tr>
      <w:tr w:rsidR="002F3880" w:rsidRPr="006070EA" w14:paraId="1824359C" w14:textId="77777777" w:rsidTr="00985509">
        <w:trPr>
          <w:trHeight w:val="20"/>
          <w:jc w:val="center"/>
        </w:trPr>
        <w:tc>
          <w:tcPr>
            <w:tcW w:w="1589" w:type="dxa"/>
            <w:tcBorders>
              <w:top w:val="single" w:sz="4" w:space="0" w:color="auto"/>
              <w:left w:val="nil"/>
              <w:bottom w:val="nil"/>
              <w:right w:val="single" w:sz="4" w:space="0" w:color="auto"/>
            </w:tcBorders>
            <w:shd w:val="clear" w:color="auto" w:fill="auto"/>
            <w:vAlign w:val="center"/>
          </w:tcPr>
          <w:p w14:paraId="2DCA7478" w14:textId="77777777" w:rsidR="002F3880" w:rsidRPr="006070EA" w:rsidRDefault="002F3880" w:rsidP="00985509">
            <w:pPr>
              <w:autoSpaceDE w:val="0"/>
              <w:autoSpaceDN w:val="0"/>
              <w:adjustRightInd w:val="0"/>
              <w:spacing w:after="0"/>
              <w:jc w:val="center"/>
              <w:rPr>
                <w:rFonts w:asciiTheme="majorHAnsi" w:hAnsiTheme="majorHAnsi" w:cstheme="majorHAnsi"/>
                <w:sz w:val="18"/>
                <w:szCs w:val="18"/>
              </w:rPr>
            </w:pPr>
            <w:r w:rsidRPr="006070EA">
              <w:rPr>
                <w:rFonts w:asciiTheme="majorHAnsi" w:hAnsiTheme="majorHAnsi" w:cstheme="majorHAnsi"/>
                <w:b/>
                <w:bCs/>
                <w:sz w:val="18"/>
                <w:szCs w:val="18"/>
              </w:rPr>
              <w:t>45693 / 2-1818</w:t>
            </w:r>
          </w:p>
        </w:tc>
        <w:tc>
          <w:tcPr>
            <w:tcW w:w="1798" w:type="dxa"/>
            <w:tcBorders>
              <w:top w:val="single" w:sz="4" w:space="0" w:color="auto"/>
              <w:left w:val="single" w:sz="4" w:space="0" w:color="auto"/>
              <w:bottom w:val="nil"/>
              <w:right w:val="single" w:sz="4" w:space="0" w:color="auto"/>
            </w:tcBorders>
            <w:shd w:val="clear" w:color="auto" w:fill="auto"/>
            <w:vAlign w:val="center"/>
          </w:tcPr>
          <w:p w14:paraId="4AE2FA7B" w14:textId="77777777" w:rsidR="002F3880" w:rsidRPr="006070EA" w:rsidRDefault="002F3880" w:rsidP="00985509">
            <w:pPr>
              <w:autoSpaceDE w:val="0"/>
              <w:autoSpaceDN w:val="0"/>
              <w:adjustRightInd w:val="0"/>
              <w:spacing w:after="0"/>
              <w:jc w:val="center"/>
              <w:rPr>
                <w:rFonts w:asciiTheme="majorHAnsi" w:hAnsiTheme="majorHAnsi" w:cstheme="majorHAnsi"/>
                <w:sz w:val="18"/>
                <w:szCs w:val="18"/>
              </w:rPr>
            </w:pPr>
            <w:r w:rsidRPr="006070EA">
              <w:rPr>
                <w:rFonts w:asciiTheme="majorHAnsi" w:hAnsiTheme="majorHAnsi" w:cstheme="majorHAnsi"/>
                <w:sz w:val="18"/>
                <w:szCs w:val="18"/>
              </w:rPr>
              <w:t>Vápensko</w:t>
            </w:r>
          </w:p>
        </w:tc>
        <w:tc>
          <w:tcPr>
            <w:tcW w:w="3065" w:type="dxa"/>
            <w:tcBorders>
              <w:top w:val="single" w:sz="4" w:space="0" w:color="auto"/>
              <w:left w:val="single" w:sz="4" w:space="0" w:color="auto"/>
              <w:bottom w:val="nil"/>
              <w:right w:val="single" w:sz="4" w:space="0" w:color="auto"/>
            </w:tcBorders>
            <w:shd w:val="clear" w:color="auto" w:fill="auto"/>
            <w:vAlign w:val="center"/>
          </w:tcPr>
          <w:p w14:paraId="00B02731" w14:textId="77777777" w:rsidR="002F3880" w:rsidRPr="006070EA" w:rsidRDefault="002F3880" w:rsidP="00985509">
            <w:pPr>
              <w:autoSpaceDE w:val="0"/>
              <w:autoSpaceDN w:val="0"/>
              <w:adjustRightInd w:val="0"/>
              <w:spacing w:after="0"/>
              <w:jc w:val="center"/>
              <w:rPr>
                <w:rFonts w:asciiTheme="majorHAnsi" w:hAnsiTheme="majorHAnsi" w:cstheme="majorHAnsi"/>
                <w:sz w:val="18"/>
                <w:szCs w:val="18"/>
              </w:rPr>
            </w:pPr>
            <w:r w:rsidRPr="006070EA">
              <w:rPr>
                <w:rFonts w:asciiTheme="majorHAnsi" w:hAnsiTheme="majorHAnsi" w:cstheme="majorHAnsi"/>
                <w:sz w:val="18"/>
                <w:szCs w:val="18"/>
              </w:rPr>
              <w:t>venkovská usedlost, z toho jen: půdorys celé okrouhlice</w:t>
            </w:r>
          </w:p>
        </w:tc>
        <w:tc>
          <w:tcPr>
            <w:tcW w:w="2552" w:type="dxa"/>
            <w:tcBorders>
              <w:top w:val="single" w:sz="4" w:space="0" w:color="auto"/>
              <w:left w:val="single" w:sz="4" w:space="0" w:color="auto"/>
              <w:bottom w:val="nil"/>
              <w:right w:val="nil"/>
            </w:tcBorders>
            <w:shd w:val="clear" w:color="auto" w:fill="auto"/>
            <w:vAlign w:val="center"/>
          </w:tcPr>
          <w:p w14:paraId="00DC2280" w14:textId="77777777" w:rsidR="002F3880" w:rsidRPr="006070EA" w:rsidRDefault="002F3880" w:rsidP="00985509">
            <w:pPr>
              <w:autoSpaceDE w:val="0"/>
              <w:autoSpaceDN w:val="0"/>
              <w:adjustRightInd w:val="0"/>
              <w:spacing w:after="0"/>
              <w:jc w:val="center"/>
              <w:rPr>
                <w:rFonts w:asciiTheme="majorHAnsi" w:hAnsiTheme="majorHAnsi" w:cstheme="majorHAnsi"/>
                <w:sz w:val="18"/>
                <w:szCs w:val="18"/>
              </w:rPr>
            </w:pPr>
            <w:r w:rsidRPr="006070EA">
              <w:rPr>
                <w:rFonts w:asciiTheme="majorHAnsi" w:hAnsiTheme="majorHAnsi" w:cstheme="majorHAnsi"/>
                <w:sz w:val="18"/>
                <w:szCs w:val="18"/>
              </w:rPr>
              <w:t>náves</w:t>
            </w:r>
          </w:p>
        </w:tc>
      </w:tr>
    </w:tbl>
    <w:p w14:paraId="499E127A" w14:textId="0FE6FE4B" w:rsidR="00985509" w:rsidRPr="006070EA" w:rsidRDefault="00985509" w:rsidP="00985509">
      <w:pPr>
        <w:pStyle w:val="Atext"/>
        <w:rPr>
          <w:rFonts w:asciiTheme="majorHAnsi" w:hAnsiTheme="majorHAnsi" w:cstheme="majorHAnsi"/>
          <w:szCs w:val="18"/>
        </w:rPr>
      </w:pPr>
      <w:r w:rsidRPr="006070EA">
        <w:rPr>
          <w:rFonts w:asciiTheme="majorHAnsi" w:hAnsiTheme="majorHAnsi" w:cstheme="majorHAnsi"/>
          <w:szCs w:val="18"/>
        </w:rPr>
        <w:t xml:space="preserve">Nemovité kulturní památky jsou vyznačeny v grafické části Odůvodnění územního plánu ve výkrese </w:t>
      </w:r>
      <w:r w:rsidR="00804E2A" w:rsidRPr="006070EA">
        <w:rPr>
          <w:rFonts w:asciiTheme="majorHAnsi" w:hAnsiTheme="majorHAnsi" w:cstheme="majorHAnsi"/>
          <w:i/>
          <w:szCs w:val="18"/>
        </w:rPr>
        <w:t>4</w:t>
      </w:r>
      <w:r w:rsidRPr="006070EA">
        <w:rPr>
          <w:rFonts w:asciiTheme="majorHAnsi" w:hAnsiTheme="majorHAnsi" w:cstheme="majorHAnsi"/>
          <w:i/>
          <w:szCs w:val="18"/>
        </w:rPr>
        <w:t xml:space="preserve"> Koordinační výkres</w:t>
      </w:r>
      <w:r w:rsidRPr="006070EA">
        <w:rPr>
          <w:rFonts w:asciiTheme="majorHAnsi" w:hAnsiTheme="majorHAnsi" w:cstheme="majorHAnsi"/>
          <w:szCs w:val="18"/>
        </w:rPr>
        <w:t>.</w:t>
      </w:r>
    </w:p>
    <w:p w14:paraId="1ACAD2F7" w14:textId="61E26D6E" w:rsidR="002F3880" w:rsidRPr="006070EA" w:rsidRDefault="002F3880" w:rsidP="009E07E1">
      <w:pPr>
        <w:pStyle w:val="Atext"/>
        <w:rPr>
          <w:rFonts w:asciiTheme="majorHAnsi" w:hAnsiTheme="majorHAnsi" w:cstheme="majorHAnsi"/>
          <w:szCs w:val="18"/>
        </w:rPr>
      </w:pPr>
      <w:r w:rsidRPr="006070EA">
        <w:rPr>
          <w:rFonts w:asciiTheme="majorHAnsi" w:hAnsiTheme="majorHAnsi" w:cstheme="majorHAnsi"/>
        </w:rPr>
        <w:t>V řešeném území se dále nacházejí jednotlivé objekty s historickou, uměleckou či obecně kulturní hodnotou, které si zaslouží zvýšenou pozornost. Jedná se zejména o památky místního významu (socha sv. Jana Nepomuckého, silniční kamenný most, budova železniční stanice v Kostomlatech n. L. a brána usedlosti v Hroněticích).</w:t>
      </w:r>
    </w:p>
    <w:p w14:paraId="1CC9F3D7" w14:textId="77777777" w:rsidR="002F3880" w:rsidRPr="006070EA" w:rsidRDefault="002F3880" w:rsidP="002F3880">
      <w:pPr>
        <w:pStyle w:val="Anadpispodtren"/>
        <w:rPr>
          <w:rFonts w:asciiTheme="majorHAnsi" w:hAnsiTheme="majorHAnsi" w:cstheme="majorHAnsi"/>
          <w:b/>
          <w:bCs/>
          <w:color w:val="000000"/>
          <w:szCs w:val="18"/>
          <w:u w:val="none"/>
        </w:rPr>
      </w:pPr>
      <w:r w:rsidRPr="006070EA">
        <w:rPr>
          <w:rFonts w:asciiTheme="majorHAnsi" w:hAnsiTheme="majorHAnsi" w:cstheme="majorHAnsi"/>
          <w:b/>
          <w:bCs/>
          <w:color w:val="000000"/>
          <w:szCs w:val="18"/>
          <w:u w:val="none"/>
        </w:rPr>
        <w:t>Válečné hroby</w:t>
      </w:r>
    </w:p>
    <w:p w14:paraId="0A9C50B5" w14:textId="58D5A68D" w:rsidR="002F3880" w:rsidRPr="006070EA" w:rsidRDefault="002F3880" w:rsidP="002F3880">
      <w:pPr>
        <w:pStyle w:val="Atext"/>
        <w:rPr>
          <w:rFonts w:asciiTheme="majorHAnsi" w:hAnsiTheme="majorHAnsi" w:cstheme="majorHAnsi"/>
          <w:color w:val="000000"/>
          <w:szCs w:val="18"/>
        </w:rPr>
      </w:pPr>
      <w:r w:rsidRPr="006070EA">
        <w:rPr>
          <w:rFonts w:asciiTheme="majorHAnsi" w:hAnsiTheme="majorHAnsi" w:cstheme="majorHAnsi"/>
          <w:color w:val="000000"/>
          <w:szCs w:val="18"/>
        </w:rPr>
        <w:t>Zákon č. 122/2004 Sb., o válečných hrobech a pietních místech a o změně zákona č. 256/2001 Sb., o pohřebnictví a</w:t>
      </w:r>
      <w:r w:rsidR="008F20FA" w:rsidRPr="006070EA">
        <w:rPr>
          <w:rFonts w:asciiTheme="majorHAnsi" w:hAnsiTheme="majorHAnsi" w:cstheme="majorHAnsi"/>
          <w:color w:val="000000"/>
          <w:szCs w:val="18"/>
        </w:rPr>
        <w:t> </w:t>
      </w:r>
      <w:r w:rsidRPr="006070EA">
        <w:rPr>
          <w:rFonts w:asciiTheme="majorHAnsi" w:hAnsiTheme="majorHAnsi" w:cstheme="majorHAnsi"/>
          <w:color w:val="000000"/>
          <w:szCs w:val="18"/>
        </w:rPr>
        <w:t>o</w:t>
      </w:r>
      <w:r w:rsidR="00485315" w:rsidRPr="006070EA">
        <w:rPr>
          <w:rFonts w:asciiTheme="majorHAnsi" w:hAnsiTheme="majorHAnsi" w:cstheme="majorHAnsi"/>
          <w:color w:val="000000"/>
          <w:szCs w:val="18"/>
        </w:rPr>
        <w:t> </w:t>
      </w:r>
      <w:r w:rsidRPr="006070EA">
        <w:rPr>
          <w:rFonts w:asciiTheme="majorHAnsi" w:hAnsiTheme="majorHAnsi" w:cstheme="majorHAnsi"/>
          <w:color w:val="000000"/>
          <w:szCs w:val="18"/>
        </w:rPr>
        <w:t>změně některých zákonů, ve znění pozdějších předpisů, stanovuje práva a povinnosti v oblasti péče o válečné hroby a</w:t>
      </w:r>
      <w:r w:rsidR="008F20FA" w:rsidRPr="006070EA">
        <w:rPr>
          <w:rFonts w:asciiTheme="majorHAnsi" w:hAnsiTheme="majorHAnsi" w:cstheme="majorHAnsi"/>
          <w:color w:val="000000"/>
          <w:szCs w:val="18"/>
        </w:rPr>
        <w:t> </w:t>
      </w:r>
      <w:r w:rsidRPr="006070EA">
        <w:rPr>
          <w:rFonts w:asciiTheme="majorHAnsi" w:hAnsiTheme="majorHAnsi" w:cstheme="majorHAnsi"/>
          <w:color w:val="000000"/>
          <w:szCs w:val="18"/>
        </w:rPr>
        <w:t>pietní místa.</w:t>
      </w:r>
    </w:p>
    <w:p w14:paraId="29D0DBD0" w14:textId="77777777" w:rsidR="002F3880" w:rsidRPr="006070EA" w:rsidRDefault="002F3880" w:rsidP="002F3880">
      <w:pPr>
        <w:pStyle w:val="Atext"/>
        <w:rPr>
          <w:rFonts w:asciiTheme="majorHAnsi" w:hAnsiTheme="majorHAnsi" w:cstheme="majorHAnsi"/>
          <w:color w:val="000000"/>
          <w:szCs w:val="18"/>
        </w:rPr>
      </w:pPr>
      <w:r w:rsidRPr="006070EA">
        <w:rPr>
          <w:rFonts w:asciiTheme="majorHAnsi" w:hAnsiTheme="majorHAnsi" w:cstheme="majorHAnsi"/>
          <w:color w:val="000000"/>
          <w:szCs w:val="18"/>
        </w:rPr>
        <w:t>Na území Kostomlat nad Labem se dle tohoto zákona nachází následující válečné hroby, přičemž válečným hrobem je pro účely tohoto zákona i pietní místo, kterým se rozumí pamětní deska, pomník, památník nebo obdobný symbol připomínající válečné události:</w:t>
      </w:r>
    </w:p>
    <w:p w14:paraId="4C8D8CE9" w14:textId="77777777" w:rsidR="002F3880" w:rsidRPr="006070EA" w:rsidRDefault="002F3880" w:rsidP="00EB05CF">
      <w:pPr>
        <w:pStyle w:val="Bezmezer"/>
        <w:numPr>
          <w:ilvl w:val="0"/>
          <w:numId w:val="36"/>
        </w:numP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Pietní místo - pamětní deska ČS legionářům na staré škole, č. VH - CZE2118-3219</w:t>
      </w:r>
    </w:p>
    <w:p w14:paraId="6D639205" w14:textId="77777777" w:rsidR="002F3880" w:rsidRPr="006070EA" w:rsidRDefault="002F3880" w:rsidP="00EB05CF">
      <w:pPr>
        <w:pStyle w:val="Bezmezer"/>
        <w:numPr>
          <w:ilvl w:val="0"/>
          <w:numId w:val="36"/>
        </w:numP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Pietní místo - hrob tří příslušníků Rudé armády, č. VH - CZE2118-3218</w:t>
      </w:r>
    </w:p>
    <w:p w14:paraId="1FE5BFAE" w14:textId="77777777" w:rsidR="002F3880" w:rsidRPr="006070EA" w:rsidRDefault="002F3880" w:rsidP="00EB05CF">
      <w:pPr>
        <w:pStyle w:val="Bezmezer"/>
        <w:numPr>
          <w:ilvl w:val="0"/>
          <w:numId w:val="36"/>
        </w:numP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Pietní místo - pomník u sokolovny čp. 226 na počest padlých ve II světové válce, č. VH - CZE2118-3168</w:t>
      </w:r>
    </w:p>
    <w:p w14:paraId="2041F112" w14:textId="4BF74569" w:rsidR="002F3880" w:rsidRPr="006070EA" w:rsidRDefault="002F3880" w:rsidP="008F20FA">
      <w:pPr>
        <w:pStyle w:val="Bezmezer"/>
        <w:numPr>
          <w:ilvl w:val="0"/>
          <w:numId w:val="36"/>
        </w:numP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Pietní místo - pomník v Lánech padlým občanům Lán a Rozkoše - 1914 – 1918, č. VH - CZE2118-3220</w:t>
      </w:r>
    </w:p>
    <w:p w14:paraId="78499AE4" w14:textId="0B5A7749" w:rsidR="004254E6" w:rsidRPr="006070EA" w:rsidRDefault="004254E6" w:rsidP="008F20FA">
      <w:pPr>
        <w:pStyle w:val="Anadpispodtren"/>
        <w:rPr>
          <w:rFonts w:asciiTheme="majorHAnsi" w:hAnsiTheme="majorHAnsi" w:cstheme="majorHAnsi"/>
          <w:b/>
          <w:bCs/>
          <w:color w:val="000000"/>
          <w:szCs w:val="18"/>
          <w:u w:val="none"/>
        </w:rPr>
      </w:pPr>
      <w:bookmarkStart w:id="274" w:name="_Toc424119840"/>
      <w:r w:rsidRPr="006070EA">
        <w:rPr>
          <w:rFonts w:asciiTheme="majorHAnsi" w:hAnsiTheme="majorHAnsi" w:cstheme="majorHAnsi"/>
          <w:b/>
          <w:bCs/>
          <w:color w:val="000000"/>
          <w:szCs w:val="18"/>
          <w:u w:val="none"/>
        </w:rPr>
        <w:t>Archeologické lokality</w:t>
      </w:r>
      <w:bookmarkEnd w:id="274"/>
      <w:r w:rsidR="00985509" w:rsidRPr="006070EA">
        <w:rPr>
          <w:rFonts w:asciiTheme="majorHAnsi" w:hAnsiTheme="majorHAnsi" w:cstheme="majorHAnsi"/>
          <w:b/>
          <w:bCs/>
          <w:color w:val="000000"/>
          <w:szCs w:val="18"/>
          <w:u w:val="none"/>
        </w:rPr>
        <w:t xml:space="preserve"> – území s archeologickými nálezy</w:t>
      </w:r>
    </w:p>
    <w:p w14:paraId="3AC818E9" w14:textId="6E08F9E4" w:rsidR="00867305" w:rsidRPr="006070EA" w:rsidRDefault="00DE7ABA" w:rsidP="009E07E1">
      <w:pPr>
        <w:pStyle w:val="Atext"/>
        <w:rPr>
          <w:rFonts w:asciiTheme="majorHAnsi" w:hAnsiTheme="majorHAnsi" w:cstheme="majorHAnsi"/>
          <w:szCs w:val="18"/>
        </w:rPr>
      </w:pPr>
      <w:r w:rsidRPr="006070EA">
        <w:rPr>
          <w:rFonts w:asciiTheme="majorHAnsi" w:hAnsiTheme="majorHAnsi" w:cstheme="majorHAnsi"/>
          <w:szCs w:val="18"/>
        </w:rPr>
        <w:t xml:space="preserve">Celé správní území obce </w:t>
      </w:r>
      <w:r w:rsidR="008F20FA" w:rsidRPr="006070EA">
        <w:rPr>
          <w:rFonts w:asciiTheme="majorHAnsi" w:hAnsiTheme="majorHAnsi" w:cstheme="majorHAnsi"/>
          <w:szCs w:val="18"/>
        </w:rPr>
        <w:t>Kostomlaty nad Labem</w:t>
      </w:r>
      <w:r w:rsidRPr="006070EA">
        <w:rPr>
          <w:rFonts w:asciiTheme="majorHAnsi" w:hAnsiTheme="majorHAnsi" w:cstheme="majorHAnsi"/>
          <w:szCs w:val="18"/>
        </w:rPr>
        <w:t xml:space="preserve"> je územím s archeologickými nálezy (ÚAN) a je zde nutné postupovat v souladu s ustanovením § 22 zákona č. 20/1987 Sb., o státní památkové péči, v platném znění (dále též jen „zákon o státní památkové péči). Kromě jmenovaných lokalit náleží zbylé území obce do kategorie ÚAN III, tedy do území, na němž dosud nebyl rozpoznán a pozitivně prokázán výskyt archeologických nálezů a</w:t>
      </w:r>
      <w:r w:rsidR="00867305" w:rsidRPr="006070EA">
        <w:rPr>
          <w:rFonts w:asciiTheme="majorHAnsi" w:hAnsiTheme="majorHAnsi" w:cstheme="majorHAnsi"/>
          <w:szCs w:val="18"/>
        </w:rPr>
        <w:t> </w:t>
      </w:r>
      <w:r w:rsidRPr="006070EA">
        <w:rPr>
          <w:rFonts w:asciiTheme="majorHAnsi" w:hAnsiTheme="majorHAnsi" w:cstheme="majorHAnsi"/>
          <w:szCs w:val="18"/>
        </w:rPr>
        <w:t xml:space="preserve">prozatím tomu nenasvědčují žádné indicie, ale předmětné území mohlo být osídleno či jinak využito člověkem, a proto existuje </w:t>
      </w:r>
      <w:r w:rsidR="00867305" w:rsidRPr="006070EA">
        <w:rPr>
          <w:rFonts w:asciiTheme="majorHAnsi" w:hAnsiTheme="majorHAnsi" w:cstheme="majorHAnsi"/>
          <w:szCs w:val="18"/>
        </w:rPr>
        <w:t>pravděpodobnost výskytu nálezů.</w:t>
      </w:r>
    </w:p>
    <w:p w14:paraId="297074B1" w14:textId="44A1A50A" w:rsidR="00DE7ABA" w:rsidRPr="006070EA" w:rsidRDefault="00DE7ABA" w:rsidP="009E07E1">
      <w:pPr>
        <w:pStyle w:val="Atext"/>
        <w:rPr>
          <w:rFonts w:asciiTheme="majorHAnsi" w:hAnsiTheme="majorHAnsi" w:cstheme="majorHAnsi"/>
          <w:szCs w:val="18"/>
        </w:rPr>
      </w:pPr>
      <w:r w:rsidRPr="006070EA">
        <w:rPr>
          <w:rFonts w:asciiTheme="majorHAnsi" w:hAnsiTheme="majorHAnsi" w:cstheme="majorHAnsi"/>
          <w:szCs w:val="18"/>
        </w:rPr>
        <w:t>Za území s archeologickými nálezy lze přitom považovat prostor, kde již byly jakékoliv archeologické nálezy movité či nemovité povahy identifikovány a rovněž tak prostor, kde je možné vzhledem k dosavadnímu historickému vývoji tyto nálezy s vysokou pravděpodobností očekávat. Proto je nutné dále upozornit na § 23 zákona o státní památkové péči, ve kterém jsou upraveny povinnosti potenciálního nálezce a obce, v jejímž územním obvodu k archeologickému nálezu došlo.</w:t>
      </w:r>
    </w:p>
    <w:p w14:paraId="64FEF8DC" w14:textId="09F96910" w:rsidR="008F20FA" w:rsidRPr="006070EA" w:rsidRDefault="008F20FA" w:rsidP="008F20FA">
      <w:pPr>
        <w:pStyle w:val="Atext"/>
        <w:rPr>
          <w:rFonts w:asciiTheme="majorHAnsi" w:hAnsiTheme="majorHAnsi" w:cstheme="majorHAnsi"/>
          <w:lang w:eastAsia="cs-CZ"/>
        </w:rPr>
      </w:pPr>
      <w:r w:rsidRPr="006070EA">
        <w:rPr>
          <w:rFonts w:asciiTheme="majorHAnsi" w:hAnsiTheme="majorHAnsi" w:cstheme="majorHAnsi"/>
        </w:rPr>
        <w:t>V řešeném území se dle Státního archeologického seznamu (SAS ČR) nachází následující území s archeologickými nálezy (ÚAN) I. a II. kategorie:</w:t>
      </w:r>
    </w:p>
    <w:tbl>
      <w:tblPr>
        <w:tblW w:w="0" w:type="auto"/>
        <w:jc w:val="center"/>
        <w:tblBorders>
          <w:insideH w:val="single" w:sz="6" w:space="0" w:color="000000"/>
          <w:insideV w:val="single" w:sz="6" w:space="0" w:color="000000"/>
        </w:tblBorders>
        <w:tblLook w:val="04A0" w:firstRow="1" w:lastRow="0" w:firstColumn="1" w:lastColumn="0" w:noHBand="0" w:noVBand="1"/>
      </w:tblPr>
      <w:tblGrid>
        <w:gridCol w:w="1031"/>
        <w:gridCol w:w="3379"/>
        <w:gridCol w:w="1270"/>
        <w:gridCol w:w="1867"/>
        <w:gridCol w:w="1092"/>
      </w:tblGrid>
      <w:tr w:rsidR="00EF1675" w:rsidRPr="006070EA" w14:paraId="036F1125" w14:textId="77777777" w:rsidTr="008F20FA">
        <w:trPr>
          <w:trHeight w:val="20"/>
          <w:jc w:val="center"/>
        </w:trPr>
        <w:tc>
          <w:tcPr>
            <w:tcW w:w="0" w:type="auto"/>
            <w:shd w:val="clear" w:color="auto" w:fill="auto"/>
            <w:vAlign w:val="center"/>
            <w:hideMark/>
          </w:tcPr>
          <w:p w14:paraId="59D92A37" w14:textId="77777777" w:rsidR="002F3880" w:rsidRPr="006070EA" w:rsidRDefault="002F3880" w:rsidP="008F20FA">
            <w:pPr>
              <w:pStyle w:val="Bezmezer"/>
              <w:keepNext/>
              <w:suppressAutoHyphens/>
              <w:jc w:val="center"/>
              <w:rPr>
                <w:rFonts w:asciiTheme="majorHAnsi" w:hAnsiTheme="majorHAnsi" w:cstheme="majorHAnsi"/>
                <w:b/>
                <w:bCs/>
                <w:szCs w:val="18"/>
                <w:lang w:val="cs-CZ"/>
              </w:rPr>
            </w:pPr>
            <w:r w:rsidRPr="006070EA">
              <w:rPr>
                <w:rFonts w:asciiTheme="majorHAnsi" w:hAnsiTheme="majorHAnsi" w:cstheme="majorHAnsi"/>
                <w:b/>
                <w:bCs/>
                <w:szCs w:val="18"/>
                <w:lang w:val="cs-CZ"/>
              </w:rPr>
              <w:t>poř. č. SAS</w:t>
            </w:r>
          </w:p>
        </w:tc>
        <w:tc>
          <w:tcPr>
            <w:tcW w:w="0" w:type="auto"/>
            <w:shd w:val="clear" w:color="auto" w:fill="auto"/>
            <w:vAlign w:val="center"/>
            <w:hideMark/>
          </w:tcPr>
          <w:p w14:paraId="7B355A0A" w14:textId="77777777" w:rsidR="002F3880" w:rsidRPr="006070EA" w:rsidRDefault="002F3880" w:rsidP="008F20FA">
            <w:pPr>
              <w:pStyle w:val="Bezmezer"/>
              <w:keepNext/>
              <w:suppressAutoHyphens/>
              <w:jc w:val="center"/>
              <w:rPr>
                <w:rFonts w:asciiTheme="majorHAnsi" w:hAnsiTheme="majorHAnsi" w:cstheme="majorHAnsi"/>
                <w:b/>
                <w:bCs/>
                <w:szCs w:val="18"/>
                <w:lang w:val="cs-CZ"/>
              </w:rPr>
            </w:pPr>
            <w:r w:rsidRPr="006070EA">
              <w:rPr>
                <w:rFonts w:asciiTheme="majorHAnsi" w:hAnsiTheme="majorHAnsi" w:cstheme="majorHAnsi"/>
                <w:b/>
                <w:bCs/>
                <w:szCs w:val="18"/>
                <w:lang w:val="cs-CZ"/>
              </w:rPr>
              <w:t>název ÚAN</w:t>
            </w:r>
          </w:p>
        </w:tc>
        <w:tc>
          <w:tcPr>
            <w:tcW w:w="0" w:type="auto"/>
            <w:shd w:val="clear" w:color="auto" w:fill="auto"/>
            <w:vAlign w:val="center"/>
            <w:hideMark/>
          </w:tcPr>
          <w:p w14:paraId="48CC3E93" w14:textId="77777777" w:rsidR="002F3880" w:rsidRPr="006070EA" w:rsidRDefault="002F3880" w:rsidP="008F20FA">
            <w:pPr>
              <w:pStyle w:val="Bezmezer"/>
              <w:keepNext/>
              <w:suppressAutoHyphens/>
              <w:jc w:val="center"/>
              <w:rPr>
                <w:rFonts w:asciiTheme="majorHAnsi" w:hAnsiTheme="majorHAnsi" w:cstheme="majorHAnsi"/>
                <w:b/>
                <w:bCs/>
                <w:szCs w:val="18"/>
                <w:lang w:val="cs-CZ"/>
              </w:rPr>
            </w:pPr>
            <w:r w:rsidRPr="006070EA">
              <w:rPr>
                <w:rFonts w:asciiTheme="majorHAnsi" w:hAnsiTheme="majorHAnsi" w:cstheme="majorHAnsi"/>
                <w:b/>
                <w:bCs/>
                <w:szCs w:val="18"/>
                <w:lang w:val="cs-CZ"/>
              </w:rPr>
              <w:t>kategorie ÚAN</w:t>
            </w:r>
          </w:p>
        </w:tc>
        <w:tc>
          <w:tcPr>
            <w:tcW w:w="0" w:type="auto"/>
            <w:shd w:val="clear" w:color="auto" w:fill="auto"/>
            <w:vAlign w:val="center"/>
            <w:hideMark/>
          </w:tcPr>
          <w:p w14:paraId="5E895A81" w14:textId="77777777" w:rsidR="002F3880" w:rsidRPr="006070EA" w:rsidRDefault="002F3880" w:rsidP="008F20FA">
            <w:pPr>
              <w:pStyle w:val="Bezmezer"/>
              <w:keepNext/>
              <w:suppressAutoHyphens/>
              <w:jc w:val="center"/>
              <w:rPr>
                <w:rFonts w:asciiTheme="majorHAnsi" w:hAnsiTheme="majorHAnsi" w:cstheme="majorHAnsi"/>
                <w:b/>
                <w:bCs/>
                <w:szCs w:val="18"/>
                <w:lang w:val="cs-CZ"/>
              </w:rPr>
            </w:pPr>
            <w:r w:rsidRPr="006070EA">
              <w:rPr>
                <w:rFonts w:asciiTheme="majorHAnsi" w:hAnsiTheme="majorHAnsi" w:cstheme="majorHAnsi"/>
                <w:b/>
                <w:bCs/>
                <w:szCs w:val="18"/>
                <w:lang w:val="cs-CZ"/>
              </w:rPr>
              <w:t>k. ú.</w:t>
            </w:r>
          </w:p>
        </w:tc>
        <w:tc>
          <w:tcPr>
            <w:tcW w:w="0" w:type="auto"/>
            <w:shd w:val="clear" w:color="auto" w:fill="auto"/>
            <w:vAlign w:val="center"/>
            <w:hideMark/>
          </w:tcPr>
          <w:p w14:paraId="5661DD2E" w14:textId="77777777" w:rsidR="002F3880" w:rsidRPr="006070EA" w:rsidRDefault="002F3880" w:rsidP="008F20FA">
            <w:pPr>
              <w:pStyle w:val="Bezmezer"/>
              <w:keepNext/>
              <w:suppressAutoHyphens/>
              <w:jc w:val="center"/>
              <w:rPr>
                <w:rFonts w:asciiTheme="majorHAnsi" w:hAnsiTheme="majorHAnsi" w:cstheme="majorHAnsi"/>
                <w:b/>
                <w:bCs/>
                <w:szCs w:val="18"/>
                <w:lang w:val="cs-CZ"/>
              </w:rPr>
            </w:pPr>
            <w:r w:rsidRPr="006070EA">
              <w:rPr>
                <w:rFonts w:asciiTheme="majorHAnsi" w:hAnsiTheme="majorHAnsi" w:cstheme="majorHAnsi"/>
                <w:b/>
                <w:bCs/>
                <w:szCs w:val="18"/>
                <w:lang w:val="cs-CZ"/>
              </w:rPr>
              <w:t>reg. správce</w:t>
            </w:r>
          </w:p>
        </w:tc>
      </w:tr>
      <w:tr w:rsidR="00EF1675" w:rsidRPr="006070EA" w14:paraId="26B56239" w14:textId="77777777" w:rsidTr="008F20FA">
        <w:trPr>
          <w:trHeight w:val="20"/>
          <w:jc w:val="center"/>
        </w:trPr>
        <w:tc>
          <w:tcPr>
            <w:tcW w:w="0" w:type="auto"/>
            <w:shd w:val="clear" w:color="auto" w:fill="auto"/>
            <w:vAlign w:val="center"/>
            <w:hideMark/>
          </w:tcPr>
          <w:p w14:paraId="56F16D57" w14:textId="4D2DE861" w:rsidR="002F3880" w:rsidRPr="006070EA" w:rsidRDefault="002F3880" w:rsidP="008F20FA">
            <w:pPr>
              <w:spacing w:after="0"/>
              <w:jc w:val="center"/>
              <w:rPr>
                <w:rFonts w:asciiTheme="majorHAnsi" w:hAnsiTheme="majorHAnsi" w:cstheme="majorHAnsi"/>
                <w:b/>
                <w:bCs/>
                <w:sz w:val="18"/>
                <w:szCs w:val="18"/>
              </w:rPr>
            </w:pPr>
            <w:r w:rsidRPr="006070EA">
              <w:rPr>
                <w:rFonts w:asciiTheme="majorHAnsi" w:hAnsiTheme="majorHAnsi" w:cstheme="majorHAnsi"/>
                <w:b/>
                <w:bCs/>
                <w:sz w:val="18"/>
                <w:szCs w:val="18"/>
              </w:rPr>
              <w:t>13-13-05/2</w:t>
            </w:r>
          </w:p>
          <w:p w14:paraId="06FC8597" w14:textId="77777777" w:rsidR="002F3880" w:rsidRPr="006070EA" w:rsidRDefault="002F3880" w:rsidP="008F20FA">
            <w:pPr>
              <w:pStyle w:val="Bezmezer"/>
              <w:suppressAutoHyphens/>
              <w:jc w:val="center"/>
              <w:rPr>
                <w:rFonts w:asciiTheme="majorHAnsi" w:hAnsiTheme="majorHAnsi" w:cstheme="majorHAnsi"/>
                <w:b/>
                <w:bCs/>
                <w:szCs w:val="18"/>
                <w:lang w:val="cs-CZ"/>
              </w:rPr>
            </w:pPr>
          </w:p>
        </w:tc>
        <w:tc>
          <w:tcPr>
            <w:tcW w:w="0" w:type="auto"/>
            <w:shd w:val="clear" w:color="auto" w:fill="auto"/>
            <w:vAlign w:val="center"/>
          </w:tcPr>
          <w:p w14:paraId="5A8EE30B" w14:textId="30F8A064" w:rsidR="002F3880" w:rsidRPr="006070EA" w:rsidRDefault="002F3880" w:rsidP="008F20FA">
            <w:pPr>
              <w:spacing w:after="0"/>
              <w:jc w:val="center"/>
              <w:rPr>
                <w:rFonts w:asciiTheme="majorHAnsi" w:hAnsiTheme="majorHAnsi" w:cstheme="majorHAnsi"/>
                <w:sz w:val="18"/>
                <w:szCs w:val="18"/>
              </w:rPr>
            </w:pPr>
            <w:r w:rsidRPr="006070EA">
              <w:rPr>
                <w:rFonts w:asciiTheme="majorHAnsi" w:hAnsiTheme="majorHAnsi" w:cstheme="majorHAnsi"/>
                <w:sz w:val="18"/>
                <w:szCs w:val="18"/>
              </w:rPr>
              <w:t>Hronětice - středověké a novověké jádro vsi</w:t>
            </w:r>
          </w:p>
        </w:tc>
        <w:tc>
          <w:tcPr>
            <w:tcW w:w="0" w:type="auto"/>
            <w:shd w:val="clear" w:color="auto" w:fill="auto"/>
            <w:vAlign w:val="center"/>
          </w:tcPr>
          <w:p w14:paraId="36A8F291" w14:textId="77777777" w:rsidR="002F3880" w:rsidRPr="006070EA" w:rsidRDefault="002F3880" w:rsidP="008F20FA">
            <w:pPr>
              <w:pStyle w:val="Bezmezer"/>
              <w:suppressAutoHyphens/>
              <w:jc w:val="center"/>
              <w:rPr>
                <w:rFonts w:asciiTheme="majorHAnsi" w:hAnsiTheme="majorHAnsi" w:cstheme="majorHAnsi"/>
                <w:szCs w:val="18"/>
                <w:lang w:val="cs-CZ"/>
              </w:rPr>
            </w:pPr>
            <w:r w:rsidRPr="006070EA">
              <w:rPr>
                <w:rFonts w:asciiTheme="majorHAnsi" w:hAnsiTheme="majorHAnsi" w:cstheme="majorHAnsi"/>
                <w:szCs w:val="18"/>
                <w:lang w:val="cs-CZ"/>
              </w:rPr>
              <w:t>II</w:t>
            </w:r>
          </w:p>
        </w:tc>
        <w:tc>
          <w:tcPr>
            <w:tcW w:w="0" w:type="auto"/>
            <w:shd w:val="clear" w:color="auto" w:fill="auto"/>
            <w:vAlign w:val="center"/>
          </w:tcPr>
          <w:p w14:paraId="0A6E68CA" w14:textId="77777777" w:rsidR="002F3880" w:rsidRPr="006070EA" w:rsidRDefault="002F3880" w:rsidP="008F20FA">
            <w:pPr>
              <w:pStyle w:val="Bezmezer"/>
              <w:suppressAutoHyphens/>
              <w:jc w:val="center"/>
              <w:rPr>
                <w:rFonts w:asciiTheme="majorHAnsi" w:hAnsiTheme="majorHAnsi" w:cstheme="majorHAnsi"/>
                <w:szCs w:val="18"/>
                <w:lang w:val="cs-CZ"/>
              </w:rPr>
            </w:pPr>
            <w:r w:rsidRPr="006070EA">
              <w:rPr>
                <w:rFonts w:asciiTheme="majorHAnsi" w:hAnsiTheme="majorHAnsi" w:cstheme="majorHAnsi"/>
                <w:szCs w:val="18"/>
                <w:lang w:val="cs-CZ"/>
              </w:rPr>
              <w:t>Hronětice</w:t>
            </w:r>
          </w:p>
        </w:tc>
        <w:tc>
          <w:tcPr>
            <w:tcW w:w="0" w:type="auto"/>
            <w:shd w:val="clear" w:color="auto" w:fill="auto"/>
            <w:vAlign w:val="center"/>
          </w:tcPr>
          <w:p w14:paraId="48B6C521" w14:textId="77777777" w:rsidR="002F3880" w:rsidRPr="006070EA" w:rsidRDefault="002F3880" w:rsidP="008F20FA">
            <w:pPr>
              <w:pStyle w:val="Bezmezer"/>
              <w:suppressAutoHyphens/>
              <w:jc w:val="center"/>
              <w:rPr>
                <w:rFonts w:asciiTheme="majorHAnsi" w:hAnsiTheme="majorHAnsi" w:cstheme="majorHAnsi"/>
                <w:szCs w:val="18"/>
                <w:lang w:val="cs-CZ"/>
              </w:rPr>
            </w:pPr>
            <w:r w:rsidRPr="006070EA">
              <w:rPr>
                <w:rFonts w:asciiTheme="majorHAnsi" w:hAnsiTheme="majorHAnsi" w:cstheme="majorHAnsi"/>
                <w:szCs w:val="18"/>
                <w:lang w:val="cs-CZ"/>
              </w:rPr>
              <w:t>Nymburk</w:t>
            </w:r>
          </w:p>
        </w:tc>
      </w:tr>
      <w:tr w:rsidR="00EF1675" w:rsidRPr="006070EA" w14:paraId="78E49900" w14:textId="77777777" w:rsidTr="008F20FA">
        <w:trPr>
          <w:trHeight w:val="20"/>
          <w:jc w:val="center"/>
        </w:trPr>
        <w:tc>
          <w:tcPr>
            <w:tcW w:w="0" w:type="auto"/>
            <w:shd w:val="clear" w:color="auto" w:fill="auto"/>
            <w:vAlign w:val="center"/>
            <w:hideMark/>
          </w:tcPr>
          <w:p w14:paraId="1785F961" w14:textId="77777777" w:rsidR="002F3880" w:rsidRPr="006070EA" w:rsidRDefault="002F3880" w:rsidP="008F20FA">
            <w:pPr>
              <w:pStyle w:val="Bezmezer"/>
              <w:suppressAutoHyphens/>
              <w:jc w:val="center"/>
              <w:rPr>
                <w:rFonts w:asciiTheme="majorHAnsi" w:hAnsiTheme="majorHAnsi" w:cstheme="majorHAnsi"/>
                <w:b/>
                <w:bCs/>
                <w:szCs w:val="18"/>
                <w:lang w:val="cs-CZ"/>
              </w:rPr>
            </w:pPr>
            <w:r w:rsidRPr="006070EA">
              <w:rPr>
                <w:rFonts w:asciiTheme="majorHAnsi" w:hAnsiTheme="majorHAnsi" w:cstheme="majorHAnsi"/>
                <w:b/>
                <w:bCs/>
                <w:szCs w:val="18"/>
                <w:shd w:val="clear" w:color="auto" w:fill="FBFBFB"/>
                <w:lang w:val="cs-CZ"/>
              </w:rPr>
              <w:t>13-13-05/3</w:t>
            </w:r>
          </w:p>
        </w:tc>
        <w:tc>
          <w:tcPr>
            <w:tcW w:w="0" w:type="auto"/>
            <w:shd w:val="clear" w:color="auto" w:fill="auto"/>
            <w:vAlign w:val="center"/>
          </w:tcPr>
          <w:p w14:paraId="28703A57" w14:textId="1C2177C2" w:rsidR="002F3880" w:rsidRPr="006070EA" w:rsidRDefault="002F3880" w:rsidP="008F20FA">
            <w:pPr>
              <w:spacing w:after="0"/>
              <w:jc w:val="center"/>
              <w:rPr>
                <w:rFonts w:asciiTheme="majorHAnsi" w:hAnsiTheme="majorHAnsi" w:cstheme="majorHAnsi"/>
                <w:sz w:val="18"/>
                <w:szCs w:val="18"/>
              </w:rPr>
            </w:pPr>
            <w:r w:rsidRPr="006070EA">
              <w:rPr>
                <w:rFonts w:asciiTheme="majorHAnsi" w:hAnsiTheme="majorHAnsi" w:cstheme="majorHAnsi"/>
                <w:sz w:val="18"/>
                <w:szCs w:val="18"/>
              </w:rPr>
              <w:t>Kostomlaty n/L - "V Komínech"</w:t>
            </w:r>
          </w:p>
        </w:tc>
        <w:tc>
          <w:tcPr>
            <w:tcW w:w="0" w:type="auto"/>
            <w:shd w:val="clear" w:color="auto" w:fill="auto"/>
            <w:vAlign w:val="center"/>
          </w:tcPr>
          <w:p w14:paraId="747AF657" w14:textId="77777777" w:rsidR="002F3880" w:rsidRPr="006070EA" w:rsidRDefault="002F3880" w:rsidP="008F20FA">
            <w:pPr>
              <w:pStyle w:val="Bezmezer"/>
              <w:suppressAutoHyphens/>
              <w:jc w:val="center"/>
              <w:rPr>
                <w:rFonts w:asciiTheme="majorHAnsi" w:hAnsiTheme="majorHAnsi" w:cstheme="majorHAnsi"/>
                <w:szCs w:val="18"/>
                <w:lang w:val="cs-CZ"/>
              </w:rPr>
            </w:pPr>
            <w:r w:rsidRPr="006070EA">
              <w:rPr>
                <w:rFonts w:asciiTheme="majorHAnsi" w:hAnsiTheme="majorHAnsi" w:cstheme="majorHAnsi"/>
                <w:szCs w:val="18"/>
                <w:lang w:val="cs-CZ"/>
              </w:rPr>
              <w:t>I</w:t>
            </w:r>
          </w:p>
        </w:tc>
        <w:tc>
          <w:tcPr>
            <w:tcW w:w="0" w:type="auto"/>
            <w:shd w:val="clear" w:color="auto" w:fill="auto"/>
            <w:vAlign w:val="center"/>
          </w:tcPr>
          <w:p w14:paraId="2C496689" w14:textId="77777777" w:rsidR="002F3880" w:rsidRPr="006070EA" w:rsidRDefault="002F3880" w:rsidP="008F20FA">
            <w:pPr>
              <w:pStyle w:val="Bezmezer"/>
              <w:suppressAutoHyphens/>
              <w:jc w:val="center"/>
              <w:rPr>
                <w:rFonts w:asciiTheme="majorHAnsi" w:hAnsiTheme="majorHAnsi" w:cstheme="majorHAnsi"/>
                <w:szCs w:val="18"/>
                <w:lang w:val="cs-CZ"/>
              </w:rPr>
            </w:pPr>
            <w:r w:rsidRPr="006070EA">
              <w:rPr>
                <w:rFonts w:asciiTheme="majorHAnsi" w:hAnsiTheme="majorHAnsi" w:cstheme="majorHAnsi"/>
                <w:szCs w:val="18"/>
                <w:shd w:val="clear" w:color="auto" w:fill="FBFBFB"/>
                <w:lang w:val="cs-CZ"/>
              </w:rPr>
              <w:t>Kostomlaty nad Labem</w:t>
            </w:r>
          </w:p>
        </w:tc>
        <w:tc>
          <w:tcPr>
            <w:tcW w:w="0" w:type="auto"/>
            <w:shd w:val="clear" w:color="auto" w:fill="auto"/>
            <w:vAlign w:val="center"/>
          </w:tcPr>
          <w:p w14:paraId="16EF6439" w14:textId="77777777" w:rsidR="002F3880" w:rsidRPr="006070EA" w:rsidRDefault="002F3880" w:rsidP="008F20FA">
            <w:pPr>
              <w:pStyle w:val="Bezmezer"/>
              <w:suppressAutoHyphens/>
              <w:jc w:val="center"/>
              <w:rPr>
                <w:rFonts w:asciiTheme="majorHAnsi" w:hAnsiTheme="majorHAnsi" w:cstheme="majorHAnsi"/>
                <w:szCs w:val="18"/>
                <w:lang w:val="cs-CZ"/>
              </w:rPr>
            </w:pPr>
            <w:r w:rsidRPr="006070EA">
              <w:rPr>
                <w:rFonts w:asciiTheme="majorHAnsi" w:hAnsiTheme="majorHAnsi" w:cstheme="majorHAnsi"/>
                <w:szCs w:val="18"/>
                <w:lang w:val="cs-CZ"/>
              </w:rPr>
              <w:t>Nymburk</w:t>
            </w:r>
          </w:p>
        </w:tc>
      </w:tr>
      <w:tr w:rsidR="00EF1675" w:rsidRPr="006070EA" w14:paraId="40FA0EA5" w14:textId="77777777" w:rsidTr="008F20FA">
        <w:trPr>
          <w:trHeight w:val="20"/>
          <w:jc w:val="center"/>
        </w:trPr>
        <w:tc>
          <w:tcPr>
            <w:tcW w:w="0" w:type="auto"/>
            <w:shd w:val="clear" w:color="auto" w:fill="auto"/>
            <w:vAlign w:val="center"/>
          </w:tcPr>
          <w:p w14:paraId="3050AAE7" w14:textId="420C363A" w:rsidR="002F3880" w:rsidRPr="006070EA" w:rsidRDefault="002F3880" w:rsidP="008F20FA">
            <w:pPr>
              <w:spacing w:after="0"/>
              <w:jc w:val="center"/>
              <w:rPr>
                <w:rFonts w:asciiTheme="majorHAnsi" w:hAnsiTheme="majorHAnsi" w:cstheme="majorHAnsi"/>
                <w:b/>
                <w:bCs/>
                <w:sz w:val="18"/>
                <w:szCs w:val="18"/>
              </w:rPr>
            </w:pPr>
            <w:r w:rsidRPr="006070EA">
              <w:rPr>
                <w:rFonts w:asciiTheme="majorHAnsi" w:hAnsiTheme="majorHAnsi" w:cstheme="majorHAnsi"/>
                <w:b/>
                <w:bCs/>
                <w:sz w:val="18"/>
                <w:szCs w:val="18"/>
              </w:rPr>
              <w:t>13-13-05/4</w:t>
            </w:r>
          </w:p>
        </w:tc>
        <w:tc>
          <w:tcPr>
            <w:tcW w:w="0" w:type="auto"/>
            <w:shd w:val="clear" w:color="auto" w:fill="auto"/>
            <w:vAlign w:val="center"/>
          </w:tcPr>
          <w:p w14:paraId="58966868" w14:textId="402DA8C7" w:rsidR="002F3880" w:rsidRPr="006070EA" w:rsidRDefault="002F3880" w:rsidP="008F20FA">
            <w:pPr>
              <w:spacing w:after="0"/>
              <w:jc w:val="center"/>
              <w:rPr>
                <w:rFonts w:asciiTheme="majorHAnsi" w:hAnsiTheme="majorHAnsi" w:cstheme="majorHAnsi"/>
                <w:sz w:val="18"/>
                <w:szCs w:val="18"/>
              </w:rPr>
            </w:pPr>
            <w:r w:rsidRPr="006070EA">
              <w:rPr>
                <w:rFonts w:asciiTheme="majorHAnsi" w:hAnsiTheme="majorHAnsi" w:cstheme="majorHAnsi"/>
                <w:sz w:val="18"/>
                <w:szCs w:val="18"/>
              </w:rPr>
              <w:t>Kostomlaty nad Labem - jádro vsi</w:t>
            </w:r>
          </w:p>
        </w:tc>
        <w:tc>
          <w:tcPr>
            <w:tcW w:w="0" w:type="auto"/>
            <w:shd w:val="clear" w:color="auto" w:fill="auto"/>
            <w:vAlign w:val="center"/>
          </w:tcPr>
          <w:p w14:paraId="1D305119" w14:textId="77777777" w:rsidR="002F3880" w:rsidRPr="006070EA" w:rsidRDefault="002F3880" w:rsidP="008F20FA">
            <w:pPr>
              <w:pStyle w:val="Bezmezer"/>
              <w:suppressAutoHyphens/>
              <w:jc w:val="center"/>
              <w:rPr>
                <w:rFonts w:asciiTheme="majorHAnsi" w:hAnsiTheme="majorHAnsi" w:cstheme="majorHAnsi"/>
                <w:szCs w:val="18"/>
                <w:lang w:val="cs-CZ"/>
              </w:rPr>
            </w:pPr>
            <w:r w:rsidRPr="006070EA">
              <w:rPr>
                <w:rFonts w:asciiTheme="majorHAnsi" w:hAnsiTheme="majorHAnsi" w:cstheme="majorHAnsi"/>
                <w:szCs w:val="18"/>
                <w:lang w:val="cs-CZ"/>
              </w:rPr>
              <w:t>I</w:t>
            </w:r>
          </w:p>
        </w:tc>
        <w:tc>
          <w:tcPr>
            <w:tcW w:w="0" w:type="auto"/>
            <w:shd w:val="clear" w:color="auto" w:fill="auto"/>
            <w:vAlign w:val="center"/>
          </w:tcPr>
          <w:p w14:paraId="61A3F476" w14:textId="77777777" w:rsidR="002F3880" w:rsidRPr="006070EA" w:rsidRDefault="002F3880" w:rsidP="008F20FA">
            <w:pPr>
              <w:pStyle w:val="Bezmezer"/>
              <w:suppressAutoHyphens/>
              <w:jc w:val="center"/>
              <w:rPr>
                <w:rFonts w:asciiTheme="majorHAnsi" w:hAnsiTheme="majorHAnsi" w:cstheme="majorHAnsi"/>
                <w:szCs w:val="18"/>
                <w:lang w:val="cs-CZ"/>
              </w:rPr>
            </w:pPr>
            <w:r w:rsidRPr="006070EA">
              <w:rPr>
                <w:rFonts w:asciiTheme="majorHAnsi" w:hAnsiTheme="majorHAnsi" w:cstheme="majorHAnsi"/>
                <w:szCs w:val="18"/>
                <w:shd w:val="clear" w:color="auto" w:fill="FBFBFB"/>
                <w:lang w:val="cs-CZ"/>
              </w:rPr>
              <w:t>Kostomlaty nad Labem</w:t>
            </w:r>
          </w:p>
        </w:tc>
        <w:tc>
          <w:tcPr>
            <w:tcW w:w="0" w:type="auto"/>
            <w:shd w:val="clear" w:color="auto" w:fill="auto"/>
            <w:vAlign w:val="center"/>
          </w:tcPr>
          <w:p w14:paraId="69E63E89" w14:textId="77777777" w:rsidR="002F3880" w:rsidRPr="006070EA" w:rsidRDefault="002F3880" w:rsidP="008F20FA">
            <w:pPr>
              <w:pStyle w:val="Bezmezer"/>
              <w:suppressAutoHyphens/>
              <w:jc w:val="center"/>
              <w:rPr>
                <w:rFonts w:asciiTheme="majorHAnsi" w:hAnsiTheme="majorHAnsi" w:cstheme="majorHAnsi"/>
                <w:szCs w:val="18"/>
                <w:lang w:val="cs-CZ"/>
              </w:rPr>
            </w:pPr>
            <w:r w:rsidRPr="006070EA">
              <w:rPr>
                <w:rFonts w:asciiTheme="majorHAnsi" w:hAnsiTheme="majorHAnsi" w:cstheme="majorHAnsi"/>
                <w:szCs w:val="18"/>
                <w:lang w:val="cs-CZ"/>
              </w:rPr>
              <w:t>Nymburk</w:t>
            </w:r>
          </w:p>
        </w:tc>
      </w:tr>
      <w:tr w:rsidR="00EF1675" w:rsidRPr="006070EA" w14:paraId="24F279F2" w14:textId="77777777" w:rsidTr="008F20FA">
        <w:trPr>
          <w:trHeight w:val="20"/>
          <w:jc w:val="center"/>
        </w:trPr>
        <w:tc>
          <w:tcPr>
            <w:tcW w:w="0" w:type="auto"/>
            <w:shd w:val="clear" w:color="auto" w:fill="auto"/>
            <w:vAlign w:val="center"/>
          </w:tcPr>
          <w:p w14:paraId="20BB1365" w14:textId="4F3AF593" w:rsidR="002F3880" w:rsidRPr="006070EA" w:rsidRDefault="002F3880" w:rsidP="008F20FA">
            <w:pPr>
              <w:spacing w:after="0"/>
              <w:jc w:val="center"/>
              <w:rPr>
                <w:rFonts w:asciiTheme="majorHAnsi" w:hAnsiTheme="majorHAnsi" w:cstheme="majorHAnsi"/>
                <w:b/>
                <w:bCs/>
                <w:sz w:val="18"/>
                <w:szCs w:val="18"/>
              </w:rPr>
            </w:pPr>
            <w:r w:rsidRPr="006070EA">
              <w:rPr>
                <w:rFonts w:asciiTheme="majorHAnsi" w:hAnsiTheme="majorHAnsi" w:cstheme="majorHAnsi"/>
                <w:b/>
                <w:bCs/>
                <w:sz w:val="18"/>
                <w:szCs w:val="18"/>
              </w:rPr>
              <w:t>13-13-05/5</w:t>
            </w:r>
          </w:p>
        </w:tc>
        <w:tc>
          <w:tcPr>
            <w:tcW w:w="0" w:type="auto"/>
            <w:shd w:val="clear" w:color="auto" w:fill="auto"/>
            <w:vAlign w:val="center"/>
          </w:tcPr>
          <w:p w14:paraId="1760784F" w14:textId="29D7C745" w:rsidR="002F3880" w:rsidRPr="006070EA" w:rsidRDefault="002F3880" w:rsidP="008F20FA">
            <w:pPr>
              <w:spacing w:after="0"/>
              <w:jc w:val="center"/>
              <w:rPr>
                <w:rFonts w:asciiTheme="majorHAnsi" w:hAnsiTheme="majorHAnsi" w:cstheme="majorHAnsi"/>
                <w:sz w:val="18"/>
                <w:szCs w:val="18"/>
              </w:rPr>
            </w:pPr>
            <w:r w:rsidRPr="006070EA">
              <w:rPr>
                <w:rFonts w:asciiTheme="majorHAnsi" w:hAnsiTheme="majorHAnsi" w:cstheme="majorHAnsi"/>
                <w:sz w:val="18"/>
                <w:szCs w:val="18"/>
              </w:rPr>
              <w:t>"Šibice"</w:t>
            </w:r>
          </w:p>
        </w:tc>
        <w:tc>
          <w:tcPr>
            <w:tcW w:w="0" w:type="auto"/>
            <w:shd w:val="clear" w:color="auto" w:fill="auto"/>
            <w:vAlign w:val="center"/>
          </w:tcPr>
          <w:p w14:paraId="6AF41AAE" w14:textId="77777777" w:rsidR="002F3880" w:rsidRPr="006070EA" w:rsidRDefault="002F3880" w:rsidP="008F20FA">
            <w:pPr>
              <w:pStyle w:val="Bezmezer"/>
              <w:suppressAutoHyphens/>
              <w:jc w:val="center"/>
              <w:rPr>
                <w:rFonts w:asciiTheme="majorHAnsi" w:hAnsiTheme="majorHAnsi" w:cstheme="majorHAnsi"/>
                <w:szCs w:val="18"/>
                <w:lang w:val="cs-CZ"/>
              </w:rPr>
            </w:pPr>
            <w:r w:rsidRPr="006070EA">
              <w:rPr>
                <w:rFonts w:asciiTheme="majorHAnsi" w:hAnsiTheme="majorHAnsi" w:cstheme="majorHAnsi"/>
                <w:szCs w:val="18"/>
                <w:lang w:val="cs-CZ"/>
              </w:rPr>
              <w:t>I</w:t>
            </w:r>
          </w:p>
        </w:tc>
        <w:tc>
          <w:tcPr>
            <w:tcW w:w="0" w:type="auto"/>
            <w:shd w:val="clear" w:color="auto" w:fill="auto"/>
            <w:vAlign w:val="center"/>
          </w:tcPr>
          <w:p w14:paraId="31B076F4" w14:textId="77777777" w:rsidR="002F3880" w:rsidRPr="006070EA" w:rsidRDefault="002F3880" w:rsidP="008F20FA">
            <w:pPr>
              <w:pStyle w:val="Bezmezer"/>
              <w:suppressAutoHyphens/>
              <w:jc w:val="center"/>
              <w:rPr>
                <w:rFonts w:asciiTheme="majorHAnsi" w:hAnsiTheme="majorHAnsi" w:cstheme="majorHAnsi"/>
                <w:szCs w:val="18"/>
                <w:lang w:val="cs-CZ"/>
              </w:rPr>
            </w:pPr>
            <w:r w:rsidRPr="006070EA">
              <w:rPr>
                <w:rFonts w:asciiTheme="majorHAnsi" w:hAnsiTheme="majorHAnsi" w:cstheme="majorHAnsi"/>
                <w:szCs w:val="18"/>
                <w:lang w:val="cs-CZ"/>
              </w:rPr>
              <w:t>Hronětice</w:t>
            </w:r>
          </w:p>
        </w:tc>
        <w:tc>
          <w:tcPr>
            <w:tcW w:w="0" w:type="auto"/>
            <w:shd w:val="clear" w:color="auto" w:fill="auto"/>
            <w:vAlign w:val="center"/>
          </w:tcPr>
          <w:p w14:paraId="59D03E4A" w14:textId="77777777" w:rsidR="002F3880" w:rsidRPr="006070EA" w:rsidRDefault="002F3880" w:rsidP="008F20FA">
            <w:pPr>
              <w:pStyle w:val="Bezmezer"/>
              <w:suppressAutoHyphens/>
              <w:jc w:val="center"/>
              <w:rPr>
                <w:rFonts w:asciiTheme="majorHAnsi" w:hAnsiTheme="majorHAnsi" w:cstheme="majorHAnsi"/>
                <w:szCs w:val="18"/>
                <w:lang w:val="cs-CZ"/>
              </w:rPr>
            </w:pPr>
            <w:r w:rsidRPr="006070EA">
              <w:rPr>
                <w:rFonts w:asciiTheme="majorHAnsi" w:hAnsiTheme="majorHAnsi" w:cstheme="majorHAnsi"/>
                <w:szCs w:val="18"/>
                <w:lang w:val="cs-CZ"/>
              </w:rPr>
              <w:t>Nymburk</w:t>
            </w:r>
          </w:p>
        </w:tc>
      </w:tr>
      <w:tr w:rsidR="00EF1675" w:rsidRPr="006070EA" w14:paraId="0559CC2B" w14:textId="77777777" w:rsidTr="008F20FA">
        <w:trPr>
          <w:trHeight w:val="20"/>
          <w:jc w:val="center"/>
        </w:trPr>
        <w:tc>
          <w:tcPr>
            <w:tcW w:w="0" w:type="auto"/>
            <w:shd w:val="clear" w:color="auto" w:fill="auto"/>
            <w:vAlign w:val="center"/>
          </w:tcPr>
          <w:p w14:paraId="10B5226E" w14:textId="0049BC0D" w:rsidR="002F3880" w:rsidRPr="006070EA" w:rsidRDefault="002F3880" w:rsidP="008F20FA">
            <w:pPr>
              <w:spacing w:after="0"/>
              <w:jc w:val="center"/>
              <w:rPr>
                <w:rFonts w:asciiTheme="majorHAnsi" w:hAnsiTheme="majorHAnsi" w:cstheme="majorHAnsi"/>
                <w:b/>
                <w:bCs/>
                <w:sz w:val="18"/>
                <w:szCs w:val="18"/>
              </w:rPr>
            </w:pPr>
            <w:r w:rsidRPr="006070EA">
              <w:rPr>
                <w:rFonts w:asciiTheme="majorHAnsi" w:hAnsiTheme="majorHAnsi" w:cstheme="majorHAnsi"/>
                <w:b/>
                <w:bCs/>
                <w:sz w:val="18"/>
                <w:szCs w:val="18"/>
              </w:rPr>
              <w:t>13-13-05/6</w:t>
            </w:r>
          </w:p>
        </w:tc>
        <w:tc>
          <w:tcPr>
            <w:tcW w:w="0" w:type="auto"/>
            <w:shd w:val="clear" w:color="auto" w:fill="auto"/>
            <w:vAlign w:val="center"/>
          </w:tcPr>
          <w:p w14:paraId="00AFD79B" w14:textId="084B70C2" w:rsidR="002F3880" w:rsidRPr="006070EA" w:rsidRDefault="002F3880" w:rsidP="008F20FA">
            <w:pPr>
              <w:spacing w:after="0"/>
              <w:jc w:val="center"/>
              <w:rPr>
                <w:rFonts w:asciiTheme="majorHAnsi" w:hAnsiTheme="majorHAnsi" w:cstheme="majorHAnsi"/>
                <w:sz w:val="18"/>
                <w:szCs w:val="18"/>
              </w:rPr>
            </w:pPr>
            <w:r w:rsidRPr="006070EA">
              <w:rPr>
                <w:rFonts w:asciiTheme="majorHAnsi" w:hAnsiTheme="majorHAnsi" w:cstheme="majorHAnsi"/>
                <w:sz w:val="18"/>
                <w:szCs w:val="18"/>
              </w:rPr>
              <w:t>Vápensko - středověké a novověké jádro vsi</w:t>
            </w:r>
          </w:p>
        </w:tc>
        <w:tc>
          <w:tcPr>
            <w:tcW w:w="0" w:type="auto"/>
            <w:shd w:val="clear" w:color="auto" w:fill="auto"/>
            <w:vAlign w:val="center"/>
          </w:tcPr>
          <w:p w14:paraId="74EEF740" w14:textId="77777777" w:rsidR="002F3880" w:rsidRPr="006070EA" w:rsidRDefault="002F3880" w:rsidP="008F20FA">
            <w:pPr>
              <w:pStyle w:val="Bezmezer"/>
              <w:suppressAutoHyphens/>
              <w:jc w:val="center"/>
              <w:rPr>
                <w:rFonts w:asciiTheme="majorHAnsi" w:hAnsiTheme="majorHAnsi" w:cstheme="majorHAnsi"/>
                <w:szCs w:val="18"/>
                <w:lang w:val="cs-CZ"/>
              </w:rPr>
            </w:pPr>
            <w:r w:rsidRPr="006070EA">
              <w:rPr>
                <w:rFonts w:asciiTheme="majorHAnsi" w:hAnsiTheme="majorHAnsi" w:cstheme="majorHAnsi"/>
                <w:szCs w:val="18"/>
                <w:lang w:val="cs-CZ"/>
              </w:rPr>
              <w:t>II</w:t>
            </w:r>
          </w:p>
        </w:tc>
        <w:tc>
          <w:tcPr>
            <w:tcW w:w="0" w:type="auto"/>
            <w:shd w:val="clear" w:color="auto" w:fill="auto"/>
            <w:vAlign w:val="center"/>
          </w:tcPr>
          <w:p w14:paraId="0E9036F5" w14:textId="77777777" w:rsidR="002F3880" w:rsidRPr="006070EA" w:rsidRDefault="002F3880" w:rsidP="008F20FA">
            <w:pPr>
              <w:pStyle w:val="Bezmezer"/>
              <w:suppressAutoHyphens/>
              <w:jc w:val="center"/>
              <w:rPr>
                <w:rFonts w:asciiTheme="majorHAnsi" w:hAnsiTheme="majorHAnsi" w:cstheme="majorHAnsi"/>
                <w:szCs w:val="18"/>
                <w:lang w:val="cs-CZ"/>
              </w:rPr>
            </w:pPr>
            <w:r w:rsidRPr="006070EA">
              <w:rPr>
                <w:rFonts w:asciiTheme="majorHAnsi" w:hAnsiTheme="majorHAnsi" w:cstheme="majorHAnsi"/>
                <w:szCs w:val="18"/>
                <w:lang w:val="cs-CZ"/>
              </w:rPr>
              <w:t>Hronětice</w:t>
            </w:r>
          </w:p>
        </w:tc>
        <w:tc>
          <w:tcPr>
            <w:tcW w:w="0" w:type="auto"/>
            <w:shd w:val="clear" w:color="auto" w:fill="auto"/>
            <w:vAlign w:val="center"/>
          </w:tcPr>
          <w:p w14:paraId="4D9918D0" w14:textId="77777777" w:rsidR="002F3880" w:rsidRPr="006070EA" w:rsidRDefault="002F3880" w:rsidP="008F20FA">
            <w:pPr>
              <w:pStyle w:val="Bezmezer"/>
              <w:suppressAutoHyphens/>
              <w:jc w:val="center"/>
              <w:rPr>
                <w:rFonts w:asciiTheme="majorHAnsi" w:hAnsiTheme="majorHAnsi" w:cstheme="majorHAnsi"/>
                <w:szCs w:val="18"/>
                <w:lang w:val="cs-CZ"/>
              </w:rPr>
            </w:pPr>
            <w:r w:rsidRPr="006070EA">
              <w:rPr>
                <w:rFonts w:asciiTheme="majorHAnsi" w:hAnsiTheme="majorHAnsi" w:cstheme="majorHAnsi"/>
                <w:szCs w:val="18"/>
                <w:lang w:val="cs-CZ"/>
              </w:rPr>
              <w:t>Nymburk</w:t>
            </w:r>
          </w:p>
        </w:tc>
      </w:tr>
      <w:tr w:rsidR="00EF1675" w:rsidRPr="006070EA" w14:paraId="1B3677BF" w14:textId="77777777" w:rsidTr="008F20FA">
        <w:trPr>
          <w:trHeight w:val="20"/>
          <w:jc w:val="center"/>
        </w:trPr>
        <w:tc>
          <w:tcPr>
            <w:tcW w:w="0" w:type="auto"/>
            <w:shd w:val="clear" w:color="auto" w:fill="auto"/>
            <w:vAlign w:val="center"/>
          </w:tcPr>
          <w:p w14:paraId="7927CA34" w14:textId="722D9BCF" w:rsidR="002F3880" w:rsidRPr="006070EA" w:rsidRDefault="002F3880" w:rsidP="008F20FA">
            <w:pPr>
              <w:spacing w:after="0"/>
              <w:jc w:val="center"/>
              <w:rPr>
                <w:rFonts w:asciiTheme="majorHAnsi" w:hAnsiTheme="majorHAnsi" w:cstheme="majorHAnsi"/>
                <w:b/>
                <w:bCs/>
                <w:sz w:val="18"/>
                <w:szCs w:val="18"/>
              </w:rPr>
            </w:pPr>
            <w:r w:rsidRPr="006070EA">
              <w:rPr>
                <w:rFonts w:asciiTheme="majorHAnsi" w:hAnsiTheme="majorHAnsi" w:cstheme="majorHAnsi"/>
                <w:b/>
                <w:bCs/>
                <w:sz w:val="18"/>
                <w:szCs w:val="18"/>
              </w:rPr>
              <w:t>13-13-05/7</w:t>
            </w:r>
          </w:p>
        </w:tc>
        <w:tc>
          <w:tcPr>
            <w:tcW w:w="0" w:type="auto"/>
            <w:shd w:val="clear" w:color="auto" w:fill="auto"/>
            <w:vAlign w:val="center"/>
          </w:tcPr>
          <w:p w14:paraId="3BF21C8E" w14:textId="77B15533" w:rsidR="002F3880" w:rsidRPr="006070EA" w:rsidRDefault="002F3880" w:rsidP="008F20FA">
            <w:pPr>
              <w:spacing w:after="0"/>
              <w:jc w:val="center"/>
              <w:rPr>
                <w:rFonts w:asciiTheme="majorHAnsi" w:hAnsiTheme="majorHAnsi" w:cstheme="majorHAnsi"/>
                <w:sz w:val="18"/>
                <w:szCs w:val="18"/>
              </w:rPr>
            </w:pPr>
            <w:r w:rsidRPr="006070EA">
              <w:rPr>
                <w:rFonts w:asciiTheme="majorHAnsi" w:hAnsiTheme="majorHAnsi" w:cstheme="majorHAnsi"/>
                <w:sz w:val="18"/>
                <w:szCs w:val="18"/>
              </w:rPr>
              <w:t>Písečník Z od obce</w:t>
            </w:r>
          </w:p>
        </w:tc>
        <w:tc>
          <w:tcPr>
            <w:tcW w:w="0" w:type="auto"/>
            <w:shd w:val="clear" w:color="auto" w:fill="auto"/>
            <w:vAlign w:val="center"/>
          </w:tcPr>
          <w:p w14:paraId="523E4DCC" w14:textId="77777777" w:rsidR="002F3880" w:rsidRPr="006070EA" w:rsidRDefault="002F3880" w:rsidP="008F20FA">
            <w:pPr>
              <w:pStyle w:val="Bezmezer"/>
              <w:suppressAutoHyphens/>
              <w:jc w:val="center"/>
              <w:rPr>
                <w:rFonts w:asciiTheme="majorHAnsi" w:hAnsiTheme="majorHAnsi" w:cstheme="majorHAnsi"/>
                <w:szCs w:val="18"/>
                <w:lang w:val="cs-CZ"/>
              </w:rPr>
            </w:pPr>
            <w:r w:rsidRPr="006070EA">
              <w:rPr>
                <w:rFonts w:asciiTheme="majorHAnsi" w:hAnsiTheme="majorHAnsi" w:cstheme="majorHAnsi"/>
                <w:szCs w:val="18"/>
                <w:lang w:val="cs-CZ"/>
              </w:rPr>
              <w:t>I</w:t>
            </w:r>
          </w:p>
        </w:tc>
        <w:tc>
          <w:tcPr>
            <w:tcW w:w="0" w:type="auto"/>
            <w:shd w:val="clear" w:color="auto" w:fill="auto"/>
            <w:vAlign w:val="center"/>
          </w:tcPr>
          <w:p w14:paraId="3B3B7FA0" w14:textId="77777777" w:rsidR="002F3880" w:rsidRPr="006070EA" w:rsidRDefault="002F3880" w:rsidP="008F20FA">
            <w:pPr>
              <w:pStyle w:val="Bezmezer"/>
              <w:suppressAutoHyphens/>
              <w:jc w:val="center"/>
              <w:rPr>
                <w:rFonts w:asciiTheme="majorHAnsi" w:hAnsiTheme="majorHAnsi" w:cstheme="majorHAnsi"/>
                <w:szCs w:val="18"/>
                <w:lang w:val="cs-CZ"/>
              </w:rPr>
            </w:pPr>
            <w:r w:rsidRPr="006070EA">
              <w:rPr>
                <w:rFonts w:asciiTheme="majorHAnsi" w:hAnsiTheme="majorHAnsi" w:cstheme="majorHAnsi"/>
                <w:szCs w:val="18"/>
                <w:shd w:val="clear" w:color="auto" w:fill="FBFBFB"/>
                <w:lang w:val="cs-CZ"/>
              </w:rPr>
              <w:t>Kostomlaty nad Labem</w:t>
            </w:r>
          </w:p>
        </w:tc>
        <w:tc>
          <w:tcPr>
            <w:tcW w:w="0" w:type="auto"/>
            <w:shd w:val="clear" w:color="auto" w:fill="auto"/>
            <w:vAlign w:val="center"/>
          </w:tcPr>
          <w:p w14:paraId="749BE1E8" w14:textId="77777777" w:rsidR="002F3880" w:rsidRPr="006070EA" w:rsidRDefault="002F3880" w:rsidP="008F20FA">
            <w:pPr>
              <w:pStyle w:val="Bezmezer"/>
              <w:suppressAutoHyphens/>
              <w:jc w:val="center"/>
              <w:rPr>
                <w:rFonts w:asciiTheme="majorHAnsi" w:hAnsiTheme="majorHAnsi" w:cstheme="majorHAnsi"/>
                <w:szCs w:val="18"/>
                <w:lang w:val="cs-CZ"/>
              </w:rPr>
            </w:pPr>
            <w:r w:rsidRPr="006070EA">
              <w:rPr>
                <w:rFonts w:asciiTheme="majorHAnsi" w:hAnsiTheme="majorHAnsi" w:cstheme="majorHAnsi"/>
                <w:szCs w:val="18"/>
                <w:lang w:val="cs-CZ"/>
              </w:rPr>
              <w:t>Nymburk</w:t>
            </w:r>
          </w:p>
        </w:tc>
      </w:tr>
      <w:tr w:rsidR="00EF1675" w:rsidRPr="006070EA" w14:paraId="5FBF79C3" w14:textId="77777777" w:rsidTr="008F20FA">
        <w:trPr>
          <w:trHeight w:val="20"/>
          <w:jc w:val="center"/>
        </w:trPr>
        <w:tc>
          <w:tcPr>
            <w:tcW w:w="0" w:type="auto"/>
            <w:shd w:val="clear" w:color="auto" w:fill="auto"/>
            <w:vAlign w:val="center"/>
          </w:tcPr>
          <w:p w14:paraId="78FDDD51" w14:textId="500EEA82" w:rsidR="002F3880" w:rsidRPr="006070EA" w:rsidRDefault="002F3880" w:rsidP="008F20FA">
            <w:pPr>
              <w:spacing w:after="0"/>
              <w:jc w:val="center"/>
              <w:rPr>
                <w:rFonts w:asciiTheme="majorHAnsi" w:hAnsiTheme="majorHAnsi" w:cstheme="majorHAnsi"/>
                <w:b/>
                <w:bCs/>
                <w:sz w:val="18"/>
                <w:szCs w:val="18"/>
              </w:rPr>
            </w:pPr>
            <w:r w:rsidRPr="006070EA">
              <w:rPr>
                <w:rFonts w:asciiTheme="majorHAnsi" w:hAnsiTheme="majorHAnsi" w:cstheme="majorHAnsi"/>
                <w:b/>
                <w:bCs/>
                <w:sz w:val="18"/>
                <w:szCs w:val="18"/>
              </w:rPr>
              <w:t>13-13-05/8</w:t>
            </w:r>
          </w:p>
        </w:tc>
        <w:tc>
          <w:tcPr>
            <w:tcW w:w="0" w:type="auto"/>
            <w:shd w:val="clear" w:color="auto" w:fill="auto"/>
            <w:vAlign w:val="center"/>
          </w:tcPr>
          <w:p w14:paraId="790BDB3D" w14:textId="391FFF1D" w:rsidR="002F3880" w:rsidRPr="006070EA" w:rsidRDefault="002F3880" w:rsidP="008F20FA">
            <w:pPr>
              <w:spacing w:after="0"/>
              <w:jc w:val="center"/>
              <w:rPr>
                <w:rFonts w:asciiTheme="majorHAnsi" w:hAnsiTheme="majorHAnsi" w:cstheme="majorHAnsi"/>
                <w:sz w:val="18"/>
                <w:szCs w:val="18"/>
              </w:rPr>
            </w:pPr>
            <w:r w:rsidRPr="006070EA">
              <w:rPr>
                <w:rFonts w:asciiTheme="majorHAnsi" w:hAnsiTheme="majorHAnsi" w:cstheme="majorHAnsi"/>
                <w:sz w:val="18"/>
                <w:szCs w:val="18"/>
              </w:rPr>
              <w:t>Hliník, JV od nádraží</w:t>
            </w:r>
          </w:p>
        </w:tc>
        <w:tc>
          <w:tcPr>
            <w:tcW w:w="0" w:type="auto"/>
            <w:shd w:val="clear" w:color="auto" w:fill="auto"/>
            <w:vAlign w:val="center"/>
          </w:tcPr>
          <w:p w14:paraId="56E6A234" w14:textId="77777777" w:rsidR="002F3880" w:rsidRPr="006070EA" w:rsidRDefault="002F3880" w:rsidP="008F20FA">
            <w:pPr>
              <w:pStyle w:val="Bezmezer"/>
              <w:suppressAutoHyphens/>
              <w:jc w:val="center"/>
              <w:rPr>
                <w:rFonts w:asciiTheme="majorHAnsi" w:hAnsiTheme="majorHAnsi" w:cstheme="majorHAnsi"/>
                <w:szCs w:val="18"/>
                <w:lang w:val="cs-CZ"/>
              </w:rPr>
            </w:pPr>
            <w:r w:rsidRPr="006070EA">
              <w:rPr>
                <w:rFonts w:asciiTheme="majorHAnsi" w:hAnsiTheme="majorHAnsi" w:cstheme="majorHAnsi"/>
                <w:szCs w:val="18"/>
                <w:lang w:val="cs-CZ"/>
              </w:rPr>
              <w:t>I</w:t>
            </w:r>
          </w:p>
        </w:tc>
        <w:tc>
          <w:tcPr>
            <w:tcW w:w="0" w:type="auto"/>
            <w:shd w:val="clear" w:color="auto" w:fill="auto"/>
            <w:vAlign w:val="center"/>
          </w:tcPr>
          <w:p w14:paraId="68E98638" w14:textId="77777777" w:rsidR="002F3880" w:rsidRPr="006070EA" w:rsidRDefault="002F3880" w:rsidP="008F20FA">
            <w:pPr>
              <w:pStyle w:val="Bezmezer"/>
              <w:suppressAutoHyphens/>
              <w:jc w:val="center"/>
              <w:rPr>
                <w:rFonts w:asciiTheme="majorHAnsi" w:hAnsiTheme="majorHAnsi" w:cstheme="majorHAnsi"/>
                <w:szCs w:val="18"/>
                <w:lang w:val="cs-CZ"/>
              </w:rPr>
            </w:pPr>
            <w:r w:rsidRPr="006070EA">
              <w:rPr>
                <w:rFonts w:asciiTheme="majorHAnsi" w:hAnsiTheme="majorHAnsi" w:cstheme="majorHAnsi"/>
                <w:szCs w:val="18"/>
                <w:shd w:val="clear" w:color="auto" w:fill="FBFBFB"/>
                <w:lang w:val="cs-CZ"/>
              </w:rPr>
              <w:t>Kostomlaty nad Labem</w:t>
            </w:r>
          </w:p>
        </w:tc>
        <w:tc>
          <w:tcPr>
            <w:tcW w:w="0" w:type="auto"/>
            <w:shd w:val="clear" w:color="auto" w:fill="auto"/>
            <w:vAlign w:val="center"/>
          </w:tcPr>
          <w:p w14:paraId="61CF10AC" w14:textId="77777777" w:rsidR="002F3880" w:rsidRPr="006070EA" w:rsidRDefault="002F3880" w:rsidP="008F20FA">
            <w:pPr>
              <w:pStyle w:val="Bezmezer"/>
              <w:suppressAutoHyphens/>
              <w:jc w:val="center"/>
              <w:rPr>
                <w:rFonts w:asciiTheme="majorHAnsi" w:hAnsiTheme="majorHAnsi" w:cstheme="majorHAnsi"/>
                <w:szCs w:val="18"/>
                <w:lang w:val="cs-CZ"/>
              </w:rPr>
            </w:pPr>
            <w:r w:rsidRPr="006070EA">
              <w:rPr>
                <w:rFonts w:asciiTheme="majorHAnsi" w:hAnsiTheme="majorHAnsi" w:cstheme="majorHAnsi"/>
                <w:szCs w:val="18"/>
                <w:lang w:val="cs-CZ"/>
              </w:rPr>
              <w:t>Nymburk</w:t>
            </w:r>
          </w:p>
        </w:tc>
      </w:tr>
      <w:tr w:rsidR="00EF1675" w:rsidRPr="006070EA" w14:paraId="2E851D87" w14:textId="77777777" w:rsidTr="008F20FA">
        <w:trPr>
          <w:trHeight w:val="20"/>
          <w:jc w:val="center"/>
        </w:trPr>
        <w:tc>
          <w:tcPr>
            <w:tcW w:w="0" w:type="auto"/>
            <w:shd w:val="clear" w:color="auto" w:fill="auto"/>
            <w:vAlign w:val="center"/>
          </w:tcPr>
          <w:p w14:paraId="4FAF2187" w14:textId="77777777" w:rsidR="002F3880" w:rsidRPr="006070EA" w:rsidRDefault="002F3880" w:rsidP="008F20FA">
            <w:pPr>
              <w:pStyle w:val="Bezmezer"/>
              <w:suppressAutoHyphens/>
              <w:jc w:val="center"/>
              <w:rPr>
                <w:rFonts w:asciiTheme="majorHAnsi" w:hAnsiTheme="majorHAnsi" w:cstheme="majorHAnsi"/>
                <w:b/>
                <w:bCs/>
                <w:szCs w:val="18"/>
                <w:lang w:val="cs-CZ"/>
              </w:rPr>
            </w:pPr>
            <w:r w:rsidRPr="006070EA">
              <w:rPr>
                <w:rFonts w:asciiTheme="majorHAnsi" w:hAnsiTheme="majorHAnsi" w:cstheme="majorHAnsi"/>
                <w:b/>
                <w:bCs/>
                <w:szCs w:val="18"/>
                <w:lang w:val="cs-CZ"/>
              </w:rPr>
              <w:t>13-13-05/9</w:t>
            </w:r>
          </w:p>
        </w:tc>
        <w:tc>
          <w:tcPr>
            <w:tcW w:w="0" w:type="auto"/>
            <w:shd w:val="clear" w:color="auto" w:fill="auto"/>
            <w:vAlign w:val="center"/>
          </w:tcPr>
          <w:p w14:paraId="5CA3BEC5" w14:textId="35EC8F49" w:rsidR="002F3880" w:rsidRPr="006070EA" w:rsidRDefault="002F3880" w:rsidP="008F20FA">
            <w:pPr>
              <w:spacing w:after="0"/>
              <w:jc w:val="center"/>
              <w:rPr>
                <w:rFonts w:asciiTheme="majorHAnsi" w:hAnsiTheme="majorHAnsi" w:cstheme="majorHAnsi"/>
                <w:sz w:val="18"/>
                <w:szCs w:val="18"/>
              </w:rPr>
            </w:pPr>
            <w:r w:rsidRPr="006070EA">
              <w:rPr>
                <w:rFonts w:asciiTheme="majorHAnsi" w:hAnsiTheme="majorHAnsi" w:cstheme="majorHAnsi"/>
                <w:sz w:val="18"/>
                <w:szCs w:val="18"/>
              </w:rPr>
              <w:t>Prostor nádraží a JV okolí</w:t>
            </w:r>
          </w:p>
        </w:tc>
        <w:tc>
          <w:tcPr>
            <w:tcW w:w="0" w:type="auto"/>
            <w:shd w:val="clear" w:color="auto" w:fill="auto"/>
            <w:vAlign w:val="center"/>
          </w:tcPr>
          <w:p w14:paraId="10DA67F5" w14:textId="77777777" w:rsidR="002F3880" w:rsidRPr="006070EA" w:rsidRDefault="002F3880" w:rsidP="008F20FA">
            <w:pPr>
              <w:pStyle w:val="Bezmezer"/>
              <w:suppressAutoHyphens/>
              <w:jc w:val="center"/>
              <w:rPr>
                <w:rFonts w:asciiTheme="majorHAnsi" w:hAnsiTheme="majorHAnsi" w:cstheme="majorHAnsi"/>
                <w:szCs w:val="18"/>
                <w:lang w:val="cs-CZ"/>
              </w:rPr>
            </w:pPr>
            <w:r w:rsidRPr="006070EA">
              <w:rPr>
                <w:rFonts w:asciiTheme="majorHAnsi" w:hAnsiTheme="majorHAnsi" w:cstheme="majorHAnsi"/>
                <w:szCs w:val="18"/>
                <w:lang w:val="cs-CZ"/>
              </w:rPr>
              <w:t>I</w:t>
            </w:r>
          </w:p>
        </w:tc>
        <w:tc>
          <w:tcPr>
            <w:tcW w:w="0" w:type="auto"/>
            <w:shd w:val="clear" w:color="auto" w:fill="auto"/>
            <w:vAlign w:val="center"/>
          </w:tcPr>
          <w:p w14:paraId="25D2D40F" w14:textId="77777777" w:rsidR="002F3880" w:rsidRPr="006070EA" w:rsidRDefault="002F3880" w:rsidP="008F20FA">
            <w:pPr>
              <w:pStyle w:val="Bezmezer"/>
              <w:suppressAutoHyphens/>
              <w:jc w:val="center"/>
              <w:rPr>
                <w:rFonts w:asciiTheme="majorHAnsi" w:hAnsiTheme="majorHAnsi" w:cstheme="majorHAnsi"/>
                <w:szCs w:val="18"/>
                <w:lang w:val="cs-CZ"/>
              </w:rPr>
            </w:pPr>
            <w:r w:rsidRPr="006070EA">
              <w:rPr>
                <w:rFonts w:asciiTheme="majorHAnsi" w:hAnsiTheme="majorHAnsi" w:cstheme="majorHAnsi"/>
                <w:szCs w:val="18"/>
                <w:shd w:val="clear" w:color="auto" w:fill="FBFBFB"/>
                <w:lang w:val="cs-CZ"/>
              </w:rPr>
              <w:t>Kostomlaty nad Labem</w:t>
            </w:r>
          </w:p>
        </w:tc>
        <w:tc>
          <w:tcPr>
            <w:tcW w:w="0" w:type="auto"/>
            <w:shd w:val="clear" w:color="auto" w:fill="auto"/>
            <w:vAlign w:val="center"/>
          </w:tcPr>
          <w:p w14:paraId="241E03D1" w14:textId="77777777" w:rsidR="002F3880" w:rsidRPr="006070EA" w:rsidRDefault="002F3880" w:rsidP="008F20FA">
            <w:pPr>
              <w:pStyle w:val="Bezmezer"/>
              <w:suppressAutoHyphens/>
              <w:jc w:val="center"/>
              <w:rPr>
                <w:rFonts w:asciiTheme="majorHAnsi" w:hAnsiTheme="majorHAnsi" w:cstheme="majorHAnsi"/>
                <w:szCs w:val="18"/>
                <w:lang w:val="cs-CZ"/>
              </w:rPr>
            </w:pPr>
            <w:r w:rsidRPr="006070EA">
              <w:rPr>
                <w:rFonts w:asciiTheme="majorHAnsi" w:hAnsiTheme="majorHAnsi" w:cstheme="majorHAnsi"/>
                <w:szCs w:val="18"/>
                <w:lang w:val="cs-CZ"/>
              </w:rPr>
              <w:t>Nymburk</w:t>
            </w:r>
          </w:p>
        </w:tc>
      </w:tr>
      <w:tr w:rsidR="00EF1675" w:rsidRPr="006070EA" w14:paraId="343F6A10" w14:textId="77777777" w:rsidTr="008F20FA">
        <w:trPr>
          <w:trHeight w:val="20"/>
          <w:jc w:val="center"/>
        </w:trPr>
        <w:tc>
          <w:tcPr>
            <w:tcW w:w="0" w:type="auto"/>
            <w:shd w:val="clear" w:color="auto" w:fill="auto"/>
            <w:vAlign w:val="center"/>
          </w:tcPr>
          <w:p w14:paraId="4C49191B" w14:textId="24640E20" w:rsidR="002F3880" w:rsidRPr="006070EA" w:rsidRDefault="002F3880" w:rsidP="008F20FA">
            <w:pPr>
              <w:spacing w:after="0"/>
              <w:jc w:val="center"/>
              <w:rPr>
                <w:rFonts w:asciiTheme="majorHAnsi" w:hAnsiTheme="majorHAnsi" w:cstheme="majorHAnsi"/>
                <w:b/>
                <w:bCs/>
                <w:sz w:val="18"/>
                <w:szCs w:val="18"/>
              </w:rPr>
            </w:pPr>
            <w:r w:rsidRPr="006070EA">
              <w:rPr>
                <w:rFonts w:asciiTheme="majorHAnsi" w:hAnsiTheme="majorHAnsi" w:cstheme="majorHAnsi"/>
                <w:b/>
                <w:bCs/>
                <w:sz w:val="18"/>
                <w:szCs w:val="18"/>
              </w:rPr>
              <w:t>13-13-10/3</w:t>
            </w:r>
          </w:p>
        </w:tc>
        <w:tc>
          <w:tcPr>
            <w:tcW w:w="0" w:type="auto"/>
            <w:shd w:val="clear" w:color="auto" w:fill="auto"/>
            <w:vAlign w:val="center"/>
          </w:tcPr>
          <w:p w14:paraId="753A8E52" w14:textId="13D352CE" w:rsidR="002F3880" w:rsidRPr="006070EA" w:rsidRDefault="002F3880" w:rsidP="008F20FA">
            <w:pPr>
              <w:spacing w:after="0"/>
              <w:jc w:val="center"/>
              <w:rPr>
                <w:rFonts w:asciiTheme="majorHAnsi" w:hAnsiTheme="majorHAnsi" w:cstheme="majorHAnsi"/>
                <w:sz w:val="18"/>
                <w:szCs w:val="18"/>
              </w:rPr>
            </w:pPr>
            <w:r w:rsidRPr="006070EA">
              <w:rPr>
                <w:rFonts w:asciiTheme="majorHAnsi" w:hAnsiTheme="majorHAnsi" w:cstheme="majorHAnsi"/>
                <w:sz w:val="18"/>
                <w:szCs w:val="18"/>
              </w:rPr>
              <w:t>ul. Slepá č. 348</w:t>
            </w:r>
          </w:p>
        </w:tc>
        <w:tc>
          <w:tcPr>
            <w:tcW w:w="0" w:type="auto"/>
            <w:shd w:val="clear" w:color="auto" w:fill="auto"/>
            <w:vAlign w:val="center"/>
          </w:tcPr>
          <w:p w14:paraId="6272CFF4" w14:textId="77777777" w:rsidR="002F3880" w:rsidRPr="006070EA" w:rsidRDefault="002F3880" w:rsidP="008F20FA">
            <w:pPr>
              <w:pStyle w:val="Bezmezer"/>
              <w:suppressAutoHyphens/>
              <w:jc w:val="center"/>
              <w:rPr>
                <w:rFonts w:asciiTheme="majorHAnsi" w:hAnsiTheme="majorHAnsi" w:cstheme="majorHAnsi"/>
                <w:szCs w:val="18"/>
                <w:lang w:val="cs-CZ"/>
              </w:rPr>
            </w:pPr>
            <w:r w:rsidRPr="006070EA">
              <w:rPr>
                <w:rFonts w:asciiTheme="majorHAnsi" w:hAnsiTheme="majorHAnsi" w:cstheme="majorHAnsi"/>
                <w:szCs w:val="18"/>
                <w:lang w:val="cs-CZ"/>
              </w:rPr>
              <w:t>I</w:t>
            </w:r>
          </w:p>
        </w:tc>
        <w:tc>
          <w:tcPr>
            <w:tcW w:w="0" w:type="auto"/>
            <w:shd w:val="clear" w:color="auto" w:fill="auto"/>
            <w:vAlign w:val="center"/>
          </w:tcPr>
          <w:p w14:paraId="69A0C0B2" w14:textId="77777777" w:rsidR="002F3880" w:rsidRPr="006070EA" w:rsidRDefault="002F3880" w:rsidP="008F20FA">
            <w:pPr>
              <w:pStyle w:val="Bezmezer"/>
              <w:suppressAutoHyphens/>
              <w:jc w:val="center"/>
              <w:rPr>
                <w:rFonts w:asciiTheme="majorHAnsi" w:hAnsiTheme="majorHAnsi" w:cstheme="majorHAnsi"/>
                <w:szCs w:val="18"/>
                <w:lang w:val="cs-CZ"/>
              </w:rPr>
            </w:pPr>
            <w:r w:rsidRPr="006070EA">
              <w:rPr>
                <w:rFonts w:asciiTheme="majorHAnsi" w:hAnsiTheme="majorHAnsi" w:cstheme="majorHAnsi"/>
                <w:szCs w:val="18"/>
                <w:shd w:val="clear" w:color="auto" w:fill="FBFBFB"/>
                <w:lang w:val="cs-CZ"/>
              </w:rPr>
              <w:t>Kostomlaty nad Labem</w:t>
            </w:r>
          </w:p>
        </w:tc>
        <w:tc>
          <w:tcPr>
            <w:tcW w:w="0" w:type="auto"/>
            <w:shd w:val="clear" w:color="auto" w:fill="auto"/>
            <w:vAlign w:val="center"/>
          </w:tcPr>
          <w:p w14:paraId="570D4C92" w14:textId="77777777" w:rsidR="002F3880" w:rsidRPr="006070EA" w:rsidRDefault="002F3880" w:rsidP="008F20FA">
            <w:pPr>
              <w:pStyle w:val="Bezmezer"/>
              <w:suppressAutoHyphens/>
              <w:jc w:val="center"/>
              <w:rPr>
                <w:rFonts w:asciiTheme="majorHAnsi" w:hAnsiTheme="majorHAnsi" w:cstheme="majorHAnsi"/>
                <w:szCs w:val="18"/>
                <w:lang w:val="cs-CZ"/>
              </w:rPr>
            </w:pPr>
            <w:r w:rsidRPr="006070EA">
              <w:rPr>
                <w:rFonts w:asciiTheme="majorHAnsi" w:hAnsiTheme="majorHAnsi" w:cstheme="majorHAnsi"/>
                <w:szCs w:val="18"/>
                <w:lang w:val="cs-CZ"/>
              </w:rPr>
              <w:t>Nymburk</w:t>
            </w:r>
          </w:p>
        </w:tc>
      </w:tr>
      <w:tr w:rsidR="00EF1675" w:rsidRPr="006070EA" w14:paraId="438ACBF6" w14:textId="77777777" w:rsidTr="008F20FA">
        <w:trPr>
          <w:trHeight w:val="20"/>
          <w:jc w:val="center"/>
        </w:trPr>
        <w:tc>
          <w:tcPr>
            <w:tcW w:w="0" w:type="auto"/>
            <w:shd w:val="clear" w:color="auto" w:fill="auto"/>
            <w:vAlign w:val="center"/>
          </w:tcPr>
          <w:p w14:paraId="7FD4A64D" w14:textId="77777777" w:rsidR="002F3880" w:rsidRPr="006070EA" w:rsidRDefault="002F3880" w:rsidP="008F20FA">
            <w:pPr>
              <w:pStyle w:val="Bezmezer"/>
              <w:suppressAutoHyphens/>
              <w:jc w:val="center"/>
              <w:rPr>
                <w:rFonts w:asciiTheme="majorHAnsi" w:hAnsiTheme="majorHAnsi" w:cstheme="majorHAnsi"/>
                <w:b/>
                <w:bCs/>
                <w:szCs w:val="18"/>
                <w:lang w:val="cs-CZ"/>
              </w:rPr>
            </w:pPr>
            <w:r w:rsidRPr="006070EA">
              <w:rPr>
                <w:rFonts w:asciiTheme="majorHAnsi" w:hAnsiTheme="majorHAnsi" w:cstheme="majorHAnsi"/>
                <w:b/>
                <w:bCs/>
                <w:szCs w:val="18"/>
                <w:lang w:val="cs-CZ"/>
              </w:rPr>
              <w:t>13-13-10/3</w:t>
            </w:r>
          </w:p>
        </w:tc>
        <w:tc>
          <w:tcPr>
            <w:tcW w:w="0" w:type="auto"/>
            <w:shd w:val="clear" w:color="auto" w:fill="auto"/>
            <w:vAlign w:val="center"/>
          </w:tcPr>
          <w:p w14:paraId="1BFCC48C" w14:textId="77777777" w:rsidR="002F3880" w:rsidRPr="006070EA" w:rsidRDefault="002F3880" w:rsidP="008F20FA">
            <w:pPr>
              <w:pStyle w:val="Bezmezer"/>
              <w:suppressAutoHyphens/>
              <w:jc w:val="center"/>
              <w:rPr>
                <w:rFonts w:asciiTheme="majorHAnsi" w:hAnsiTheme="majorHAnsi" w:cstheme="majorHAnsi"/>
                <w:szCs w:val="18"/>
                <w:lang w:val="cs-CZ"/>
              </w:rPr>
            </w:pPr>
            <w:r w:rsidRPr="006070EA">
              <w:rPr>
                <w:rFonts w:asciiTheme="majorHAnsi" w:hAnsiTheme="majorHAnsi" w:cstheme="majorHAnsi"/>
                <w:szCs w:val="18"/>
                <w:shd w:val="clear" w:color="auto" w:fill="FBFBFB"/>
                <w:lang w:val="cs-CZ"/>
              </w:rPr>
              <w:t>pískovna Z od vsi</w:t>
            </w:r>
          </w:p>
        </w:tc>
        <w:tc>
          <w:tcPr>
            <w:tcW w:w="0" w:type="auto"/>
            <w:shd w:val="clear" w:color="auto" w:fill="auto"/>
            <w:vAlign w:val="center"/>
          </w:tcPr>
          <w:p w14:paraId="4B0CE9FA" w14:textId="77777777" w:rsidR="002F3880" w:rsidRPr="006070EA" w:rsidRDefault="002F3880" w:rsidP="008F20FA">
            <w:pPr>
              <w:pStyle w:val="Bezmezer"/>
              <w:suppressAutoHyphens/>
              <w:jc w:val="center"/>
              <w:rPr>
                <w:rFonts w:asciiTheme="majorHAnsi" w:hAnsiTheme="majorHAnsi" w:cstheme="majorHAnsi"/>
                <w:szCs w:val="18"/>
                <w:lang w:val="cs-CZ"/>
              </w:rPr>
            </w:pPr>
            <w:r w:rsidRPr="006070EA">
              <w:rPr>
                <w:rFonts w:asciiTheme="majorHAnsi" w:hAnsiTheme="majorHAnsi" w:cstheme="majorHAnsi"/>
                <w:szCs w:val="18"/>
                <w:lang w:val="cs-CZ"/>
              </w:rPr>
              <w:t>I</w:t>
            </w:r>
          </w:p>
        </w:tc>
        <w:tc>
          <w:tcPr>
            <w:tcW w:w="0" w:type="auto"/>
            <w:shd w:val="clear" w:color="auto" w:fill="auto"/>
            <w:vAlign w:val="center"/>
          </w:tcPr>
          <w:p w14:paraId="497901B9" w14:textId="77777777" w:rsidR="002F3880" w:rsidRPr="006070EA" w:rsidRDefault="002F3880" w:rsidP="008F20FA">
            <w:pPr>
              <w:pStyle w:val="Bezmezer"/>
              <w:suppressAutoHyphens/>
              <w:jc w:val="center"/>
              <w:rPr>
                <w:rFonts w:asciiTheme="majorHAnsi" w:hAnsiTheme="majorHAnsi" w:cstheme="majorHAnsi"/>
                <w:szCs w:val="18"/>
                <w:lang w:val="cs-CZ"/>
              </w:rPr>
            </w:pPr>
            <w:r w:rsidRPr="006070EA">
              <w:rPr>
                <w:rFonts w:asciiTheme="majorHAnsi" w:hAnsiTheme="majorHAnsi" w:cstheme="majorHAnsi"/>
                <w:szCs w:val="18"/>
                <w:shd w:val="clear" w:color="auto" w:fill="FBFBFB"/>
                <w:lang w:val="cs-CZ"/>
              </w:rPr>
              <w:t>Kostomlaty nad Labem</w:t>
            </w:r>
          </w:p>
        </w:tc>
        <w:tc>
          <w:tcPr>
            <w:tcW w:w="0" w:type="auto"/>
            <w:shd w:val="clear" w:color="auto" w:fill="auto"/>
            <w:vAlign w:val="center"/>
          </w:tcPr>
          <w:p w14:paraId="4243F13F" w14:textId="77777777" w:rsidR="002F3880" w:rsidRPr="006070EA" w:rsidRDefault="002F3880" w:rsidP="008F20FA">
            <w:pPr>
              <w:pStyle w:val="Bezmezer"/>
              <w:suppressAutoHyphens/>
              <w:jc w:val="center"/>
              <w:rPr>
                <w:rFonts w:asciiTheme="majorHAnsi" w:hAnsiTheme="majorHAnsi" w:cstheme="majorHAnsi"/>
                <w:szCs w:val="18"/>
                <w:lang w:val="cs-CZ"/>
              </w:rPr>
            </w:pPr>
            <w:r w:rsidRPr="006070EA">
              <w:rPr>
                <w:rFonts w:asciiTheme="majorHAnsi" w:hAnsiTheme="majorHAnsi" w:cstheme="majorHAnsi"/>
                <w:szCs w:val="18"/>
                <w:lang w:val="cs-CZ"/>
              </w:rPr>
              <w:t>Nymburk</w:t>
            </w:r>
          </w:p>
        </w:tc>
      </w:tr>
      <w:tr w:rsidR="00EF1675" w:rsidRPr="006070EA" w14:paraId="5B4938BC" w14:textId="77777777" w:rsidTr="008F20FA">
        <w:trPr>
          <w:trHeight w:val="20"/>
          <w:jc w:val="center"/>
        </w:trPr>
        <w:tc>
          <w:tcPr>
            <w:tcW w:w="0" w:type="auto"/>
            <w:shd w:val="clear" w:color="auto" w:fill="auto"/>
            <w:vAlign w:val="center"/>
          </w:tcPr>
          <w:p w14:paraId="53B34F14" w14:textId="36DCDA67" w:rsidR="002F3880" w:rsidRPr="006070EA" w:rsidRDefault="002F3880" w:rsidP="008F20FA">
            <w:pPr>
              <w:spacing w:after="0"/>
              <w:jc w:val="center"/>
              <w:rPr>
                <w:rFonts w:asciiTheme="majorHAnsi" w:hAnsiTheme="majorHAnsi" w:cstheme="majorHAnsi"/>
                <w:b/>
                <w:bCs/>
                <w:sz w:val="18"/>
                <w:szCs w:val="18"/>
              </w:rPr>
            </w:pPr>
            <w:r w:rsidRPr="006070EA">
              <w:rPr>
                <w:rFonts w:asciiTheme="majorHAnsi" w:hAnsiTheme="majorHAnsi" w:cstheme="majorHAnsi"/>
                <w:b/>
                <w:bCs/>
                <w:sz w:val="18"/>
                <w:szCs w:val="18"/>
              </w:rPr>
              <w:t>13-13-10/5</w:t>
            </w:r>
          </w:p>
        </w:tc>
        <w:tc>
          <w:tcPr>
            <w:tcW w:w="0" w:type="auto"/>
            <w:shd w:val="clear" w:color="auto" w:fill="auto"/>
            <w:vAlign w:val="center"/>
            <w:hideMark/>
          </w:tcPr>
          <w:p w14:paraId="20ED9267" w14:textId="77777777" w:rsidR="002F3880" w:rsidRPr="006070EA" w:rsidRDefault="002F3880" w:rsidP="008F20FA">
            <w:pPr>
              <w:pStyle w:val="Bezmezer"/>
              <w:suppressAutoHyphens/>
              <w:jc w:val="center"/>
              <w:rPr>
                <w:rFonts w:asciiTheme="majorHAnsi" w:hAnsiTheme="majorHAnsi" w:cstheme="majorHAnsi"/>
                <w:szCs w:val="18"/>
                <w:lang w:val="cs-CZ"/>
              </w:rPr>
            </w:pPr>
            <w:r w:rsidRPr="006070EA">
              <w:rPr>
                <w:rFonts w:asciiTheme="majorHAnsi" w:hAnsiTheme="majorHAnsi" w:cstheme="majorHAnsi"/>
                <w:szCs w:val="18"/>
                <w:lang w:val="cs-CZ"/>
              </w:rPr>
              <w:t>myslivna</w:t>
            </w:r>
          </w:p>
        </w:tc>
        <w:tc>
          <w:tcPr>
            <w:tcW w:w="0" w:type="auto"/>
            <w:shd w:val="clear" w:color="auto" w:fill="auto"/>
            <w:vAlign w:val="center"/>
          </w:tcPr>
          <w:p w14:paraId="55162E9E" w14:textId="77777777" w:rsidR="002F3880" w:rsidRPr="006070EA" w:rsidRDefault="002F3880" w:rsidP="008F20FA">
            <w:pPr>
              <w:pStyle w:val="Bezmezer"/>
              <w:suppressAutoHyphens/>
              <w:jc w:val="center"/>
              <w:rPr>
                <w:rFonts w:asciiTheme="majorHAnsi" w:hAnsiTheme="majorHAnsi" w:cstheme="majorHAnsi"/>
                <w:szCs w:val="18"/>
                <w:lang w:val="cs-CZ"/>
              </w:rPr>
            </w:pPr>
            <w:r w:rsidRPr="006070EA">
              <w:rPr>
                <w:rFonts w:asciiTheme="majorHAnsi" w:hAnsiTheme="majorHAnsi" w:cstheme="majorHAnsi"/>
                <w:szCs w:val="18"/>
                <w:lang w:val="cs-CZ"/>
              </w:rPr>
              <w:t>I</w:t>
            </w:r>
          </w:p>
        </w:tc>
        <w:tc>
          <w:tcPr>
            <w:tcW w:w="0" w:type="auto"/>
            <w:shd w:val="clear" w:color="auto" w:fill="auto"/>
            <w:vAlign w:val="center"/>
          </w:tcPr>
          <w:p w14:paraId="4F073BE3" w14:textId="77777777" w:rsidR="002F3880" w:rsidRPr="006070EA" w:rsidRDefault="002F3880" w:rsidP="008F20FA">
            <w:pPr>
              <w:pStyle w:val="Bezmezer"/>
              <w:suppressAutoHyphens/>
              <w:jc w:val="center"/>
              <w:rPr>
                <w:rFonts w:asciiTheme="majorHAnsi" w:hAnsiTheme="majorHAnsi" w:cstheme="majorHAnsi"/>
                <w:szCs w:val="18"/>
                <w:lang w:val="cs-CZ"/>
              </w:rPr>
            </w:pPr>
            <w:r w:rsidRPr="006070EA">
              <w:rPr>
                <w:rFonts w:asciiTheme="majorHAnsi" w:hAnsiTheme="majorHAnsi" w:cstheme="majorHAnsi"/>
                <w:szCs w:val="18"/>
                <w:shd w:val="clear" w:color="auto" w:fill="FBFBFB"/>
                <w:lang w:val="cs-CZ"/>
              </w:rPr>
              <w:t>Kostomlaty nad Labem</w:t>
            </w:r>
          </w:p>
        </w:tc>
        <w:tc>
          <w:tcPr>
            <w:tcW w:w="0" w:type="auto"/>
            <w:shd w:val="clear" w:color="auto" w:fill="auto"/>
            <w:vAlign w:val="center"/>
          </w:tcPr>
          <w:p w14:paraId="63916128" w14:textId="77777777" w:rsidR="002F3880" w:rsidRPr="006070EA" w:rsidRDefault="002F3880" w:rsidP="008F20FA">
            <w:pPr>
              <w:pStyle w:val="Bezmezer"/>
              <w:suppressAutoHyphens/>
              <w:jc w:val="center"/>
              <w:rPr>
                <w:rFonts w:asciiTheme="majorHAnsi" w:hAnsiTheme="majorHAnsi" w:cstheme="majorHAnsi"/>
                <w:szCs w:val="18"/>
                <w:lang w:val="cs-CZ"/>
              </w:rPr>
            </w:pPr>
            <w:r w:rsidRPr="006070EA">
              <w:rPr>
                <w:rFonts w:asciiTheme="majorHAnsi" w:hAnsiTheme="majorHAnsi" w:cstheme="majorHAnsi"/>
                <w:szCs w:val="18"/>
                <w:lang w:val="cs-CZ"/>
              </w:rPr>
              <w:t>Nymburk</w:t>
            </w:r>
          </w:p>
        </w:tc>
      </w:tr>
    </w:tbl>
    <w:p w14:paraId="2331C69B" w14:textId="1F555ED9" w:rsidR="002F3880" w:rsidRPr="006070EA" w:rsidRDefault="002F3880" w:rsidP="002F3880">
      <w:pPr>
        <w:pStyle w:val="Atext"/>
        <w:rPr>
          <w:rFonts w:asciiTheme="majorHAnsi" w:hAnsiTheme="majorHAnsi" w:cstheme="majorHAnsi"/>
        </w:rPr>
      </w:pPr>
      <w:r w:rsidRPr="006070EA">
        <w:rPr>
          <w:rFonts w:asciiTheme="majorHAnsi" w:hAnsiTheme="majorHAnsi" w:cstheme="majorHAnsi"/>
        </w:rPr>
        <w:lastRenderedPageBreak/>
        <w:t>ÚAN I. kategorie je území s pozitivně prokázaným a dále bezpečně předpokládaným výskytem archeologických nálezů. ÚAN II. kategorie je území, na němž nebyl dosud pozitivně prokázán výskyt archeologických nálezů, ale určité indicie mu nasvědčují</w:t>
      </w:r>
      <w:r w:rsidR="00EF1675" w:rsidRPr="006070EA">
        <w:rPr>
          <w:rFonts w:asciiTheme="majorHAnsi" w:hAnsiTheme="majorHAnsi" w:cstheme="majorHAnsi"/>
        </w:rPr>
        <w:t>,</w:t>
      </w:r>
      <w:r w:rsidRPr="006070EA">
        <w:rPr>
          <w:rFonts w:asciiTheme="majorHAnsi" w:hAnsiTheme="majorHAnsi" w:cstheme="majorHAnsi"/>
        </w:rPr>
        <w:t xml:space="preserve"> pravděpodobnost výskytu archeologických nálezů </w:t>
      </w:r>
      <w:r w:rsidR="00EF1675" w:rsidRPr="006070EA">
        <w:rPr>
          <w:rFonts w:asciiTheme="majorHAnsi" w:hAnsiTheme="majorHAnsi" w:cstheme="majorHAnsi"/>
        </w:rPr>
        <w:t xml:space="preserve">je zde </w:t>
      </w:r>
      <w:r w:rsidRPr="006070EA">
        <w:rPr>
          <w:rFonts w:asciiTheme="majorHAnsi" w:hAnsiTheme="majorHAnsi" w:cstheme="majorHAnsi"/>
        </w:rPr>
        <w:t xml:space="preserve">51 – 100 %. </w:t>
      </w:r>
    </w:p>
    <w:p w14:paraId="795EEF60" w14:textId="77777777" w:rsidR="005A5F53" w:rsidRPr="006070EA" w:rsidRDefault="005A5F53" w:rsidP="009E07E1">
      <w:pPr>
        <w:pStyle w:val="Atext"/>
        <w:rPr>
          <w:rFonts w:asciiTheme="majorHAnsi" w:hAnsiTheme="majorHAnsi" w:cstheme="majorHAnsi"/>
          <w:szCs w:val="18"/>
        </w:rPr>
      </w:pPr>
      <w:r w:rsidRPr="006070EA">
        <w:rPr>
          <w:rFonts w:asciiTheme="majorHAnsi" w:hAnsiTheme="majorHAnsi" w:cstheme="majorHAnsi"/>
          <w:szCs w:val="18"/>
        </w:rPr>
        <w:t>Na tyto typy území se vztahuje povinnost vyplývající z ustanovení § 21 - 24 zákona o památkové péči, což znamená, že stavebníci (potencionální nálezci) jsou již od přípravy stavby, tj. záměru provádět jakékoli zemní práce, při nichž může být objeven archeologický nález ve smyslu ustanovení § 23 tohoto zákona, povinni tento záměr oznámit Archeologickému ústavu Akademie věd České republiky a umožnit jemu nebo organizaci oprávněné k archeologickým výzkumům provést na dotčeném území záchranný archeologický výzkum.</w:t>
      </w:r>
    </w:p>
    <w:p w14:paraId="4A124091" w14:textId="5B26EC3F" w:rsidR="004254E6" w:rsidRPr="006070EA" w:rsidRDefault="004254E6" w:rsidP="009E07E1">
      <w:pPr>
        <w:spacing w:before="120" w:after="60" w:line="240" w:lineRule="auto"/>
        <w:ind w:firstLine="709"/>
        <w:jc w:val="both"/>
        <w:rPr>
          <w:rFonts w:asciiTheme="majorHAnsi" w:hAnsiTheme="majorHAnsi" w:cstheme="majorHAnsi"/>
          <w:sz w:val="18"/>
          <w:szCs w:val="18"/>
        </w:rPr>
      </w:pPr>
      <w:r w:rsidRPr="006070EA">
        <w:rPr>
          <w:rFonts w:asciiTheme="majorHAnsi" w:hAnsiTheme="majorHAnsi" w:cstheme="majorHAnsi"/>
          <w:sz w:val="18"/>
          <w:szCs w:val="18"/>
        </w:rPr>
        <w:t>Území s archeologickými nálezy také splňují podmínky pro to, aby mohla být považována za území s výskytem archeologického dědictví ve smyslu Úmluvy o ochraně archeologického dědictví Evropy (revidované) vyhlášené pod č.</w:t>
      </w:r>
      <w:r w:rsidR="009E3A49" w:rsidRPr="006070EA">
        <w:rPr>
          <w:rFonts w:asciiTheme="majorHAnsi" w:hAnsiTheme="majorHAnsi" w:cstheme="majorHAnsi"/>
          <w:sz w:val="18"/>
          <w:szCs w:val="18"/>
        </w:rPr>
        <w:t> </w:t>
      </w:r>
      <w:r w:rsidRPr="006070EA">
        <w:rPr>
          <w:rFonts w:asciiTheme="majorHAnsi" w:hAnsiTheme="majorHAnsi" w:cstheme="majorHAnsi"/>
          <w:sz w:val="18"/>
          <w:szCs w:val="18"/>
        </w:rPr>
        <w:t>99/2000</w:t>
      </w:r>
      <w:r w:rsidR="00485315" w:rsidRPr="006070EA">
        <w:rPr>
          <w:rFonts w:asciiTheme="majorHAnsi" w:hAnsiTheme="majorHAnsi" w:cstheme="majorHAnsi"/>
          <w:sz w:val="18"/>
          <w:szCs w:val="18"/>
        </w:rPr>
        <w:t> </w:t>
      </w:r>
      <w:r w:rsidRPr="006070EA">
        <w:rPr>
          <w:rFonts w:asciiTheme="majorHAnsi" w:hAnsiTheme="majorHAnsi" w:cstheme="majorHAnsi"/>
          <w:sz w:val="18"/>
          <w:szCs w:val="18"/>
        </w:rPr>
        <w:t>Sb. m. s.</w:t>
      </w:r>
    </w:p>
    <w:p w14:paraId="7B7E8F23" w14:textId="2293048C" w:rsidR="005A5F53" w:rsidRPr="006070EA" w:rsidRDefault="005A5F53" w:rsidP="009E07E1">
      <w:pPr>
        <w:pStyle w:val="Atext"/>
        <w:rPr>
          <w:rFonts w:asciiTheme="majorHAnsi" w:hAnsiTheme="majorHAnsi" w:cstheme="majorHAnsi"/>
          <w:szCs w:val="18"/>
        </w:rPr>
      </w:pPr>
      <w:bookmarkStart w:id="275" w:name="_Toc424119841"/>
      <w:r w:rsidRPr="006070EA">
        <w:rPr>
          <w:rFonts w:asciiTheme="majorHAnsi" w:hAnsiTheme="majorHAnsi" w:cstheme="majorHAnsi"/>
          <w:szCs w:val="18"/>
        </w:rPr>
        <w:t xml:space="preserve">V grafické části Odůvodnění územního plánu ve výkrese </w:t>
      </w:r>
      <w:r w:rsidR="00485315" w:rsidRPr="006070EA">
        <w:rPr>
          <w:rFonts w:asciiTheme="majorHAnsi" w:hAnsiTheme="majorHAnsi" w:cstheme="majorHAnsi"/>
          <w:i/>
          <w:szCs w:val="18"/>
        </w:rPr>
        <w:t>4</w:t>
      </w:r>
      <w:r w:rsidRPr="006070EA">
        <w:rPr>
          <w:rFonts w:asciiTheme="majorHAnsi" w:hAnsiTheme="majorHAnsi" w:cstheme="majorHAnsi"/>
          <w:i/>
          <w:szCs w:val="18"/>
        </w:rPr>
        <w:t xml:space="preserve"> Koordinační výkres</w:t>
      </w:r>
      <w:r w:rsidRPr="006070EA">
        <w:rPr>
          <w:rFonts w:asciiTheme="majorHAnsi" w:hAnsiTheme="majorHAnsi" w:cstheme="majorHAnsi"/>
          <w:szCs w:val="18"/>
        </w:rPr>
        <w:t xml:space="preserve"> </w:t>
      </w:r>
      <w:r w:rsidR="00860EB3" w:rsidRPr="006070EA">
        <w:rPr>
          <w:rFonts w:asciiTheme="majorHAnsi" w:hAnsiTheme="majorHAnsi" w:cstheme="majorHAnsi"/>
          <w:szCs w:val="18"/>
        </w:rPr>
        <w:t>jsou</w:t>
      </w:r>
      <w:r w:rsidRPr="006070EA">
        <w:rPr>
          <w:rFonts w:asciiTheme="majorHAnsi" w:hAnsiTheme="majorHAnsi" w:cstheme="majorHAnsi"/>
          <w:szCs w:val="18"/>
        </w:rPr>
        <w:t xml:space="preserve"> zakreslen</w:t>
      </w:r>
      <w:r w:rsidR="00860EB3" w:rsidRPr="006070EA">
        <w:rPr>
          <w:rFonts w:asciiTheme="majorHAnsi" w:hAnsiTheme="majorHAnsi" w:cstheme="majorHAnsi"/>
          <w:szCs w:val="18"/>
        </w:rPr>
        <w:t>a</w:t>
      </w:r>
      <w:r w:rsidRPr="006070EA">
        <w:rPr>
          <w:rFonts w:asciiTheme="majorHAnsi" w:hAnsiTheme="majorHAnsi" w:cstheme="majorHAnsi"/>
          <w:szCs w:val="18"/>
        </w:rPr>
        <w:t xml:space="preserve"> území s archeologickými nálezy (ÚAN </w:t>
      </w:r>
      <w:r w:rsidR="00EF1675" w:rsidRPr="006070EA">
        <w:rPr>
          <w:rFonts w:asciiTheme="majorHAnsi" w:hAnsiTheme="majorHAnsi" w:cstheme="majorHAnsi"/>
          <w:szCs w:val="18"/>
        </w:rPr>
        <w:t xml:space="preserve">I. a </w:t>
      </w:r>
      <w:r w:rsidR="00860EB3" w:rsidRPr="006070EA">
        <w:rPr>
          <w:rFonts w:asciiTheme="majorHAnsi" w:hAnsiTheme="majorHAnsi" w:cstheme="majorHAnsi"/>
          <w:szCs w:val="18"/>
        </w:rPr>
        <w:t>I</w:t>
      </w:r>
      <w:r w:rsidRPr="006070EA">
        <w:rPr>
          <w:rFonts w:asciiTheme="majorHAnsi" w:hAnsiTheme="majorHAnsi" w:cstheme="majorHAnsi"/>
          <w:szCs w:val="18"/>
        </w:rPr>
        <w:t>I. kategorie) dle Státního archeologického seznamu ČR.</w:t>
      </w:r>
    </w:p>
    <w:p w14:paraId="41463045" w14:textId="77777777" w:rsidR="00860EB3" w:rsidRPr="006070EA" w:rsidRDefault="00860EB3" w:rsidP="00860EB3">
      <w:pPr>
        <w:keepNext/>
        <w:spacing w:before="120" w:after="60" w:line="240" w:lineRule="auto"/>
        <w:jc w:val="both"/>
        <w:rPr>
          <w:rFonts w:asciiTheme="majorHAnsi" w:hAnsiTheme="majorHAnsi" w:cstheme="majorHAnsi"/>
          <w:b/>
          <w:sz w:val="18"/>
          <w:szCs w:val="18"/>
        </w:rPr>
      </w:pPr>
      <w:r w:rsidRPr="006070EA">
        <w:rPr>
          <w:rFonts w:asciiTheme="majorHAnsi" w:hAnsiTheme="majorHAnsi" w:cstheme="majorHAnsi"/>
          <w:b/>
          <w:sz w:val="18"/>
          <w:szCs w:val="18"/>
        </w:rPr>
        <w:t>Ostatní kulturní, architektonické a urbanistické hodnoty</w:t>
      </w:r>
    </w:p>
    <w:p w14:paraId="411CFD51" w14:textId="77777777" w:rsidR="002F3880" w:rsidRPr="006070EA" w:rsidRDefault="002F3880" w:rsidP="000D222D">
      <w:pPr>
        <w:pStyle w:val="Atext"/>
        <w:rPr>
          <w:rFonts w:asciiTheme="majorHAnsi" w:hAnsiTheme="majorHAnsi" w:cstheme="majorHAnsi"/>
          <w:szCs w:val="18"/>
        </w:rPr>
      </w:pPr>
      <w:r w:rsidRPr="006070EA">
        <w:rPr>
          <w:rFonts w:asciiTheme="majorHAnsi" w:hAnsiTheme="majorHAnsi" w:cstheme="majorHAnsi"/>
          <w:szCs w:val="18"/>
        </w:rPr>
        <w:t xml:space="preserve">Kromě kulturních hodnot chráněných dle platné legislativy se v řešeném území nacházejí další objekty a soubory objektů s kulturní, historickou, urbanistickou anebo architektonickou hodnotou. Jejich ochrana by měla být v rámci tvorby územního plánu prověřena. </w:t>
      </w:r>
    </w:p>
    <w:p w14:paraId="70EE7FC3" w14:textId="77777777" w:rsidR="002F3880" w:rsidRPr="006070EA" w:rsidRDefault="002F3880" w:rsidP="000D222D">
      <w:pPr>
        <w:pStyle w:val="Atext"/>
        <w:rPr>
          <w:rFonts w:asciiTheme="majorHAnsi" w:hAnsiTheme="majorHAnsi" w:cstheme="majorHAnsi"/>
          <w:szCs w:val="18"/>
        </w:rPr>
      </w:pPr>
      <w:r w:rsidRPr="006070EA">
        <w:rPr>
          <w:rFonts w:asciiTheme="majorHAnsi" w:hAnsiTheme="majorHAnsi" w:cstheme="majorHAnsi"/>
          <w:szCs w:val="18"/>
          <w:u w:val="single"/>
        </w:rPr>
        <w:t>Architektonické hodnoty</w:t>
      </w:r>
      <w:r w:rsidRPr="006070EA">
        <w:rPr>
          <w:rFonts w:asciiTheme="majorHAnsi" w:hAnsiTheme="majorHAnsi" w:cstheme="majorHAnsi"/>
          <w:szCs w:val="18"/>
        </w:rPr>
        <w:t xml:space="preserve"> (jednotlivé objekty): </w:t>
      </w:r>
    </w:p>
    <w:tbl>
      <w:tblPr>
        <w:tblW w:w="9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4"/>
        <w:gridCol w:w="2183"/>
        <w:gridCol w:w="2330"/>
        <w:gridCol w:w="2397"/>
      </w:tblGrid>
      <w:tr w:rsidR="002F3880" w:rsidRPr="006070EA" w14:paraId="7CC612FC" w14:textId="77777777" w:rsidTr="00485315">
        <w:trPr>
          <w:cantSplit/>
          <w:trHeight w:val="227"/>
          <w:tblHeader/>
          <w:jc w:val="center"/>
        </w:trPr>
        <w:tc>
          <w:tcPr>
            <w:tcW w:w="2154" w:type="dxa"/>
            <w:tcBorders>
              <w:top w:val="nil"/>
              <w:left w:val="nil"/>
              <w:bottom w:val="single" w:sz="12" w:space="0" w:color="auto"/>
              <w:right w:val="single" w:sz="12" w:space="0" w:color="auto"/>
            </w:tcBorders>
            <w:shd w:val="clear" w:color="auto" w:fill="auto"/>
            <w:vAlign w:val="center"/>
            <w:hideMark/>
          </w:tcPr>
          <w:p w14:paraId="08A85347" w14:textId="77777777" w:rsidR="002F3880" w:rsidRPr="006070EA" w:rsidRDefault="002F3880" w:rsidP="000D222D">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název objektu</w:t>
            </w:r>
          </w:p>
        </w:tc>
        <w:tc>
          <w:tcPr>
            <w:tcW w:w="2183" w:type="dxa"/>
            <w:tcBorders>
              <w:top w:val="nil"/>
              <w:left w:val="single" w:sz="12" w:space="0" w:color="auto"/>
              <w:bottom w:val="single" w:sz="12" w:space="0" w:color="auto"/>
              <w:right w:val="single" w:sz="12" w:space="0" w:color="auto"/>
            </w:tcBorders>
            <w:shd w:val="clear" w:color="auto" w:fill="auto"/>
            <w:vAlign w:val="center"/>
            <w:hideMark/>
          </w:tcPr>
          <w:p w14:paraId="3C8F92F3" w14:textId="77777777" w:rsidR="002F3880" w:rsidRPr="006070EA" w:rsidRDefault="002F3880" w:rsidP="000D222D">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popis</w:t>
            </w:r>
          </w:p>
        </w:tc>
        <w:tc>
          <w:tcPr>
            <w:tcW w:w="2330" w:type="dxa"/>
            <w:tcBorders>
              <w:top w:val="nil"/>
              <w:left w:val="single" w:sz="12" w:space="0" w:color="auto"/>
              <w:bottom w:val="single" w:sz="12" w:space="0" w:color="auto"/>
              <w:right w:val="single" w:sz="12" w:space="0" w:color="auto"/>
            </w:tcBorders>
            <w:vAlign w:val="center"/>
          </w:tcPr>
          <w:p w14:paraId="6B054B0B" w14:textId="77777777" w:rsidR="002F3880" w:rsidRPr="006070EA" w:rsidRDefault="002F3880" w:rsidP="000D222D">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sídlo</w:t>
            </w:r>
          </w:p>
        </w:tc>
        <w:tc>
          <w:tcPr>
            <w:tcW w:w="2397" w:type="dxa"/>
            <w:tcBorders>
              <w:top w:val="nil"/>
              <w:left w:val="single" w:sz="12" w:space="0" w:color="auto"/>
              <w:bottom w:val="single" w:sz="12" w:space="0" w:color="auto"/>
              <w:right w:val="nil"/>
            </w:tcBorders>
            <w:shd w:val="clear" w:color="auto" w:fill="auto"/>
            <w:vAlign w:val="center"/>
            <w:hideMark/>
          </w:tcPr>
          <w:p w14:paraId="451CCBDF" w14:textId="77777777" w:rsidR="002F3880" w:rsidRPr="006070EA" w:rsidRDefault="002F3880" w:rsidP="000D222D">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ulice, nám. / umístění</w:t>
            </w:r>
          </w:p>
        </w:tc>
      </w:tr>
      <w:tr w:rsidR="002F3880" w:rsidRPr="006070EA" w14:paraId="645E6900" w14:textId="77777777" w:rsidTr="00485315">
        <w:trPr>
          <w:trHeight w:val="227"/>
          <w:jc w:val="center"/>
        </w:trPr>
        <w:tc>
          <w:tcPr>
            <w:tcW w:w="2154" w:type="dxa"/>
            <w:tcBorders>
              <w:top w:val="single" w:sz="4" w:space="0" w:color="auto"/>
              <w:left w:val="nil"/>
              <w:bottom w:val="single" w:sz="4" w:space="0" w:color="auto"/>
              <w:right w:val="single" w:sz="4" w:space="0" w:color="auto"/>
            </w:tcBorders>
            <w:shd w:val="clear" w:color="auto" w:fill="auto"/>
            <w:vAlign w:val="center"/>
          </w:tcPr>
          <w:p w14:paraId="55D339BE"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chalupa</w:t>
            </w:r>
          </w:p>
        </w:tc>
        <w:tc>
          <w:tcPr>
            <w:tcW w:w="2183" w:type="dxa"/>
            <w:tcBorders>
              <w:top w:val="single" w:sz="4" w:space="0" w:color="auto"/>
              <w:left w:val="single" w:sz="4" w:space="0" w:color="auto"/>
              <w:bottom w:val="single" w:sz="4" w:space="0" w:color="auto"/>
              <w:right w:val="single" w:sz="4" w:space="0" w:color="auto"/>
            </w:tcBorders>
            <w:shd w:val="clear" w:color="auto" w:fill="auto"/>
            <w:vAlign w:val="center"/>
          </w:tcPr>
          <w:p w14:paraId="235B12F4"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historicky cenná stavba</w:t>
            </w:r>
          </w:p>
        </w:tc>
        <w:tc>
          <w:tcPr>
            <w:tcW w:w="2330" w:type="dxa"/>
            <w:tcBorders>
              <w:top w:val="single" w:sz="4" w:space="0" w:color="auto"/>
              <w:left w:val="single" w:sz="4" w:space="0" w:color="auto"/>
              <w:bottom w:val="single" w:sz="4" w:space="0" w:color="auto"/>
              <w:right w:val="single" w:sz="4" w:space="0" w:color="auto"/>
            </w:tcBorders>
            <w:vAlign w:val="center"/>
          </w:tcPr>
          <w:p w14:paraId="77F2E7D0"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Kostomlaty nad Labem</w:t>
            </w:r>
          </w:p>
        </w:tc>
        <w:tc>
          <w:tcPr>
            <w:tcW w:w="2397" w:type="dxa"/>
            <w:tcBorders>
              <w:top w:val="single" w:sz="4" w:space="0" w:color="auto"/>
              <w:left w:val="single" w:sz="4" w:space="0" w:color="auto"/>
              <w:bottom w:val="single" w:sz="4" w:space="0" w:color="auto"/>
              <w:right w:val="nil"/>
            </w:tcBorders>
            <w:shd w:val="clear" w:color="auto" w:fill="auto"/>
            <w:vAlign w:val="center"/>
          </w:tcPr>
          <w:p w14:paraId="3CB41A36"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čp 13</w:t>
            </w:r>
          </w:p>
        </w:tc>
      </w:tr>
      <w:tr w:rsidR="002F3880" w:rsidRPr="006070EA" w14:paraId="55DD4B79" w14:textId="77777777" w:rsidTr="00485315">
        <w:trPr>
          <w:trHeight w:val="227"/>
          <w:jc w:val="center"/>
        </w:trPr>
        <w:tc>
          <w:tcPr>
            <w:tcW w:w="2154" w:type="dxa"/>
            <w:tcBorders>
              <w:top w:val="single" w:sz="4" w:space="0" w:color="auto"/>
              <w:left w:val="nil"/>
              <w:bottom w:val="single" w:sz="4" w:space="0" w:color="auto"/>
              <w:right w:val="single" w:sz="4" w:space="0" w:color="auto"/>
            </w:tcBorders>
            <w:shd w:val="clear" w:color="auto" w:fill="auto"/>
            <w:vAlign w:val="center"/>
          </w:tcPr>
          <w:p w14:paraId="14EF079C"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chalupa</w:t>
            </w:r>
          </w:p>
        </w:tc>
        <w:tc>
          <w:tcPr>
            <w:tcW w:w="2183" w:type="dxa"/>
            <w:tcBorders>
              <w:top w:val="single" w:sz="4" w:space="0" w:color="auto"/>
              <w:left w:val="single" w:sz="4" w:space="0" w:color="auto"/>
              <w:bottom w:val="single" w:sz="4" w:space="0" w:color="auto"/>
              <w:right w:val="single" w:sz="4" w:space="0" w:color="auto"/>
            </w:tcBorders>
            <w:shd w:val="clear" w:color="auto" w:fill="auto"/>
            <w:vAlign w:val="center"/>
          </w:tcPr>
          <w:p w14:paraId="3103A0A6"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historicky cenná stavba</w:t>
            </w:r>
          </w:p>
        </w:tc>
        <w:tc>
          <w:tcPr>
            <w:tcW w:w="2330" w:type="dxa"/>
            <w:tcBorders>
              <w:top w:val="single" w:sz="4" w:space="0" w:color="auto"/>
              <w:left w:val="single" w:sz="4" w:space="0" w:color="auto"/>
              <w:bottom w:val="single" w:sz="4" w:space="0" w:color="auto"/>
              <w:right w:val="single" w:sz="4" w:space="0" w:color="auto"/>
            </w:tcBorders>
            <w:vAlign w:val="center"/>
          </w:tcPr>
          <w:p w14:paraId="7336C3E3"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Kostomlaty nad Labem</w:t>
            </w:r>
          </w:p>
        </w:tc>
        <w:tc>
          <w:tcPr>
            <w:tcW w:w="2397" w:type="dxa"/>
            <w:tcBorders>
              <w:top w:val="single" w:sz="4" w:space="0" w:color="auto"/>
              <w:left w:val="single" w:sz="4" w:space="0" w:color="auto"/>
              <w:bottom w:val="single" w:sz="4" w:space="0" w:color="auto"/>
              <w:right w:val="nil"/>
            </w:tcBorders>
            <w:shd w:val="clear" w:color="auto" w:fill="auto"/>
            <w:vAlign w:val="center"/>
          </w:tcPr>
          <w:p w14:paraId="1705D587"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čp. 8</w:t>
            </w:r>
          </w:p>
        </w:tc>
      </w:tr>
      <w:tr w:rsidR="002F3880" w:rsidRPr="006070EA" w14:paraId="6D782242" w14:textId="77777777" w:rsidTr="00485315">
        <w:trPr>
          <w:trHeight w:val="227"/>
          <w:jc w:val="center"/>
        </w:trPr>
        <w:tc>
          <w:tcPr>
            <w:tcW w:w="2154" w:type="dxa"/>
            <w:tcBorders>
              <w:top w:val="single" w:sz="4" w:space="0" w:color="auto"/>
              <w:left w:val="nil"/>
              <w:bottom w:val="single" w:sz="4" w:space="0" w:color="auto"/>
              <w:right w:val="single" w:sz="4" w:space="0" w:color="auto"/>
            </w:tcBorders>
            <w:shd w:val="clear" w:color="auto" w:fill="auto"/>
            <w:vAlign w:val="center"/>
          </w:tcPr>
          <w:p w14:paraId="25A539F9"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chalupa</w:t>
            </w:r>
          </w:p>
        </w:tc>
        <w:tc>
          <w:tcPr>
            <w:tcW w:w="2183" w:type="dxa"/>
            <w:tcBorders>
              <w:top w:val="single" w:sz="4" w:space="0" w:color="auto"/>
              <w:left w:val="single" w:sz="4" w:space="0" w:color="auto"/>
              <w:bottom w:val="single" w:sz="4" w:space="0" w:color="auto"/>
              <w:right w:val="single" w:sz="4" w:space="0" w:color="auto"/>
            </w:tcBorders>
            <w:shd w:val="clear" w:color="auto" w:fill="auto"/>
            <w:vAlign w:val="center"/>
          </w:tcPr>
          <w:p w14:paraId="4EADD734"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historicky cenná stavba</w:t>
            </w:r>
          </w:p>
        </w:tc>
        <w:tc>
          <w:tcPr>
            <w:tcW w:w="2330" w:type="dxa"/>
            <w:tcBorders>
              <w:top w:val="single" w:sz="4" w:space="0" w:color="auto"/>
              <w:left w:val="single" w:sz="4" w:space="0" w:color="auto"/>
              <w:bottom w:val="single" w:sz="4" w:space="0" w:color="auto"/>
              <w:right w:val="single" w:sz="4" w:space="0" w:color="auto"/>
            </w:tcBorders>
            <w:vAlign w:val="center"/>
          </w:tcPr>
          <w:p w14:paraId="7E25C63F"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Kostomlaty nad Labem</w:t>
            </w:r>
          </w:p>
        </w:tc>
        <w:tc>
          <w:tcPr>
            <w:tcW w:w="2397" w:type="dxa"/>
            <w:tcBorders>
              <w:top w:val="single" w:sz="4" w:space="0" w:color="auto"/>
              <w:left w:val="single" w:sz="4" w:space="0" w:color="auto"/>
              <w:bottom w:val="single" w:sz="4" w:space="0" w:color="auto"/>
              <w:right w:val="nil"/>
            </w:tcBorders>
            <w:shd w:val="clear" w:color="auto" w:fill="auto"/>
            <w:vAlign w:val="center"/>
          </w:tcPr>
          <w:p w14:paraId="0A334F5C"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čp. 6</w:t>
            </w:r>
          </w:p>
        </w:tc>
      </w:tr>
      <w:tr w:rsidR="002F3880" w:rsidRPr="006070EA" w14:paraId="746DA3F6" w14:textId="77777777" w:rsidTr="00485315">
        <w:trPr>
          <w:trHeight w:val="227"/>
          <w:jc w:val="center"/>
        </w:trPr>
        <w:tc>
          <w:tcPr>
            <w:tcW w:w="2154" w:type="dxa"/>
            <w:tcBorders>
              <w:top w:val="single" w:sz="4" w:space="0" w:color="auto"/>
              <w:left w:val="nil"/>
              <w:bottom w:val="single" w:sz="4" w:space="0" w:color="auto"/>
              <w:right w:val="single" w:sz="4" w:space="0" w:color="auto"/>
            </w:tcBorders>
            <w:shd w:val="clear" w:color="auto" w:fill="auto"/>
            <w:vAlign w:val="center"/>
          </w:tcPr>
          <w:p w14:paraId="34C733C4"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usedlost</w:t>
            </w:r>
          </w:p>
        </w:tc>
        <w:tc>
          <w:tcPr>
            <w:tcW w:w="2183" w:type="dxa"/>
            <w:tcBorders>
              <w:top w:val="single" w:sz="4" w:space="0" w:color="auto"/>
              <w:left w:val="single" w:sz="4" w:space="0" w:color="auto"/>
              <w:bottom w:val="single" w:sz="4" w:space="0" w:color="auto"/>
              <w:right w:val="single" w:sz="4" w:space="0" w:color="auto"/>
            </w:tcBorders>
            <w:shd w:val="clear" w:color="auto" w:fill="auto"/>
            <w:vAlign w:val="center"/>
          </w:tcPr>
          <w:p w14:paraId="5919AE5C"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historicky cenná stavba</w:t>
            </w:r>
          </w:p>
        </w:tc>
        <w:tc>
          <w:tcPr>
            <w:tcW w:w="2330" w:type="dxa"/>
            <w:tcBorders>
              <w:top w:val="single" w:sz="4" w:space="0" w:color="auto"/>
              <w:left w:val="single" w:sz="4" w:space="0" w:color="auto"/>
              <w:bottom w:val="single" w:sz="4" w:space="0" w:color="auto"/>
              <w:right w:val="single" w:sz="4" w:space="0" w:color="auto"/>
            </w:tcBorders>
            <w:vAlign w:val="center"/>
          </w:tcPr>
          <w:p w14:paraId="4942D630"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Kostomlaty nad Labem</w:t>
            </w:r>
          </w:p>
        </w:tc>
        <w:tc>
          <w:tcPr>
            <w:tcW w:w="2397" w:type="dxa"/>
            <w:tcBorders>
              <w:top w:val="single" w:sz="4" w:space="0" w:color="auto"/>
              <w:left w:val="single" w:sz="4" w:space="0" w:color="auto"/>
              <w:bottom w:val="single" w:sz="4" w:space="0" w:color="auto"/>
              <w:right w:val="nil"/>
            </w:tcBorders>
            <w:shd w:val="clear" w:color="auto" w:fill="auto"/>
            <w:vAlign w:val="center"/>
          </w:tcPr>
          <w:p w14:paraId="241FD651"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čp. 5</w:t>
            </w:r>
          </w:p>
        </w:tc>
      </w:tr>
      <w:tr w:rsidR="002F3880" w:rsidRPr="006070EA" w14:paraId="57C14B42" w14:textId="77777777" w:rsidTr="00485315">
        <w:trPr>
          <w:trHeight w:val="227"/>
          <w:jc w:val="center"/>
        </w:trPr>
        <w:tc>
          <w:tcPr>
            <w:tcW w:w="2154" w:type="dxa"/>
            <w:tcBorders>
              <w:top w:val="single" w:sz="4" w:space="0" w:color="auto"/>
              <w:left w:val="nil"/>
              <w:bottom w:val="single" w:sz="4" w:space="0" w:color="auto"/>
              <w:right w:val="single" w:sz="4" w:space="0" w:color="auto"/>
            </w:tcBorders>
            <w:shd w:val="clear" w:color="auto" w:fill="auto"/>
            <w:vAlign w:val="center"/>
          </w:tcPr>
          <w:p w14:paraId="2D37F999"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chalupa</w:t>
            </w:r>
          </w:p>
        </w:tc>
        <w:tc>
          <w:tcPr>
            <w:tcW w:w="2183" w:type="dxa"/>
            <w:tcBorders>
              <w:top w:val="single" w:sz="4" w:space="0" w:color="auto"/>
              <w:left w:val="single" w:sz="4" w:space="0" w:color="auto"/>
              <w:bottom w:val="single" w:sz="4" w:space="0" w:color="auto"/>
              <w:right w:val="single" w:sz="4" w:space="0" w:color="auto"/>
            </w:tcBorders>
            <w:shd w:val="clear" w:color="auto" w:fill="auto"/>
            <w:vAlign w:val="center"/>
          </w:tcPr>
          <w:p w14:paraId="576F2558"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historicky cenná stavba</w:t>
            </w:r>
          </w:p>
        </w:tc>
        <w:tc>
          <w:tcPr>
            <w:tcW w:w="2330" w:type="dxa"/>
            <w:tcBorders>
              <w:top w:val="single" w:sz="4" w:space="0" w:color="auto"/>
              <w:left w:val="single" w:sz="4" w:space="0" w:color="auto"/>
              <w:bottom w:val="single" w:sz="4" w:space="0" w:color="auto"/>
              <w:right w:val="single" w:sz="4" w:space="0" w:color="auto"/>
            </w:tcBorders>
            <w:vAlign w:val="center"/>
          </w:tcPr>
          <w:p w14:paraId="5DF874BD"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Kostomlaty nad Labem</w:t>
            </w:r>
          </w:p>
        </w:tc>
        <w:tc>
          <w:tcPr>
            <w:tcW w:w="2397" w:type="dxa"/>
            <w:tcBorders>
              <w:top w:val="single" w:sz="4" w:space="0" w:color="auto"/>
              <w:left w:val="single" w:sz="4" w:space="0" w:color="auto"/>
              <w:bottom w:val="single" w:sz="4" w:space="0" w:color="auto"/>
              <w:right w:val="nil"/>
            </w:tcBorders>
            <w:shd w:val="clear" w:color="auto" w:fill="auto"/>
            <w:vAlign w:val="center"/>
          </w:tcPr>
          <w:p w14:paraId="1FA35359"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čp. 18</w:t>
            </w:r>
          </w:p>
        </w:tc>
      </w:tr>
      <w:tr w:rsidR="002F3880" w:rsidRPr="006070EA" w14:paraId="0BC26A9E" w14:textId="77777777" w:rsidTr="00485315">
        <w:trPr>
          <w:trHeight w:val="227"/>
          <w:jc w:val="center"/>
        </w:trPr>
        <w:tc>
          <w:tcPr>
            <w:tcW w:w="2154" w:type="dxa"/>
            <w:tcBorders>
              <w:top w:val="single" w:sz="4" w:space="0" w:color="auto"/>
              <w:left w:val="nil"/>
              <w:bottom w:val="single" w:sz="4" w:space="0" w:color="auto"/>
              <w:right w:val="single" w:sz="4" w:space="0" w:color="auto"/>
            </w:tcBorders>
            <w:shd w:val="clear" w:color="auto" w:fill="auto"/>
            <w:vAlign w:val="center"/>
          </w:tcPr>
          <w:p w14:paraId="2D70F938"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usedlost</w:t>
            </w:r>
          </w:p>
        </w:tc>
        <w:tc>
          <w:tcPr>
            <w:tcW w:w="2183" w:type="dxa"/>
            <w:tcBorders>
              <w:top w:val="single" w:sz="4" w:space="0" w:color="auto"/>
              <w:left w:val="single" w:sz="4" w:space="0" w:color="auto"/>
              <w:bottom w:val="single" w:sz="4" w:space="0" w:color="auto"/>
              <w:right w:val="single" w:sz="4" w:space="0" w:color="auto"/>
            </w:tcBorders>
            <w:shd w:val="clear" w:color="auto" w:fill="auto"/>
            <w:vAlign w:val="center"/>
          </w:tcPr>
          <w:p w14:paraId="6215B5CE"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historicky cenná stavba</w:t>
            </w:r>
          </w:p>
        </w:tc>
        <w:tc>
          <w:tcPr>
            <w:tcW w:w="2330" w:type="dxa"/>
            <w:tcBorders>
              <w:top w:val="single" w:sz="4" w:space="0" w:color="auto"/>
              <w:left w:val="single" w:sz="4" w:space="0" w:color="auto"/>
              <w:bottom w:val="single" w:sz="4" w:space="0" w:color="auto"/>
              <w:right w:val="single" w:sz="4" w:space="0" w:color="auto"/>
            </w:tcBorders>
            <w:vAlign w:val="center"/>
          </w:tcPr>
          <w:p w14:paraId="75EC7F37"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Kostomlaty nad Labem</w:t>
            </w:r>
          </w:p>
        </w:tc>
        <w:tc>
          <w:tcPr>
            <w:tcW w:w="2397" w:type="dxa"/>
            <w:tcBorders>
              <w:top w:val="single" w:sz="4" w:space="0" w:color="auto"/>
              <w:left w:val="single" w:sz="4" w:space="0" w:color="auto"/>
              <w:bottom w:val="single" w:sz="4" w:space="0" w:color="auto"/>
              <w:right w:val="nil"/>
            </w:tcBorders>
            <w:shd w:val="clear" w:color="auto" w:fill="auto"/>
            <w:vAlign w:val="center"/>
          </w:tcPr>
          <w:p w14:paraId="0CD969F4"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čp. 59</w:t>
            </w:r>
          </w:p>
        </w:tc>
      </w:tr>
      <w:tr w:rsidR="002F3880" w:rsidRPr="006070EA" w14:paraId="3DEA87E8" w14:textId="77777777" w:rsidTr="00485315">
        <w:trPr>
          <w:trHeight w:val="227"/>
          <w:jc w:val="center"/>
        </w:trPr>
        <w:tc>
          <w:tcPr>
            <w:tcW w:w="2154" w:type="dxa"/>
            <w:tcBorders>
              <w:top w:val="single" w:sz="4" w:space="0" w:color="auto"/>
              <w:left w:val="nil"/>
              <w:bottom w:val="single" w:sz="4" w:space="0" w:color="auto"/>
              <w:right w:val="single" w:sz="4" w:space="0" w:color="auto"/>
            </w:tcBorders>
            <w:shd w:val="clear" w:color="auto" w:fill="auto"/>
            <w:vAlign w:val="center"/>
          </w:tcPr>
          <w:p w14:paraId="3C80F2FC"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usedlost</w:t>
            </w:r>
          </w:p>
        </w:tc>
        <w:tc>
          <w:tcPr>
            <w:tcW w:w="2183" w:type="dxa"/>
            <w:tcBorders>
              <w:top w:val="single" w:sz="4" w:space="0" w:color="auto"/>
              <w:left w:val="single" w:sz="4" w:space="0" w:color="auto"/>
              <w:bottom w:val="single" w:sz="4" w:space="0" w:color="auto"/>
              <w:right w:val="single" w:sz="4" w:space="0" w:color="auto"/>
            </w:tcBorders>
            <w:shd w:val="clear" w:color="auto" w:fill="auto"/>
            <w:vAlign w:val="center"/>
          </w:tcPr>
          <w:p w14:paraId="39F6813E"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historicky cenná stavba</w:t>
            </w:r>
          </w:p>
        </w:tc>
        <w:tc>
          <w:tcPr>
            <w:tcW w:w="2330" w:type="dxa"/>
            <w:tcBorders>
              <w:top w:val="single" w:sz="4" w:space="0" w:color="auto"/>
              <w:left w:val="single" w:sz="4" w:space="0" w:color="auto"/>
              <w:bottom w:val="single" w:sz="4" w:space="0" w:color="auto"/>
              <w:right w:val="single" w:sz="4" w:space="0" w:color="auto"/>
            </w:tcBorders>
            <w:vAlign w:val="center"/>
          </w:tcPr>
          <w:p w14:paraId="40C8FD3E"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Lány</w:t>
            </w:r>
          </w:p>
        </w:tc>
        <w:tc>
          <w:tcPr>
            <w:tcW w:w="2397" w:type="dxa"/>
            <w:tcBorders>
              <w:top w:val="single" w:sz="4" w:space="0" w:color="auto"/>
              <w:left w:val="single" w:sz="4" w:space="0" w:color="auto"/>
              <w:bottom w:val="single" w:sz="4" w:space="0" w:color="auto"/>
              <w:right w:val="nil"/>
            </w:tcBorders>
            <w:shd w:val="clear" w:color="auto" w:fill="auto"/>
            <w:vAlign w:val="center"/>
          </w:tcPr>
          <w:p w14:paraId="79A80591"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čp. 3</w:t>
            </w:r>
          </w:p>
        </w:tc>
      </w:tr>
      <w:tr w:rsidR="002F3880" w:rsidRPr="006070EA" w14:paraId="323C8501" w14:textId="77777777" w:rsidTr="00485315">
        <w:trPr>
          <w:trHeight w:val="227"/>
          <w:jc w:val="center"/>
        </w:trPr>
        <w:tc>
          <w:tcPr>
            <w:tcW w:w="2154" w:type="dxa"/>
            <w:tcBorders>
              <w:top w:val="single" w:sz="4" w:space="0" w:color="auto"/>
              <w:left w:val="nil"/>
              <w:bottom w:val="single" w:sz="4" w:space="0" w:color="auto"/>
              <w:right w:val="single" w:sz="4" w:space="0" w:color="auto"/>
            </w:tcBorders>
            <w:shd w:val="clear" w:color="auto" w:fill="auto"/>
            <w:vAlign w:val="center"/>
          </w:tcPr>
          <w:p w14:paraId="696CAF69"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usedlost</w:t>
            </w:r>
          </w:p>
        </w:tc>
        <w:tc>
          <w:tcPr>
            <w:tcW w:w="2183" w:type="dxa"/>
            <w:tcBorders>
              <w:top w:val="single" w:sz="4" w:space="0" w:color="auto"/>
              <w:left w:val="single" w:sz="4" w:space="0" w:color="auto"/>
              <w:bottom w:val="single" w:sz="4" w:space="0" w:color="auto"/>
              <w:right w:val="single" w:sz="4" w:space="0" w:color="auto"/>
            </w:tcBorders>
            <w:shd w:val="clear" w:color="auto" w:fill="auto"/>
            <w:vAlign w:val="center"/>
          </w:tcPr>
          <w:p w14:paraId="09925113"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historicky cenná stavba</w:t>
            </w:r>
          </w:p>
        </w:tc>
        <w:tc>
          <w:tcPr>
            <w:tcW w:w="2330" w:type="dxa"/>
            <w:tcBorders>
              <w:top w:val="single" w:sz="4" w:space="0" w:color="auto"/>
              <w:left w:val="single" w:sz="4" w:space="0" w:color="auto"/>
              <w:bottom w:val="single" w:sz="4" w:space="0" w:color="auto"/>
              <w:right w:val="single" w:sz="4" w:space="0" w:color="auto"/>
            </w:tcBorders>
            <w:vAlign w:val="center"/>
          </w:tcPr>
          <w:p w14:paraId="4D3CF807"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Lány</w:t>
            </w:r>
          </w:p>
        </w:tc>
        <w:tc>
          <w:tcPr>
            <w:tcW w:w="2397" w:type="dxa"/>
            <w:tcBorders>
              <w:top w:val="single" w:sz="4" w:space="0" w:color="auto"/>
              <w:left w:val="single" w:sz="4" w:space="0" w:color="auto"/>
              <w:bottom w:val="single" w:sz="4" w:space="0" w:color="auto"/>
              <w:right w:val="nil"/>
            </w:tcBorders>
            <w:shd w:val="clear" w:color="auto" w:fill="auto"/>
            <w:vAlign w:val="center"/>
          </w:tcPr>
          <w:p w14:paraId="3704123D"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čp. 7</w:t>
            </w:r>
          </w:p>
        </w:tc>
      </w:tr>
      <w:tr w:rsidR="002F3880" w:rsidRPr="006070EA" w14:paraId="734B68BF" w14:textId="77777777" w:rsidTr="00485315">
        <w:trPr>
          <w:trHeight w:val="227"/>
          <w:jc w:val="center"/>
        </w:trPr>
        <w:tc>
          <w:tcPr>
            <w:tcW w:w="2154" w:type="dxa"/>
            <w:tcBorders>
              <w:top w:val="single" w:sz="4" w:space="0" w:color="auto"/>
              <w:left w:val="nil"/>
              <w:bottom w:val="single" w:sz="4" w:space="0" w:color="auto"/>
              <w:right w:val="single" w:sz="4" w:space="0" w:color="auto"/>
            </w:tcBorders>
            <w:shd w:val="clear" w:color="auto" w:fill="auto"/>
            <w:vAlign w:val="center"/>
          </w:tcPr>
          <w:p w14:paraId="56C73ED8"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chalupa</w:t>
            </w:r>
          </w:p>
        </w:tc>
        <w:tc>
          <w:tcPr>
            <w:tcW w:w="2183" w:type="dxa"/>
            <w:tcBorders>
              <w:top w:val="single" w:sz="4" w:space="0" w:color="auto"/>
              <w:left w:val="single" w:sz="4" w:space="0" w:color="auto"/>
              <w:bottom w:val="single" w:sz="4" w:space="0" w:color="auto"/>
              <w:right w:val="single" w:sz="4" w:space="0" w:color="auto"/>
            </w:tcBorders>
            <w:shd w:val="clear" w:color="auto" w:fill="auto"/>
            <w:vAlign w:val="center"/>
          </w:tcPr>
          <w:p w14:paraId="34C2C940"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historicky cenná stavba</w:t>
            </w:r>
          </w:p>
        </w:tc>
        <w:tc>
          <w:tcPr>
            <w:tcW w:w="2330" w:type="dxa"/>
            <w:tcBorders>
              <w:top w:val="single" w:sz="4" w:space="0" w:color="auto"/>
              <w:left w:val="single" w:sz="4" w:space="0" w:color="auto"/>
              <w:bottom w:val="single" w:sz="4" w:space="0" w:color="auto"/>
              <w:right w:val="single" w:sz="4" w:space="0" w:color="auto"/>
            </w:tcBorders>
            <w:vAlign w:val="center"/>
          </w:tcPr>
          <w:p w14:paraId="2FAF5B7E"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Lány</w:t>
            </w:r>
          </w:p>
        </w:tc>
        <w:tc>
          <w:tcPr>
            <w:tcW w:w="2397" w:type="dxa"/>
            <w:tcBorders>
              <w:top w:val="single" w:sz="4" w:space="0" w:color="auto"/>
              <w:left w:val="single" w:sz="4" w:space="0" w:color="auto"/>
              <w:bottom w:val="single" w:sz="4" w:space="0" w:color="auto"/>
              <w:right w:val="nil"/>
            </w:tcBorders>
            <w:shd w:val="clear" w:color="auto" w:fill="auto"/>
            <w:vAlign w:val="center"/>
          </w:tcPr>
          <w:p w14:paraId="7555AFEF"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čp. 26</w:t>
            </w:r>
          </w:p>
        </w:tc>
      </w:tr>
      <w:tr w:rsidR="002F3880" w:rsidRPr="006070EA" w14:paraId="1D1CE95A" w14:textId="77777777" w:rsidTr="00485315">
        <w:trPr>
          <w:trHeight w:val="227"/>
          <w:jc w:val="center"/>
        </w:trPr>
        <w:tc>
          <w:tcPr>
            <w:tcW w:w="2154" w:type="dxa"/>
            <w:tcBorders>
              <w:top w:val="single" w:sz="4" w:space="0" w:color="auto"/>
              <w:left w:val="nil"/>
              <w:bottom w:val="single" w:sz="4" w:space="0" w:color="auto"/>
              <w:right w:val="single" w:sz="4" w:space="0" w:color="auto"/>
            </w:tcBorders>
            <w:shd w:val="clear" w:color="auto" w:fill="auto"/>
            <w:vAlign w:val="center"/>
          </w:tcPr>
          <w:p w14:paraId="2EFE4A38"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usedlost</w:t>
            </w:r>
          </w:p>
        </w:tc>
        <w:tc>
          <w:tcPr>
            <w:tcW w:w="2183" w:type="dxa"/>
            <w:tcBorders>
              <w:top w:val="single" w:sz="4" w:space="0" w:color="auto"/>
              <w:left w:val="single" w:sz="4" w:space="0" w:color="auto"/>
              <w:bottom w:val="single" w:sz="4" w:space="0" w:color="auto"/>
              <w:right w:val="single" w:sz="4" w:space="0" w:color="auto"/>
            </w:tcBorders>
            <w:shd w:val="clear" w:color="auto" w:fill="auto"/>
            <w:vAlign w:val="center"/>
          </w:tcPr>
          <w:p w14:paraId="6C72104C"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historicky cenná stavba</w:t>
            </w:r>
          </w:p>
        </w:tc>
        <w:tc>
          <w:tcPr>
            <w:tcW w:w="2330" w:type="dxa"/>
            <w:tcBorders>
              <w:top w:val="single" w:sz="4" w:space="0" w:color="auto"/>
              <w:left w:val="single" w:sz="4" w:space="0" w:color="auto"/>
              <w:bottom w:val="single" w:sz="4" w:space="0" w:color="auto"/>
              <w:right w:val="single" w:sz="4" w:space="0" w:color="auto"/>
            </w:tcBorders>
            <w:vAlign w:val="center"/>
          </w:tcPr>
          <w:p w14:paraId="6EE81829"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Lány</w:t>
            </w:r>
          </w:p>
        </w:tc>
        <w:tc>
          <w:tcPr>
            <w:tcW w:w="2397" w:type="dxa"/>
            <w:tcBorders>
              <w:top w:val="single" w:sz="4" w:space="0" w:color="auto"/>
              <w:left w:val="single" w:sz="4" w:space="0" w:color="auto"/>
              <w:bottom w:val="single" w:sz="4" w:space="0" w:color="auto"/>
              <w:right w:val="nil"/>
            </w:tcBorders>
            <w:shd w:val="clear" w:color="auto" w:fill="auto"/>
            <w:vAlign w:val="center"/>
          </w:tcPr>
          <w:p w14:paraId="58F3D41B"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čp. 30</w:t>
            </w:r>
          </w:p>
        </w:tc>
      </w:tr>
      <w:tr w:rsidR="002F3880" w:rsidRPr="006070EA" w14:paraId="4E3789F3" w14:textId="77777777" w:rsidTr="00485315">
        <w:trPr>
          <w:trHeight w:val="227"/>
          <w:jc w:val="center"/>
        </w:trPr>
        <w:tc>
          <w:tcPr>
            <w:tcW w:w="2154" w:type="dxa"/>
            <w:tcBorders>
              <w:top w:val="single" w:sz="4" w:space="0" w:color="auto"/>
              <w:left w:val="nil"/>
              <w:bottom w:val="single" w:sz="4" w:space="0" w:color="auto"/>
              <w:right w:val="single" w:sz="4" w:space="0" w:color="auto"/>
            </w:tcBorders>
            <w:shd w:val="clear" w:color="auto" w:fill="auto"/>
            <w:vAlign w:val="center"/>
          </w:tcPr>
          <w:p w14:paraId="7930D77E"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chalupa</w:t>
            </w:r>
          </w:p>
        </w:tc>
        <w:tc>
          <w:tcPr>
            <w:tcW w:w="2183" w:type="dxa"/>
            <w:tcBorders>
              <w:top w:val="single" w:sz="4" w:space="0" w:color="auto"/>
              <w:left w:val="single" w:sz="4" w:space="0" w:color="auto"/>
              <w:bottom w:val="single" w:sz="4" w:space="0" w:color="auto"/>
              <w:right w:val="single" w:sz="4" w:space="0" w:color="auto"/>
            </w:tcBorders>
            <w:shd w:val="clear" w:color="auto" w:fill="auto"/>
            <w:vAlign w:val="center"/>
          </w:tcPr>
          <w:p w14:paraId="61C7E6A5"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historicky cenná stavba</w:t>
            </w:r>
          </w:p>
        </w:tc>
        <w:tc>
          <w:tcPr>
            <w:tcW w:w="2330" w:type="dxa"/>
            <w:tcBorders>
              <w:top w:val="single" w:sz="4" w:space="0" w:color="auto"/>
              <w:left w:val="single" w:sz="4" w:space="0" w:color="auto"/>
              <w:bottom w:val="single" w:sz="4" w:space="0" w:color="auto"/>
              <w:right w:val="single" w:sz="4" w:space="0" w:color="auto"/>
            </w:tcBorders>
            <w:vAlign w:val="center"/>
          </w:tcPr>
          <w:p w14:paraId="4CE83B1B"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Lány</w:t>
            </w:r>
          </w:p>
        </w:tc>
        <w:tc>
          <w:tcPr>
            <w:tcW w:w="2397" w:type="dxa"/>
            <w:tcBorders>
              <w:top w:val="single" w:sz="4" w:space="0" w:color="auto"/>
              <w:left w:val="single" w:sz="4" w:space="0" w:color="auto"/>
              <w:bottom w:val="single" w:sz="4" w:space="0" w:color="auto"/>
              <w:right w:val="nil"/>
            </w:tcBorders>
            <w:shd w:val="clear" w:color="auto" w:fill="auto"/>
            <w:vAlign w:val="center"/>
          </w:tcPr>
          <w:p w14:paraId="04305B9F"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čp. 34</w:t>
            </w:r>
          </w:p>
        </w:tc>
      </w:tr>
      <w:tr w:rsidR="002F3880" w:rsidRPr="006070EA" w14:paraId="5219FAD2" w14:textId="77777777" w:rsidTr="00485315">
        <w:trPr>
          <w:trHeight w:val="227"/>
          <w:jc w:val="center"/>
        </w:trPr>
        <w:tc>
          <w:tcPr>
            <w:tcW w:w="2154" w:type="dxa"/>
            <w:tcBorders>
              <w:top w:val="single" w:sz="4" w:space="0" w:color="auto"/>
              <w:left w:val="nil"/>
              <w:bottom w:val="single" w:sz="4" w:space="0" w:color="auto"/>
              <w:right w:val="single" w:sz="4" w:space="0" w:color="auto"/>
            </w:tcBorders>
            <w:shd w:val="clear" w:color="auto" w:fill="auto"/>
            <w:vAlign w:val="center"/>
          </w:tcPr>
          <w:p w14:paraId="43B4090B"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chalupa</w:t>
            </w:r>
          </w:p>
        </w:tc>
        <w:tc>
          <w:tcPr>
            <w:tcW w:w="2183" w:type="dxa"/>
            <w:tcBorders>
              <w:top w:val="single" w:sz="4" w:space="0" w:color="auto"/>
              <w:left w:val="single" w:sz="4" w:space="0" w:color="auto"/>
              <w:bottom w:val="single" w:sz="4" w:space="0" w:color="auto"/>
              <w:right w:val="single" w:sz="4" w:space="0" w:color="auto"/>
            </w:tcBorders>
            <w:shd w:val="clear" w:color="auto" w:fill="auto"/>
            <w:vAlign w:val="center"/>
          </w:tcPr>
          <w:p w14:paraId="6CCBB5B2"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historicky cenná stavba</w:t>
            </w:r>
          </w:p>
        </w:tc>
        <w:tc>
          <w:tcPr>
            <w:tcW w:w="2330" w:type="dxa"/>
            <w:tcBorders>
              <w:top w:val="single" w:sz="4" w:space="0" w:color="auto"/>
              <w:left w:val="single" w:sz="4" w:space="0" w:color="auto"/>
              <w:bottom w:val="single" w:sz="4" w:space="0" w:color="auto"/>
              <w:right w:val="single" w:sz="4" w:space="0" w:color="auto"/>
            </w:tcBorders>
            <w:vAlign w:val="center"/>
          </w:tcPr>
          <w:p w14:paraId="5E067189"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Lány</w:t>
            </w:r>
          </w:p>
        </w:tc>
        <w:tc>
          <w:tcPr>
            <w:tcW w:w="2397" w:type="dxa"/>
            <w:tcBorders>
              <w:top w:val="single" w:sz="4" w:space="0" w:color="auto"/>
              <w:left w:val="single" w:sz="4" w:space="0" w:color="auto"/>
              <w:bottom w:val="single" w:sz="4" w:space="0" w:color="auto"/>
              <w:right w:val="nil"/>
            </w:tcBorders>
            <w:shd w:val="clear" w:color="auto" w:fill="auto"/>
            <w:vAlign w:val="center"/>
          </w:tcPr>
          <w:p w14:paraId="383E88FC"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čp. 38</w:t>
            </w:r>
          </w:p>
        </w:tc>
      </w:tr>
      <w:tr w:rsidR="002F3880" w:rsidRPr="006070EA" w14:paraId="675ECBD9" w14:textId="77777777" w:rsidTr="00485315">
        <w:trPr>
          <w:trHeight w:val="227"/>
          <w:jc w:val="center"/>
        </w:trPr>
        <w:tc>
          <w:tcPr>
            <w:tcW w:w="2154" w:type="dxa"/>
            <w:tcBorders>
              <w:top w:val="single" w:sz="4" w:space="0" w:color="auto"/>
              <w:left w:val="nil"/>
              <w:bottom w:val="single" w:sz="4" w:space="0" w:color="auto"/>
              <w:right w:val="single" w:sz="4" w:space="0" w:color="auto"/>
            </w:tcBorders>
            <w:shd w:val="clear" w:color="auto" w:fill="auto"/>
            <w:vAlign w:val="center"/>
          </w:tcPr>
          <w:p w14:paraId="49B82ADF"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kaple</w:t>
            </w:r>
          </w:p>
        </w:tc>
        <w:tc>
          <w:tcPr>
            <w:tcW w:w="2183" w:type="dxa"/>
            <w:tcBorders>
              <w:top w:val="single" w:sz="4" w:space="0" w:color="auto"/>
              <w:left w:val="single" w:sz="4" w:space="0" w:color="auto"/>
              <w:bottom w:val="single" w:sz="4" w:space="0" w:color="auto"/>
              <w:right w:val="single" w:sz="4" w:space="0" w:color="auto"/>
            </w:tcBorders>
            <w:shd w:val="clear" w:color="auto" w:fill="auto"/>
            <w:vAlign w:val="center"/>
          </w:tcPr>
          <w:p w14:paraId="39518C06"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historicky cenná stavba</w:t>
            </w:r>
          </w:p>
        </w:tc>
        <w:tc>
          <w:tcPr>
            <w:tcW w:w="2330" w:type="dxa"/>
            <w:tcBorders>
              <w:top w:val="single" w:sz="4" w:space="0" w:color="auto"/>
              <w:left w:val="single" w:sz="4" w:space="0" w:color="auto"/>
              <w:bottom w:val="single" w:sz="4" w:space="0" w:color="auto"/>
              <w:right w:val="single" w:sz="4" w:space="0" w:color="auto"/>
            </w:tcBorders>
            <w:vAlign w:val="center"/>
          </w:tcPr>
          <w:p w14:paraId="087581F3"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Lány</w:t>
            </w:r>
          </w:p>
        </w:tc>
        <w:tc>
          <w:tcPr>
            <w:tcW w:w="2397" w:type="dxa"/>
            <w:tcBorders>
              <w:top w:val="single" w:sz="4" w:space="0" w:color="auto"/>
              <w:left w:val="single" w:sz="4" w:space="0" w:color="auto"/>
              <w:bottom w:val="single" w:sz="4" w:space="0" w:color="auto"/>
              <w:right w:val="nil"/>
            </w:tcBorders>
            <w:shd w:val="clear" w:color="auto" w:fill="auto"/>
            <w:vAlign w:val="center"/>
          </w:tcPr>
          <w:p w14:paraId="1F06EA7F"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střední část sídla</w:t>
            </w:r>
          </w:p>
        </w:tc>
      </w:tr>
      <w:tr w:rsidR="002F3880" w:rsidRPr="006070EA" w14:paraId="1CEC73A7" w14:textId="77777777" w:rsidTr="00485315">
        <w:trPr>
          <w:trHeight w:val="227"/>
          <w:jc w:val="center"/>
        </w:trPr>
        <w:tc>
          <w:tcPr>
            <w:tcW w:w="2154" w:type="dxa"/>
            <w:tcBorders>
              <w:top w:val="single" w:sz="4" w:space="0" w:color="auto"/>
              <w:left w:val="nil"/>
              <w:bottom w:val="single" w:sz="4" w:space="0" w:color="auto"/>
              <w:right w:val="single" w:sz="4" w:space="0" w:color="auto"/>
            </w:tcBorders>
            <w:shd w:val="clear" w:color="auto" w:fill="auto"/>
            <w:vAlign w:val="center"/>
          </w:tcPr>
          <w:p w14:paraId="3ABF2923"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kříž</w:t>
            </w:r>
          </w:p>
        </w:tc>
        <w:tc>
          <w:tcPr>
            <w:tcW w:w="2183" w:type="dxa"/>
            <w:tcBorders>
              <w:top w:val="single" w:sz="4" w:space="0" w:color="auto"/>
              <w:left w:val="single" w:sz="4" w:space="0" w:color="auto"/>
              <w:bottom w:val="single" w:sz="4" w:space="0" w:color="auto"/>
              <w:right w:val="single" w:sz="4" w:space="0" w:color="auto"/>
            </w:tcBorders>
            <w:shd w:val="clear" w:color="auto" w:fill="auto"/>
            <w:vAlign w:val="center"/>
          </w:tcPr>
          <w:p w14:paraId="5299ED5E"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historicky cenná památka</w:t>
            </w:r>
          </w:p>
        </w:tc>
        <w:tc>
          <w:tcPr>
            <w:tcW w:w="2330" w:type="dxa"/>
            <w:tcBorders>
              <w:top w:val="single" w:sz="4" w:space="0" w:color="auto"/>
              <w:left w:val="single" w:sz="4" w:space="0" w:color="auto"/>
              <w:bottom w:val="single" w:sz="4" w:space="0" w:color="auto"/>
              <w:right w:val="single" w:sz="4" w:space="0" w:color="auto"/>
            </w:tcBorders>
            <w:vAlign w:val="center"/>
          </w:tcPr>
          <w:p w14:paraId="76341E30"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Lány</w:t>
            </w:r>
          </w:p>
        </w:tc>
        <w:tc>
          <w:tcPr>
            <w:tcW w:w="2397" w:type="dxa"/>
            <w:tcBorders>
              <w:top w:val="single" w:sz="4" w:space="0" w:color="auto"/>
              <w:left w:val="single" w:sz="4" w:space="0" w:color="auto"/>
              <w:bottom w:val="single" w:sz="4" w:space="0" w:color="auto"/>
              <w:right w:val="nil"/>
            </w:tcBorders>
            <w:shd w:val="clear" w:color="auto" w:fill="auto"/>
            <w:vAlign w:val="center"/>
          </w:tcPr>
          <w:p w14:paraId="48771EFC"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střední část sídla</w:t>
            </w:r>
          </w:p>
        </w:tc>
      </w:tr>
      <w:tr w:rsidR="002F3880" w:rsidRPr="006070EA" w14:paraId="6135694D" w14:textId="77777777" w:rsidTr="00485315">
        <w:trPr>
          <w:trHeight w:val="227"/>
          <w:jc w:val="center"/>
        </w:trPr>
        <w:tc>
          <w:tcPr>
            <w:tcW w:w="2154" w:type="dxa"/>
            <w:tcBorders>
              <w:top w:val="single" w:sz="4" w:space="0" w:color="auto"/>
              <w:left w:val="nil"/>
              <w:bottom w:val="single" w:sz="4" w:space="0" w:color="auto"/>
              <w:right w:val="single" w:sz="4" w:space="0" w:color="auto"/>
            </w:tcBorders>
            <w:shd w:val="clear" w:color="auto" w:fill="auto"/>
            <w:vAlign w:val="center"/>
          </w:tcPr>
          <w:p w14:paraId="361D99CC"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zvonice</w:t>
            </w:r>
          </w:p>
        </w:tc>
        <w:tc>
          <w:tcPr>
            <w:tcW w:w="2183" w:type="dxa"/>
            <w:tcBorders>
              <w:top w:val="single" w:sz="4" w:space="0" w:color="auto"/>
              <w:left w:val="single" w:sz="4" w:space="0" w:color="auto"/>
              <w:bottom w:val="single" w:sz="4" w:space="0" w:color="auto"/>
              <w:right w:val="single" w:sz="4" w:space="0" w:color="auto"/>
            </w:tcBorders>
            <w:shd w:val="clear" w:color="auto" w:fill="auto"/>
            <w:vAlign w:val="center"/>
          </w:tcPr>
          <w:p w14:paraId="28A1EF91"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historicky cenná stavba</w:t>
            </w:r>
          </w:p>
        </w:tc>
        <w:tc>
          <w:tcPr>
            <w:tcW w:w="2330" w:type="dxa"/>
            <w:tcBorders>
              <w:top w:val="single" w:sz="4" w:space="0" w:color="auto"/>
              <w:left w:val="single" w:sz="4" w:space="0" w:color="auto"/>
              <w:bottom w:val="single" w:sz="4" w:space="0" w:color="auto"/>
              <w:right w:val="single" w:sz="4" w:space="0" w:color="auto"/>
            </w:tcBorders>
            <w:vAlign w:val="center"/>
          </w:tcPr>
          <w:p w14:paraId="677059F3"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Kostomlaty nad Labem</w:t>
            </w:r>
          </w:p>
        </w:tc>
        <w:tc>
          <w:tcPr>
            <w:tcW w:w="2397" w:type="dxa"/>
            <w:tcBorders>
              <w:top w:val="single" w:sz="4" w:space="0" w:color="auto"/>
              <w:left w:val="single" w:sz="4" w:space="0" w:color="auto"/>
              <w:bottom w:val="single" w:sz="4" w:space="0" w:color="auto"/>
              <w:right w:val="nil"/>
            </w:tcBorders>
            <w:shd w:val="clear" w:color="auto" w:fill="auto"/>
            <w:vAlign w:val="center"/>
          </w:tcPr>
          <w:p w14:paraId="5C37BC08"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náves, st. č. 2</w:t>
            </w:r>
          </w:p>
        </w:tc>
      </w:tr>
      <w:tr w:rsidR="002F3880" w:rsidRPr="006070EA" w14:paraId="5A052427" w14:textId="77777777" w:rsidTr="00485315">
        <w:trPr>
          <w:trHeight w:val="227"/>
          <w:jc w:val="center"/>
        </w:trPr>
        <w:tc>
          <w:tcPr>
            <w:tcW w:w="2154" w:type="dxa"/>
            <w:tcBorders>
              <w:top w:val="single" w:sz="4" w:space="0" w:color="auto"/>
              <w:left w:val="nil"/>
              <w:bottom w:val="single" w:sz="4" w:space="0" w:color="auto"/>
              <w:right w:val="single" w:sz="4" w:space="0" w:color="auto"/>
            </w:tcBorders>
            <w:shd w:val="clear" w:color="auto" w:fill="auto"/>
            <w:vAlign w:val="center"/>
          </w:tcPr>
          <w:p w14:paraId="5915AC7A"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terasa se schodišti a sochami</w:t>
            </w:r>
          </w:p>
        </w:tc>
        <w:tc>
          <w:tcPr>
            <w:tcW w:w="2183" w:type="dxa"/>
            <w:tcBorders>
              <w:top w:val="single" w:sz="4" w:space="0" w:color="auto"/>
              <w:left w:val="single" w:sz="4" w:space="0" w:color="auto"/>
              <w:bottom w:val="single" w:sz="4" w:space="0" w:color="auto"/>
              <w:right w:val="single" w:sz="4" w:space="0" w:color="auto"/>
            </w:tcBorders>
            <w:shd w:val="clear" w:color="auto" w:fill="auto"/>
            <w:vAlign w:val="center"/>
          </w:tcPr>
          <w:p w14:paraId="2F86A7AD"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historicky cenná památka</w:t>
            </w:r>
          </w:p>
        </w:tc>
        <w:tc>
          <w:tcPr>
            <w:tcW w:w="2330" w:type="dxa"/>
            <w:tcBorders>
              <w:top w:val="single" w:sz="4" w:space="0" w:color="auto"/>
              <w:left w:val="single" w:sz="4" w:space="0" w:color="auto"/>
              <w:bottom w:val="single" w:sz="4" w:space="0" w:color="auto"/>
              <w:right w:val="single" w:sz="4" w:space="0" w:color="auto"/>
            </w:tcBorders>
            <w:vAlign w:val="center"/>
          </w:tcPr>
          <w:p w14:paraId="5BDB6C24"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Kostomlaty nad Labem</w:t>
            </w:r>
          </w:p>
        </w:tc>
        <w:tc>
          <w:tcPr>
            <w:tcW w:w="2397" w:type="dxa"/>
            <w:tcBorders>
              <w:top w:val="single" w:sz="4" w:space="0" w:color="auto"/>
              <w:left w:val="single" w:sz="4" w:space="0" w:color="auto"/>
              <w:bottom w:val="single" w:sz="4" w:space="0" w:color="auto"/>
              <w:right w:val="nil"/>
            </w:tcBorders>
            <w:shd w:val="clear" w:color="auto" w:fill="auto"/>
            <w:vAlign w:val="center"/>
          </w:tcPr>
          <w:p w14:paraId="0BD0882F"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náves (kostel)</w:t>
            </w:r>
          </w:p>
        </w:tc>
      </w:tr>
      <w:tr w:rsidR="002F3880" w:rsidRPr="006070EA" w14:paraId="707DD488" w14:textId="77777777" w:rsidTr="00485315">
        <w:trPr>
          <w:trHeight w:val="227"/>
          <w:jc w:val="center"/>
        </w:trPr>
        <w:tc>
          <w:tcPr>
            <w:tcW w:w="2154" w:type="dxa"/>
            <w:tcBorders>
              <w:top w:val="single" w:sz="4" w:space="0" w:color="auto"/>
              <w:left w:val="nil"/>
              <w:bottom w:val="nil"/>
              <w:right w:val="single" w:sz="4" w:space="0" w:color="auto"/>
            </w:tcBorders>
            <w:shd w:val="clear" w:color="auto" w:fill="auto"/>
            <w:vAlign w:val="center"/>
          </w:tcPr>
          <w:p w14:paraId="1248C509"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Socha Ježíše salvátora</w:t>
            </w:r>
          </w:p>
        </w:tc>
        <w:tc>
          <w:tcPr>
            <w:tcW w:w="2183" w:type="dxa"/>
            <w:tcBorders>
              <w:top w:val="single" w:sz="4" w:space="0" w:color="auto"/>
              <w:left w:val="single" w:sz="4" w:space="0" w:color="auto"/>
              <w:bottom w:val="nil"/>
              <w:right w:val="single" w:sz="4" w:space="0" w:color="auto"/>
            </w:tcBorders>
            <w:shd w:val="clear" w:color="auto" w:fill="auto"/>
            <w:vAlign w:val="center"/>
          </w:tcPr>
          <w:p w14:paraId="0CBBAE15"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historicky cenná památka</w:t>
            </w:r>
          </w:p>
        </w:tc>
        <w:tc>
          <w:tcPr>
            <w:tcW w:w="2330" w:type="dxa"/>
            <w:tcBorders>
              <w:top w:val="single" w:sz="4" w:space="0" w:color="auto"/>
              <w:left w:val="single" w:sz="4" w:space="0" w:color="auto"/>
              <w:bottom w:val="nil"/>
              <w:right w:val="single" w:sz="4" w:space="0" w:color="auto"/>
            </w:tcBorders>
            <w:vAlign w:val="center"/>
          </w:tcPr>
          <w:p w14:paraId="17121DDE"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Kostomlaty nad Labem</w:t>
            </w:r>
          </w:p>
        </w:tc>
        <w:tc>
          <w:tcPr>
            <w:tcW w:w="2397" w:type="dxa"/>
            <w:tcBorders>
              <w:top w:val="single" w:sz="4" w:space="0" w:color="auto"/>
              <w:left w:val="single" w:sz="4" w:space="0" w:color="auto"/>
              <w:bottom w:val="nil"/>
              <w:right w:val="nil"/>
            </w:tcBorders>
            <w:shd w:val="clear" w:color="auto" w:fill="auto"/>
            <w:vAlign w:val="center"/>
          </w:tcPr>
          <w:p w14:paraId="2D109701"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náves (fara)</w:t>
            </w:r>
          </w:p>
        </w:tc>
      </w:tr>
    </w:tbl>
    <w:p w14:paraId="08DB5980" w14:textId="77777777" w:rsidR="002F3880" w:rsidRPr="006070EA" w:rsidRDefault="002F3880" w:rsidP="002F3880">
      <w:pPr>
        <w:pStyle w:val="Atext"/>
        <w:rPr>
          <w:rFonts w:asciiTheme="majorHAnsi" w:hAnsiTheme="majorHAnsi" w:cstheme="majorHAnsi"/>
          <w:color w:val="000000"/>
          <w:szCs w:val="18"/>
        </w:rPr>
      </w:pPr>
      <w:r w:rsidRPr="006070EA">
        <w:rPr>
          <w:rFonts w:asciiTheme="majorHAnsi" w:hAnsiTheme="majorHAnsi" w:cstheme="majorHAnsi"/>
          <w:color w:val="000000"/>
          <w:szCs w:val="18"/>
          <w:u w:val="single"/>
        </w:rPr>
        <w:t>Urbanistické hodnoty</w:t>
      </w:r>
      <w:r w:rsidRPr="006070EA">
        <w:rPr>
          <w:rFonts w:asciiTheme="majorHAnsi" w:hAnsiTheme="majorHAnsi" w:cstheme="majorHAnsi"/>
          <w:color w:val="000000"/>
          <w:szCs w:val="18"/>
        </w:rPr>
        <w:t xml:space="preserve"> (soubory objektů, jádra sídel):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4"/>
        <w:gridCol w:w="4252"/>
        <w:gridCol w:w="1155"/>
        <w:gridCol w:w="1509"/>
      </w:tblGrid>
      <w:tr w:rsidR="002F3880" w:rsidRPr="006070EA" w14:paraId="5BF28A80" w14:textId="77777777" w:rsidTr="000D222D">
        <w:trPr>
          <w:cantSplit/>
          <w:trHeight w:val="283"/>
          <w:tblHeader/>
          <w:jc w:val="center"/>
        </w:trPr>
        <w:tc>
          <w:tcPr>
            <w:tcW w:w="2154" w:type="dxa"/>
            <w:tcBorders>
              <w:top w:val="nil"/>
              <w:left w:val="nil"/>
              <w:bottom w:val="single" w:sz="12" w:space="0" w:color="auto"/>
              <w:right w:val="single" w:sz="12" w:space="0" w:color="auto"/>
            </w:tcBorders>
            <w:shd w:val="clear" w:color="auto" w:fill="auto"/>
            <w:vAlign w:val="center"/>
            <w:hideMark/>
          </w:tcPr>
          <w:p w14:paraId="62053C38" w14:textId="77777777" w:rsidR="002F3880" w:rsidRPr="006070EA" w:rsidRDefault="002F3880" w:rsidP="000E35EE">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název objektu</w:t>
            </w:r>
          </w:p>
        </w:tc>
        <w:tc>
          <w:tcPr>
            <w:tcW w:w="4252" w:type="dxa"/>
            <w:tcBorders>
              <w:top w:val="nil"/>
              <w:left w:val="single" w:sz="12" w:space="0" w:color="auto"/>
              <w:bottom w:val="single" w:sz="12" w:space="0" w:color="auto"/>
              <w:right w:val="single" w:sz="12" w:space="0" w:color="auto"/>
            </w:tcBorders>
            <w:shd w:val="clear" w:color="auto" w:fill="auto"/>
            <w:vAlign w:val="center"/>
            <w:hideMark/>
          </w:tcPr>
          <w:p w14:paraId="7DE41D70" w14:textId="77777777" w:rsidR="002F3880" w:rsidRPr="006070EA" w:rsidRDefault="002F3880" w:rsidP="000E35EE">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popis</w:t>
            </w:r>
          </w:p>
        </w:tc>
        <w:tc>
          <w:tcPr>
            <w:tcW w:w="1155" w:type="dxa"/>
            <w:tcBorders>
              <w:top w:val="nil"/>
              <w:left w:val="single" w:sz="12" w:space="0" w:color="auto"/>
              <w:bottom w:val="single" w:sz="12" w:space="0" w:color="auto"/>
              <w:right w:val="single" w:sz="12" w:space="0" w:color="auto"/>
            </w:tcBorders>
            <w:vAlign w:val="center"/>
          </w:tcPr>
          <w:p w14:paraId="334A3D83" w14:textId="77777777" w:rsidR="002F3880" w:rsidRPr="006070EA" w:rsidRDefault="002F3880" w:rsidP="000E35EE">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sídlo</w:t>
            </w:r>
          </w:p>
        </w:tc>
        <w:tc>
          <w:tcPr>
            <w:tcW w:w="0" w:type="auto"/>
            <w:tcBorders>
              <w:top w:val="nil"/>
              <w:left w:val="single" w:sz="12" w:space="0" w:color="auto"/>
              <w:bottom w:val="single" w:sz="12" w:space="0" w:color="auto"/>
              <w:right w:val="nil"/>
            </w:tcBorders>
            <w:shd w:val="clear" w:color="auto" w:fill="auto"/>
            <w:vAlign w:val="center"/>
            <w:hideMark/>
          </w:tcPr>
          <w:p w14:paraId="42268CC0" w14:textId="77777777" w:rsidR="002F3880" w:rsidRPr="006070EA" w:rsidRDefault="002F3880" w:rsidP="000E35EE">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ulice, nám. / umístění</w:t>
            </w:r>
          </w:p>
        </w:tc>
      </w:tr>
      <w:tr w:rsidR="002F3880" w:rsidRPr="006070EA" w14:paraId="322DBE7A" w14:textId="77777777" w:rsidTr="000D222D">
        <w:trPr>
          <w:trHeight w:val="283"/>
          <w:jc w:val="center"/>
        </w:trPr>
        <w:tc>
          <w:tcPr>
            <w:tcW w:w="2154" w:type="dxa"/>
            <w:tcBorders>
              <w:top w:val="single" w:sz="12" w:space="0" w:color="auto"/>
              <w:left w:val="nil"/>
              <w:bottom w:val="single" w:sz="4" w:space="0" w:color="auto"/>
              <w:right w:val="single" w:sz="4" w:space="0" w:color="auto"/>
            </w:tcBorders>
            <w:shd w:val="clear" w:color="auto" w:fill="auto"/>
            <w:vAlign w:val="center"/>
          </w:tcPr>
          <w:p w14:paraId="02B827CC" w14:textId="77777777" w:rsidR="002F3880" w:rsidRPr="006070EA" w:rsidRDefault="002F3880" w:rsidP="000E35EE">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Struktura sídla</w:t>
            </w:r>
          </w:p>
        </w:tc>
        <w:tc>
          <w:tcPr>
            <w:tcW w:w="4252" w:type="dxa"/>
            <w:tcBorders>
              <w:top w:val="single" w:sz="12" w:space="0" w:color="auto"/>
              <w:left w:val="single" w:sz="4" w:space="0" w:color="auto"/>
              <w:bottom w:val="single" w:sz="4" w:space="0" w:color="auto"/>
              <w:right w:val="single" w:sz="4" w:space="0" w:color="auto"/>
            </w:tcBorders>
            <w:shd w:val="clear" w:color="auto" w:fill="auto"/>
            <w:vAlign w:val="center"/>
          </w:tcPr>
          <w:p w14:paraId="6DDB61AC" w14:textId="77777777" w:rsidR="002F3880" w:rsidRPr="006070EA" w:rsidRDefault="002F3880" w:rsidP="000E35EE">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shd w:val="clear" w:color="auto" w:fill="FFFFFF"/>
                <w:lang w:val="cs-CZ"/>
              </w:rPr>
              <w:t>Vesnice je typická svou kruhovitou</w:t>
            </w:r>
            <w:r w:rsidRPr="006070EA">
              <w:rPr>
                <w:rStyle w:val="apple-converted-space"/>
                <w:rFonts w:asciiTheme="majorHAnsi" w:hAnsiTheme="majorHAnsi" w:cstheme="majorHAnsi"/>
                <w:color w:val="000000"/>
                <w:szCs w:val="18"/>
                <w:shd w:val="clear" w:color="auto" w:fill="FFFFFF"/>
                <w:lang w:val="cs-CZ"/>
              </w:rPr>
              <w:t> </w:t>
            </w:r>
            <w:hyperlink r:id="rId25" w:tooltip="Náves" w:history="1">
              <w:r w:rsidRPr="006070EA">
                <w:rPr>
                  <w:rStyle w:val="Hypertextovodkaz"/>
                  <w:rFonts w:asciiTheme="majorHAnsi" w:hAnsiTheme="majorHAnsi" w:cstheme="majorHAnsi"/>
                  <w:color w:val="000000"/>
                  <w:szCs w:val="18"/>
                  <w:shd w:val="clear" w:color="auto" w:fill="FFFFFF"/>
                  <w:lang w:val="cs-CZ"/>
                </w:rPr>
                <w:t>návsí</w:t>
              </w:r>
            </w:hyperlink>
            <w:r w:rsidRPr="006070EA">
              <w:rPr>
                <w:rStyle w:val="apple-converted-space"/>
                <w:rFonts w:asciiTheme="majorHAnsi" w:hAnsiTheme="majorHAnsi" w:cstheme="majorHAnsi"/>
                <w:color w:val="000000"/>
                <w:szCs w:val="18"/>
                <w:shd w:val="clear" w:color="auto" w:fill="FFFFFF"/>
                <w:lang w:val="cs-CZ"/>
              </w:rPr>
              <w:t> </w:t>
            </w:r>
            <w:r w:rsidRPr="006070EA">
              <w:rPr>
                <w:rFonts w:asciiTheme="majorHAnsi" w:hAnsiTheme="majorHAnsi" w:cstheme="majorHAnsi"/>
                <w:color w:val="000000"/>
                <w:szCs w:val="18"/>
                <w:shd w:val="clear" w:color="auto" w:fill="FFFFFF"/>
                <w:lang w:val="cs-CZ"/>
              </w:rPr>
              <w:t>– tzv.</w:t>
            </w:r>
            <w:r w:rsidRPr="006070EA">
              <w:rPr>
                <w:rStyle w:val="apple-converted-space"/>
                <w:rFonts w:asciiTheme="majorHAnsi" w:hAnsiTheme="majorHAnsi" w:cstheme="majorHAnsi"/>
                <w:color w:val="000000"/>
                <w:szCs w:val="18"/>
                <w:shd w:val="clear" w:color="auto" w:fill="FFFFFF"/>
                <w:lang w:val="cs-CZ"/>
              </w:rPr>
              <w:t> </w:t>
            </w:r>
            <w:hyperlink r:id="rId26" w:tooltip="Okrouhlice" w:history="1">
              <w:r w:rsidRPr="006070EA">
                <w:rPr>
                  <w:rStyle w:val="Hypertextovodkaz"/>
                  <w:rFonts w:asciiTheme="majorHAnsi" w:hAnsiTheme="majorHAnsi" w:cstheme="majorHAnsi"/>
                  <w:color w:val="000000"/>
                  <w:szCs w:val="18"/>
                  <w:shd w:val="clear" w:color="auto" w:fill="FFFFFF"/>
                  <w:lang w:val="cs-CZ"/>
                </w:rPr>
                <w:t>okrouhlice</w:t>
              </w:r>
            </w:hyperlink>
            <w:r w:rsidRPr="006070EA">
              <w:rPr>
                <w:rFonts w:asciiTheme="majorHAnsi" w:hAnsiTheme="majorHAnsi" w:cstheme="majorHAnsi"/>
                <w:color w:val="000000"/>
                <w:szCs w:val="18"/>
                <w:lang w:val="cs-CZ"/>
              </w:rPr>
              <w:t xml:space="preserve"> a uspořádáním historické zástavby</w:t>
            </w:r>
          </w:p>
        </w:tc>
        <w:tc>
          <w:tcPr>
            <w:tcW w:w="1155" w:type="dxa"/>
            <w:tcBorders>
              <w:top w:val="single" w:sz="12" w:space="0" w:color="auto"/>
              <w:left w:val="single" w:sz="4" w:space="0" w:color="auto"/>
              <w:bottom w:val="single" w:sz="4" w:space="0" w:color="auto"/>
              <w:right w:val="single" w:sz="4" w:space="0" w:color="auto"/>
            </w:tcBorders>
            <w:vAlign w:val="center"/>
          </w:tcPr>
          <w:p w14:paraId="143EF5E8" w14:textId="77777777" w:rsidR="002F3880" w:rsidRPr="006070EA" w:rsidRDefault="002F3880" w:rsidP="000E35EE">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Vápensko</w:t>
            </w:r>
          </w:p>
        </w:tc>
        <w:tc>
          <w:tcPr>
            <w:tcW w:w="0" w:type="auto"/>
            <w:tcBorders>
              <w:top w:val="single" w:sz="12" w:space="0" w:color="auto"/>
              <w:left w:val="single" w:sz="4" w:space="0" w:color="auto"/>
              <w:bottom w:val="single" w:sz="4" w:space="0" w:color="auto"/>
              <w:right w:val="nil"/>
            </w:tcBorders>
            <w:shd w:val="clear" w:color="auto" w:fill="auto"/>
            <w:vAlign w:val="center"/>
          </w:tcPr>
          <w:p w14:paraId="4E6C7768" w14:textId="77777777" w:rsidR="002F3880" w:rsidRPr="006070EA" w:rsidRDefault="002F3880" w:rsidP="000E35EE">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celé sídlo</w:t>
            </w:r>
          </w:p>
        </w:tc>
      </w:tr>
      <w:tr w:rsidR="002F3880" w:rsidRPr="006070EA" w14:paraId="23DCFBF4" w14:textId="77777777" w:rsidTr="000D222D">
        <w:trPr>
          <w:trHeight w:val="283"/>
          <w:jc w:val="center"/>
        </w:trPr>
        <w:tc>
          <w:tcPr>
            <w:tcW w:w="2154" w:type="dxa"/>
            <w:tcBorders>
              <w:top w:val="single" w:sz="4" w:space="0" w:color="auto"/>
              <w:left w:val="nil"/>
              <w:bottom w:val="nil"/>
              <w:right w:val="single" w:sz="4" w:space="0" w:color="auto"/>
            </w:tcBorders>
            <w:shd w:val="clear" w:color="auto" w:fill="auto"/>
            <w:vAlign w:val="center"/>
          </w:tcPr>
          <w:p w14:paraId="1FF1252A" w14:textId="77777777" w:rsidR="002F3880" w:rsidRPr="006070EA" w:rsidRDefault="002F3880" w:rsidP="000E35EE">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struktura sídla</w:t>
            </w:r>
          </w:p>
        </w:tc>
        <w:tc>
          <w:tcPr>
            <w:tcW w:w="4252" w:type="dxa"/>
            <w:tcBorders>
              <w:top w:val="single" w:sz="4" w:space="0" w:color="auto"/>
              <w:left w:val="single" w:sz="4" w:space="0" w:color="auto"/>
              <w:bottom w:val="nil"/>
              <w:right w:val="single" w:sz="4" w:space="0" w:color="auto"/>
            </w:tcBorders>
            <w:shd w:val="clear" w:color="auto" w:fill="auto"/>
            <w:vAlign w:val="center"/>
          </w:tcPr>
          <w:p w14:paraId="012B83BE" w14:textId="77777777" w:rsidR="002F3880" w:rsidRPr="006070EA" w:rsidRDefault="002F3880" w:rsidP="000E35EE">
            <w:pPr>
              <w:pStyle w:val="Bezmezer"/>
              <w:jc w:val="center"/>
              <w:rPr>
                <w:rFonts w:asciiTheme="majorHAnsi" w:hAnsiTheme="majorHAnsi" w:cstheme="majorHAnsi"/>
                <w:color w:val="000000"/>
                <w:szCs w:val="18"/>
                <w:shd w:val="clear" w:color="auto" w:fill="FFFFFF"/>
                <w:lang w:val="cs-CZ"/>
              </w:rPr>
            </w:pPr>
            <w:r w:rsidRPr="006070EA">
              <w:rPr>
                <w:rFonts w:asciiTheme="majorHAnsi" w:hAnsiTheme="majorHAnsi" w:cstheme="majorHAnsi"/>
                <w:color w:val="000000"/>
                <w:szCs w:val="18"/>
                <w:shd w:val="clear" w:color="auto" w:fill="FFFFFF"/>
                <w:lang w:val="cs-CZ"/>
              </w:rPr>
              <w:t>vesnice je typická svým ulicovým půdorysem</w:t>
            </w:r>
          </w:p>
        </w:tc>
        <w:tc>
          <w:tcPr>
            <w:tcW w:w="1155" w:type="dxa"/>
            <w:tcBorders>
              <w:top w:val="single" w:sz="4" w:space="0" w:color="auto"/>
              <w:left w:val="single" w:sz="4" w:space="0" w:color="auto"/>
              <w:bottom w:val="nil"/>
              <w:right w:val="single" w:sz="4" w:space="0" w:color="auto"/>
            </w:tcBorders>
            <w:vAlign w:val="center"/>
          </w:tcPr>
          <w:p w14:paraId="7D69CE6F" w14:textId="77777777" w:rsidR="002F3880" w:rsidRPr="006070EA" w:rsidRDefault="002F3880" w:rsidP="000E35EE">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Lány</w:t>
            </w:r>
          </w:p>
        </w:tc>
        <w:tc>
          <w:tcPr>
            <w:tcW w:w="0" w:type="auto"/>
            <w:tcBorders>
              <w:top w:val="single" w:sz="4" w:space="0" w:color="auto"/>
              <w:left w:val="single" w:sz="4" w:space="0" w:color="auto"/>
              <w:bottom w:val="nil"/>
              <w:right w:val="nil"/>
            </w:tcBorders>
            <w:shd w:val="clear" w:color="auto" w:fill="auto"/>
            <w:vAlign w:val="center"/>
          </w:tcPr>
          <w:p w14:paraId="5F21844A" w14:textId="77777777" w:rsidR="002F3880" w:rsidRPr="006070EA" w:rsidRDefault="002F3880" w:rsidP="000E35EE">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celé sídlo</w:t>
            </w:r>
          </w:p>
        </w:tc>
      </w:tr>
    </w:tbl>
    <w:p w14:paraId="5F6BF13B" w14:textId="77777777" w:rsidR="002F3880" w:rsidRPr="006070EA" w:rsidRDefault="002F3880" w:rsidP="002F3880">
      <w:pPr>
        <w:pStyle w:val="Atext"/>
        <w:rPr>
          <w:rFonts w:asciiTheme="majorHAnsi" w:hAnsiTheme="majorHAnsi" w:cstheme="majorHAnsi"/>
          <w:szCs w:val="18"/>
        </w:rPr>
      </w:pPr>
      <w:r w:rsidRPr="006070EA">
        <w:rPr>
          <w:rFonts w:asciiTheme="majorHAnsi" w:hAnsiTheme="majorHAnsi" w:cstheme="majorHAnsi"/>
          <w:color w:val="000000"/>
          <w:szCs w:val="18"/>
        </w:rPr>
        <w:t xml:space="preserve">Významnými hodnotami v území jsou dále celý systém veřejných prostranství, historicky utvářený a do značné míry </w:t>
      </w:r>
      <w:r w:rsidRPr="006070EA">
        <w:rPr>
          <w:rFonts w:asciiTheme="majorHAnsi" w:hAnsiTheme="majorHAnsi" w:cstheme="majorHAnsi"/>
          <w:szCs w:val="18"/>
        </w:rPr>
        <w:t>dochovaný ve stávajících komunikacích, obslužných cestách, pěších a cyklistických trasách nebo polních a lesních cestách.</w:t>
      </w:r>
    </w:p>
    <w:p w14:paraId="3CB698F7" w14:textId="77777777" w:rsidR="00860EB3" w:rsidRPr="006070EA" w:rsidRDefault="00860EB3" w:rsidP="00860EB3">
      <w:pPr>
        <w:pStyle w:val="Atext"/>
        <w:rPr>
          <w:rFonts w:asciiTheme="majorHAnsi" w:hAnsiTheme="majorHAnsi" w:cstheme="majorHAnsi"/>
          <w:szCs w:val="18"/>
        </w:rPr>
      </w:pPr>
      <w:r w:rsidRPr="006070EA">
        <w:rPr>
          <w:rFonts w:asciiTheme="majorHAnsi" w:hAnsiTheme="majorHAnsi" w:cstheme="majorHAnsi"/>
          <w:szCs w:val="18"/>
        </w:rPr>
        <w:t>Mimo hodnoty chráněné dle zákona o státní památkové péči byly v řešeném území identifikovány další hodnoty urbanistické, architektonické a kulturní, které územní plán ve stanovené rozvojové koncepci chrání, zejm. zejména stanovením podmínek plošného a prostorového uspořádání v území.</w:t>
      </w:r>
    </w:p>
    <w:p w14:paraId="36576170" w14:textId="77777777" w:rsidR="00D94D41" w:rsidRPr="006070EA" w:rsidRDefault="00D94D41" w:rsidP="00D94D41">
      <w:pPr>
        <w:spacing w:after="60" w:line="240" w:lineRule="auto"/>
        <w:ind w:firstLine="709"/>
        <w:jc w:val="both"/>
        <w:rPr>
          <w:rFonts w:asciiTheme="majorHAnsi" w:hAnsiTheme="majorHAnsi" w:cstheme="majorHAnsi"/>
          <w:sz w:val="18"/>
          <w:szCs w:val="18"/>
        </w:rPr>
      </w:pPr>
      <w:r w:rsidRPr="006070EA">
        <w:rPr>
          <w:rFonts w:asciiTheme="majorHAnsi" w:hAnsiTheme="majorHAnsi" w:cstheme="majorHAnsi"/>
          <w:sz w:val="18"/>
          <w:szCs w:val="18"/>
        </w:rPr>
        <w:t>V řešeném území se dále nacházejí objekty volně rozptýlené v krajině, které nepodléhají režimu památkové ochrany, jedná se však o objekty s historickou, uměleckou či obecně kulturní hodnotou. Tyto si zaslouží zvýšenou pozornost a</w:t>
      </w:r>
      <w:r w:rsidR="00860EB3" w:rsidRPr="006070EA">
        <w:rPr>
          <w:rFonts w:asciiTheme="majorHAnsi" w:hAnsiTheme="majorHAnsi" w:cstheme="majorHAnsi"/>
          <w:sz w:val="18"/>
          <w:szCs w:val="18"/>
        </w:rPr>
        <w:t> </w:t>
      </w:r>
      <w:r w:rsidRPr="006070EA">
        <w:rPr>
          <w:rFonts w:asciiTheme="majorHAnsi" w:hAnsiTheme="majorHAnsi" w:cstheme="majorHAnsi"/>
          <w:sz w:val="18"/>
          <w:szCs w:val="18"/>
        </w:rPr>
        <w:t>mohou být nazývány památkami místního významu. Jedná se zejména o boží muka, smírčí kříže, objekty lidové architektury apod. Navrhovaná koncepce respektuje a chrání také kulturní krajinu a její dochované části (historické cesty, stromořadí, průhledové osy apod.).</w:t>
      </w:r>
    </w:p>
    <w:p w14:paraId="27F56400" w14:textId="46EE4F7D" w:rsidR="005A5F53" w:rsidRPr="006070EA" w:rsidRDefault="00D94D41" w:rsidP="009E07E1">
      <w:pPr>
        <w:pStyle w:val="Anadpistun"/>
        <w:keepNext w:val="0"/>
        <w:keepLines w:val="0"/>
        <w:ind w:firstLine="709"/>
        <w:rPr>
          <w:rFonts w:asciiTheme="majorHAnsi" w:hAnsiTheme="majorHAnsi" w:cstheme="majorHAnsi"/>
          <w:b w:val="0"/>
        </w:rPr>
      </w:pPr>
      <w:r w:rsidRPr="006070EA">
        <w:rPr>
          <w:rFonts w:asciiTheme="majorHAnsi" w:hAnsiTheme="majorHAnsi" w:cstheme="majorHAnsi"/>
          <w:b w:val="0"/>
        </w:rPr>
        <w:lastRenderedPageBreak/>
        <w:t>Dochovaná</w:t>
      </w:r>
      <w:r w:rsidR="000D222D" w:rsidRPr="006070EA">
        <w:rPr>
          <w:rFonts w:asciiTheme="majorHAnsi" w:hAnsiTheme="majorHAnsi" w:cstheme="majorHAnsi"/>
          <w:b w:val="0"/>
        </w:rPr>
        <w:t xml:space="preserve"> </w:t>
      </w:r>
      <w:r w:rsidR="005A5F53" w:rsidRPr="006070EA">
        <w:rPr>
          <w:rFonts w:asciiTheme="majorHAnsi" w:hAnsiTheme="majorHAnsi" w:cstheme="majorHAnsi"/>
          <w:b w:val="0"/>
        </w:rPr>
        <w:t xml:space="preserve">urbanistická struktura </w:t>
      </w:r>
      <w:r w:rsidR="000D222D" w:rsidRPr="006070EA">
        <w:rPr>
          <w:rFonts w:asciiTheme="majorHAnsi" w:hAnsiTheme="majorHAnsi" w:cstheme="majorHAnsi"/>
          <w:b w:val="0"/>
        </w:rPr>
        <w:t xml:space="preserve">sídel v území </w:t>
      </w:r>
      <w:r w:rsidR="005A5F53" w:rsidRPr="006070EA">
        <w:rPr>
          <w:rFonts w:asciiTheme="majorHAnsi" w:hAnsiTheme="majorHAnsi" w:cstheme="majorHAnsi"/>
          <w:b w:val="0"/>
        </w:rPr>
        <w:t>je dědictvím a dokladem historického vývoje území. Důvodem pro její respektování a udržení je potřeba kontinuálního vývoje sídla se zohledněním a návazností na v minulosti již vytvořen</w:t>
      </w:r>
      <w:r w:rsidR="000D222D" w:rsidRPr="006070EA">
        <w:rPr>
          <w:rFonts w:asciiTheme="majorHAnsi" w:hAnsiTheme="majorHAnsi" w:cstheme="majorHAnsi"/>
          <w:b w:val="0"/>
        </w:rPr>
        <w:t>ých</w:t>
      </w:r>
      <w:r w:rsidR="005A5F53" w:rsidRPr="006070EA">
        <w:rPr>
          <w:rFonts w:asciiTheme="majorHAnsi" w:hAnsiTheme="majorHAnsi" w:cstheme="majorHAnsi"/>
          <w:b w:val="0"/>
        </w:rPr>
        <w:t xml:space="preserve"> urbanistick</w:t>
      </w:r>
      <w:r w:rsidR="000D222D" w:rsidRPr="006070EA">
        <w:rPr>
          <w:rFonts w:asciiTheme="majorHAnsi" w:hAnsiTheme="majorHAnsi" w:cstheme="majorHAnsi"/>
          <w:b w:val="0"/>
        </w:rPr>
        <w:t>ých</w:t>
      </w:r>
      <w:r w:rsidR="005A5F53" w:rsidRPr="006070EA">
        <w:rPr>
          <w:rFonts w:asciiTheme="majorHAnsi" w:hAnsiTheme="majorHAnsi" w:cstheme="majorHAnsi"/>
          <w:b w:val="0"/>
        </w:rPr>
        <w:t xml:space="preserve"> struktur.</w:t>
      </w:r>
    </w:p>
    <w:p w14:paraId="0C0A23CD" w14:textId="23D0B4CB" w:rsidR="005A5F53" w:rsidRPr="006070EA" w:rsidRDefault="005A5F53" w:rsidP="009E07E1">
      <w:pPr>
        <w:pStyle w:val="Anadpistun"/>
        <w:keepNext w:val="0"/>
        <w:keepLines w:val="0"/>
        <w:ind w:firstLine="709"/>
        <w:rPr>
          <w:rFonts w:asciiTheme="majorHAnsi" w:hAnsiTheme="majorHAnsi" w:cstheme="majorHAnsi"/>
          <w:b w:val="0"/>
        </w:rPr>
      </w:pPr>
      <w:r w:rsidRPr="006070EA">
        <w:rPr>
          <w:rFonts w:asciiTheme="majorHAnsi" w:hAnsiTheme="majorHAnsi" w:cstheme="majorHAnsi"/>
          <w:b w:val="0"/>
        </w:rPr>
        <w:t>Veřejná prostranství definují strukturu sídel – podél nich se rozvíjela zástavba, trasy pak vedly dále do volné krajiny a</w:t>
      </w:r>
      <w:r w:rsidR="00485315" w:rsidRPr="006070EA">
        <w:rPr>
          <w:rFonts w:asciiTheme="majorHAnsi" w:hAnsiTheme="majorHAnsi" w:cstheme="majorHAnsi"/>
          <w:b w:val="0"/>
        </w:rPr>
        <w:t> </w:t>
      </w:r>
      <w:r w:rsidRPr="006070EA">
        <w:rPr>
          <w:rFonts w:asciiTheme="majorHAnsi" w:hAnsiTheme="majorHAnsi" w:cstheme="majorHAnsi"/>
          <w:b w:val="0"/>
        </w:rPr>
        <w:t>zprostředkovaly propojení sídel. Struktura veřejných prostranství na území měst a obcí byla definována dříve než dochovaná nejstarší zástavba v území. Je taktéž dokladem historického vývoje sídelní a urbanistické struktury, proto je nezbytné ji chránit a rozvíjet a chránit před zastavěním.</w:t>
      </w:r>
    </w:p>
    <w:p w14:paraId="7C0C341B" w14:textId="669F75C1" w:rsidR="0057571C" w:rsidRPr="006070EA" w:rsidRDefault="0057571C" w:rsidP="009E07E1">
      <w:pPr>
        <w:pStyle w:val="Mra2-reakceern"/>
        <w:pBdr>
          <w:left w:val="none" w:sz="0" w:space="0" w:color="auto"/>
        </w:pBdr>
        <w:spacing w:before="120" w:after="60"/>
        <w:ind w:left="0"/>
        <w:jc w:val="right"/>
        <w:rPr>
          <w:rFonts w:asciiTheme="majorHAnsi" w:hAnsiTheme="majorHAnsi" w:cstheme="majorHAnsi"/>
          <w:i/>
          <w:color w:val="auto"/>
          <w:u w:val="single"/>
        </w:rPr>
      </w:pPr>
      <w:r w:rsidRPr="006070EA">
        <w:rPr>
          <w:rFonts w:asciiTheme="majorHAnsi" w:hAnsiTheme="majorHAnsi" w:cstheme="majorHAnsi"/>
          <w:i/>
          <w:color w:val="auto"/>
          <w:u w:val="single"/>
        </w:rPr>
        <w:t xml:space="preserve">Odůvodnění odst. </w:t>
      </w:r>
      <w:r w:rsidRPr="006070EA">
        <w:rPr>
          <w:rFonts w:asciiTheme="majorHAnsi" w:hAnsiTheme="majorHAnsi" w:cstheme="majorHAnsi"/>
          <w:b/>
          <w:i/>
          <w:color w:val="auto"/>
          <w:u w:val="single"/>
        </w:rPr>
        <w:t>(</w:t>
      </w:r>
      <w:r w:rsidR="00031996" w:rsidRPr="006070EA">
        <w:rPr>
          <w:rFonts w:asciiTheme="majorHAnsi" w:hAnsiTheme="majorHAnsi" w:cstheme="majorHAnsi"/>
          <w:b/>
          <w:i/>
          <w:color w:val="auto"/>
          <w:u w:val="single"/>
        </w:rPr>
        <w:t>5</w:t>
      </w:r>
      <w:r w:rsidRPr="006070EA">
        <w:rPr>
          <w:rFonts w:asciiTheme="majorHAnsi" w:hAnsiTheme="majorHAnsi" w:cstheme="majorHAnsi"/>
          <w:b/>
          <w:i/>
          <w:color w:val="auto"/>
          <w:u w:val="single"/>
        </w:rPr>
        <w:t>)</w:t>
      </w:r>
      <w:r w:rsidRPr="006070EA">
        <w:rPr>
          <w:rFonts w:asciiTheme="majorHAnsi" w:hAnsiTheme="majorHAnsi" w:cstheme="majorHAnsi"/>
          <w:i/>
          <w:color w:val="auto"/>
          <w:u w:val="single"/>
        </w:rPr>
        <w:t xml:space="preserve"> výrokové části</w:t>
      </w:r>
    </w:p>
    <w:p w14:paraId="7B37D855" w14:textId="77777777" w:rsidR="004254E6" w:rsidRPr="006070EA" w:rsidRDefault="004254E6" w:rsidP="009E07E1">
      <w:pPr>
        <w:spacing w:before="120" w:after="120" w:line="240" w:lineRule="auto"/>
        <w:rPr>
          <w:rFonts w:asciiTheme="majorHAnsi" w:hAnsiTheme="majorHAnsi" w:cstheme="majorHAnsi"/>
          <w:b/>
          <w:sz w:val="18"/>
          <w:szCs w:val="20"/>
          <w:u w:val="single"/>
        </w:rPr>
      </w:pPr>
      <w:r w:rsidRPr="006070EA">
        <w:rPr>
          <w:rFonts w:asciiTheme="majorHAnsi" w:hAnsiTheme="majorHAnsi" w:cstheme="majorHAnsi"/>
          <w:b/>
          <w:sz w:val="18"/>
          <w:szCs w:val="20"/>
          <w:u w:val="single"/>
        </w:rPr>
        <w:t xml:space="preserve">Ochrana </w:t>
      </w:r>
      <w:bookmarkEnd w:id="275"/>
      <w:r w:rsidR="0046613A" w:rsidRPr="006070EA">
        <w:rPr>
          <w:rFonts w:asciiTheme="majorHAnsi" w:hAnsiTheme="majorHAnsi" w:cstheme="majorHAnsi"/>
          <w:b/>
          <w:sz w:val="18"/>
          <w:szCs w:val="20"/>
          <w:u w:val="single"/>
        </w:rPr>
        <w:t>přírodních hodnot a zdrojů</w:t>
      </w:r>
    </w:p>
    <w:p w14:paraId="28731DB5" w14:textId="77777777" w:rsidR="00B42759" w:rsidRPr="006070EA" w:rsidRDefault="00B42759" w:rsidP="009E07E1">
      <w:pPr>
        <w:spacing w:before="120" w:after="120" w:line="240" w:lineRule="auto"/>
        <w:ind w:firstLine="709"/>
        <w:jc w:val="both"/>
        <w:rPr>
          <w:rFonts w:asciiTheme="majorHAnsi" w:hAnsiTheme="majorHAnsi" w:cstheme="majorHAnsi"/>
          <w:sz w:val="18"/>
          <w:szCs w:val="18"/>
        </w:rPr>
      </w:pPr>
      <w:r w:rsidRPr="006070EA">
        <w:rPr>
          <w:rFonts w:asciiTheme="majorHAnsi" w:hAnsiTheme="majorHAnsi" w:cstheme="majorHAnsi"/>
          <w:sz w:val="18"/>
          <w:szCs w:val="18"/>
        </w:rPr>
        <w:t>Ochrana přírody a krajiny a přírodních hodnot obecně vyplývá již z Ústavy České republiky. Článek 7 stanovuje, že: „</w:t>
      </w:r>
      <w:r w:rsidRPr="006070EA">
        <w:rPr>
          <w:rFonts w:asciiTheme="majorHAnsi" w:hAnsiTheme="majorHAnsi" w:cstheme="majorHAnsi"/>
          <w:i/>
          <w:sz w:val="18"/>
          <w:szCs w:val="18"/>
        </w:rPr>
        <w:t>Stát dbá o šetrné využívání přírodních zdrojů a ochranu přírodního bohatství.“</w:t>
      </w:r>
      <w:r w:rsidRPr="006070EA">
        <w:rPr>
          <w:rFonts w:asciiTheme="majorHAnsi" w:hAnsiTheme="majorHAnsi" w:cstheme="majorHAnsi"/>
          <w:sz w:val="18"/>
          <w:szCs w:val="18"/>
        </w:rPr>
        <w:t xml:space="preserve"> Tato zásada tedy stanovuje ochranu přírody a</w:t>
      </w:r>
      <w:r w:rsidR="00BC0CD5" w:rsidRPr="006070EA">
        <w:rPr>
          <w:rFonts w:asciiTheme="majorHAnsi" w:hAnsiTheme="majorHAnsi" w:cstheme="majorHAnsi"/>
          <w:sz w:val="18"/>
          <w:szCs w:val="18"/>
        </w:rPr>
        <w:t> </w:t>
      </w:r>
      <w:r w:rsidRPr="006070EA">
        <w:rPr>
          <w:rFonts w:asciiTheme="majorHAnsi" w:hAnsiTheme="majorHAnsi" w:cstheme="majorHAnsi"/>
          <w:sz w:val="18"/>
          <w:szCs w:val="18"/>
        </w:rPr>
        <w:t>krajiny za jeden z obecných veřejných zájmů.</w:t>
      </w:r>
    </w:p>
    <w:p w14:paraId="634760B9" w14:textId="77777777" w:rsidR="004254E6" w:rsidRPr="006070EA" w:rsidRDefault="004254E6" w:rsidP="009E07E1">
      <w:pPr>
        <w:spacing w:after="60" w:line="240" w:lineRule="auto"/>
        <w:ind w:firstLine="709"/>
        <w:jc w:val="both"/>
        <w:rPr>
          <w:rFonts w:asciiTheme="majorHAnsi" w:hAnsiTheme="majorHAnsi" w:cstheme="majorHAnsi"/>
          <w:sz w:val="18"/>
          <w:szCs w:val="20"/>
        </w:rPr>
      </w:pPr>
      <w:r w:rsidRPr="006070EA">
        <w:rPr>
          <w:rFonts w:asciiTheme="majorHAnsi" w:hAnsiTheme="majorHAnsi" w:cstheme="majorHAnsi"/>
          <w:sz w:val="18"/>
          <w:szCs w:val="20"/>
        </w:rPr>
        <w:t>Územní ochrana je zakotvena v zákoně č. 114/1992 Sb., zákon o ochraně přírody a krajiny, ve znění pozdějších předpisů (dále také „zákon o ochraně přírody a krajiny“), a jeho prováděcích vyhláškách č. 395/1992 Sb. a 60/2008 Sb.</w:t>
      </w:r>
      <w:r w:rsidR="00B42759" w:rsidRPr="006070EA">
        <w:rPr>
          <w:rFonts w:asciiTheme="majorHAnsi" w:hAnsiTheme="majorHAnsi" w:cstheme="majorHAnsi"/>
          <w:sz w:val="18"/>
          <w:szCs w:val="20"/>
        </w:rPr>
        <w:t xml:space="preserve"> Z hlediska výše uvedeného zákona a prováděcích vyhlášek se v řešeném území nacházejí následující přírodní a krajinné hodnoty:</w:t>
      </w:r>
    </w:p>
    <w:p w14:paraId="44568D59" w14:textId="77777777" w:rsidR="00C33CBB" w:rsidRPr="006070EA" w:rsidRDefault="00C33CBB" w:rsidP="00DA441E">
      <w:pPr>
        <w:keepNext/>
        <w:suppressAutoHyphens/>
        <w:spacing w:before="120" w:after="120" w:line="240" w:lineRule="auto"/>
        <w:jc w:val="both"/>
        <w:rPr>
          <w:rFonts w:asciiTheme="majorHAnsi" w:eastAsia="Times New Roman" w:hAnsiTheme="majorHAnsi" w:cstheme="majorHAnsi"/>
          <w:b/>
          <w:sz w:val="18"/>
          <w:szCs w:val="18"/>
          <w:lang w:eastAsia="ar-SA"/>
        </w:rPr>
      </w:pPr>
      <w:r w:rsidRPr="006070EA">
        <w:rPr>
          <w:rFonts w:asciiTheme="majorHAnsi" w:eastAsia="Times New Roman" w:hAnsiTheme="majorHAnsi" w:cstheme="majorHAnsi"/>
          <w:b/>
          <w:sz w:val="18"/>
          <w:szCs w:val="18"/>
          <w:lang w:eastAsia="ar-SA"/>
        </w:rPr>
        <w:t>Maloplošně zvláště chráněná území</w:t>
      </w:r>
    </w:p>
    <w:p w14:paraId="477957A3" w14:textId="627ED258" w:rsidR="00C33CBB" w:rsidRPr="006070EA" w:rsidRDefault="00C33CBB" w:rsidP="00DA441E">
      <w:pPr>
        <w:keepNext/>
        <w:suppressAutoHyphens/>
        <w:spacing w:before="120" w:after="120" w:line="240" w:lineRule="auto"/>
        <w:jc w:val="both"/>
        <w:rPr>
          <w:rFonts w:asciiTheme="majorHAnsi" w:eastAsia="Times New Roman" w:hAnsiTheme="majorHAnsi" w:cstheme="majorHAnsi"/>
          <w:sz w:val="18"/>
          <w:szCs w:val="18"/>
          <w:u w:val="single"/>
          <w:lang w:eastAsia="ar-SA"/>
        </w:rPr>
      </w:pPr>
      <w:r w:rsidRPr="006070EA">
        <w:rPr>
          <w:rFonts w:asciiTheme="majorHAnsi" w:eastAsia="Times New Roman" w:hAnsiTheme="majorHAnsi" w:cstheme="majorHAnsi"/>
          <w:sz w:val="18"/>
          <w:szCs w:val="18"/>
          <w:u w:val="single"/>
          <w:lang w:eastAsia="ar-SA"/>
        </w:rPr>
        <w:t>Přírodní rezervace</w:t>
      </w:r>
    </w:p>
    <w:p w14:paraId="78AA7A4E" w14:textId="77777777" w:rsidR="00C52A2E" w:rsidRPr="006070EA" w:rsidRDefault="00C52A2E" w:rsidP="00C52A2E">
      <w:pPr>
        <w:keepNext/>
        <w:suppressAutoHyphens/>
        <w:spacing w:before="120" w:after="120" w:line="240" w:lineRule="auto"/>
        <w:jc w:val="both"/>
        <w:rPr>
          <w:rFonts w:asciiTheme="majorHAnsi" w:eastAsia="Times New Roman" w:hAnsiTheme="majorHAnsi" w:cstheme="majorHAnsi"/>
          <w:sz w:val="18"/>
          <w:szCs w:val="18"/>
          <w:lang w:eastAsia="ar-SA"/>
        </w:rPr>
      </w:pPr>
      <w:r w:rsidRPr="006070EA">
        <w:rPr>
          <w:rFonts w:asciiTheme="majorHAnsi" w:eastAsia="Times New Roman" w:hAnsiTheme="majorHAnsi" w:cstheme="majorHAnsi"/>
          <w:sz w:val="18"/>
          <w:szCs w:val="18"/>
          <w:lang w:eastAsia="ar-SA"/>
        </w:rPr>
        <w:tab/>
        <w:t xml:space="preserve">Přírodní rezervace je chráněné území s regionálním významem, ve kterém jsou soustředěny přírodní hodnoty se zastoupením ekosystémů typických a významných pro danou geografickou oblast. Jsou vyhlašovány primárně pro ochranu menších území, v nichž jde o ochranu vzácného a regionálně významného biotopu (např. rašeliniště), případně o ochranu většího počtu vzácných druhů rostlin nebo živočichů. </w:t>
      </w:r>
    </w:p>
    <w:tbl>
      <w:tblPr>
        <w:tblW w:w="9288" w:type="dxa"/>
        <w:tblBorders>
          <w:insideH w:val="single" w:sz="6" w:space="0" w:color="000000"/>
          <w:insideV w:val="single" w:sz="6" w:space="0" w:color="000000"/>
        </w:tblBorders>
        <w:tblLayout w:type="fixed"/>
        <w:tblLook w:val="04A0" w:firstRow="1" w:lastRow="0" w:firstColumn="1" w:lastColumn="0" w:noHBand="0" w:noVBand="1"/>
      </w:tblPr>
      <w:tblGrid>
        <w:gridCol w:w="675"/>
        <w:gridCol w:w="993"/>
        <w:gridCol w:w="1275"/>
        <w:gridCol w:w="1951"/>
        <w:gridCol w:w="1223"/>
        <w:gridCol w:w="3171"/>
      </w:tblGrid>
      <w:tr w:rsidR="00C52A2E" w:rsidRPr="006070EA" w14:paraId="77065E12" w14:textId="77777777" w:rsidTr="009251F0">
        <w:trPr>
          <w:trHeight w:val="283"/>
        </w:trPr>
        <w:tc>
          <w:tcPr>
            <w:tcW w:w="675" w:type="dxa"/>
            <w:shd w:val="clear" w:color="auto" w:fill="auto"/>
            <w:hideMark/>
          </w:tcPr>
          <w:p w14:paraId="2F8BBF78" w14:textId="77777777" w:rsidR="00C52A2E" w:rsidRPr="006070EA" w:rsidRDefault="00C52A2E" w:rsidP="000E35EE">
            <w:pPr>
              <w:pStyle w:val="Bezmezer"/>
              <w:keepNext/>
              <w:suppressAutoHyphens/>
              <w:rPr>
                <w:rFonts w:asciiTheme="majorHAnsi" w:hAnsiTheme="majorHAnsi" w:cstheme="majorHAnsi"/>
                <w:b/>
                <w:bCs/>
                <w:color w:val="000000"/>
                <w:szCs w:val="18"/>
                <w:lang w:val="cs-CZ"/>
              </w:rPr>
            </w:pPr>
            <w:r w:rsidRPr="006070EA">
              <w:rPr>
                <w:rFonts w:asciiTheme="majorHAnsi" w:hAnsiTheme="majorHAnsi" w:cstheme="majorHAnsi"/>
                <w:b/>
                <w:bCs/>
                <w:color w:val="000000"/>
                <w:szCs w:val="18"/>
                <w:lang w:val="cs-CZ"/>
              </w:rPr>
              <w:t>kód</w:t>
            </w:r>
          </w:p>
        </w:tc>
        <w:tc>
          <w:tcPr>
            <w:tcW w:w="993" w:type="dxa"/>
            <w:shd w:val="clear" w:color="auto" w:fill="auto"/>
            <w:hideMark/>
          </w:tcPr>
          <w:p w14:paraId="1F3D2A93" w14:textId="77777777" w:rsidR="00C52A2E" w:rsidRPr="006070EA" w:rsidRDefault="00C52A2E" w:rsidP="000E35EE">
            <w:pPr>
              <w:pStyle w:val="Bezmezer"/>
              <w:keepNext/>
              <w:suppressAutoHyphens/>
              <w:rPr>
                <w:rFonts w:asciiTheme="majorHAnsi" w:hAnsiTheme="majorHAnsi" w:cstheme="majorHAnsi"/>
                <w:b/>
                <w:bCs/>
                <w:color w:val="000000"/>
                <w:szCs w:val="18"/>
                <w:lang w:val="cs-CZ"/>
              </w:rPr>
            </w:pPr>
            <w:r w:rsidRPr="006070EA">
              <w:rPr>
                <w:rFonts w:asciiTheme="majorHAnsi" w:hAnsiTheme="majorHAnsi" w:cstheme="majorHAnsi"/>
                <w:b/>
                <w:bCs/>
                <w:color w:val="000000"/>
                <w:szCs w:val="18"/>
                <w:lang w:val="cs-CZ"/>
              </w:rPr>
              <w:t>kategorie</w:t>
            </w:r>
          </w:p>
        </w:tc>
        <w:tc>
          <w:tcPr>
            <w:tcW w:w="1275" w:type="dxa"/>
            <w:shd w:val="clear" w:color="auto" w:fill="auto"/>
            <w:hideMark/>
          </w:tcPr>
          <w:p w14:paraId="089703ED" w14:textId="77777777" w:rsidR="00C52A2E" w:rsidRPr="006070EA" w:rsidRDefault="00C52A2E" w:rsidP="000E35EE">
            <w:pPr>
              <w:pStyle w:val="Bezmezer"/>
              <w:keepNext/>
              <w:suppressAutoHyphens/>
              <w:rPr>
                <w:rFonts w:asciiTheme="majorHAnsi" w:hAnsiTheme="majorHAnsi" w:cstheme="majorHAnsi"/>
                <w:b/>
                <w:bCs/>
                <w:color w:val="000000"/>
                <w:szCs w:val="18"/>
                <w:lang w:val="cs-CZ"/>
              </w:rPr>
            </w:pPr>
            <w:r w:rsidRPr="006070EA">
              <w:rPr>
                <w:rFonts w:asciiTheme="majorHAnsi" w:hAnsiTheme="majorHAnsi" w:cstheme="majorHAnsi"/>
                <w:b/>
                <w:bCs/>
                <w:color w:val="000000"/>
                <w:szCs w:val="18"/>
                <w:lang w:val="cs-CZ"/>
              </w:rPr>
              <w:t>název</w:t>
            </w:r>
          </w:p>
        </w:tc>
        <w:tc>
          <w:tcPr>
            <w:tcW w:w="1951" w:type="dxa"/>
            <w:shd w:val="clear" w:color="auto" w:fill="auto"/>
            <w:hideMark/>
          </w:tcPr>
          <w:p w14:paraId="247E4941" w14:textId="77777777" w:rsidR="00C52A2E" w:rsidRPr="006070EA" w:rsidRDefault="00C52A2E" w:rsidP="000E35EE">
            <w:pPr>
              <w:pStyle w:val="Bezmezer"/>
              <w:keepNext/>
              <w:suppressAutoHyphens/>
              <w:rPr>
                <w:rFonts w:asciiTheme="majorHAnsi" w:hAnsiTheme="majorHAnsi" w:cstheme="majorHAnsi"/>
                <w:b/>
                <w:bCs/>
                <w:color w:val="000000"/>
                <w:szCs w:val="18"/>
                <w:lang w:val="cs-CZ"/>
              </w:rPr>
            </w:pPr>
            <w:r w:rsidRPr="006070EA">
              <w:rPr>
                <w:rFonts w:asciiTheme="majorHAnsi" w:hAnsiTheme="majorHAnsi" w:cstheme="majorHAnsi"/>
                <w:b/>
                <w:bCs/>
                <w:color w:val="000000"/>
                <w:szCs w:val="18"/>
                <w:lang w:val="cs-CZ"/>
              </w:rPr>
              <w:t>k. ú.</w:t>
            </w:r>
          </w:p>
        </w:tc>
        <w:tc>
          <w:tcPr>
            <w:tcW w:w="1223" w:type="dxa"/>
            <w:shd w:val="clear" w:color="auto" w:fill="auto"/>
            <w:hideMark/>
          </w:tcPr>
          <w:p w14:paraId="1BCD1842" w14:textId="5413DA0E" w:rsidR="00C52A2E" w:rsidRPr="006070EA" w:rsidRDefault="00C52A2E" w:rsidP="000E35EE">
            <w:pPr>
              <w:pStyle w:val="Bezmezer"/>
              <w:keepNext/>
              <w:suppressAutoHyphens/>
              <w:rPr>
                <w:rFonts w:asciiTheme="majorHAnsi" w:hAnsiTheme="majorHAnsi" w:cstheme="majorHAnsi"/>
                <w:b/>
                <w:bCs/>
                <w:color w:val="000000"/>
                <w:szCs w:val="18"/>
                <w:lang w:val="cs-CZ"/>
              </w:rPr>
            </w:pPr>
            <w:r w:rsidRPr="006070EA">
              <w:rPr>
                <w:rFonts w:asciiTheme="majorHAnsi" w:hAnsiTheme="majorHAnsi" w:cstheme="majorHAnsi"/>
                <w:b/>
                <w:bCs/>
                <w:color w:val="000000"/>
                <w:szCs w:val="18"/>
                <w:lang w:val="cs-CZ"/>
              </w:rPr>
              <w:t>rozloha</w:t>
            </w:r>
          </w:p>
        </w:tc>
        <w:tc>
          <w:tcPr>
            <w:tcW w:w="3171" w:type="dxa"/>
            <w:shd w:val="clear" w:color="auto" w:fill="auto"/>
            <w:hideMark/>
          </w:tcPr>
          <w:p w14:paraId="2628670E" w14:textId="77777777" w:rsidR="00C52A2E" w:rsidRPr="006070EA" w:rsidRDefault="00C52A2E" w:rsidP="000E35EE">
            <w:pPr>
              <w:pStyle w:val="Bezmezer"/>
              <w:keepNext/>
              <w:suppressAutoHyphens/>
              <w:rPr>
                <w:rFonts w:asciiTheme="majorHAnsi" w:hAnsiTheme="majorHAnsi" w:cstheme="majorHAnsi"/>
                <w:b/>
                <w:bCs/>
                <w:color w:val="000000"/>
                <w:szCs w:val="18"/>
                <w:lang w:val="cs-CZ"/>
              </w:rPr>
            </w:pPr>
            <w:r w:rsidRPr="006070EA">
              <w:rPr>
                <w:rFonts w:asciiTheme="majorHAnsi" w:hAnsiTheme="majorHAnsi" w:cstheme="majorHAnsi"/>
                <w:b/>
                <w:bCs/>
                <w:color w:val="000000"/>
                <w:szCs w:val="18"/>
                <w:lang w:val="cs-CZ"/>
              </w:rPr>
              <w:t>předmět ochrany</w:t>
            </w:r>
          </w:p>
        </w:tc>
      </w:tr>
      <w:tr w:rsidR="00C52A2E" w:rsidRPr="006070EA" w14:paraId="16115EB2" w14:textId="77777777" w:rsidTr="009251F0">
        <w:trPr>
          <w:trHeight w:val="283"/>
        </w:trPr>
        <w:tc>
          <w:tcPr>
            <w:tcW w:w="675" w:type="dxa"/>
            <w:shd w:val="clear" w:color="auto" w:fill="auto"/>
            <w:vAlign w:val="center"/>
            <w:hideMark/>
          </w:tcPr>
          <w:p w14:paraId="4A53DE83" w14:textId="77777777" w:rsidR="00C52A2E" w:rsidRPr="006070EA" w:rsidRDefault="00C52A2E" w:rsidP="000E35EE">
            <w:pPr>
              <w:pStyle w:val="Bezmezer"/>
              <w:suppressAutoHyphens/>
              <w:rPr>
                <w:rFonts w:asciiTheme="majorHAnsi" w:hAnsiTheme="majorHAnsi" w:cstheme="majorHAnsi"/>
                <w:b/>
                <w:bCs/>
                <w:color w:val="000000"/>
                <w:szCs w:val="18"/>
                <w:lang w:val="cs-CZ"/>
              </w:rPr>
            </w:pPr>
            <w:r w:rsidRPr="006070EA">
              <w:rPr>
                <w:rFonts w:asciiTheme="majorHAnsi" w:hAnsiTheme="majorHAnsi" w:cstheme="majorHAnsi"/>
                <w:b/>
                <w:bCs/>
                <w:color w:val="000000"/>
                <w:szCs w:val="18"/>
                <w:lang w:val="cs-CZ"/>
              </w:rPr>
              <w:t>1171</w:t>
            </w:r>
          </w:p>
        </w:tc>
        <w:tc>
          <w:tcPr>
            <w:tcW w:w="993" w:type="dxa"/>
            <w:shd w:val="clear" w:color="auto" w:fill="auto"/>
            <w:hideMark/>
          </w:tcPr>
          <w:p w14:paraId="0E8C18BE" w14:textId="77777777" w:rsidR="00C52A2E" w:rsidRPr="006070EA" w:rsidRDefault="00C52A2E" w:rsidP="000E35EE">
            <w:pPr>
              <w:pStyle w:val="Bezmezer"/>
              <w:suppressAutoHyphens/>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přírodní rezervace</w:t>
            </w:r>
          </w:p>
        </w:tc>
        <w:tc>
          <w:tcPr>
            <w:tcW w:w="1275" w:type="dxa"/>
            <w:shd w:val="clear" w:color="auto" w:fill="auto"/>
            <w:hideMark/>
          </w:tcPr>
          <w:p w14:paraId="2F9DD9A3" w14:textId="77777777" w:rsidR="00C52A2E" w:rsidRPr="006070EA" w:rsidRDefault="00C52A2E" w:rsidP="000E35EE">
            <w:pPr>
              <w:pStyle w:val="Bezmezer"/>
              <w:suppressAutoHyphens/>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Mydlovarský Luh</w:t>
            </w:r>
          </w:p>
        </w:tc>
        <w:tc>
          <w:tcPr>
            <w:tcW w:w="1951" w:type="dxa"/>
            <w:shd w:val="clear" w:color="auto" w:fill="auto"/>
            <w:hideMark/>
          </w:tcPr>
          <w:p w14:paraId="55B306EC" w14:textId="77777777" w:rsidR="00C52A2E" w:rsidRPr="006070EA" w:rsidRDefault="00C52A2E" w:rsidP="000E35EE">
            <w:pPr>
              <w:pStyle w:val="Bezmezer"/>
              <w:suppressAutoHyphens/>
              <w:rPr>
                <w:rFonts w:asciiTheme="majorHAnsi" w:hAnsiTheme="majorHAnsi" w:cstheme="majorHAnsi"/>
                <w:i/>
                <w:color w:val="000000"/>
                <w:szCs w:val="18"/>
                <w:lang w:val="cs-CZ"/>
              </w:rPr>
            </w:pPr>
            <w:r w:rsidRPr="006070EA">
              <w:rPr>
                <w:rFonts w:asciiTheme="majorHAnsi" w:hAnsiTheme="majorHAnsi" w:cstheme="majorHAnsi"/>
                <w:color w:val="000000"/>
                <w:szCs w:val="18"/>
                <w:lang w:val="cs-CZ"/>
              </w:rPr>
              <w:t xml:space="preserve">Kostomlaty nad Labem </w:t>
            </w:r>
          </w:p>
        </w:tc>
        <w:tc>
          <w:tcPr>
            <w:tcW w:w="1223" w:type="dxa"/>
            <w:shd w:val="clear" w:color="auto" w:fill="auto"/>
            <w:hideMark/>
          </w:tcPr>
          <w:p w14:paraId="501D7B3A" w14:textId="4DCDEC71" w:rsidR="00C52A2E" w:rsidRPr="006070EA" w:rsidRDefault="009251F0" w:rsidP="000E35EE">
            <w:pPr>
              <w:pStyle w:val="Bezmezer"/>
              <w:suppressAutoHyphens/>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154,9291 ha</w:t>
            </w:r>
          </w:p>
        </w:tc>
        <w:tc>
          <w:tcPr>
            <w:tcW w:w="3171" w:type="dxa"/>
            <w:shd w:val="clear" w:color="auto" w:fill="auto"/>
            <w:hideMark/>
          </w:tcPr>
          <w:p w14:paraId="160D44B4" w14:textId="77777777" w:rsidR="00C52A2E" w:rsidRPr="006070EA" w:rsidRDefault="00C52A2E" w:rsidP="000E35EE">
            <w:pPr>
              <w:pStyle w:val="Bezmezer"/>
              <w:suppressAutoHyphens/>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přirozená/ polopřirozená skladba lužního lesa</w:t>
            </w:r>
          </w:p>
        </w:tc>
      </w:tr>
    </w:tbl>
    <w:p w14:paraId="336A9A12" w14:textId="79533FE1" w:rsidR="00C52A2E" w:rsidRPr="006070EA" w:rsidRDefault="00C52A2E" w:rsidP="00C52A2E">
      <w:pPr>
        <w:pStyle w:val="Atext"/>
        <w:rPr>
          <w:rFonts w:asciiTheme="majorHAnsi" w:hAnsiTheme="majorHAnsi" w:cstheme="majorHAnsi"/>
          <w:color w:val="000000"/>
          <w:szCs w:val="18"/>
        </w:rPr>
      </w:pPr>
      <w:r w:rsidRPr="006070EA">
        <w:rPr>
          <w:rFonts w:asciiTheme="majorHAnsi" w:hAnsiTheme="majorHAnsi" w:cstheme="majorHAnsi"/>
          <w:color w:val="000000"/>
          <w:szCs w:val="18"/>
        </w:rPr>
        <w:t xml:space="preserve">PR Mydlovarský luh </w:t>
      </w:r>
      <w:r w:rsidR="00031996" w:rsidRPr="006070EA">
        <w:rPr>
          <w:rFonts w:asciiTheme="majorHAnsi" w:hAnsiTheme="majorHAnsi" w:cstheme="majorHAnsi"/>
          <w:color w:val="000000"/>
          <w:szCs w:val="18"/>
        </w:rPr>
        <w:t>byla</w:t>
      </w:r>
      <w:r w:rsidRPr="006070EA">
        <w:rPr>
          <w:rFonts w:asciiTheme="majorHAnsi" w:hAnsiTheme="majorHAnsi" w:cstheme="majorHAnsi"/>
          <w:color w:val="000000"/>
          <w:szCs w:val="18"/>
        </w:rPr>
        <w:t xml:space="preserve"> vyhláše</w:t>
      </w:r>
      <w:r w:rsidR="00031996" w:rsidRPr="006070EA">
        <w:rPr>
          <w:rFonts w:asciiTheme="majorHAnsi" w:hAnsiTheme="majorHAnsi" w:cstheme="majorHAnsi"/>
          <w:color w:val="000000"/>
          <w:szCs w:val="18"/>
        </w:rPr>
        <w:t>na</w:t>
      </w:r>
      <w:r w:rsidRPr="006070EA">
        <w:rPr>
          <w:rFonts w:asciiTheme="majorHAnsi" w:hAnsiTheme="majorHAnsi" w:cstheme="majorHAnsi"/>
          <w:color w:val="000000"/>
          <w:szCs w:val="18"/>
        </w:rPr>
        <w:t xml:space="preserve"> v roce 1992</w:t>
      </w:r>
      <w:r w:rsidR="00031996" w:rsidRPr="006070EA">
        <w:rPr>
          <w:rFonts w:asciiTheme="majorHAnsi" w:hAnsiTheme="majorHAnsi" w:cstheme="majorHAnsi"/>
          <w:color w:val="000000"/>
          <w:szCs w:val="18"/>
        </w:rPr>
        <w:t>.</w:t>
      </w:r>
      <w:r w:rsidRPr="006070EA">
        <w:rPr>
          <w:rFonts w:asciiTheme="majorHAnsi" w:hAnsiTheme="majorHAnsi" w:cstheme="majorHAnsi"/>
          <w:color w:val="000000"/>
          <w:szCs w:val="18"/>
        </w:rPr>
        <w:t xml:space="preserve"> Důvodem navrhované územní ochrany jsou komplexy lužního lesa se zastoupením přirozené nebo polopřirozené skladby, dále pak slepá a odstavená ramena starého toku Labe, zazemněná labská ramena a ramena v různém stupni zazemnění, tedy celá hydroserie mokřadů až po uzavřené plochy, které jsou využívány jako kosené louky. Do přírodní rezervace patří i meandrující Farský potok, který je součástí toku Vlkava a který kopíruje zhruba severní hranici chráněného území. Mydlovarský luh je charakteristický především podmáčenými olšinami a</w:t>
      </w:r>
      <w:r w:rsidR="009251F0" w:rsidRPr="006070EA">
        <w:rPr>
          <w:rFonts w:asciiTheme="majorHAnsi" w:hAnsiTheme="majorHAnsi" w:cstheme="majorHAnsi"/>
          <w:color w:val="000000"/>
          <w:szCs w:val="18"/>
        </w:rPr>
        <w:t> </w:t>
      </w:r>
      <w:r w:rsidRPr="006070EA">
        <w:rPr>
          <w:rFonts w:asciiTheme="majorHAnsi" w:hAnsiTheme="majorHAnsi" w:cstheme="majorHAnsi"/>
          <w:color w:val="000000"/>
          <w:szCs w:val="18"/>
        </w:rPr>
        <w:t>dubojilmovými luhy. Z významných rostlin se zde nachází ladoňka dvoulistá (Scilla bifolia), sněženka podsněžník (Galanthus nivalis) a kruštík polabský (Epipactis albensis), z živočichů rosnička zelená (Hyla arborea), slavík obecný (Luscinia megarhynchos) a nádherný ledňáček říční (Alcedo atthis). V polozazemněných ramenech lze spatřit silnou populaci ohroženého vodního plže svinutce kruhovitého (Anisus spirorbis).</w:t>
      </w:r>
    </w:p>
    <w:p w14:paraId="2C2D41D0" w14:textId="77777777" w:rsidR="000B51EE" w:rsidRPr="006070EA" w:rsidRDefault="00DA441E" w:rsidP="00DA441E">
      <w:pPr>
        <w:keepNext/>
        <w:suppressAutoHyphens/>
        <w:spacing w:before="120" w:after="120" w:line="240" w:lineRule="auto"/>
        <w:jc w:val="both"/>
        <w:rPr>
          <w:rFonts w:asciiTheme="majorHAnsi" w:eastAsia="Times New Roman" w:hAnsiTheme="majorHAnsi" w:cstheme="majorHAnsi"/>
          <w:b/>
          <w:sz w:val="18"/>
          <w:szCs w:val="18"/>
          <w:lang w:eastAsia="ar-SA"/>
        </w:rPr>
      </w:pPr>
      <w:r w:rsidRPr="006070EA">
        <w:rPr>
          <w:rFonts w:asciiTheme="majorHAnsi" w:eastAsia="Times New Roman" w:hAnsiTheme="majorHAnsi" w:cstheme="majorHAnsi"/>
          <w:b/>
          <w:sz w:val="18"/>
          <w:szCs w:val="18"/>
          <w:lang w:eastAsia="ar-SA"/>
        </w:rPr>
        <w:t>Soustava NATURA 2000</w:t>
      </w:r>
    </w:p>
    <w:p w14:paraId="5F428793" w14:textId="77777777" w:rsidR="000B51EE" w:rsidRPr="006070EA" w:rsidRDefault="00DA441E" w:rsidP="00DA441E">
      <w:pPr>
        <w:keepNext/>
        <w:suppressAutoHyphens/>
        <w:spacing w:before="120" w:after="0" w:line="240" w:lineRule="auto"/>
        <w:jc w:val="both"/>
        <w:rPr>
          <w:rFonts w:asciiTheme="majorHAnsi" w:eastAsia="Times New Roman" w:hAnsiTheme="majorHAnsi" w:cstheme="majorHAnsi"/>
          <w:sz w:val="18"/>
          <w:szCs w:val="18"/>
          <w:u w:val="single"/>
          <w:lang w:eastAsia="ar-SA"/>
        </w:rPr>
      </w:pPr>
      <w:r w:rsidRPr="006070EA">
        <w:rPr>
          <w:rFonts w:asciiTheme="majorHAnsi" w:eastAsia="Times New Roman" w:hAnsiTheme="majorHAnsi" w:cstheme="majorHAnsi"/>
          <w:sz w:val="18"/>
          <w:szCs w:val="18"/>
          <w:u w:val="single"/>
          <w:lang w:eastAsia="ar-SA"/>
        </w:rPr>
        <w:t>Evropsky významné lokality (EVL)</w:t>
      </w:r>
    </w:p>
    <w:p w14:paraId="16580964" w14:textId="77777777" w:rsidR="000B51EE" w:rsidRPr="006070EA" w:rsidRDefault="000B51EE" w:rsidP="00DA441E">
      <w:pPr>
        <w:suppressAutoHyphens/>
        <w:spacing w:before="120" w:after="0" w:line="240" w:lineRule="auto"/>
        <w:ind w:firstLine="709"/>
        <w:jc w:val="both"/>
        <w:rPr>
          <w:rFonts w:asciiTheme="majorHAnsi" w:eastAsia="Times New Roman" w:hAnsiTheme="majorHAnsi" w:cstheme="majorHAnsi"/>
          <w:sz w:val="18"/>
          <w:szCs w:val="18"/>
          <w:lang w:eastAsia="ar-SA"/>
        </w:rPr>
      </w:pPr>
      <w:r w:rsidRPr="006070EA">
        <w:rPr>
          <w:rFonts w:asciiTheme="majorHAnsi" w:eastAsia="Times New Roman" w:hAnsiTheme="majorHAnsi" w:cstheme="majorHAnsi"/>
          <w:sz w:val="18"/>
          <w:szCs w:val="18"/>
          <w:lang w:eastAsia="ar-SA"/>
        </w:rPr>
        <w:t xml:space="preserve">Evropsky významná lokalita je druh chráněného území soustavy Natura 2000, které je vyhlášené k ochraně přírodních stanovišť volně žijících živočichů a planě rostoucích rostlin podle směrnice Evropské komise o stanovištích ze dne 21. května 1992. Český národní seznam Evropsky významných lokalit byl schválen vládou České republiky 22. prosince 2004 jako nařízení vlády č. 132/2005 Sb. Dne 5. 10. 2009 byl seznam doplněn o dalších 234 lokalit. </w:t>
      </w:r>
    </w:p>
    <w:p w14:paraId="4A6D05E3" w14:textId="72073CC7" w:rsidR="000B51EE" w:rsidRPr="006070EA" w:rsidRDefault="008719AD" w:rsidP="00DA441E">
      <w:pPr>
        <w:suppressAutoHyphens/>
        <w:spacing w:before="60" w:after="120" w:line="240" w:lineRule="auto"/>
        <w:ind w:firstLine="720"/>
        <w:jc w:val="both"/>
        <w:rPr>
          <w:rFonts w:asciiTheme="majorHAnsi" w:eastAsia="Times New Roman" w:hAnsiTheme="majorHAnsi" w:cstheme="majorHAnsi"/>
          <w:sz w:val="18"/>
          <w:szCs w:val="18"/>
          <w:lang w:eastAsia="cs-CZ"/>
        </w:rPr>
      </w:pPr>
      <w:r w:rsidRPr="006070EA">
        <w:rPr>
          <w:rFonts w:asciiTheme="majorHAnsi" w:eastAsia="Times New Roman" w:hAnsiTheme="majorHAnsi" w:cstheme="majorHAnsi"/>
          <w:sz w:val="18"/>
          <w:szCs w:val="18"/>
          <w:lang w:eastAsia="cs-CZ"/>
        </w:rPr>
        <w:t>Do</w:t>
      </w:r>
      <w:r w:rsidR="00CF73C6" w:rsidRPr="006070EA">
        <w:rPr>
          <w:rFonts w:asciiTheme="majorHAnsi" w:eastAsia="Times New Roman" w:hAnsiTheme="majorHAnsi" w:cstheme="majorHAnsi"/>
          <w:sz w:val="18"/>
          <w:szCs w:val="18"/>
          <w:lang w:eastAsia="cs-CZ"/>
        </w:rPr>
        <w:t> řešené</w:t>
      </w:r>
      <w:r w:rsidRPr="006070EA">
        <w:rPr>
          <w:rFonts w:asciiTheme="majorHAnsi" w:eastAsia="Times New Roman" w:hAnsiTheme="majorHAnsi" w:cstheme="majorHAnsi"/>
          <w:sz w:val="18"/>
          <w:szCs w:val="18"/>
          <w:lang w:eastAsia="cs-CZ"/>
        </w:rPr>
        <w:t>ho</w:t>
      </w:r>
      <w:r w:rsidR="00CF73C6" w:rsidRPr="006070EA">
        <w:rPr>
          <w:rFonts w:asciiTheme="majorHAnsi" w:eastAsia="Times New Roman" w:hAnsiTheme="majorHAnsi" w:cstheme="majorHAnsi"/>
          <w:sz w:val="18"/>
          <w:szCs w:val="18"/>
          <w:lang w:eastAsia="cs-CZ"/>
        </w:rPr>
        <w:t xml:space="preserve"> území </w:t>
      </w:r>
      <w:r w:rsidRPr="006070EA">
        <w:rPr>
          <w:rFonts w:asciiTheme="majorHAnsi" w:eastAsia="Times New Roman" w:hAnsiTheme="majorHAnsi" w:cstheme="majorHAnsi"/>
          <w:sz w:val="18"/>
          <w:szCs w:val="18"/>
          <w:lang w:eastAsia="cs-CZ"/>
        </w:rPr>
        <w:t>zasahuje část následující</w:t>
      </w:r>
      <w:r w:rsidR="00CF73C6" w:rsidRPr="006070EA">
        <w:rPr>
          <w:rFonts w:asciiTheme="majorHAnsi" w:eastAsia="Times New Roman" w:hAnsiTheme="majorHAnsi" w:cstheme="majorHAnsi"/>
          <w:sz w:val="18"/>
          <w:szCs w:val="18"/>
          <w:lang w:eastAsia="cs-CZ"/>
        </w:rPr>
        <w:t xml:space="preserve"> EVL:</w:t>
      </w:r>
    </w:p>
    <w:tbl>
      <w:tblPr>
        <w:tblW w:w="0" w:type="auto"/>
        <w:jc w:val="center"/>
        <w:tblBorders>
          <w:insideH w:val="single" w:sz="6" w:space="0" w:color="000000"/>
          <w:insideV w:val="single" w:sz="6" w:space="0" w:color="000000"/>
        </w:tblBorders>
        <w:tblLayout w:type="fixed"/>
        <w:tblLook w:val="0000" w:firstRow="0" w:lastRow="0" w:firstColumn="0" w:lastColumn="0" w:noHBand="0" w:noVBand="0"/>
      </w:tblPr>
      <w:tblGrid>
        <w:gridCol w:w="1911"/>
        <w:gridCol w:w="1465"/>
        <w:gridCol w:w="1465"/>
        <w:gridCol w:w="1465"/>
        <w:gridCol w:w="1465"/>
      </w:tblGrid>
      <w:tr w:rsidR="00C52A2E" w:rsidRPr="006070EA" w14:paraId="05E81C1F" w14:textId="77777777" w:rsidTr="009251F0">
        <w:trPr>
          <w:trHeight w:val="57"/>
          <w:jc w:val="center"/>
        </w:trPr>
        <w:tc>
          <w:tcPr>
            <w:tcW w:w="1911" w:type="dxa"/>
            <w:shd w:val="clear" w:color="auto" w:fill="auto"/>
            <w:vAlign w:val="center"/>
          </w:tcPr>
          <w:p w14:paraId="323CFCFF" w14:textId="77777777" w:rsidR="00C52A2E" w:rsidRPr="006070EA" w:rsidRDefault="00C52A2E" w:rsidP="00C52A2E">
            <w:pPr>
              <w:autoSpaceDE w:val="0"/>
              <w:autoSpaceDN w:val="0"/>
              <w:adjustRightInd w:val="0"/>
              <w:spacing w:after="0"/>
              <w:jc w:val="both"/>
              <w:rPr>
                <w:rFonts w:asciiTheme="majorHAnsi" w:hAnsiTheme="majorHAnsi" w:cstheme="majorHAnsi"/>
                <w:color w:val="000000"/>
                <w:sz w:val="18"/>
                <w:szCs w:val="18"/>
              </w:rPr>
            </w:pPr>
            <w:r w:rsidRPr="006070EA">
              <w:rPr>
                <w:rFonts w:asciiTheme="majorHAnsi" w:hAnsiTheme="majorHAnsi" w:cstheme="majorHAnsi"/>
                <w:b/>
                <w:bCs/>
                <w:color w:val="000000"/>
                <w:sz w:val="18"/>
                <w:szCs w:val="18"/>
              </w:rPr>
              <w:t>Obec</w:t>
            </w:r>
          </w:p>
        </w:tc>
        <w:tc>
          <w:tcPr>
            <w:tcW w:w="1465" w:type="dxa"/>
            <w:shd w:val="clear" w:color="auto" w:fill="auto"/>
            <w:vAlign w:val="center"/>
          </w:tcPr>
          <w:p w14:paraId="68C28851" w14:textId="77777777" w:rsidR="00C52A2E" w:rsidRPr="006070EA" w:rsidRDefault="00C52A2E" w:rsidP="00C52A2E">
            <w:pPr>
              <w:autoSpaceDE w:val="0"/>
              <w:autoSpaceDN w:val="0"/>
              <w:adjustRightInd w:val="0"/>
              <w:spacing w:after="0"/>
              <w:jc w:val="both"/>
              <w:rPr>
                <w:rFonts w:asciiTheme="majorHAnsi" w:hAnsiTheme="majorHAnsi" w:cstheme="majorHAnsi"/>
                <w:color w:val="000000"/>
                <w:sz w:val="18"/>
                <w:szCs w:val="18"/>
              </w:rPr>
            </w:pPr>
            <w:r w:rsidRPr="006070EA">
              <w:rPr>
                <w:rFonts w:asciiTheme="majorHAnsi" w:hAnsiTheme="majorHAnsi" w:cstheme="majorHAnsi"/>
                <w:b/>
                <w:bCs/>
                <w:color w:val="000000"/>
                <w:sz w:val="18"/>
                <w:szCs w:val="18"/>
              </w:rPr>
              <w:t>Kód NATURA</w:t>
            </w:r>
          </w:p>
        </w:tc>
        <w:tc>
          <w:tcPr>
            <w:tcW w:w="1465" w:type="dxa"/>
            <w:shd w:val="clear" w:color="auto" w:fill="auto"/>
            <w:vAlign w:val="center"/>
          </w:tcPr>
          <w:p w14:paraId="09F488C9" w14:textId="77777777" w:rsidR="00C52A2E" w:rsidRPr="006070EA" w:rsidRDefault="00C52A2E" w:rsidP="00C52A2E">
            <w:pPr>
              <w:autoSpaceDE w:val="0"/>
              <w:autoSpaceDN w:val="0"/>
              <w:adjustRightInd w:val="0"/>
              <w:spacing w:after="0"/>
              <w:jc w:val="both"/>
              <w:rPr>
                <w:rFonts w:asciiTheme="majorHAnsi" w:hAnsiTheme="majorHAnsi" w:cstheme="majorHAnsi"/>
                <w:color w:val="000000"/>
                <w:sz w:val="18"/>
                <w:szCs w:val="18"/>
              </w:rPr>
            </w:pPr>
            <w:r w:rsidRPr="006070EA">
              <w:rPr>
                <w:rFonts w:asciiTheme="majorHAnsi" w:hAnsiTheme="majorHAnsi" w:cstheme="majorHAnsi"/>
                <w:b/>
                <w:bCs/>
                <w:color w:val="000000"/>
                <w:sz w:val="18"/>
                <w:szCs w:val="18"/>
              </w:rPr>
              <w:t>Název</w:t>
            </w:r>
          </w:p>
        </w:tc>
        <w:tc>
          <w:tcPr>
            <w:tcW w:w="1465" w:type="dxa"/>
            <w:shd w:val="clear" w:color="auto" w:fill="auto"/>
            <w:vAlign w:val="center"/>
          </w:tcPr>
          <w:p w14:paraId="05303614" w14:textId="77777777" w:rsidR="00C52A2E" w:rsidRPr="006070EA" w:rsidRDefault="00C52A2E" w:rsidP="00C52A2E">
            <w:pPr>
              <w:autoSpaceDE w:val="0"/>
              <w:autoSpaceDN w:val="0"/>
              <w:adjustRightInd w:val="0"/>
              <w:spacing w:after="0"/>
              <w:jc w:val="both"/>
              <w:rPr>
                <w:rFonts w:asciiTheme="majorHAnsi" w:hAnsiTheme="majorHAnsi" w:cstheme="majorHAnsi"/>
                <w:color w:val="000000"/>
                <w:sz w:val="18"/>
                <w:szCs w:val="18"/>
              </w:rPr>
            </w:pPr>
            <w:r w:rsidRPr="006070EA">
              <w:rPr>
                <w:rFonts w:asciiTheme="majorHAnsi" w:hAnsiTheme="majorHAnsi" w:cstheme="majorHAnsi"/>
                <w:b/>
                <w:bCs/>
                <w:color w:val="000000"/>
                <w:sz w:val="18"/>
                <w:szCs w:val="18"/>
              </w:rPr>
              <w:t>Kat. ZCHU</w:t>
            </w:r>
          </w:p>
        </w:tc>
        <w:tc>
          <w:tcPr>
            <w:tcW w:w="1465" w:type="dxa"/>
            <w:shd w:val="clear" w:color="auto" w:fill="auto"/>
            <w:vAlign w:val="center"/>
          </w:tcPr>
          <w:p w14:paraId="3968D60A" w14:textId="6FF47F45" w:rsidR="00C52A2E" w:rsidRPr="006070EA" w:rsidRDefault="00C52A2E" w:rsidP="00C52A2E">
            <w:pPr>
              <w:autoSpaceDE w:val="0"/>
              <w:autoSpaceDN w:val="0"/>
              <w:adjustRightInd w:val="0"/>
              <w:spacing w:after="0"/>
              <w:jc w:val="both"/>
              <w:rPr>
                <w:rFonts w:asciiTheme="majorHAnsi" w:hAnsiTheme="majorHAnsi" w:cstheme="majorHAnsi"/>
                <w:b/>
                <w:bCs/>
                <w:color w:val="000000"/>
                <w:sz w:val="18"/>
                <w:szCs w:val="18"/>
              </w:rPr>
            </w:pPr>
            <w:r w:rsidRPr="006070EA">
              <w:rPr>
                <w:rFonts w:asciiTheme="majorHAnsi" w:hAnsiTheme="majorHAnsi" w:cstheme="majorHAnsi"/>
                <w:b/>
                <w:bCs/>
                <w:color w:val="000000"/>
                <w:sz w:val="18"/>
                <w:szCs w:val="18"/>
              </w:rPr>
              <w:t>Plocha (ha)</w:t>
            </w:r>
          </w:p>
        </w:tc>
      </w:tr>
      <w:tr w:rsidR="00C52A2E" w:rsidRPr="006070EA" w14:paraId="3F732CA4" w14:textId="77777777" w:rsidTr="009251F0">
        <w:trPr>
          <w:trHeight w:val="57"/>
          <w:jc w:val="center"/>
        </w:trPr>
        <w:tc>
          <w:tcPr>
            <w:tcW w:w="1911" w:type="dxa"/>
            <w:shd w:val="clear" w:color="auto" w:fill="auto"/>
            <w:vAlign w:val="center"/>
          </w:tcPr>
          <w:p w14:paraId="348B869D" w14:textId="77777777" w:rsidR="00C52A2E" w:rsidRPr="006070EA" w:rsidRDefault="00C52A2E" w:rsidP="00C52A2E">
            <w:pPr>
              <w:autoSpaceDE w:val="0"/>
              <w:autoSpaceDN w:val="0"/>
              <w:adjustRightInd w:val="0"/>
              <w:spacing w:after="0"/>
              <w:jc w:val="both"/>
              <w:rPr>
                <w:rFonts w:asciiTheme="majorHAnsi" w:hAnsiTheme="majorHAnsi" w:cstheme="majorHAnsi"/>
                <w:color w:val="000000"/>
                <w:sz w:val="18"/>
                <w:szCs w:val="18"/>
              </w:rPr>
            </w:pPr>
            <w:r w:rsidRPr="006070EA">
              <w:rPr>
                <w:rFonts w:asciiTheme="majorHAnsi" w:hAnsiTheme="majorHAnsi" w:cstheme="majorHAnsi"/>
                <w:color w:val="000000"/>
                <w:sz w:val="18"/>
                <w:szCs w:val="18"/>
              </w:rPr>
              <w:t>Kostomlaty nad Labem</w:t>
            </w:r>
          </w:p>
        </w:tc>
        <w:tc>
          <w:tcPr>
            <w:tcW w:w="1465" w:type="dxa"/>
            <w:shd w:val="clear" w:color="auto" w:fill="auto"/>
            <w:vAlign w:val="center"/>
          </w:tcPr>
          <w:p w14:paraId="67B7F519" w14:textId="77777777" w:rsidR="00C52A2E" w:rsidRPr="006070EA" w:rsidRDefault="00C52A2E" w:rsidP="00C52A2E">
            <w:pPr>
              <w:autoSpaceDE w:val="0"/>
              <w:autoSpaceDN w:val="0"/>
              <w:adjustRightInd w:val="0"/>
              <w:spacing w:after="0"/>
              <w:jc w:val="both"/>
              <w:rPr>
                <w:rFonts w:asciiTheme="majorHAnsi" w:hAnsiTheme="majorHAnsi" w:cstheme="majorHAnsi"/>
                <w:color w:val="000000"/>
                <w:sz w:val="18"/>
                <w:szCs w:val="18"/>
              </w:rPr>
            </w:pPr>
            <w:r w:rsidRPr="006070EA">
              <w:rPr>
                <w:rFonts w:asciiTheme="majorHAnsi" w:hAnsiTheme="majorHAnsi" w:cstheme="majorHAnsi"/>
                <w:color w:val="000000"/>
                <w:sz w:val="18"/>
                <w:szCs w:val="18"/>
              </w:rPr>
              <w:t>CZ0213048</w:t>
            </w:r>
          </w:p>
        </w:tc>
        <w:tc>
          <w:tcPr>
            <w:tcW w:w="1465" w:type="dxa"/>
            <w:shd w:val="clear" w:color="auto" w:fill="auto"/>
            <w:vAlign w:val="center"/>
          </w:tcPr>
          <w:p w14:paraId="1742A58A" w14:textId="77777777" w:rsidR="00C52A2E" w:rsidRPr="006070EA" w:rsidRDefault="00C52A2E" w:rsidP="00C52A2E">
            <w:pPr>
              <w:autoSpaceDE w:val="0"/>
              <w:autoSpaceDN w:val="0"/>
              <w:adjustRightInd w:val="0"/>
              <w:spacing w:after="0"/>
              <w:jc w:val="both"/>
              <w:rPr>
                <w:rFonts w:asciiTheme="majorHAnsi" w:hAnsiTheme="majorHAnsi" w:cstheme="majorHAnsi"/>
                <w:color w:val="000000"/>
                <w:sz w:val="18"/>
                <w:szCs w:val="18"/>
              </w:rPr>
            </w:pPr>
            <w:r w:rsidRPr="006070EA">
              <w:rPr>
                <w:rFonts w:asciiTheme="majorHAnsi" w:hAnsiTheme="majorHAnsi" w:cstheme="majorHAnsi"/>
                <w:color w:val="000000"/>
                <w:sz w:val="18"/>
                <w:szCs w:val="18"/>
              </w:rPr>
              <w:t>Mydlovarský luh</w:t>
            </w:r>
          </w:p>
        </w:tc>
        <w:tc>
          <w:tcPr>
            <w:tcW w:w="1465" w:type="dxa"/>
            <w:shd w:val="clear" w:color="auto" w:fill="auto"/>
            <w:vAlign w:val="center"/>
          </w:tcPr>
          <w:p w14:paraId="72D5505C" w14:textId="77777777" w:rsidR="00C52A2E" w:rsidRPr="006070EA" w:rsidRDefault="00C52A2E" w:rsidP="00C52A2E">
            <w:pPr>
              <w:autoSpaceDE w:val="0"/>
              <w:autoSpaceDN w:val="0"/>
              <w:adjustRightInd w:val="0"/>
              <w:spacing w:after="0"/>
              <w:jc w:val="both"/>
              <w:rPr>
                <w:rFonts w:asciiTheme="majorHAnsi" w:hAnsiTheme="majorHAnsi" w:cstheme="majorHAnsi"/>
                <w:color w:val="000000"/>
                <w:sz w:val="18"/>
                <w:szCs w:val="18"/>
              </w:rPr>
            </w:pPr>
            <w:r w:rsidRPr="006070EA">
              <w:rPr>
                <w:rFonts w:asciiTheme="majorHAnsi" w:hAnsiTheme="majorHAnsi" w:cstheme="majorHAnsi"/>
                <w:color w:val="000000"/>
                <w:sz w:val="18"/>
                <w:szCs w:val="18"/>
              </w:rPr>
              <w:t>PR</w:t>
            </w:r>
          </w:p>
        </w:tc>
        <w:tc>
          <w:tcPr>
            <w:tcW w:w="1465" w:type="dxa"/>
            <w:shd w:val="clear" w:color="auto" w:fill="auto"/>
            <w:vAlign w:val="center"/>
          </w:tcPr>
          <w:p w14:paraId="7C78C038" w14:textId="77777777" w:rsidR="00C52A2E" w:rsidRPr="006070EA" w:rsidRDefault="00C52A2E" w:rsidP="00C52A2E">
            <w:pPr>
              <w:autoSpaceDE w:val="0"/>
              <w:autoSpaceDN w:val="0"/>
              <w:adjustRightInd w:val="0"/>
              <w:spacing w:after="0"/>
              <w:jc w:val="both"/>
              <w:rPr>
                <w:rFonts w:asciiTheme="majorHAnsi" w:hAnsiTheme="majorHAnsi" w:cstheme="majorHAnsi"/>
                <w:color w:val="000000"/>
                <w:sz w:val="18"/>
                <w:szCs w:val="18"/>
              </w:rPr>
            </w:pPr>
            <w:r w:rsidRPr="006070EA">
              <w:rPr>
                <w:rFonts w:asciiTheme="majorHAnsi" w:hAnsiTheme="majorHAnsi" w:cstheme="majorHAnsi"/>
                <w:color w:val="000000"/>
                <w:sz w:val="18"/>
                <w:szCs w:val="18"/>
              </w:rPr>
              <w:t>3,95</w:t>
            </w:r>
          </w:p>
        </w:tc>
      </w:tr>
    </w:tbl>
    <w:p w14:paraId="43B725E3" w14:textId="77777777" w:rsidR="00B42759" w:rsidRPr="006070EA" w:rsidRDefault="00B42759" w:rsidP="009E07E1">
      <w:pPr>
        <w:pStyle w:val="Anadpistun"/>
        <w:rPr>
          <w:rFonts w:asciiTheme="majorHAnsi" w:eastAsia="Calibri" w:hAnsiTheme="majorHAnsi" w:cstheme="majorHAnsi"/>
          <w:lang w:eastAsia="en-US"/>
        </w:rPr>
      </w:pPr>
      <w:r w:rsidRPr="006070EA">
        <w:rPr>
          <w:rFonts w:asciiTheme="majorHAnsi" w:eastAsia="Calibri" w:hAnsiTheme="majorHAnsi" w:cstheme="majorHAnsi"/>
          <w:lang w:eastAsia="en-US"/>
        </w:rPr>
        <w:t>Obecně chráněná území</w:t>
      </w:r>
    </w:p>
    <w:p w14:paraId="64355320" w14:textId="77777777" w:rsidR="00B42759" w:rsidRPr="006070EA" w:rsidRDefault="00B42759" w:rsidP="009E07E1">
      <w:pPr>
        <w:pStyle w:val="Anadpispodtren"/>
        <w:rPr>
          <w:rFonts w:asciiTheme="majorHAnsi" w:eastAsia="Calibri" w:hAnsiTheme="majorHAnsi" w:cstheme="majorHAnsi"/>
          <w:lang w:eastAsia="en-US"/>
        </w:rPr>
      </w:pPr>
      <w:r w:rsidRPr="006070EA">
        <w:rPr>
          <w:rFonts w:asciiTheme="majorHAnsi" w:eastAsia="Calibri" w:hAnsiTheme="majorHAnsi" w:cstheme="majorHAnsi"/>
          <w:lang w:eastAsia="en-US"/>
        </w:rPr>
        <w:t>Významné krajinné prvky (VKP)</w:t>
      </w:r>
    </w:p>
    <w:p w14:paraId="6CC2CE69" w14:textId="77777777" w:rsidR="00B42759" w:rsidRPr="006070EA" w:rsidRDefault="00B42759" w:rsidP="009E07E1">
      <w:pPr>
        <w:pStyle w:val="Atext"/>
        <w:rPr>
          <w:rFonts w:asciiTheme="majorHAnsi" w:eastAsia="Calibri" w:hAnsiTheme="majorHAnsi" w:cstheme="majorHAnsi"/>
          <w:lang w:eastAsia="en-US"/>
        </w:rPr>
      </w:pPr>
      <w:r w:rsidRPr="006070EA">
        <w:rPr>
          <w:rFonts w:asciiTheme="majorHAnsi" w:eastAsia="Calibri" w:hAnsiTheme="majorHAnsi" w:cstheme="majorHAnsi"/>
          <w:lang w:eastAsia="en-US"/>
        </w:rPr>
        <w:t>V území se nacházejí významné krajinné prvky vyplývající z § 3 odst. b) zákona o ochraně přírody a</w:t>
      </w:r>
      <w:r w:rsidR="000B51EE" w:rsidRPr="006070EA">
        <w:rPr>
          <w:rFonts w:asciiTheme="majorHAnsi" w:eastAsia="Calibri" w:hAnsiTheme="majorHAnsi" w:cstheme="majorHAnsi"/>
          <w:lang w:eastAsia="en-US"/>
        </w:rPr>
        <w:t> </w:t>
      </w:r>
      <w:r w:rsidRPr="006070EA">
        <w:rPr>
          <w:rFonts w:asciiTheme="majorHAnsi" w:eastAsia="Calibri" w:hAnsiTheme="majorHAnsi" w:cstheme="majorHAnsi"/>
          <w:lang w:eastAsia="en-US"/>
        </w:rPr>
        <w:t xml:space="preserve">krajiny. Významnými krajinnými prvky jsou lesy, rašeliniště, vodní toky, rybníky, jezera a údolní nivy. Tyto prvky jsou ekologicky, geomorfologicky a esteticky hodnotnou částí krajiny, utváří její typický vzhled a přispívají k udržení její stability. </w:t>
      </w:r>
      <w:r w:rsidRPr="006070EA">
        <w:rPr>
          <w:rFonts w:asciiTheme="majorHAnsi" w:hAnsiTheme="majorHAnsi" w:cstheme="majorHAnsi"/>
        </w:rPr>
        <w:t>Registrované významné krajinné prvky se v řešeném území nevyskytují.</w:t>
      </w:r>
    </w:p>
    <w:p w14:paraId="537D26CE" w14:textId="77777777" w:rsidR="004254E6" w:rsidRPr="006070EA" w:rsidRDefault="004254E6" w:rsidP="009E07E1">
      <w:pPr>
        <w:spacing w:before="120" w:after="120" w:line="240" w:lineRule="auto"/>
        <w:jc w:val="both"/>
        <w:rPr>
          <w:rFonts w:asciiTheme="majorHAnsi" w:hAnsiTheme="majorHAnsi" w:cstheme="majorHAnsi"/>
          <w:b/>
          <w:sz w:val="18"/>
        </w:rPr>
      </w:pPr>
      <w:r w:rsidRPr="006070EA">
        <w:rPr>
          <w:rFonts w:asciiTheme="majorHAnsi" w:hAnsiTheme="majorHAnsi" w:cstheme="majorHAnsi"/>
          <w:b/>
          <w:sz w:val="18"/>
        </w:rPr>
        <w:t>Územní systém ekologické stability (ÚSES)</w:t>
      </w:r>
      <w:r w:rsidR="00FC670E" w:rsidRPr="006070EA">
        <w:rPr>
          <w:rFonts w:asciiTheme="majorHAnsi" w:hAnsiTheme="majorHAnsi" w:cstheme="majorHAnsi"/>
          <w:b/>
          <w:sz w:val="18"/>
        </w:rPr>
        <w:t>, ekologická stabilita území</w:t>
      </w:r>
    </w:p>
    <w:p w14:paraId="034687CE" w14:textId="77777777" w:rsidR="0026757B" w:rsidRPr="006070EA" w:rsidRDefault="0026757B" w:rsidP="001524BA">
      <w:pPr>
        <w:spacing w:before="120" w:after="120" w:line="240" w:lineRule="auto"/>
        <w:jc w:val="both"/>
        <w:rPr>
          <w:rFonts w:asciiTheme="majorHAnsi" w:hAnsiTheme="majorHAnsi" w:cstheme="majorHAnsi"/>
          <w:sz w:val="18"/>
        </w:rPr>
      </w:pPr>
      <w:r w:rsidRPr="006070EA">
        <w:rPr>
          <w:rFonts w:asciiTheme="majorHAnsi" w:hAnsiTheme="majorHAnsi" w:cstheme="majorHAnsi"/>
          <w:sz w:val="18"/>
        </w:rPr>
        <w:tab/>
        <w:t xml:space="preserve">Odůvodnění ÚSES je podrobně popsáno v kapitole </w:t>
      </w:r>
      <w:r w:rsidR="00654835" w:rsidRPr="006070EA">
        <w:rPr>
          <w:rFonts w:asciiTheme="majorHAnsi" w:hAnsiTheme="majorHAnsi" w:cstheme="majorHAnsi"/>
          <w:sz w:val="18"/>
        </w:rPr>
        <w:t>11.5</w:t>
      </w:r>
      <w:r w:rsidRPr="006070EA">
        <w:rPr>
          <w:rFonts w:asciiTheme="majorHAnsi" w:hAnsiTheme="majorHAnsi" w:cstheme="majorHAnsi"/>
          <w:sz w:val="18"/>
        </w:rPr>
        <w:t xml:space="preserve"> </w:t>
      </w:r>
      <w:r w:rsidRPr="006070EA">
        <w:rPr>
          <w:rFonts w:asciiTheme="majorHAnsi" w:hAnsiTheme="majorHAnsi" w:cstheme="majorHAnsi"/>
          <w:i/>
          <w:sz w:val="18"/>
        </w:rPr>
        <w:t>Odůvodnění koncepce uspořádání krajiny</w:t>
      </w:r>
      <w:r w:rsidR="00654835" w:rsidRPr="006070EA">
        <w:rPr>
          <w:rFonts w:asciiTheme="majorHAnsi" w:hAnsiTheme="majorHAnsi" w:cstheme="majorHAnsi"/>
          <w:sz w:val="18"/>
        </w:rPr>
        <w:t xml:space="preserve">, v oddílu </w:t>
      </w:r>
      <w:r w:rsidR="00654835" w:rsidRPr="006070EA">
        <w:rPr>
          <w:rFonts w:asciiTheme="majorHAnsi" w:hAnsiTheme="majorHAnsi" w:cstheme="majorHAnsi"/>
          <w:i/>
          <w:sz w:val="18"/>
        </w:rPr>
        <w:t>11.5.3</w:t>
      </w:r>
      <w:r w:rsidR="00311823" w:rsidRPr="006070EA">
        <w:rPr>
          <w:rFonts w:asciiTheme="majorHAnsi" w:hAnsiTheme="majorHAnsi" w:cstheme="majorHAnsi"/>
          <w:i/>
          <w:sz w:val="18"/>
        </w:rPr>
        <w:t> </w:t>
      </w:r>
      <w:r w:rsidR="00654835" w:rsidRPr="006070EA">
        <w:rPr>
          <w:rFonts w:asciiTheme="majorHAnsi" w:hAnsiTheme="majorHAnsi" w:cstheme="majorHAnsi"/>
          <w:i/>
          <w:sz w:val="18"/>
        </w:rPr>
        <w:t>Odůvodnění vymezení územního systému ekologické stability</w:t>
      </w:r>
      <w:r w:rsidR="00654835" w:rsidRPr="006070EA">
        <w:rPr>
          <w:rFonts w:asciiTheme="majorHAnsi" w:hAnsiTheme="majorHAnsi" w:cstheme="majorHAnsi"/>
          <w:sz w:val="18"/>
        </w:rPr>
        <w:t xml:space="preserve">. </w:t>
      </w:r>
    </w:p>
    <w:p w14:paraId="43D48A94" w14:textId="72654764" w:rsidR="006C094E" w:rsidRPr="006070EA" w:rsidRDefault="006C094E" w:rsidP="001524BA">
      <w:pPr>
        <w:pStyle w:val="Atext"/>
        <w:rPr>
          <w:rFonts w:asciiTheme="majorHAnsi" w:hAnsiTheme="majorHAnsi" w:cstheme="majorHAnsi"/>
          <w:lang w:eastAsia="cs-CZ"/>
        </w:rPr>
      </w:pPr>
      <w:r w:rsidRPr="006070EA">
        <w:rPr>
          <w:rFonts w:asciiTheme="majorHAnsi" w:hAnsiTheme="majorHAnsi" w:cstheme="majorHAnsi"/>
          <w:lang w:eastAsia="cs-CZ"/>
        </w:rPr>
        <w:lastRenderedPageBreak/>
        <w:t>Koeficient ekologické stability (KES)</w:t>
      </w:r>
      <w:r w:rsidR="00FC670E" w:rsidRPr="006070EA">
        <w:rPr>
          <w:rFonts w:asciiTheme="majorHAnsi" w:hAnsiTheme="majorHAnsi" w:cstheme="majorHAnsi"/>
          <w:lang w:eastAsia="cs-CZ"/>
        </w:rPr>
        <w:t xml:space="preserve"> vyjadřuje</w:t>
      </w:r>
      <w:r w:rsidRPr="006070EA">
        <w:rPr>
          <w:rFonts w:asciiTheme="majorHAnsi" w:hAnsiTheme="majorHAnsi" w:cstheme="majorHAnsi"/>
          <w:lang w:eastAsia="cs-CZ"/>
        </w:rPr>
        <w:t xml:space="preserve"> poměr ploch ekologicky stabilním (v tomto případě lesních ploch, TTP, vodních ploch a sadů) k plochám ekologicky nestabilním</w:t>
      </w:r>
      <w:r w:rsidR="00FC670E" w:rsidRPr="006070EA">
        <w:rPr>
          <w:rFonts w:asciiTheme="majorHAnsi" w:hAnsiTheme="majorHAnsi" w:cstheme="majorHAnsi"/>
          <w:lang w:eastAsia="cs-CZ"/>
        </w:rPr>
        <w:t xml:space="preserve"> (orná půda a zastavěné plochy). V řešeném území </w:t>
      </w:r>
      <w:r w:rsidRPr="006070EA">
        <w:rPr>
          <w:rFonts w:asciiTheme="majorHAnsi" w:hAnsiTheme="majorHAnsi" w:cstheme="majorHAnsi"/>
          <w:lang w:eastAsia="cs-CZ"/>
        </w:rPr>
        <w:t>je</w:t>
      </w:r>
      <w:r w:rsidR="00FC670E" w:rsidRPr="006070EA">
        <w:rPr>
          <w:rFonts w:asciiTheme="majorHAnsi" w:hAnsiTheme="majorHAnsi" w:cstheme="majorHAnsi"/>
          <w:lang w:eastAsia="cs-CZ"/>
        </w:rPr>
        <w:t>ho hodnota činí</w:t>
      </w:r>
      <w:r w:rsidRPr="006070EA">
        <w:rPr>
          <w:rFonts w:asciiTheme="majorHAnsi" w:hAnsiTheme="majorHAnsi" w:cstheme="majorHAnsi"/>
          <w:lang w:eastAsia="cs-CZ"/>
        </w:rPr>
        <w:t xml:space="preserve"> 0,</w:t>
      </w:r>
      <w:r w:rsidR="001524BA" w:rsidRPr="006070EA">
        <w:rPr>
          <w:rFonts w:asciiTheme="majorHAnsi" w:hAnsiTheme="majorHAnsi" w:cstheme="majorHAnsi"/>
          <w:lang w:eastAsia="cs-CZ"/>
        </w:rPr>
        <w:t>17</w:t>
      </w:r>
      <w:r w:rsidRPr="006070EA">
        <w:rPr>
          <w:rFonts w:asciiTheme="majorHAnsi" w:hAnsiTheme="majorHAnsi" w:cstheme="majorHAnsi"/>
          <w:lang w:eastAsia="cs-CZ"/>
        </w:rPr>
        <w:t xml:space="preserve">, což znamená, že se jedná o území </w:t>
      </w:r>
      <w:r w:rsidR="001524BA" w:rsidRPr="006070EA">
        <w:rPr>
          <w:rFonts w:asciiTheme="majorHAnsi" w:hAnsiTheme="majorHAnsi" w:cstheme="majorHAnsi"/>
          <w:lang w:eastAsia="cs-CZ"/>
        </w:rPr>
        <w:t>nadprůměrně</w:t>
      </w:r>
      <w:r w:rsidRPr="006070EA">
        <w:rPr>
          <w:rFonts w:asciiTheme="majorHAnsi" w:hAnsiTheme="majorHAnsi" w:cstheme="majorHAnsi"/>
          <w:lang w:eastAsia="cs-CZ"/>
        </w:rPr>
        <w:t xml:space="preserve"> využívané</w:t>
      </w:r>
      <w:r w:rsidR="001524BA" w:rsidRPr="006070EA">
        <w:rPr>
          <w:rFonts w:asciiTheme="majorHAnsi" w:hAnsiTheme="majorHAnsi" w:cstheme="majorHAnsi"/>
          <w:lang w:eastAsia="cs-CZ"/>
        </w:rPr>
        <w:t xml:space="preserve"> se zřetelným narušením přírodních struktur.</w:t>
      </w:r>
      <w:r w:rsidRPr="006070EA">
        <w:rPr>
          <w:rFonts w:asciiTheme="majorHAnsi" w:hAnsiTheme="majorHAnsi" w:cstheme="majorHAnsi"/>
          <w:lang w:eastAsia="cs-CZ"/>
        </w:rPr>
        <w:t xml:space="preserve"> Oslabení autoregulačních pochodů v ekosystémech způsobuje jejich značnou ekologickou labilitu a vyžaduje vysoké vklady dodatkové energie. KES je </w:t>
      </w:r>
      <w:r w:rsidR="001524BA" w:rsidRPr="006070EA">
        <w:rPr>
          <w:rFonts w:asciiTheme="majorHAnsi" w:hAnsiTheme="majorHAnsi" w:cstheme="majorHAnsi"/>
          <w:lang w:eastAsia="cs-CZ"/>
        </w:rPr>
        <w:t xml:space="preserve">výrazně </w:t>
      </w:r>
      <w:r w:rsidRPr="006070EA">
        <w:rPr>
          <w:rFonts w:asciiTheme="majorHAnsi" w:hAnsiTheme="majorHAnsi" w:cstheme="majorHAnsi"/>
          <w:lang w:eastAsia="cs-CZ"/>
        </w:rPr>
        <w:t>nižší než</w:t>
      </w:r>
      <w:r w:rsidR="00D66957" w:rsidRPr="006070EA">
        <w:rPr>
          <w:rFonts w:asciiTheme="majorHAnsi" w:hAnsiTheme="majorHAnsi" w:cstheme="majorHAnsi"/>
          <w:lang w:eastAsia="cs-CZ"/>
        </w:rPr>
        <w:t xml:space="preserve">li celorepublikový průměr </w:t>
      </w:r>
      <w:r w:rsidRPr="006070EA">
        <w:rPr>
          <w:rFonts w:asciiTheme="majorHAnsi" w:hAnsiTheme="majorHAnsi" w:cstheme="majorHAnsi"/>
          <w:lang w:eastAsia="cs-CZ"/>
        </w:rPr>
        <w:t>(1,06)</w:t>
      </w:r>
      <w:r w:rsidR="00D66957" w:rsidRPr="006070EA">
        <w:rPr>
          <w:rFonts w:asciiTheme="majorHAnsi" w:hAnsiTheme="majorHAnsi" w:cstheme="majorHAnsi"/>
          <w:lang w:eastAsia="cs-CZ"/>
        </w:rPr>
        <w:t>.</w:t>
      </w:r>
    </w:p>
    <w:p w14:paraId="4DD4CF06" w14:textId="77777777" w:rsidR="0026757B" w:rsidRPr="006070EA" w:rsidRDefault="0026757B" w:rsidP="001524BA">
      <w:pPr>
        <w:pStyle w:val="Atext"/>
        <w:rPr>
          <w:rFonts w:asciiTheme="majorHAnsi" w:hAnsiTheme="majorHAnsi" w:cstheme="majorHAnsi"/>
        </w:rPr>
      </w:pPr>
      <w:r w:rsidRPr="006070EA">
        <w:rPr>
          <w:rFonts w:asciiTheme="majorHAnsi" w:hAnsiTheme="majorHAnsi" w:cstheme="majorHAnsi"/>
        </w:rPr>
        <w:t xml:space="preserve">Mimo hodnoty chráněné dle zákona o ochraně přírody a krajiny byly v řešeném území identifikovány další hodnoty, jejichž odůvodnění je uvedeno v následujících bodech: </w:t>
      </w:r>
    </w:p>
    <w:p w14:paraId="7E999F73" w14:textId="65D0BF68" w:rsidR="00DE36D4" w:rsidRPr="006070EA" w:rsidRDefault="00DE36D4" w:rsidP="00DE36D4">
      <w:pPr>
        <w:pStyle w:val="Atext"/>
        <w:rPr>
          <w:rFonts w:asciiTheme="majorHAnsi" w:hAnsiTheme="majorHAnsi" w:cstheme="majorHAnsi"/>
        </w:rPr>
      </w:pPr>
      <w:r w:rsidRPr="006070EA">
        <w:rPr>
          <w:rFonts w:asciiTheme="majorHAnsi" w:hAnsiTheme="majorHAnsi" w:cstheme="majorHAnsi"/>
        </w:rPr>
        <w:t>Plochy v nezastavěném území – hodnota volné krajiny spočívá právě v absenci souvislé zástavby a je hlavním pilířem příznivého životního prostředí. Ochrana nezastavěného území (volné krajiny) je zakotvena v cílech územního plánování (§ 18 odst. 4 stavebního zákona): „</w:t>
      </w:r>
      <w:r w:rsidRPr="006070EA">
        <w:rPr>
          <w:rFonts w:asciiTheme="majorHAnsi" w:hAnsiTheme="majorHAnsi" w:cstheme="majorHAnsi"/>
          <w:bCs w:val="0"/>
          <w:i/>
          <w:szCs w:val="18"/>
        </w:rPr>
        <w:t>Územní plánování ve veřejném zájmu chrání a rozvíjí přírodní, kulturní a civilizační hodnoty území, včetně urbanistického, architektonického a archeologického dědictví. Přitom chrání krajinu jako podstatnou složku prostředí života obyvatel a základ jejich totožnosti. S ohledem na to určuje podmínky pro hospodárné využívání zastavěného území a zajišťuje ochranu nezastavěného území a nezastavitelných pozemků.“</w:t>
      </w:r>
    </w:p>
    <w:p w14:paraId="6FA35F6B" w14:textId="77777777" w:rsidR="001357DA" w:rsidRPr="006070EA" w:rsidRDefault="0026757B" w:rsidP="001524BA">
      <w:pPr>
        <w:pStyle w:val="Atext"/>
        <w:rPr>
          <w:rFonts w:asciiTheme="majorHAnsi" w:hAnsiTheme="majorHAnsi" w:cstheme="majorHAnsi"/>
        </w:rPr>
      </w:pPr>
      <w:r w:rsidRPr="006070EA">
        <w:rPr>
          <w:rFonts w:asciiTheme="majorHAnsi" w:hAnsiTheme="majorHAnsi" w:cstheme="majorHAnsi"/>
          <w:snapToGrid w:val="0"/>
          <w:szCs w:val="18"/>
        </w:rPr>
        <w:t>Krajinná a zejména r</w:t>
      </w:r>
      <w:r w:rsidRPr="006070EA">
        <w:rPr>
          <w:rFonts w:asciiTheme="majorHAnsi" w:hAnsiTheme="majorHAnsi" w:cstheme="majorHAnsi"/>
        </w:rPr>
        <w:t>ozptýlená zeleň v zemědělské krajině má vysokou ekologicko-stabilizační hodnotu, vytváří stanoviště pro živočichy, zadržuje vodu v krajině, zabraňuje plošné erozi půdy a v neposlední řadě spoluutváří typický obraz zemědělské krajiny. Krajinná zeleň má zásadní podíl na pozitivním vnímání krajinného rázu, proto je nezbytné i v rámci ÚP</w:t>
      </w:r>
      <w:r w:rsidR="00EE34D2" w:rsidRPr="006070EA">
        <w:rPr>
          <w:rFonts w:asciiTheme="majorHAnsi" w:hAnsiTheme="majorHAnsi" w:cstheme="majorHAnsi"/>
        </w:rPr>
        <w:t> </w:t>
      </w:r>
      <w:r w:rsidRPr="006070EA">
        <w:rPr>
          <w:rFonts w:asciiTheme="majorHAnsi" w:hAnsiTheme="majorHAnsi" w:cstheme="majorHAnsi"/>
        </w:rPr>
        <w:t>definovat požadavek na její ochranu, obnovu a zakládání. Důvodem stanovení zásady jsou také obecné požadavky a</w:t>
      </w:r>
      <w:r w:rsidR="00EE34D2" w:rsidRPr="006070EA">
        <w:rPr>
          <w:rFonts w:asciiTheme="majorHAnsi" w:hAnsiTheme="majorHAnsi" w:cstheme="majorHAnsi"/>
        </w:rPr>
        <w:t> </w:t>
      </w:r>
      <w:r w:rsidRPr="006070EA">
        <w:rPr>
          <w:rFonts w:asciiTheme="majorHAnsi" w:hAnsiTheme="majorHAnsi" w:cstheme="majorHAnsi"/>
        </w:rPr>
        <w:t xml:space="preserve">zásady Politiky územního rozvoje a nadřazené ÚPD – ZÚR </w:t>
      </w:r>
      <w:r w:rsidR="00DE36D4" w:rsidRPr="006070EA">
        <w:rPr>
          <w:rFonts w:asciiTheme="majorHAnsi" w:hAnsiTheme="majorHAnsi" w:cstheme="majorHAnsi"/>
          <w:szCs w:val="18"/>
        </w:rPr>
        <w:t>Středočeského</w:t>
      </w:r>
      <w:r w:rsidR="00E40186" w:rsidRPr="006070EA">
        <w:rPr>
          <w:rFonts w:asciiTheme="majorHAnsi" w:hAnsiTheme="majorHAnsi" w:cstheme="majorHAnsi"/>
          <w:szCs w:val="18"/>
        </w:rPr>
        <w:t xml:space="preserve"> </w:t>
      </w:r>
      <w:r w:rsidRPr="006070EA">
        <w:rPr>
          <w:rFonts w:asciiTheme="majorHAnsi" w:hAnsiTheme="majorHAnsi" w:cstheme="majorHAnsi"/>
        </w:rPr>
        <w:t xml:space="preserve">kraje. </w:t>
      </w:r>
    </w:p>
    <w:p w14:paraId="7816F3C4" w14:textId="531BE169" w:rsidR="0026757B" w:rsidRPr="006070EA" w:rsidRDefault="001357DA" w:rsidP="001524BA">
      <w:pPr>
        <w:pStyle w:val="Atext"/>
        <w:rPr>
          <w:rFonts w:asciiTheme="majorHAnsi" w:hAnsiTheme="majorHAnsi" w:cstheme="majorHAnsi"/>
          <w:b/>
          <w:snapToGrid w:val="0"/>
          <w:szCs w:val="18"/>
        </w:rPr>
      </w:pPr>
      <w:r w:rsidRPr="006070EA">
        <w:rPr>
          <w:rFonts w:asciiTheme="majorHAnsi" w:hAnsiTheme="majorHAnsi" w:cstheme="majorHAnsi"/>
        </w:rPr>
        <w:t>Aleje a stromořadí jsou ve většině případů historickým prvkem v území a spolupodílejí se na utváření krajinného rázu území, jsou orientačním prvkem v krajině, utváří měřítko krajiny v dálkových pohledech a uplatňují se jako charakteristický prvek tradiční zemědělské krajiny. Z těchto důvodů je stanovena jejich ochrana. V řešeném území rovněž představuje liniová zeleň v krajině historicky dochované plužiny, tedy doklad hospodaření v krajině a prvek významně se uplatňující jako krajinná hodnota, ale i jako ekostabilizační prvek v krajině.</w:t>
      </w:r>
    </w:p>
    <w:p w14:paraId="23929732" w14:textId="425FE53B" w:rsidR="00DB2B45" w:rsidRPr="006070EA" w:rsidRDefault="001357DA" w:rsidP="001524BA">
      <w:pPr>
        <w:pStyle w:val="Atext"/>
        <w:rPr>
          <w:rFonts w:asciiTheme="majorHAnsi" w:hAnsiTheme="majorHAnsi" w:cstheme="majorHAnsi"/>
        </w:rPr>
      </w:pPr>
      <w:r w:rsidRPr="006070EA">
        <w:rPr>
          <w:rFonts w:asciiTheme="majorHAnsi" w:hAnsiTheme="majorHAnsi" w:cstheme="majorHAnsi"/>
        </w:rPr>
        <w:t>Vodní toky jsou významnou atraktivitou každého území, představují obvykle nejvýraznější krajinné osy území a vážou na sebe kromě rozmanitých prvků krajinné zeleně také nejrůznější aktivity lidí (rekreaci a turistiku). Vodní prvky jsou rovněž významnými krajinnými prvky chráněnými ze zákona. Převážně se podílejí také na ekologické stabilitě území jako součást vymezeného ÚSES.</w:t>
      </w:r>
      <w:r w:rsidR="0026757B" w:rsidRPr="006070EA">
        <w:rPr>
          <w:rFonts w:asciiTheme="majorHAnsi" w:hAnsiTheme="majorHAnsi" w:cstheme="majorHAnsi"/>
        </w:rPr>
        <w:t xml:space="preserve"> </w:t>
      </w:r>
    </w:p>
    <w:p w14:paraId="49BF2FB5" w14:textId="08A9C9B6" w:rsidR="0026757B" w:rsidRPr="006070EA" w:rsidRDefault="001357DA" w:rsidP="001524BA">
      <w:pPr>
        <w:pStyle w:val="Atext"/>
        <w:rPr>
          <w:rFonts w:asciiTheme="majorHAnsi" w:hAnsiTheme="majorHAnsi" w:cstheme="majorHAnsi"/>
        </w:rPr>
      </w:pPr>
      <w:r w:rsidRPr="006070EA">
        <w:rPr>
          <w:rFonts w:asciiTheme="majorHAnsi" w:hAnsiTheme="majorHAnsi" w:cstheme="majorHAnsi"/>
        </w:rPr>
        <w:t xml:space="preserve">Plochy lesa jsou významnými krajinnými prvky chráněnými ze zákona. Lesní pozemky jsou dominantním krajinným prvkem v území a utvářejí jeho charakter, proto je nezbytná jejich ochrana. </w:t>
      </w:r>
      <w:r w:rsidR="0026757B" w:rsidRPr="006070EA">
        <w:rPr>
          <w:rFonts w:asciiTheme="majorHAnsi" w:hAnsiTheme="majorHAnsi" w:cstheme="majorHAnsi"/>
        </w:rPr>
        <w:t xml:space="preserve">Ochrana zemědělské půdy vychází ze zákona č. č. 334/1992 Sb., o ochraně zemědělského půdního fondu. Principy ochrany ZPF jsou podrobně popsány v kapitole </w:t>
      </w:r>
      <w:r w:rsidR="0026757B" w:rsidRPr="006070EA">
        <w:rPr>
          <w:rFonts w:asciiTheme="majorHAnsi" w:hAnsiTheme="majorHAnsi" w:cstheme="majorHAnsi"/>
          <w:i/>
        </w:rPr>
        <w:t>12.1 Vyhodnocení předpokládaných důsledků navrhovaného řešení na zemědělský půdní fond</w:t>
      </w:r>
      <w:r w:rsidR="0026757B" w:rsidRPr="006070EA">
        <w:rPr>
          <w:rFonts w:asciiTheme="majorHAnsi" w:hAnsiTheme="majorHAnsi" w:cstheme="majorHAnsi"/>
        </w:rPr>
        <w:t xml:space="preserve">. </w:t>
      </w:r>
    </w:p>
    <w:p w14:paraId="703501D9" w14:textId="7FAA9F83" w:rsidR="00DE6BA2" w:rsidRPr="006070EA" w:rsidRDefault="00DE6BA2" w:rsidP="00DE36D4">
      <w:pPr>
        <w:spacing w:line="240" w:lineRule="auto"/>
        <w:rPr>
          <w:rFonts w:asciiTheme="majorHAnsi" w:hAnsiTheme="majorHAnsi" w:cstheme="majorHAnsi"/>
          <w:b/>
          <w:sz w:val="18"/>
          <w:szCs w:val="18"/>
        </w:rPr>
      </w:pPr>
      <w:bookmarkStart w:id="276" w:name="_Toc424119843"/>
      <w:r w:rsidRPr="006070EA">
        <w:rPr>
          <w:rFonts w:asciiTheme="majorHAnsi" w:hAnsiTheme="majorHAnsi" w:cstheme="majorHAnsi"/>
          <w:b/>
          <w:sz w:val="18"/>
          <w:szCs w:val="18"/>
        </w:rPr>
        <w:t>Zvláště chráněné druhy rostlin a živočichů</w:t>
      </w:r>
    </w:p>
    <w:p w14:paraId="4FB65CA0" w14:textId="1F0E0D10" w:rsidR="00DE6BA2" w:rsidRPr="006070EA" w:rsidRDefault="00DE6BA2" w:rsidP="00252D49">
      <w:pPr>
        <w:spacing w:line="240" w:lineRule="auto"/>
        <w:jc w:val="both"/>
        <w:rPr>
          <w:rFonts w:asciiTheme="majorHAnsi" w:hAnsiTheme="majorHAnsi" w:cstheme="majorHAnsi"/>
          <w:bCs/>
          <w:sz w:val="18"/>
          <w:szCs w:val="18"/>
        </w:rPr>
      </w:pPr>
      <w:r w:rsidRPr="006070EA">
        <w:rPr>
          <w:rFonts w:asciiTheme="majorHAnsi" w:hAnsiTheme="majorHAnsi" w:cstheme="majorHAnsi"/>
          <w:bCs/>
          <w:sz w:val="18"/>
          <w:szCs w:val="18"/>
        </w:rPr>
        <w:tab/>
        <w:t xml:space="preserve">Do řešeného území </w:t>
      </w:r>
      <w:r w:rsidR="00252D49" w:rsidRPr="006070EA">
        <w:rPr>
          <w:rFonts w:asciiTheme="majorHAnsi" w:hAnsiTheme="majorHAnsi" w:cstheme="majorHAnsi"/>
          <w:bCs/>
          <w:sz w:val="18"/>
          <w:szCs w:val="18"/>
        </w:rPr>
        <w:t>zasahuje biotop vybraných zvláště chráněných druhů velkých savců (jev ÚPA 36b). Konkrétně se jedná o migrační koridor č. 175. V tomto území nesmí docházet k povolování staveb a zařízení, které by mohly omezit migrační funkce koridoru. Záměry (např. stavby, další zařízení, oplocení), které mohou zhoršit kvalitu biotopu v migračním koridoru z hlediska jeho průchodnosti pro cílové druhy, jsou považovány za škodlivý zásah do jejich přirozeného vývoje, zakázaný ust. § 50 zákona č. 114/1992 Sb., o ochraně přírody a krajiny, ve znění pozdějších předpisů (ZOPK).</w:t>
      </w:r>
    </w:p>
    <w:p w14:paraId="7C14F1DA" w14:textId="7D9E9EB3" w:rsidR="00252D49" w:rsidRPr="006070EA" w:rsidRDefault="00252D49" w:rsidP="00252D49">
      <w:pPr>
        <w:spacing w:line="240" w:lineRule="auto"/>
        <w:jc w:val="both"/>
        <w:rPr>
          <w:rFonts w:asciiTheme="majorHAnsi" w:hAnsiTheme="majorHAnsi" w:cstheme="majorHAnsi"/>
          <w:bCs/>
          <w:sz w:val="18"/>
          <w:szCs w:val="18"/>
        </w:rPr>
      </w:pPr>
      <w:r w:rsidRPr="006070EA">
        <w:rPr>
          <w:rFonts w:asciiTheme="majorHAnsi" w:hAnsiTheme="majorHAnsi" w:cstheme="majorHAnsi"/>
          <w:bCs/>
          <w:sz w:val="18"/>
          <w:szCs w:val="18"/>
        </w:rPr>
        <w:tab/>
        <w:t>V řešeném území se nachází lokalita výskytu zvláště chráněných druhů rostlin a živočichů s národním významem. Konkrétně se jedná o výskyt zvláště chráněného druhu listonoh jarní (</w:t>
      </w:r>
      <w:r w:rsidRPr="006070EA">
        <w:rPr>
          <w:rFonts w:asciiTheme="majorHAnsi" w:hAnsiTheme="majorHAnsi" w:cstheme="majorHAnsi"/>
          <w:bCs/>
          <w:i/>
          <w:iCs/>
          <w:sz w:val="18"/>
          <w:szCs w:val="18"/>
        </w:rPr>
        <w:t>Lepidaurus apus</w:t>
      </w:r>
      <w:r w:rsidRPr="006070EA">
        <w:rPr>
          <w:rFonts w:asciiTheme="majorHAnsi" w:hAnsiTheme="majorHAnsi" w:cstheme="majorHAnsi"/>
          <w:bCs/>
          <w:sz w:val="18"/>
          <w:szCs w:val="18"/>
        </w:rPr>
        <w:t>) v jihozápadní části území, poblíž hranice přírodní rezervace Mydlovarský luh. Při využití území je nutno respektovat podmínky ochrany dané ustanovením § 50 ZOPK.</w:t>
      </w:r>
    </w:p>
    <w:p w14:paraId="56580E07" w14:textId="13E47045" w:rsidR="00252D49" w:rsidRPr="006070EA" w:rsidRDefault="00252D49" w:rsidP="00FC1E99">
      <w:pPr>
        <w:spacing w:line="240" w:lineRule="auto"/>
        <w:ind w:firstLine="709"/>
        <w:jc w:val="both"/>
        <w:rPr>
          <w:rFonts w:asciiTheme="majorHAnsi" w:hAnsiTheme="majorHAnsi" w:cstheme="majorHAnsi"/>
          <w:bCs/>
          <w:sz w:val="18"/>
          <w:szCs w:val="18"/>
        </w:rPr>
      </w:pPr>
      <w:r w:rsidRPr="006070EA">
        <w:rPr>
          <w:rFonts w:asciiTheme="majorHAnsi" w:hAnsiTheme="majorHAnsi" w:cstheme="majorHAnsi"/>
          <w:bCs/>
          <w:sz w:val="18"/>
          <w:szCs w:val="18"/>
        </w:rPr>
        <w:t xml:space="preserve">Výše uvedené lokality jsou územním plánem respektovány a jsou zobrazeny v grafické části odůvodnění ÚP, ve výkrese </w:t>
      </w:r>
      <w:r w:rsidR="00433C39" w:rsidRPr="006070EA">
        <w:rPr>
          <w:rFonts w:asciiTheme="majorHAnsi" w:hAnsiTheme="majorHAnsi" w:cstheme="majorHAnsi"/>
          <w:bCs/>
          <w:sz w:val="18"/>
          <w:szCs w:val="18"/>
        </w:rPr>
        <w:t>4</w:t>
      </w:r>
      <w:r w:rsidRPr="006070EA">
        <w:rPr>
          <w:rFonts w:asciiTheme="majorHAnsi" w:hAnsiTheme="majorHAnsi" w:cstheme="majorHAnsi"/>
          <w:bCs/>
          <w:sz w:val="18"/>
          <w:szCs w:val="18"/>
        </w:rPr>
        <w:t xml:space="preserve"> Koordinační výkres.</w:t>
      </w:r>
    </w:p>
    <w:p w14:paraId="4CB430F3" w14:textId="6F822E3E" w:rsidR="00E03D3E" w:rsidRPr="006070EA" w:rsidRDefault="00E03D3E" w:rsidP="00DE36D4">
      <w:pPr>
        <w:spacing w:line="240" w:lineRule="auto"/>
        <w:rPr>
          <w:rFonts w:asciiTheme="majorHAnsi" w:hAnsiTheme="majorHAnsi" w:cstheme="majorHAnsi"/>
          <w:b/>
          <w:sz w:val="18"/>
          <w:szCs w:val="18"/>
          <w:u w:val="single"/>
        </w:rPr>
      </w:pPr>
      <w:r w:rsidRPr="006070EA">
        <w:rPr>
          <w:rFonts w:asciiTheme="majorHAnsi" w:hAnsiTheme="majorHAnsi" w:cstheme="majorHAnsi"/>
          <w:b/>
          <w:sz w:val="18"/>
          <w:szCs w:val="18"/>
          <w:u w:val="single"/>
        </w:rPr>
        <w:t>Ochrana civilizačních a technických hodnot</w:t>
      </w:r>
    </w:p>
    <w:p w14:paraId="37C6AF3F" w14:textId="35EABE5E" w:rsidR="00E03D3E" w:rsidRPr="006070EA" w:rsidRDefault="00E03D3E" w:rsidP="002118D2">
      <w:pPr>
        <w:pStyle w:val="Atext"/>
        <w:keepNext/>
        <w:ind w:firstLine="0"/>
        <w:jc w:val="right"/>
        <w:rPr>
          <w:rFonts w:asciiTheme="majorHAnsi" w:hAnsiTheme="majorHAnsi" w:cstheme="majorHAnsi"/>
          <w:i/>
          <w:snapToGrid w:val="0"/>
          <w:u w:val="single"/>
        </w:rPr>
      </w:pPr>
      <w:r w:rsidRPr="006070EA">
        <w:rPr>
          <w:rFonts w:asciiTheme="majorHAnsi" w:hAnsiTheme="majorHAnsi" w:cstheme="majorHAnsi"/>
          <w:i/>
          <w:snapToGrid w:val="0"/>
          <w:u w:val="single"/>
        </w:rPr>
        <w:t xml:space="preserve">Odůvodnění odst. </w:t>
      </w:r>
      <w:r w:rsidRPr="006070EA">
        <w:rPr>
          <w:rFonts w:asciiTheme="majorHAnsi" w:hAnsiTheme="majorHAnsi" w:cstheme="majorHAnsi"/>
          <w:b/>
          <w:i/>
          <w:snapToGrid w:val="0"/>
          <w:u w:val="single"/>
        </w:rPr>
        <w:t>(</w:t>
      </w:r>
      <w:r w:rsidR="00DE36D4" w:rsidRPr="006070EA">
        <w:rPr>
          <w:rFonts w:asciiTheme="majorHAnsi" w:hAnsiTheme="majorHAnsi" w:cstheme="majorHAnsi"/>
          <w:b/>
          <w:i/>
          <w:snapToGrid w:val="0"/>
          <w:u w:val="single"/>
        </w:rPr>
        <w:t>6</w:t>
      </w:r>
      <w:r w:rsidRPr="006070EA">
        <w:rPr>
          <w:rFonts w:asciiTheme="majorHAnsi" w:hAnsiTheme="majorHAnsi" w:cstheme="majorHAnsi"/>
          <w:b/>
          <w:i/>
          <w:snapToGrid w:val="0"/>
          <w:u w:val="single"/>
        </w:rPr>
        <w:t>)</w:t>
      </w:r>
      <w:r w:rsidRPr="006070EA">
        <w:rPr>
          <w:rFonts w:asciiTheme="majorHAnsi" w:hAnsiTheme="majorHAnsi" w:cstheme="majorHAnsi"/>
          <w:i/>
          <w:snapToGrid w:val="0"/>
          <w:u w:val="single"/>
        </w:rPr>
        <w:t xml:space="preserve"> výrokové části</w:t>
      </w:r>
    </w:p>
    <w:p w14:paraId="5C3DDCFA" w14:textId="77777777" w:rsidR="00E03D3E" w:rsidRPr="006070EA" w:rsidRDefault="00E03D3E" w:rsidP="001357DA">
      <w:pPr>
        <w:pStyle w:val="Atext"/>
        <w:keepNext/>
        <w:rPr>
          <w:rFonts w:asciiTheme="majorHAnsi" w:hAnsiTheme="majorHAnsi" w:cstheme="majorHAnsi"/>
        </w:rPr>
      </w:pPr>
      <w:r w:rsidRPr="006070EA">
        <w:rPr>
          <w:rFonts w:asciiTheme="majorHAnsi" w:hAnsiTheme="majorHAnsi" w:cstheme="majorHAnsi"/>
        </w:rPr>
        <w:t>Ochrana civilizačních a technických hodnot území vyplývá z požadavků PÚR ČR „</w:t>
      </w:r>
      <w:r w:rsidRPr="006070EA">
        <w:rPr>
          <w:rFonts w:asciiTheme="majorHAnsi" w:hAnsiTheme="majorHAnsi" w:cstheme="majorHAnsi"/>
          <w:i/>
        </w:rPr>
        <w:t>Ve veřejném zájmu chránit a</w:t>
      </w:r>
      <w:r w:rsidR="006C1520" w:rsidRPr="006070EA">
        <w:rPr>
          <w:rFonts w:asciiTheme="majorHAnsi" w:hAnsiTheme="majorHAnsi" w:cstheme="majorHAnsi"/>
          <w:i/>
        </w:rPr>
        <w:t> </w:t>
      </w:r>
      <w:r w:rsidRPr="006070EA">
        <w:rPr>
          <w:rFonts w:asciiTheme="majorHAnsi" w:hAnsiTheme="majorHAnsi" w:cstheme="majorHAnsi"/>
          <w:i/>
        </w:rPr>
        <w:t>rozvíjet přírodní, civilizační a kulturní hodnoty území.</w:t>
      </w:r>
      <w:r w:rsidRPr="006070EA">
        <w:rPr>
          <w:rFonts w:asciiTheme="majorHAnsi" w:hAnsiTheme="majorHAnsi" w:cstheme="majorHAnsi"/>
        </w:rPr>
        <w:t xml:space="preserve">“ </w:t>
      </w:r>
    </w:p>
    <w:p w14:paraId="4C533B89" w14:textId="77777777" w:rsidR="00E03D3E" w:rsidRPr="006070EA" w:rsidRDefault="00E03D3E" w:rsidP="001357DA">
      <w:pPr>
        <w:pStyle w:val="Atext"/>
        <w:keepNext/>
        <w:rPr>
          <w:rFonts w:asciiTheme="majorHAnsi" w:hAnsiTheme="majorHAnsi" w:cstheme="majorHAnsi"/>
        </w:rPr>
      </w:pPr>
      <w:r w:rsidRPr="006070EA">
        <w:rPr>
          <w:rFonts w:asciiTheme="majorHAnsi" w:hAnsiTheme="majorHAnsi" w:cstheme="majorHAnsi"/>
        </w:rPr>
        <w:t xml:space="preserve">Základní požadavky na ochranu civilizačních a technických hodnot jsou uvedeny v nejrůznějších právních předpisech, zejména: </w:t>
      </w:r>
    </w:p>
    <w:p w14:paraId="301FD302" w14:textId="77777777" w:rsidR="00E03D3E" w:rsidRPr="006070EA" w:rsidRDefault="00E03D3E" w:rsidP="003A4B1E">
      <w:pPr>
        <w:pStyle w:val="Atextkurzva"/>
        <w:numPr>
          <w:ilvl w:val="0"/>
          <w:numId w:val="25"/>
        </w:numPr>
        <w:spacing w:before="60" w:after="60"/>
        <w:ind w:left="1134"/>
        <w:rPr>
          <w:rFonts w:asciiTheme="majorHAnsi" w:hAnsiTheme="majorHAnsi" w:cstheme="majorHAnsi"/>
        </w:rPr>
      </w:pPr>
      <w:r w:rsidRPr="006070EA">
        <w:rPr>
          <w:rFonts w:asciiTheme="majorHAnsi" w:hAnsiTheme="majorHAnsi" w:cstheme="majorHAnsi"/>
        </w:rPr>
        <w:t>v oblasti veřejné dopravy zákon č. 13/1997 Sb., o pozemních komunikacích</w:t>
      </w:r>
    </w:p>
    <w:p w14:paraId="4FEEBE34" w14:textId="44DA19AF" w:rsidR="00E03D3E" w:rsidRPr="006070EA" w:rsidRDefault="00E03D3E" w:rsidP="003A4B1E">
      <w:pPr>
        <w:pStyle w:val="Atextkurzva"/>
        <w:numPr>
          <w:ilvl w:val="0"/>
          <w:numId w:val="25"/>
        </w:numPr>
        <w:spacing w:before="60" w:after="60"/>
        <w:ind w:left="1134"/>
        <w:rPr>
          <w:rFonts w:asciiTheme="majorHAnsi" w:hAnsiTheme="majorHAnsi" w:cstheme="majorHAnsi"/>
        </w:rPr>
      </w:pPr>
      <w:r w:rsidRPr="006070EA">
        <w:rPr>
          <w:rFonts w:asciiTheme="majorHAnsi" w:hAnsiTheme="majorHAnsi" w:cstheme="majorHAnsi"/>
        </w:rPr>
        <w:t>v oblasti technické infrastruktury zákon č. 274/2001 Sb., o vodovodech a kanalizacích pro veřejnou potřebu a</w:t>
      </w:r>
      <w:r w:rsidR="006C1520" w:rsidRPr="006070EA">
        <w:rPr>
          <w:rFonts w:asciiTheme="majorHAnsi" w:hAnsiTheme="majorHAnsi" w:cstheme="majorHAnsi"/>
        </w:rPr>
        <w:t> </w:t>
      </w:r>
      <w:r w:rsidRPr="006070EA">
        <w:rPr>
          <w:rFonts w:asciiTheme="majorHAnsi" w:hAnsiTheme="majorHAnsi" w:cstheme="majorHAnsi"/>
        </w:rPr>
        <w:t>o</w:t>
      </w:r>
      <w:r w:rsidR="001357DA" w:rsidRPr="006070EA">
        <w:rPr>
          <w:rFonts w:asciiTheme="majorHAnsi" w:hAnsiTheme="majorHAnsi" w:cstheme="majorHAnsi"/>
        </w:rPr>
        <w:t> </w:t>
      </w:r>
      <w:r w:rsidRPr="006070EA">
        <w:rPr>
          <w:rFonts w:asciiTheme="majorHAnsi" w:hAnsiTheme="majorHAnsi" w:cstheme="majorHAnsi"/>
        </w:rPr>
        <w:t>změně některých zákonů, zákon č. 458/2000 Sb. (energetický zákon)</w:t>
      </w:r>
    </w:p>
    <w:p w14:paraId="1503BFDD" w14:textId="77777777" w:rsidR="00E03D3E" w:rsidRPr="006070EA" w:rsidRDefault="00E03D3E" w:rsidP="003A4B1E">
      <w:pPr>
        <w:pStyle w:val="Atextkurzva"/>
        <w:numPr>
          <w:ilvl w:val="0"/>
          <w:numId w:val="25"/>
        </w:numPr>
        <w:spacing w:before="60" w:after="60"/>
        <w:ind w:left="1134"/>
        <w:rPr>
          <w:rFonts w:asciiTheme="majorHAnsi" w:hAnsiTheme="majorHAnsi" w:cstheme="majorHAnsi"/>
        </w:rPr>
      </w:pPr>
      <w:r w:rsidRPr="006070EA">
        <w:rPr>
          <w:rFonts w:asciiTheme="majorHAnsi" w:hAnsiTheme="majorHAnsi" w:cstheme="majorHAnsi"/>
        </w:rPr>
        <w:t>v oblasti veřejných prostranství a občanské vybavenosti zejména zákon č. 183/2006 Sb. (stavební zákon)</w:t>
      </w:r>
    </w:p>
    <w:p w14:paraId="4BE43523" w14:textId="77777777" w:rsidR="00E03D3E" w:rsidRPr="006070EA" w:rsidRDefault="00E03D3E" w:rsidP="001357DA">
      <w:pPr>
        <w:pStyle w:val="Atext"/>
        <w:rPr>
          <w:rFonts w:asciiTheme="majorHAnsi" w:hAnsiTheme="majorHAnsi" w:cstheme="majorHAnsi"/>
        </w:rPr>
      </w:pPr>
      <w:r w:rsidRPr="006070EA">
        <w:rPr>
          <w:rFonts w:asciiTheme="majorHAnsi" w:hAnsiTheme="majorHAnsi" w:cstheme="majorHAnsi"/>
        </w:rPr>
        <w:lastRenderedPageBreak/>
        <w:t xml:space="preserve">Civilizační hodnoty představují základní vybavenost území obce pro jeho využívání lidmi. Hustota a intenzita umisťování civilizačních hodnot roste s intenzitou sídelní struktury a s počtem obyvatel nebo uživatelů území. Civilizační hodnoty zajišťují obsluhu celého území a jejich ochrana je ve veřejném zájmu. </w:t>
      </w:r>
    </w:p>
    <w:p w14:paraId="0CD74DDE" w14:textId="77777777" w:rsidR="00E03D3E" w:rsidRPr="006070EA" w:rsidRDefault="00E03D3E" w:rsidP="001357DA">
      <w:pPr>
        <w:pStyle w:val="Atext"/>
        <w:rPr>
          <w:rFonts w:asciiTheme="majorHAnsi" w:hAnsiTheme="majorHAnsi" w:cstheme="majorHAnsi"/>
        </w:rPr>
      </w:pPr>
      <w:r w:rsidRPr="006070EA">
        <w:rPr>
          <w:rFonts w:asciiTheme="majorHAnsi" w:hAnsiTheme="majorHAnsi" w:cstheme="majorHAnsi"/>
        </w:rPr>
        <w:t>Systémy dopravní a technické infrastruktury, které jsou součástí veřejné infrastruktury, představují základní systém zajišťující pohyb a pobyt lidí v území. Ochrana těchto hodnot je hlavním předpokladem pro kvalitní obsluhu sídel a</w:t>
      </w:r>
      <w:r w:rsidR="006C1520" w:rsidRPr="006070EA">
        <w:rPr>
          <w:rFonts w:asciiTheme="majorHAnsi" w:hAnsiTheme="majorHAnsi" w:cstheme="majorHAnsi"/>
        </w:rPr>
        <w:t> </w:t>
      </w:r>
      <w:r w:rsidRPr="006070EA">
        <w:rPr>
          <w:rFonts w:asciiTheme="majorHAnsi" w:hAnsiTheme="majorHAnsi" w:cstheme="majorHAnsi"/>
        </w:rPr>
        <w:t>vysokou kvalitu bydlení a dalších aktivit v území.</w:t>
      </w:r>
    </w:p>
    <w:p w14:paraId="3AD3026F" w14:textId="5D624B34" w:rsidR="00E03D3E" w:rsidRPr="006070EA" w:rsidRDefault="00E03D3E" w:rsidP="001357DA">
      <w:pPr>
        <w:pStyle w:val="Atext"/>
        <w:rPr>
          <w:rFonts w:asciiTheme="majorHAnsi" w:hAnsiTheme="majorHAnsi" w:cstheme="majorHAnsi"/>
        </w:rPr>
      </w:pPr>
      <w:r w:rsidRPr="006070EA">
        <w:rPr>
          <w:rFonts w:asciiTheme="majorHAnsi" w:hAnsiTheme="majorHAnsi" w:cstheme="majorHAnsi"/>
        </w:rPr>
        <w:t xml:space="preserve">Veřejná prostranství definují strukturu území – podél nich se rozvíjela zástavba, trasy pak vedly dále do volné krajiny a zprostředkovaly propojení sídel a sousedních obcí. Systém veřejných prostranství zajišťuje prostupnost území, kterou je nutné chránit a rozvíjet s ohledem na § 3 odst. 5 vyhlášky č. 501/2006 Sb. Plochy veřejných prostranství v sídlech (např. návsi, shromažďovací prostory, veřejně přístupná zákoutí s posezením apod.) mají zásadní význam v rozvoji komunitního života sídel a ve zvyšování sociální soudržnosti obyvatel, proto je nutné je chránit. </w:t>
      </w:r>
    </w:p>
    <w:p w14:paraId="1EEBE78E" w14:textId="2AFD2A30" w:rsidR="001357DA" w:rsidRPr="006070EA" w:rsidRDefault="001357DA" w:rsidP="001357DA">
      <w:pPr>
        <w:pStyle w:val="Atext"/>
        <w:rPr>
          <w:rFonts w:asciiTheme="majorHAnsi" w:hAnsiTheme="majorHAnsi" w:cstheme="majorHAnsi"/>
        </w:rPr>
      </w:pPr>
      <w:r w:rsidRPr="006070EA">
        <w:rPr>
          <w:rFonts w:asciiTheme="majorHAnsi" w:hAnsiTheme="majorHAnsi" w:cstheme="majorHAnsi"/>
        </w:rPr>
        <w:t>Důvodem ochrany veřejné zeleně je zejména fakt, že se jedná o veřejnou infrastrukturu ve smyslu § 2 odst. 1 písm. k) stavebního zákona, která je součástí ploch veřejných prostranství. Plochy zeleně jsou vymezeny ve veřejném zájmu, proto jejich využití nesmí být narušeno parciálními zájmy v území. Stav a rozsah sídelní zeleně v území je významným indikátorem kvality obytného prostředí. Plochy sídelní zeleně tvoří jednak doplňkovou funkci v obytném prostředí, mají estetickou, kompoziční a hygienickou funkci v sídlech, a proto je nutné je chránit, resp. významnou zeleň přímo vymezit v rámci ploch zeleně s vyloučením zástavby.</w:t>
      </w:r>
    </w:p>
    <w:p w14:paraId="4C112C6C" w14:textId="77777777" w:rsidR="00E03D3E" w:rsidRPr="006070EA" w:rsidRDefault="00E03D3E" w:rsidP="001357DA">
      <w:pPr>
        <w:pStyle w:val="Atext"/>
        <w:rPr>
          <w:rFonts w:asciiTheme="majorHAnsi" w:hAnsiTheme="majorHAnsi" w:cstheme="majorHAnsi"/>
        </w:rPr>
      </w:pPr>
      <w:r w:rsidRPr="006070EA">
        <w:rPr>
          <w:rFonts w:asciiTheme="majorHAnsi" w:hAnsiTheme="majorHAnsi" w:cstheme="majorHAnsi"/>
        </w:rPr>
        <w:t>Nezbytnost ochrany základní i vyšší občanské vybavenosti je základním pilířem poskytování služeb obyvatelům a</w:t>
      </w:r>
      <w:r w:rsidR="006C1520" w:rsidRPr="006070EA">
        <w:rPr>
          <w:rFonts w:asciiTheme="majorHAnsi" w:hAnsiTheme="majorHAnsi" w:cstheme="majorHAnsi"/>
        </w:rPr>
        <w:t> </w:t>
      </w:r>
      <w:r w:rsidRPr="006070EA">
        <w:rPr>
          <w:rFonts w:asciiTheme="majorHAnsi" w:hAnsiTheme="majorHAnsi" w:cstheme="majorHAnsi"/>
        </w:rPr>
        <w:t>zvyšuje atraktivitu území pro pohyb a pobyt obyvatel a návštěvníků obce. Občanské vybavení je chráněno jako součást veřejné infrastruktury dle § 2 odst. k) stavebního zákona</w:t>
      </w:r>
      <w:r w:rsidRPr="006070EA">
        <w:rPr>
          <w:rFonts w:asciiTheme="majorHAnsi" w:hAnsiTheme="majorHAnsi" w:cstheme="majorHAnsi"/>
          <w:i/>
        </w:rPr>
        <w:t>.</w:t>
      </w:r>
    </w:p>
    <w:p w14:paraId="13BF0F2C" w14:textId="77777777" w:rsidR="0046613A" w:rsidRPr="006070EA" w:rsidRDefault="0046613A" w:rsidP="003A4B1E">
      <w:pPr>
        <w:pStyle w:val="Odstavecseseznamem"/>
        <w:keepNext/>
        <w:keepLines/>
        <w:numPr>
          <w:ilvl w:val="2"/>
          <w:numId w:val="30"/>
        </w:numPr>
        <w:spacing w:before="160" w:after="120" w:line="240" w:lineRule="auto"/>
        <w:ind w:left="709" w:hanging="709"/>
        <w:contextualSpacing w:val="0"/>
        <w:outlineLvl w:val="2"/>
        <w:rPr>
          <w:rFonts w:asciiTheme="majorHAnsi" w:hAnsiTheme="majorHAnsi" w:cstheme="majorHAnsi"/>
          <w:b/>
        </w:rPr>
      </w:pPr>
      <w:bookmarkStart w:id="277" w:name="_Toc204678191"/>
      <w:r w:rsidRPr="006070EA">
        <w:rPr>
          <w:rFonts w:asciiTheme="majorHAnsi" w:hAnsiTheme="majorHAnsi" w:cstheme="majorHAnsi"/>
          <w:b/>
        </w:rPr>
        <w:t>Civilní obrana, obrana státu, požární ochrana a další specifické požadavky</w:t>
      </w:r>
      <w:bookmarkEnd w:id="276"/>
      <w:bookmarkEnd w:id="277"/>
    </w:p>
    <w:p w14:paraId="053E6ADB" w14:textId="77777777" w:rsidR="0081184B" w:rsidRPr="006070EA" w:rsidRDefault="0081184B" w:rsidP="0081184B">
      <w:pPr>
        <w:pStyle w:val="Anadpistun"/>
        <w:ind w:firstLine="709"/>
        <w:rPr>
          <w:rFonts w:asciiTheme="majorHAnsi" w:hAnsiTheme="majorHAnsi" w:cstheme="majorHAnsi"/>
          <w:b w:val="0"/>
          <w:bCs/>
          <w:color w:val="000000"/>
          <w:szCs w:val="18"/>
          <w:lang w:eastAsia="x-none"/>
        </w:rPr>
      </w:pPr>
      <w:bookmarkStart w:id="278" w:name="_Toc415755991"/>
      <w:bookmarkStart w:id="279" w:name="_Toc415756357"/>
      <w:bookmarkStart w:id="280" w:name="_Toc415756716"/>
      <w:bookmarkStart w:id="281" w:name="_Toc415756966"/>
      <w:bookmarkStart w:id="282" w:name="_Toc415757216"/>
      <w:bookmarkStart w:id="283" w:name="_Toc415757465"/>
      <w:bookmarkStart w:id="284" w:name="_Toc415757623"/>
      <w:bookmarkStart w:id="285" w:name="_Toc424050147"/>
      <w:bookmarkStart w:id="286" w:name="_Toc424050321"/>
      <w:bookmarkStart w:id="287" w:name="_Toc424050479"/>
      <w:bookmarkStart w:id="288" w:name="_Toc424112341"/>
      <w:bookmarkStart w:id="289" w:name="_Toc424119365"/>
      <w:bookmarkStart w:id="290" w:name="_Toc424119844"/>
      <w:bookmarkStart w:id="291" w:name="_Toc424120100"/>
      <w:bookmarkStart w:id="292" w:name="_Toc424120526"/>
      <w:bookmarkStart w:id="293" w:name="_Toc424126232"/>
      <w:bookmarkStart w:id="294" w:name="_Toc424138813"/>
      <w:bookmarkStart w:id="295" w:name="_Toc445291935"/>
      <w:bookmarkStart w:id="296" w:name="_Toc445910448"/>
      <w:bookmarkStart w:id="297" w:name="_Toc448831931"/>
      <w:bookmarkStart w:id="298" w:name="_Toc448832121"/>
      <w:bookmarkStart w:id="299" w:name="_Toc450037781"/>
      <w:bookmarkStart w:id="300" w:name="_Toc450223075"/>
      <w:bookmarkStart w:id="301" w:name="_Toc472325706"/>
      <w:bookmarkStart w:id="302" w:name="_Toc485214923"/>
      <w:bookmarkStart w:id="303" w:name="_Toc485378076"/>
      <w:bookmarkStart w:id="304" w:name="_Toc485378198"/>
      <w:bookmarkStart w:id="305" w:name="_Toc424119845"/>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r w:rsidRPr="006070EA">
        <w:rPr>
          <w:rFonts w:asciiTheme="majorHAnsi" w:hAnsiTheme="majorHAnsi" w:cstheme="majorHAnsi"/>
          <w:b w:val="0"/>
          <w:bCs/>
          <w:color w:val="000000"/>
          <w:szCs w:val="18"/>
          <w:lang w:eastAsia="x-none"/>
        </w:rPr>
        <w:t>Obec nemá vypracovaný vlastní krizový plán pro civilní ochranu, obranu státu a požární ochranu. V mimořádných situacích budou tak použity obecné směrnice dle zpracovaného Havarijního plánu Středočeského kraje.</w:t>
      </w:r>
    </w:p>
    <w:p w14:paraId="4695F9B2" w14:textId="77777777" w:rsidR="0081184B" w:rsidRPr="006070EA" w:rsidRDefault="0081184B" w:rsidP="0081184B">
      <w:pPr>
        <w:pStyle w:val="Anadpistun"/>
        <w:rPr>
          <w:rFonts w:asciiTheme="majorHAnsi" w:hAnsiTheme="majorHAnsi" w:cstheme="majorHAnsi"/>
          <w:color w:val="000000"/>
          <w:szCs w:val="18"/>
        </w:rPr>
      </w:pPr>
      <w:r w:rsidRPr="006070EA">
        <w:rPr>
          <w:rFonts w:asciiTheme="majorHAnsi" w:hAnsiTheme="majorHAnsi" w:cstheme="majorHAnsi"/>
          <w:color w:val="000000"/>
          <w:szCs w:val="18"/>
        </w:rPr>
        <w:t>Civilní ochrana</w:t>
      </w:r>
    </w:p>
    <w:p w14:paraId="02990CF7" w14:textId="39D43D46" w:rsidR="0081184B" w:rsidRPr="006070EA" w:rsidRDefault="0081184B" w:rsidP="0081184B">
      <w:pPr>
        <w:pStyle w:val="Norml"/>
        <w:rPr>
          <w:rFonts w:asciiTheme="majorHAnsi" w:hAnsiTheme="majorHAnsi" w:cstheme="majorHAnsi"/>
          <w:color w:val="000000"/>
          <w:szCs w:val="18"/>
        </w:rPr>
      </w:pPr>
      <w:r w:rsidRPr="006070EA">
        <w:rPr>
          <w:rFonts w:asciiTheme="majorHAnsi" w:hAnsiTheme="majorHAnsi" w:cstheme="majorHAnsi"/>
          <w:color w:val="000000"/>
          <w:szCs w:val="18"/>
        </w:rPr>
        <w:t xml:space="preserve">Dle zákona č. 239/2000 Sb., o integrovaném záchranném systému a o změně některých zákonů, ve znění pozdějších předpisů, byl pro </w:t>
      </w:r>
      <w:r w:rsidR="001357DA" w:rsidRPr="006070EA">
        <w:rPr>
          <w:rFonts w:asciiTheme="majorHAnsi" w:hAnsiTheme="majorHAnsi" w:cstheme="majorHAnsi"/>
          <w:color w:val="000000"/>
          <w:szCs w:val="18"/>
        </w:rPr>
        <w:t xml:space="preserve">Středočeský </w:t>
      </w:r>
      <w:r w:rsidRPr="006070EA">
        <w:rPr>
          <w:rFonts w:asciiTheme="majorHAnsi" w:hAnsiTheme="majorHAnsi" w:cstheme="majorHAnsi"/>
          <w:color w:val="000000"/>
          <w:szCs w:val="18"/>
        </w:rPr>
        <w:t>kraj</w:t>
      </w:r>
      <w:r w:rsidR="001357DA" w:rsidRPr="006070EA">
        <w:rPr>
          <w:rFonts w:asciiTheme="majorHAnsi" w:hAnsiTheme="majorHAnsi" w:cstheme="majorHAnsi"/>
          <w:color w:val="000000"/>
          <w:szCs w:val="18"/>
        </w:rPr>
        <w:t xml:space="preserve"> </w:t>
      </w:r>
      <w:r w:rsidRPr="006070EA">
        <w:rPr>
          <w:rFonts w:asciiTheme="majorHAnsi" w:hAnsiTheme="majorHAnsi" w:cstheme="majorHAnsi"/>
          <w:color w:val="000000"/>
          <w:szCs w:val="18"/>
        </w:rPr>
        <w:t>zpracován Krizový plán Středočeského kraje představující souhrn opatření k provádění záchranných a likvidačních prací k odvrácení nebo omezení bezprostředního působení ohrožení vzniklých mimořádnou událostí a k odstranění následků způsobených mimořádnou událostí.</w:t>
      </w:r>
    </w:p>
    <w:p w14:paraId="44931767" w14:textId="77777777" w:rsidR="0081184B" w:rsidRPr="006070EA" w:rsidRDefault="0081184B" w:rsidP="0081184B">
      <w:pPr>
        <w:pStyle w:val="Norml"/>
        <w:rPr>
          <w:rFonts w:asciiTheme="majorHAnsi" w:hAnsiTheme="majorHAnsi" w:cstheme="majorHAnsi"/>
          <w:color w:val="000000"/>
          <w:szCs w:val="18"/>
        </w:rPr>
      </w:pPr>
      <w:r w:rsidRPr="006070EA">
        <w:rPr>
          <w:rFonts w:asciiTheme="majorHAnsi" w:hAnsiTheme="majorHAnsi" w:cstheme="majorHAnsi"/>
          <w:color w:val="000000"/>
          <w:szCs w:val="18"/>
        </w:rPr>
        <w:t>Krizový/ Havarijní plán je základním dokumentem kraje pro řešení mimořádných situací v případě živelních pohrom, antropogenních havárií nebo jiných nebezpečí, která ohrožují životy, zdraví, značné majetkové hodnoty nebo životní prostředí. Havarijní plán je určen k plánování a řízení postupu integrovaného záchranného systému a je závazným dokumentem pro všechny obce, správní úřady, fyzické i právnické osoby nacházející se na území kraje.</w:t>
      </w:r>
    </w:p>
    <w:p w14:paraId="59F5A2AF" w14:textId="77777777" w:rsidR="0081184B" w:rsidRPr="006070EA" w:rsidRDefault="0081184B" w:rsidP="0081184B">
      <w:pPr>
        <w:pStyle w:val="Norml"/>
        <w:rPr>
          <w:rFonts w:asciiTheme="majorHAnsi" w:hAnsiTheme="majorHAnsi" w:cstheme="majorHAnsi"/>
          <w:color w:val="000000"/>
          <w:szCs w:val="18"/>
        </w:rPr>
      </w:pPr>
      <w:r w:rsidRPr="006070EA">
        <w:rPr>
          <w:rFonts w:asciiTheme="majorHAnsi" w:hAnsiTheme="majorHAnsi" w:cstheme="majorHAnsi"/>
          <w:color w:val="000000"/>
          <w:szCs w:val="18"/>
        </w:rPr>
        <w:t>Dle nařízení vlády č. 462/2000 Sb., k provedení § 27 odst. 8 a § 28 odst. 5 zákona č. 240/2000 Sb., o krizovém řízení a o změně některých zákonů (krizový zákon), ve znění nařízení vlády č. 36/2003 Sb., byl pro Kraj Vysočina zpracován Krizový plán obsahující souhrn krizových opatření a postupů, které kraj zpracovává k zajištění připravenosti na řešení krizových situací v dané působnosti.</w:t>
      </w:r>
    </w:p>
    <w:p w14:paraId="3F6F035E" w14:textId="77777777" w:rsidR="0081184B" w:rsidRPr="006070EA" w:rsidRDefault="0081184B" w:rsidP="0081184B">
      <w:pPr>
        <w:pStyle w:val="Anadpistun"/>
        <w:rPr>
          <w:rFonts w:asciiTheme="majorHAnsi" w:hAnsiTheme="majorHAnsi" w:cstheme="majorHAnsi"/>
          <w:color w:val="000000"/>
          <w:szCs w:val="18"/>
        </w:rPr>
      </w:pPr>
      <w:r w:rsidRPr="006070EA">
        <w:rPr>
          <w:rFonts w:asciiTheme="majorHAnsi" w:hAnsiTheme="majorHAnsi" w:cstheme="majorHAnsi"/>
          <w:color w:val="000000"/>
          <w:szCs w:val="18"/>
        </w:rPr>
        <w:t>Ochrana území před průchodem povodňové vlny vzniklé zvláštní povodní</w:t>
      </w:r>
    </w:p>
    <w:p w14:paraId="20E1074A" w14:textId="59E12F8B" w:rsidR="0081184B" w:rsidRPr="006070EA" w:rsidRDefault="0081184B" w:rsidP="0081184B">
      <w:pPr>
        <w:pStyle w:val="Atext"/>
        <w:rPr>
          <w:rFonts w:asciiTheme="majorHAnsi" w:hAnsiTheme="majorHAnsi" w:cstheme="majorHAnsi"/>
          <w:color w:val="000000"/>
          <w:szCs w:val="18"/>
        </w:rPr>
      </w:pPr>
      <w:r w:rsidRPr="006070EA">
        <w:rPr>
          <w:rFonts w:asciiTheme="majorHAnsi" w:hAnsiTheme="majorHAnsi" w:cstheme="majorHAnsi"/>
          <w:color w:val="000000"/>
          <w:szCs w:val="18"/>
        </w:rPr>
        <w:t>V řešeném území nejsou známy situace, při kterých by bylo nutné chránit území před průchodem průlomové vlny vzniklé zvláštní povodní. V řešeném území není vymezeno území zvláštní povodně.</w:t>
      </w:r>
    </w:p>
    <w:p w14:paraId="73E16910" w14:textId="77777777" w:rsidR="0081184B" w:rsidRPr="006070EA" w:rsidRDefault="0081184B" w:rsidP="0081184B">
      <w:pPr>
        <w:pStyle w:val="Anadpistun"/>
        <w:rPr>
          <w:rFonts w:asciiTheme="majorHAnsi" w:hAnsiTheme="majorHAnsi" w:cstheme="majorHAnsi"/>
          <w:color w:val="000000"/>
          <w:szCs w:val="18"/>
        </w:rPr>
      </w:pPr>
      <w:r w:rsidRPr="006070EA">
        <w:rPr>
          <w:rFonts w:asciiTheme="majorHAnsi" w:hAnsiTheme="majorHAnsi" w:cstheme="majorHAnsi"/>
          <w:color w:val="000000"/>
          <w:szCs w:val="18"/>
        </w:rPr>
        <w:t>Zóny havarijního plánování</w:t>
      </w:r>
    </w:p>
    <w:p w14:paraId="29887A15" w14:textId="77777777" w:rsidR="0081184B" w:rsidRPr="006070EA" w:rsidRDefault="0081184B" w:rsidP="0081184B">
      <w:pPr>
        <w:pStyle w:val="Atext"/>
        <w:rPr>
          <w:rFonts w:asciiTheme="majorHAnsi" w:hAnsiTheme="majorHAnsi" w:cstheme="majorHAnsi"/>
          <w:color w:val="000000"/>
          <w:szCs w:val="18"/>
        </w:rPr>
      </w:pPr>
      <w:r w:rsidRPr="006070EA">
        <w:rPr>
          <w:rFonts w:asciiTheme="majorHAnsi" w:hAnsiTheme="majorHAnsi" w:cstheme="majorHAnsi"/>
          <w:color w:val="000000"/>
          <w:szCs w:val="18"/>
        </w:rPr>
        <w:t>Do řešeného území nezasahuje žádná zóna havarijního plánování. V řešeném území se nenachází žádný subjekt nakládající ve větším rozsahu s nebezpečnými látkami.</w:t>
      </w:r>
    </w:p>
    <w:p w14:paraId="73C0476D" w14:textId="77777777" w:rsidR="0081184B" w:rsidRPr="006070EA" w:rsidRDefault="0081184B" w:rsidP="0081184B">
      <w:pPr>
        <w:pStyle w:val="Anadpistun"/>
        <w:rPr>
          <w:rFonts w:asciiTheme="majorHAnsi" w:hAnsiTheme="majorHAnsi" w:cstheme="majorHAnsi"/>
          <w:color w:val="000000"/>
          <w:szCs w:val="18"/>
        </w:rPr>
      </w:pPr>
      <w:r w:rsidRPr="006070EA">
        <w:rPr>
          <w:rFonts w:asciiTheme="majorHAnsi" w:hAnsiTheme="majorHAnsi" w:cstheme="majorHAnsi"/>
          <w:color w:val="000000"/>
          <w:szCs w:val="18"/>
        </w:rPr>
        <w:t xml:space="preserve">Evakuace obyvatelstva a jeho ubytování                       </w:t>
      </w:r>
    </w:p>
    <w:p w14:paraId="32810B99" w14:textId="03E8B4AB" w:rsidR="0081184B" w:rsidRPr="006070EA" w:rsidRDefault="0081184B" w:rsidP="0081184B">
      <w:pPr>
        <w:pStyle w:val="Atext"/>
        <w:rPr>
          <w:rFonts w:asciiTheme="majorHAnsi" w:hAnsiTheme="majorHAnsi" w:cstheme="majorHAnsi"/>
          <w:color w:val="000000"/>
          <w:szCs w:val="18"/>
        </w:rPr>
      </w:pPr>
      <w:r w:rsidRPr="006070EA">
        <w:rPr>
          <w:rFonts w:asciiTheme="majorHAnsi" w:hAnsiTheme="majorHAnsi" w:cstheme="majorHAnsi"/>
          <w:color w:val="000000"/>
          <w:szCs w:val="18"/>
        </w:rPr>
        <w:t>Obyvatelé postižení mimořádnou událostí mohou být ubytováni v určených objektech na území obce Kostomlaty nad Labem</w:t>
      </w:r>
      <w:r w:rsidR="00C65EB6" w:rsidRPr="006070EA">
        <w:rPr>
          <w:rFonts w:asciiTheme="majorHAnsi" w:hAnsiTheme="majorHAnsi" w:cstheme="majorHAnsi"/>
          <w:color w:val="000000"/>
          <w:szCs w:val="18"/>
        </w:rPr>
        <w:t xml:space="preserve"> </w:t>
      </w:r>
      <w:r w:rsidRPr="006070EA">
        <w:rPr>
          <w:rFonts w:asciiTheme="majorHAnsi" w:hAnsiTheme="majorHAnsi" w:cstheme="majorHAnsi"/>
          <w:color w:val="000000"/>
          <w:szCs w:val="18"/>
        </w:rPr>
        <w:t xml:space="preserve">i mimo něj dle zpracovaného Havarijního plánu Středočeského kraje. Pro shromáždění obyvatel v případě mimořádné události a pro potřeby provedení evakuace obyvatel bude v evakuačním středisku zřízena pracovní skupina, která bude spolupracovat s krizovým štábem obce s rozšířenou působností Nymburk. Jako shromažďovací prostor je vhodné využít zejména </w:t>
      </w:r>
      <w:r w:rsidR="00C65EB6" w:rsidRPr="006070EA">
        <w:rPr>
          <w:rFonts w:asciiTheme="majorHAnsi" w:hAnsiTheme="majorHAnsi" w:cstheme="majorHAnsi"/>
          <w:color w:val="000000"/>
          <w:szCs w:val="18"/>
        </w:rPr>
        <w:t xml:space="preserve">významnější </w:t>
      </w:r>
      <w:r w:rsidRPr="006070EA">
        <w:rPr>
          <w:rFonts w:asciiTheme="majorHAnsi" w:hAnsiTheme="majorHAnsi" w:cstheme="majorHAnsi"/>
          <w:color w:val="000000"/>
          <w:szCs w:val="18"/>
        </w:rPr>
        <w:t>veřejn</w:t>
      </w:r>
      <w:r w:rsidR="00C65EB6" w:rsidRPr="006070EA">
        <w:rPr>
          <w:rFonts w:asciiTheme="majorHAnsi" w:hAnsiTheme="majorHAnsi" w:cstheme="majorHAnsi"/>
          <w:color w:val="000000"/>
          <w:szCs w:val="18"/>
        </w:rPr>
        <w:t>á</w:t>
      </w:r>
      <w:r w:rsidRPr="006070EA">
        <w:rPr>
          <w:rFonts w:asciiTheme="majorHAnsi" w:hAnsiTheme="majorHAnsi" w:cstheme="majorHAnsi"/>
          <w:color w:val="000000"/>
          <w:szCs w:val="18"/>
        </w:rPr>
        <w:t xml:space="preserve"> prostranství</w:t>
      </w:r>
      <w:r w:rsidR="00B03626" w:rsidRPr="006070EA">
        <w:rPr>
          <w:rFonts w:asciiTheme="majorHAnsi" w:hAnsiTheme="majorHAnsi" w:cstheme="majorHAnsi"/>
          <w:color w:val="000000"/>
          <w:szCs w:val="18"/>
        </w:rPr>
        <w:t xml:space="preserve"> u </w:t>
      </w:r>
      <w:r w:rsidRPr="006070EA">
        <w:rPr>
          <w:rFonts w:asciiTheme="majorHAnsi" w:hAnsiTheme="majorHAnsi" w:cstheme="majorHAnsi"/>
          <w:color w:val="000000"/>
          <w:szCs w:val="18"/>
        </w:rPr>
        <w:t>objekt</w:t>
      </w:r>
      <w:r w:rsidR="00B03626" w:rsidRPr="006070EA">
        <w:rPr>
          <w:rFonts w:asciiTheme="majorHAnsi" w:hAnsiTheme="majorHAnsi" w:cstheme="majorHAnsi"/>
          <w:color w:val="000000"/>
          <w:szCs w:val="18"/>
        </w:rPr>
        <w:t>ů</w:t>
      </w:r>
      <w:r w:rsidRPr="006070EA">
        <w:rPr>
          <w:rFonts w:asciiTheme="majorHAnsi" w:hAnsiTheme="majorHAnsi" w:cstheme="majorHAnsi"/>
          <w:color w:val="000000"/>
          <w:szCs w:val="18"/>
        </w:rPr>
        <w:t xml:space="preserve"> občanské vybavenosti (škola, </w:t>
      </w:r>
      <w:r w:rsidR="00B03626" w:rsidRPr="006070EA">
        <w:rPr>
          <w:rFonts w:asciiTheme="majorHAnsi" w:hAnsiTheme="majorHAnsi" w:cstheme="majorHAnsi"/>
          <w:color w:val="000000"/>
          <w:szCs w:val="18"/>
        </w:rPr>
        <w:t xml:space="preserve">úřad, </w:t>
      </w:r>
      <w:r w:rsidRPr="006070EA">
        <w:rPr>
          <w:rFonts w:asciiTheme="majorHAnsi" w:hAnsiTheme="majorHAnsi" w:cstheme="majorHAnsi"/>
          <w:color w:val="000000"/>
          <w:szCs w:val="18"/>
        </w:rPr>
        <w:t>ubytovací zařízení).</w:t>
      </w:r>
      <w:r w:rsidR="00B03626" w:rsidRPr="006070EA">
        <w:rPr>
          <w:rFonts w:asciiTheme="majorHAnsi" w:hAnsiTheme="majorHAnsi" w:cstheme="majorHAnsi"/>
          <w:color w:val="000000"/>
          <w:szCs w:val="18"/>
        </w:rPr>
        <w:t xml:space="preserve"> </w:t>
      </w:r>
      <w:r w:rsidRPr="006070EA">
        <w:rPr>
          <w:rFonts w:asciiTheme="majorHAnsi" w:hAnsiTheme="majorHAnsi" w:cstheme="majorHAnsi"/>
          <w:color w:val="000000"/>
          <w:szCs w:val="18"/>
        </w:rPr>
        <w:t>Přechodné ubytování lze zajistit dále v soukromých objektech na území obce, případně v ubytovacích a rekreačních zařízeních mimo obec.</w:t>
      </w:r>
    </w:p>
    <w:p w14:paraId="1BA6AEBF" w14:textId="77777777" w:rsidR="0081184B" w:rsidRPr="006070EA" w:rsidRDefault="0081184B" w:rsidP="0081184B">
      <w:pPr>
        <w:pStyle w:val="Anadpistun"/>
        <w:rPr>
          <w:rFonts w:asciiTheme="majorHAnsi" w:hAnsiTheme="majorHAnsi" w:cstheme="majorHAnsi"/>
          <w:color w:val="000000"/>
          <w:szCs w:val="18"/>
        </w:rPr>
      </w:pPr>
      <w:r w:rsidRPr="006070EA">
        <w:rPr>
          <w:rFonts w:asciiTheme="majorHAnsi" w:hAnsiTheme="majorHAnsi" w:cstheme="majorHAnsi"/>
          <w:color w:val="000000"/>
          <w:szCs w:val="18"/>
        </w:rPr>
        <w:t>Skladování materiálu civilní ochrany a humanitární pomoci</w:t>
      </w:r>
    </w:p>
    <w:p w14:paraId="648A97C5" w14:textId="55739DCD" w:rsidR="0081184B" w:rsidRPr="006070EA" w:rsidRDefault="0081184B" w:rsidP="0081184B">
      <w:pPr>
        <w:pStyle w:val="Atext"/>
        <w:rPr>
          <w:rFonts w:asciiTheme="majorHAnsi" w:hAnsiTheme="majorHAnsi" w:cstheme="majorHAnsi"/>
          <w:color w:val="000000"/>
          <w:szCs w:val="18"/>
        </w:rPr>
      </w:pPr>
      <w:r w:rsidRPr="006070EA">
        <w:rPr>
          <w:rFonts w:asciiTheme="majorHAnsi" w:hAnsiTheme="majorHAnsi" w:cstheme="majorHAnsi"/>
          <w:color w:val="000000"/>
          <w:szCs w:val="18"/>
        </w:rPr>
        <w:t>V řešeném území se nenacházejí sklady materiálu civilní obrany a humanitární pomoci jako samostatné objekty a</w:t>
      </w:r>
      <w:r w:rsidR="00B03626" w:rsidRPr="006070EA">
        <w:rPr>
          <w:rFonts w:asciiTheme="majorHAnsi" w:hAnsiTheme="majorHAnsi" w:cstheme="majorHAnsi"/>
          <w:color w:val="000000"/>
          <w:szCs w:val="18"/>
        </w:rPr>
        <w:t> </w:t>
      </w:r>
      <w:r w:rsidRPr="006070EA">
        <w:rPr>
          <w:rFonts w:asciiTheme="majorHAnsi" w:hAnsiTheme="majorHAnsi" w:cstheme="majorHAnsi"/>
          <w:color w:val="000000"/>
          <w:szCs w:val="18"/>
        </w:rPr>
        <w:t>zařízení. V případě nutnosti by byl pro jejich skladování a výdej využit objekt úřadu obce Kostomlaty nad Labem.</w:t>
      </w:r>
    </w:p>
    <w:p w14:paraId="33ED5E39" w14:textId="77777777" w:rsidR="0081184B" w:rsidRPr="006070EA" w:rsidRDefault="0081184B" w:rsidP="0081184B">
      <w:pPr>
        <w:pStyle w:val="Anadpistun"/>
        <w:rPr>
          <w:rFonts w:asciiTheme="majorHAnsi" w:hAnsiTheme="majorHAnsi" w:cstheme="majorHAnsi"/>
          <w:color w:val="000000"/>
          <w:szCs w:val="18"/>
        </w:rPr>
      </w:pPr>
      <w:r w:rsidRPr="006070EA">
        <w:rPr>
          <w:rFonts w:asciiTheme="majorHAnsi" w:hAnsiTheme="majorHAnsi" w:cstheme="majorHAnsi"/>
          <w:color w:val="000000"/>
          <w:szCs w:val="18"/>
        </w:rPr>
        <w:lastRenderedPageBreak/>
        <w:t>Vyvezení a uskladnění nebezpečných látek</w:t>
      </w:r>
    </w:p>
    <w:p w14:paraId="34447BA3" w14:textId="77777777" w:rsidR="0081184B" w:rsidRPr="006070EA" w:rsidRDefault="0081184B" w:rsidP="0081184B">
      <w:pPr>
        <w:pStyle w:val="Atext"/>
        <w:rPr>
          <w:rFonts w:asciiTheme="majorHAnsi" w:hAnsiTheme="majorHAnsi" w:cstheme="majorHAnsi"/>
          <w:color w:val="000000"/>
          <w:szCs w:val="18"/>
        </w:rPr>
      </w:pPr>
      <w:r w:rsidRPr="006070EA">
        <w:rPr>
          <w:rFonts w:asciiTheme="majorHAnsi" w:hAnsiTheme="majorHAnsi" w:cstheme="majorHAnsi"/>
          <w:color w:val="000000"/>
          <w:szCs w:val="18"/>
        </w:rPr>
        <w:t>V případě úniku nebezpečných látek by byly tyto látky odvezeny mimo řešené území (v řešeném území se objekty či plochy vhodné pro jejich uskladnění nenacházejí). V případě havárie bude vyvezení a uskladnění nebezpečných látek řízeno úřadem obce Kostomlaty nad Labem.</w:t>
      </w:r>
    </w:p>
    <w:p w14:paraId="4247E844" w14:textId="77777777" w:rsidR="0081184B" w:rsidRPr="006070EA" w:rsidRDefault="0081184B" w:rsidP="0081184B">
      <w:pPr>
        <w:pStyle w:val="Anadpistun"/>
        <w:rPr>
          <w:rFonts w:asciiTheme="majorHAnsi" w:hAnsiTheme="majorHAnsi" w:cstheme="majorHAnsi"/>
          <w:color w:val="000000"/>
          <w:szCs w:val="18"/>
        </w:rPr>
      </w:pPr>
      <w:r w:rsidRPr="006070EA">
        <w:rPr>
          <w:rFonts w:asciiTheme="majorHAnsi" w:hAnsiTheme="majorHAnsi" w:cstheme="majorHAnsi"/>
          <w:color w:val="000000"/>
          <w:szCs w:val="18"/>
        </w:rPr>
        <w:t>Záchranné, likvidační a obnovovací práce</w:t>
      </w:r>
    </w:p>
    <w:p w14:paraId="5BA6608D" w14:textId="77777777" w:rsidR="0081184B" w:rsidRPr="006070EA" w:rsidRDefault="0081184B" w:rsidP="0081184B">
      <w:pPr>
        <w:pStyle w:val="Atext"/>
        <w:rPr>
          <w:rFonts w:asciiTheme="majorHAnsi" w:hAnsiTheme="majorHAnsi" w:cstheme="majorHAnsi"/>
          <w:color w:val="000000"/>
          <w:szCs w:val="18"/>
        </w:rPr>
      </w:pPr>
      <w:r w:rsidRPr="006070EA">
        <w:rPr>
          <w:rFonts w:asciiTheme="majorHAnsi" w:hAnsiTheme="majorHAnsi" w:cstheme="majorHAnsi"/>
          <w:color w:val="000000"/>
          <w:szCs w:val="18"/>
        </w:rPr>
        <w:t>V případě vzniku mimořádné události by se na záchranných, likvidačních a obnovovacích pracích podílely právnické osoby i fyzické osoby dle charakteru mimořádné události v koordinaci s úřadem obce. V řešeném území se nevyskytuje žádné zahraboviště. Pro dekontaminaci by byly užívány vhodné zpevněné plochy s odpadem a přívodem vody.</w:t>
      </w:r>
    </w:p>
    <w:p w14:paraId="18D2F7FD" w14:textId="77777777" w:rsidR="0081184B" w:rsidRPr="006070EA" w:rsidRDefault="0081184B" w:rsidP="0081184B">
      <w:pPr>
        <w:pStyle w:val="Anadpistun"/>
        <w:rPr>
          <w:rFonts w:asciiTheme="majorHAnsi" w:hAnsiTheme="majorHAnsi" w:cstheme="majorHAnsi"/>
          <w:color w:val="000000"/>
          <w:szCs w:val="18"/>
        </w:rPr>
      </w:pPr>
      <w:r w:rsidRPr="006070EA">
        <w:rPr>
          <w:rFonts w:asciiTheme="majorHAnsi" w:hAnsiTheme="majorHAnsi" w:cstheme="majorHAnsi"/>
          <w:color w:val="000000"/>
          <w:szCs w:val="18"/>
        </w:rPr>
        <w:t>Nouzové zásobování obyvatelstva vodou a elektrickou energií</w:t>
      </w:r>
    </w:p>
    <w:p w14:paraId="70805490" w14:textId="77777777" w:rsidR="0081184B" w:rsidRPr="006070EA" w:rsidRDefault="0081184B" w:rsidP="0081184B">
      <w:pPr>
        <w:pStyle w:val="Atext"/>
        <w:rPr>
          <w:rFonts w:asciiTheme="majorHAnsi" w:hAnsiTheme="majorHAnsi" w:cstheme="majorHAnsi"/>
          <w:color w:val="000000"/>
          <w:szCs w:val="18"/>
        </w:rPr>
      </w:pPr>
      <w:r w:rsidRPr="006070EA">
        <w:rPr>
          <w:rFonts w:asciiTheme="majorHAnsi" w:hAnsiTheme="majorHAnsi" w:cstheme="majorHAnsi"/>
          <w:color w:val="000000"/>
          <w:szCs w:val="18"/>
        </w:rPr>
        <w:t xml:space="preserve">Nouzové zásobování pitnou vodou vychází ze schváleného Plánu rozvoje vodovodů a kanalizací (PRVK) Středočeského kraje. </w:t>
      </w:r>
    </w:p>
    <w:p w14:paraId="0639063C" w14:textId="77777777" w:rsidR="0081184B" w:rsidRPr="006070EA" w:rsidRDefault="0081184B" w:rsidP="0081184B">
      <w:pPr>
        <w:pStyle w:val="Atext"/>
        <w:rPr>
          <w:rFonts w:asciiTheme="majorHAnsi" w:hAnsiTheme="majorHAnsi" w:cstheme="majorHAnsi"/>
          <w:color w:val="000000"/>
          <w:szCs w:val="18"/>
        </w:rPr>
      </w:pPr>
      <w:r w:rsidRPr="006070EA">
        <w:rPr>
          <w:rFonts w:asciiTheme="majorHAnsi" w:hAnsiTheme="majorHAnsi" w:cstheme="majorHAnsi"/>
          <w:color w:val="000000"/>
          <w:szCs w:val="18"/>
        </w:rPr>
        <w:t>Nouzové zásobování pitnou vodou bude zajišťováno dopravou pitné vody v množství maximálně 15 l/den × obyvatele cisternami. Zásobení pitnou vodou bude doplňováno balenou vodou. Plochy pro zajištění potřeb nouzového zásobování obyvatelstva vodou jsou vymezeny na veřejných prostranstvích.</w:t>
      </w:r>
    </w:p>
    <w:p w14:paraId="54B0F141" w14:textId="77777777" w:rsidR="0081184B" w:rsidRPr="006070EA" w:rsidRDefault="0081184B" w:rsidP="0081184B">
      <w:pPr>
        <w:pStyle w:val="Atext"/>
        <w:rPr>
          <w:rFonts w:asciiTheme="majorHAnsi" w:hAnsiTheme="majorHAnsi" w:cstheme="majorHAnsi"/>
          <w:color w:val="000000"/>
          <w:szCs w:val="18"/>
        </w:rPr>
      </w:pPr>
      <w:r w:rsidRPr="006070EA">
        <w:rPr>
          <w:rFonts w:asciiTheme="majorHAnsi" w:hAnsiTheme="majorHAnsi" w:cstheme="majorHAnsi"/>
          <w:color w:val="000000"/>
          <w:szCs w:val="18"/>
        </w:rPr>
        <w:t>Nouzové zásobování užitkovou vodou bude zajišťováno z domovních studní. Při využívání zdrojů pro zásobení užitkovou vodou se bude postupovat podle pokynů územně příslušného hygienika.</w:t>
      </w:r>
    </w:p>
    <w:p w14:paraId="23243311" w14:textId="77777777" w:rsidR="0081184B" w:rsidRPr="006070EA" w:rsidRDefault="0081184B" w:rsidP="0081184B">
      <w:pPr>
        <w:pStyle w:val="Atext"/>
        <w:rPr>
          <w:rFonts w:asciiTheme="majorHAnsi" w:hAnsiTheme="majorHAnsi" w:cstheme="majorHAnsi"/>
          <w:color w:val="000000"/>
          <w:szCs w:val="18"/>
        </w:rPr>
      </w:pPr>
      <w:r w:rsidRPr="006070EA">
        <w:rPr>
          <w:rFonts w:asciiTheme="majorHAnsi" w:hAnsiTheme="majorHAnsi" w:cstheme="majorHAnsi"/>
          <w:color w:val="000000"/>
          <w:szCs w:val="18"/>
        </w:rPr>
        <w:t>Po dokončení vodovodu bude zásobování užitkovou vodou zajišťováno z vodovodu pro veřejnou potřebu.</w:t>
      </w:r>
    </w:p>
    <w:p w14:paraId="3EC7CE98" w14:textId="77777777" w:rsidR="0081184B" w:rsidRPr="006070EA" w:rsidRDefault="0081184B" w:rsidP="0081184B">
      <w:pPr>
        <w:pStyle w:val="Atext"/>
        <w:rPr>
          <w:rFonts w:asciiTheme="majorHAnsi" w:hAnsiTheme="majorHAnsi" w:cstheme="majorHAnsi"/>
          <w:color w:val="000000"/>
          <w:szCs w:val="18"/>
        </w:rPr>
      </w:pPr>
      <w:r w:rsidRPr="006070EA">
        <w:rPr>
          <w:rFonts w:asciiTheme="majorHAnsi" w:hAnsiTheme="majorHAnsi" w:cstheme="majorHAnsi"/>
          <w:color w:val="000000"/>
          <w:szCs w:val="18"/>
        </w:rPr>
        <w:t>V případě potřeby nouzového zásobování elektrickou energií budou na určené objekty připojeny mobilní zdroje energie.</w:t>
      </w:r>
    </w:p>
    <w:p w14:paraId="1084CA5C" w14:textId="77777777" w:rsidR="0081184B" w:rsidRPr="006070EA" w:rsidRDefault="0081184B" w:rsidP="0081184B">
      <w:pPr>
        <w:pStyle w:val="Anadpistun"/>
        <w:rPr>
          <w:rFonts w:asciiTheme="majorHAnsi" w:hAnsiTheme="majorHAnsi" w:cstheme="majorHAnsi"/>
          <w:color w:val="000000"/>
          <w:szCs w:val="18"/>
        </w:rPr>
      </w:pPr>
      <w:r w:rsidRPr="006070EA">
        <w:rPr>
          <w:rFonts w:asciiTheme="majorHAnsi" w:hAnsiTheme="majorHAnsi" w:cstheme="majorHAnsi"/>
          <w:color w:val="000000"/>
          <w:szCs w:val="18"/>
        </w:rPr>
        <w:t>Požární ochrana</w:t>
      </w:r>
    </w:p>
    <w:p w14:paraId="5153DB27" w14:textId="45EE4B24" w:rsidR="0081184B" w:rsidRPr="006070EA" w:rsidRDefault="0081184B" w:rsidP="0081184B">
      <w:pPr>
        <w:pStyle w:val="Atext"/>
        <w:rPr>
          <w:rFonts w:asciiTheme="majorHAnsi" w:hAnsiTheme="majorHAnsi" w:cstheme="majorHAnsi"/>
          <w:color w:val="000000"/>
          <w:szCs w:val="18"/>
        </w:rPr>
      </w:pPr>
      <w:r w:rsidRPr="006070EA">
        <w:rPr>
          <w:rFonts w:asciiTheme="majorHAnsi" w:hAnsiTheme="majorHAnsi" w:cstheme="majorHAnsi"/>
          <w:color w:val="000000"/>
          <w:szCs w:val="18"/>
        </w:rPr>
        <w:t xml:space="preserve">Stávající vodovodní řady umožňují jejich využití k protipožárním účelům. Profily hlavních řadů zajišťují v současné době dodávku požární vody v potřebném tlaku prostřednictvím požárních hydrantů na síti. Dalšími zdroji vody potřebné pro případný požární zásah jsou vodní plochy, případně vodní toky. Tyto vodní plochy a toky budou sloužit jako primární zdroje požární vody v těch sídlech, ve kterých není vybudován vodovod. </w:t>
      </w:r>
    </w:p>
    <w:p w14:paraId="5DF46E75" w14:textId="190B35B2" w:rsidR="0081184B" w:rsidRPr="006070EA" w:rsidRDefault="0081184B" w:rsidP="00C45FF5">
      <w:pPr>
        <w:keepNext/>
        <w:keepLines/>
        <w:spacing w:line="240" w:lineRule="auto"/>
        <w:ind w:firstLine="709"/>
        <w:jc w:val="both"/>
        <w:rPr>
          <w:rFonts w:asciiTheme="majorHAnsi" w:hAnsiTheme="majorHAnsi" w:cstheme="majorHAnsi"/>
          <w:b/>
          <w:color w:val="FF0000"/>
          <w:sz w:val="18"/>
          <w:szCs w:val="18"/>
        </w:rPr>
      </w:pPr>
      <w:r w:rsidRPr="006070EA">
        <w:rPr>
          <w:rFonts w:asciiTheme="majorHAnsi" w:hAnsiTheme="majorHAnsi" w:cstheme="majorHAnsi"/>
          <w:color w:val="000000"/>
          <w:sz w:val="18"/>
          <w:szCs w:val="18"/>
        </w:rPr>
        <w:t>Pro uvažovanou výstavbu v rámci zastavitelných ploch bude zajištěn dostatečný zdroj požární vody podle ČSN 73 0873 Požární bezpečnost staveb – zásobování vodou a ČSN 75 2411 Zdroje požární vody a příjezdové komunikace pro požární vozidla podle ČSN 73 0802, resp. ČSN 73 0804 a dle vyhlášky č. 268/2011 Sb., o technických podmínkách požární ochrany staveb, ve znění pozdějších předpisů.</w:t>
      </w:r>
    </w:p>
    <w:p w14:paraId="6501A15F" w14:textId="3CC84B4E" w:rsidR="0046613A" w:rsidRPr="006070EA" w:rsidRDefault="0046613A" w:rsidP="009E07E1">
      <w:pPr>
        <w:keepNext/>
        <w:spacing w:before="120" w:after="120" w:line="240" w:lineRule="auto"/>
        <w:rPr>
          <w:rFonts w:asciiTheme="majorHAnsi" w:hAnsiTheme="majorHAnsi" w:cstheme="majorHAnsi"/>
          <w:b/>
          <w:sz w:val="18"/>
          <w:szCs w:val="20"/>
        </w:rPr>
      </w:pPr>
      <w:bookmarkStart w:id="306" w:name="_Toc424119846"/>
      <w:bookmarkEnd w:id="305"/>
      <w:r w:rsidRPr="006070EA">
        <w:rPr>
          <w:rFonts w:asciiTheme="majorHAnsi" w:hAnsiTheme="majorHAnsi" w:cstheme="majorHAnsi"/>
          <w:b/>
          <w:sz w:val="18"/>
          <w:szCs w:val="20"/>
        </w:rPr>
        <w:t>Obrana státu</w:t>
      </w:r>
      <w:bookmarkEnd w:id="306"/>
      <w:r w:rsidR="00EF4091" w:rsidRPr="006070EA">
        <w:rPr>
          <w:rFonts w:asciiTheme="majorHAnsi" w:hAnsiTheme="majorHAnsi" w:cstheme="majorHAnsi"/>
          <w:b/>
          <w:sz w:val="18"/>
          <w:szCs w:val="20"/>
        </w:rPr>
        <w:t>, zvláštní zájmy Ministerstva obrany ČR</w:t>
      </w:r>
    </w:p>
    <w:p w14:paraId="5AF65977" w14:textId="1A61EA90" w:rsidR="00275D39" w:rsidRPr="006070EA" w:rsidRDefault="00275D39" w:rsidP="00275D39">
      <w:pPr>
        <w:spacing w:before="60" w:after="60" w:line="240" w:lineRule="auto"/>
        <w:ind w:firstLine="709"/>
        <w:jc w:val="both"/>
        <w:rPr>
          <w:rFonts w:asciiTheme="majorHAnsi" w:hAnsiTheme="majorHAnsi" w:cstheme="majorHAnsi"/>
          <w:sz w:val="18"/>
        </w:rPr>
      </w:pPr>
      <w:r w:rsidRPr="006070EA">
        <w:rPr>
          <w:rFonts w:asciiTheme="majorHAnsi" w:hAnsiTheme="majorHAnsi" w:cstheme="majorHAnsi"/>
          <w:sz w:val="18"/>
        </w:rPr>
        <w:t>Do správního území obce zasahuje vymezené území Ministerstva obrany:</w:t>
      </w:r>
    </w:p>
    <w:p w14:paraId="37D31FCB" w14:textId="7BE1FF0E" w:rsidR="00275D39" w:rsidRPr="006070EA" w:rsidRDefault="00275D39" w:rsidP="00FC1E99">
      <w:pPr>
        <w:pStyle w:val="Odstavecseseznamem"/>
        <w:numPr>
          <w:ilvl w:val="0"/>
          <w:numId w:val="25"/>
        </w:numPr>
        <w:spacing w:before="60" w:after="60" w:line="240" w:lineRule="auto"/>
        <w:jc w:val="both"/>
        <w:rPr>
          <w:rFonts w:asciiTheme="majorHAnsi" w:hAnsiTheme="majorHAnsi" w:cstheme="majorHAnsi"/>
          <w:sz w:val="18"/>
        </w:rPr>
      </w:pPr>
      <w:r w:rsidRPr="006070EA">
        <w:rPr>
          <w:rFonts w:asciiTheme="majorHAnsi" w:hAnsiTheme="majorHAnsi" w:cstheme="majorHAnsi"/>
          <w:b/>
          <w:bCs/>
          <w:sz w:val="18"/>
        </w:rPr>
        <w:t>Koridor RR směrů</w:t>
      </w:r>
      <w:r w:rsidRPr="006070EA">
        <w:rPr>
          <w:rFonts w:asciiTheme="majorHAnsi" w:hAnsiTheme="majorHAnsi" w:cstheme="majorHAnsi"/>
          <w:sz w:val="18"/>
        </w:rPr>
        <w:t xml:space="preserve"> – zájmové území pro nadzemní stavby (dle ustanovení § 175 odst. 1 zákona č. 183/2006 Sb. o územním plánování a stavebním řádu), které je nutno respektovat podle zákona č. 222/1999 Sb., o zajišťování obrany ČR a zákona č. 127/2005 o elektronických komunikacích. V tomto vymezeném území lze umístit a povolit nadzemní výstavbu jen na základě závazného stanoviska Ministerstva obrany (dle ustanovení § 175 odst. 1 zákona č. 183/2006 Sb. o územním plánování a stavebním řádu) – viz. mapový podklad, ÚAP – jev 82a. V případě kolize může být výstavba omezena.</w:t>
      </w:r>
    </w:p>
    <w:p w14:paraId="2895BD0C" w14:textId="4A40AB26" w:rsidR="00275D39" w:rsidRPr="006070EA" w:rsidRDefault="00275D39" w:rsidP="00FC1E99">
      <w:pPr>
        <w:pStyle w:val="Odstavecseseznamem"/>
        <w:numPr>
          <w:ilvl w:val="0"/>
          <w:numId w:val="25"/>
        </w:numPr>
        <w:spacing w:before="60" w:after="60" w:line="240" w:lineRule="auto"/>
        <w:jc w:val="both"/>
        <w:rPr>
          <w:rFonts w:asciiTheme="majorHAnsi" w:hAnsiTheme="majorHAnsi" w:cstheme="majorHAnsi"/>
          <w:sz w:val="18"/>
        </w:rPr>
      </w:pPr>
      <w:r w:rsidRPr="006070EA">
        <w:rPr>
          <w:rFonts w:asciiTheme="majorHAnsi" w:hAnsiTheme="majorHAnsi" w:cstheme="majorHAnsi"/>
          <w:b/>
          <w:bCs/>
          <w:sz w:val="18"/>
        </w:rPr>
        <w:t>OP RLP – Ochranné pásmo radiolokačního zařízení</w:t>
      </w:r>
      <w:r w:rsidRPr="006070EA">
        <w:rPr>
          <w:rFonts w:asciiTheme="majorHAnsi" w:hAnsiTheme="majorHAnsi" w:cstheme="majorHAnsi"/>
          <w:sz w:val="18"/>
        </w:rPr>
        <w:t>, které je nutno respektovat podle ustanovení § 37 zákona č. 49/1997 Sb. o civilním letectví a o změně a doplnění zákona č. 455/1991 Sb. o živnostenském podnikání. V tomto území lze umístit a povolit níže uvedené stavby jen na základě závazného stanoviska Ministerstva obrany (dle ustanovení § 175 odst. 1 zákona č. 183/2006 Sb. o územním plánování a stavebním řádu) – ÚAP - jev 102a. Jedná se o výstavbu (včetně rekonstrukce a přestavby) větrných elektráren, výškových staveb, venkovního vedení vvn a vn, základnových stanic mobilních operátorů. V tomto vymezeném území může být výstavba větrných elektráren, výškových staveb nad 30 m nad terénem a staveb tvořících dominanty v terénu výškově omezena nebo zakázána.</w:t>
      </w:r>
    </w:p>
    <w:p w14:paraId="2316484B" w14:textId="37BFCC17" w:rsidR="00275D39" w:rsidRPr="006070EA" w:rsidRDefault="00275D39" w:rsidP="00275D39">
      <w:pPr>
        <w:spacing w:before="60" w:after="60" w:line="240" w:lineRule="auto"/>
        <w:ind w:firstLine="709"/>
        <w:jc w:val="both"/>
        <w:rPr>
          <w:rFonts w:asciiTheme="majorHAnsi" w:hAnsiTheme="majorHAnsi" w:cstheme="majorHAnsi"/>
          <w:sz w:val="18"/>
        </w:rPr>
      </w:pPr>
      <w:r w:rsidRPr="006070EA">
        <w:rPr>
          <w:rFonts w:asciiTheme="majorHAnsi" w:hAnsiTheme="majorHAnsi" w:cstheme="majorHAnsi"/>
          <w:b/>
          <w:bCs/>
          <w:sz w:val="18"/>
        </w:rPr>
        <w:t>Na celém řešeném území je zájem Ministerstva obrany posuzován z hlediska povolování níže uvedených druhů staveb</w:t>
      </w:r>
      <w:r w:rsidRPr="006070EA">
        <w:rPr>
          <w:rFonts w:asciiTheme="majorHAnsi" w:hAnsiTheme="majorHAnsi" w:cstheme="majorHAnsi"/>
          <w:sz w:val="18"/>
        </w:rPr>
        <w:t xml:space="preserve"> podle ustanovení § 175 zákona č. 183/2006 Sb. (dle ÚAP jev 119).</w:t>
      </w:r>
    </w:p>
    <w:p w14:paraId="28E035B9" w14:textId="77777777" w:rsidR="00275D39" w:rsidRPr="006070EA" w:rsidRDefault="00275D39" w:rsidP="00275D39">
      <w:pPr>
        <w:spacing w:before="60" w:after="60" w:line="240" w:lineRule="auto"/>
        <w:ind w:firstLine="709"/>
        <w:jc w:val="both"/>
        <w:rPr>
          <w:rFonts w:asciiTheme="majorHAnsi" w:hAnsiTheme="majorHAnsi" w:cstheme="majorHAnsi"/>
          <w:sz w:val="18"/>
        </w:rPr>
      </w:pPr>
      <w:r w:rsidRPr="006070EA">
        <w:rPr>
          <w:rFonts w:asciiTheme="majorHAnsi" w:hAnsiTheme="majorHAnsi" w:cstheme="majorHAnsi"/>
          <w:sz w:val="18"/>
        </w:rPr>
        <w:t>Na celém řešeném území umístit a povolit níže uvedené stavby jen na základě závazného stanoviska Ministerstva obrany:</w:t>
      </w:r>
    </w:p>
    <w:p w14:paraId="3C79B0D5" w14:textId="66A527C0" w:rsidR="00275D39" w:rsidRPr="006070EA" w:rsidRDefault="00275D39" w:rsidP="00FC1E99">
      <w:pPr>
        <w:pStyle w:val="Odstavecseseznamem"/>
        <w:numPr>
          <w:ilvl w:val="0"/>
          <w:numId w:val="25"/>
        </w:numPr>
        <w:spacing w:before="60" w:after="60" w:line="240" w:lineRule="auto"/>
        <w:jc w:val="both"/>
        <w:rPr>
          <w:rFonts w:asciiTheme="majorHAnsi" w:hAnsiTheme="majorHAnsi" w:cstheme="majorHAnsi"/>
          <w:sz w:val="18"/>
        </w:rPr>
      </w:pPr>
      <w:r w:rsidRPr="006070EA">
        <w:rPr>
          <w:rFonts w:asciiTheme="majorHAnsi" w:hAnsiTheme="majorHAnsi" w:cstheme="majorHAnsi"/>
          <w:sz w:val="18"/>
        </w:rPr>
        <w:t>výstavba, rekonstrukce a opravy dálniční sítě a všech silnic I. a II. třídy</w:t>
      </w:r>
    </w:p>
    <w:p w14:paraId="23819ED1" w14:textId="6CFE9F72" w:rsidR="00275D39" w:rsidRPr="006070EA" w:rsidRDefault="00275D39" w:rsidP="00FC1E99">
      <w:pPr>
        <w:pStyle w:val="Odstavecseseznamem"/>
        <w:numPr>
          <w:ilvl w:val="0"/>
          <w:numId w:val="25"/>
        </w:numPr>
        <w:spacing w:before="60" w:after="60" w:line="240" w:lineRule="auto"/>
        <w:jc w:val="both"/>
        <w:rPr>
          <w:rFonts w:asciiTheme="majorHAnsi" w:hAnsiTheme="majorHAnsi" w:cstheme="majorHAnsi"/>
          <w:sz w:val="18"/>
        </w:rPr>
      </w:pPr>
      <w:r w:rsidRPr="006070EA">
        <w:rPr>
          <w:rFonts w:asciiTheme="majorHAnsi" w:hAnsiTheme="majorHAnsi" w:cstheme="majorHAnsi"/>
          <w:sz w:val="18"/>
        </w:rPr>
        <w:t>výstavba, rekonstrukce a opravy silnic III. třídy a místních komunikací v blízkosti vojenských areálů, objektů důležitých pro obranu státu a vojenských újezdů</w:t>
      </w:r>
    </w:p>
    <w:p w14:paraId="3EB67DAF" w14:textId="4A1121E6" w:rsidR="00275D39" w:rsidRPr="006070EA" w:rsidRDefault="00275D39" w:rsidP="00FC1E99">
      <w:pPr>
        <w:pStyle w:val="Odstavecseseznamem"/>
        <w:numPr>
          <w:ilvl w:val="0"/>
          <w:numId w:val="25"/>
        </w:numPr>
        <w:spacing w:before="60" w:after="60" w:line="240" w:lineRule="auto"/>
        <w:jc w:val="both"/>
        <w:rPr>
          <w:rFonts w:asciiTheme="majorHAnsi" w:hAnsiTheme="majorHAnsi" w:cstheme="majorHAnsi"/>
          <w:sz w:val="18"/>
        </w:rPr>
      </w:pPr>
      <w:r w:rsidRPr="006070EA">
        <w:rPr>
          <w:rFonts w:asciiTheme="majorHAnsi" w:hAnsiTheme="majorHAnsi" w:cstheme="majorHAnsi"/>
          <w:sz w:val="18"/>
        </w:rPr>
        <w:t>výstavba a rekonstrukce železničních tratí a jejich objektů</w:t>
      </w:r>
    </w:p>
    <w:p w14:paraId="7A008088" w14:textId="363E9BFB" w:rsidR="00275D39" w:rsidRPr="006070EA" w:rsidRDefault="00275D39" w:rsidP="00FC1E99">
      <w:pPr>
        <w:pStyle w:val="Odstavecseseznamem"/>
        <w:numPr>
          <w:ilvl w:val="0"/>
          <w:numId w:val="25"/>
        </w:numPr>
        <w:spacing w:before="60" w:after="60" w:line="240" w:lineRule="auto"/>
        <w:jc w:val="both"/>
        <w:rPr>
          <w:rFonts w:asciiTheme="majorHAnsi" w:hAnsiTheme="majorHAnsi" w:cstheme="majorHAnsi"/>
          <w:sz w:val="18"/>
        </w:rPr>
      </w:pPr>
      <w:r w:rsidRPr="006070EA">
        <w:rPr>
          <w:rFonts w:asciiTheme="majorHAnsi" w:hAnsiTheme="majorHAnsi" w:cstheme="majorHAnsi"/>
          <w:sz w:val="18"/>
        </w:rPr>
        <w:t>výstavba vodních nádrží (rybníky, přehrady)</w:t>
      </w:r>
    </w:p>
    <w:p w14:paraId="004FD912" w14:textId="32434B00" w:rsidR="00275D39" w:rsidRPr="006070EA" w:rsidRDefault="00275D39" w:rsidP="00FC1E99">
      <w:pPr>
        <w:pStyle w:val="Odstavecseseznamem"/>
        <w:numPr>
          <w:ilvl w:val="0"/>
          <w:numId w:val="25"/>
        </w:numPr>
        <w:spacing w:before="60" w:after="60" w:line="240" w:lineRule="auto"/>
        <w:jc w:val="both"/>
        <w:rPr>
          <w:rFonts w:asciiTheme="majorHAnsi" w:hAnsiTheme="majorHAnsi" w:cstheme="majorHAnsi"/>
          <w:sz w:val="18"/>
        </w:rPr>
      </w:pPr>
      <w:r w:rsidRPr="006070EA">
        <w:rPr>
          <w:rFonts w:asciiTheme="majorHAnsi" w:hAnsiTheme="majorHAnsi" w:cstheme="majorHAnsi"/>
          <w:sz w:val="18"/>
        </w:rPr>
        <w:t>umístění staveb a zařízení vysokých 75 m a více nad terénem,</w:t>
      </w:r>
    </w:p>
    <w:p w14:paraId="12473E2A" w14:textId="1576C958" w:rsidR="00275D39" w:rsidRPr="006070EA" w:rsidRDefault="00275D39" w:rsidP="00FC1E99">
      <w:pPr>
        <w:pStyle w:val="Odstavecseseznamem"/>
        <w:numPr>
          <w:ilvl w:val="0"/>
          <w:numId w:val="25"/>
        </w:numPr>
        <w:spacing w:before="60" w:after="60" w:line="240" w:lineRule="auto"/>
        <w:jc w:val="both"/>
        <w:rPr>
          <w:rFonts w:asciiTheme="majorHAnsi" w:hAnsiTheme="majorHAnsi" w:cstheme="majorHAnsi"/>
          <w:sz w:val="18"/>
        </w:rPr>
      </w:pPr>
      <w:r w:rsidRPr="006070EA">
        <w:rPr>
          <w:rFonts w:asciiTheme="majorHAnsi" w:hAnsiTheme="majorHAnsi" w:cstheme="majorHAnsi"/>
          <w:sz w:val="18"/>
        </w:rPr>
        <w:lastRenderedPageBreak/>
        <w:t>umístění staveb a zařízení vysokých 30 m a více na přirozených nebo umělých vyvýšeninách, které vyčnívají 75 m a výše nad okolní krajinu</w:t>
      </w:r>
    </w:p>
    <w:p w14:paraId="522894B2" w14:textId="55CBBD24" w:rsidR="00275D39" w:rsidRPr="006070EA" w:rsidRDefault="00275D39" w:rsidP="00FC1E99">
      <w:pPr>
        <w:pStyle w:val="Odstavecseseznamem"/>
        <w:numPr>
          <w:ilvl w:val="0"/>
          <w:numId w:val="25"/>
        </w:numPr>
        <w:spacing w:before="60" w:after="60" w:line="240" w:lineRule="auto"/>
        <w:jc w:val="both"/>
        <w:rPr>
          <w:rFonts w:asciiTheme="majorHAnsi" w:hAnsiTheme="majorHAnsi" w:cstheme="majorHAnsi"/>
          <w:sz w:val="18"/>
        </w:rPr>
      </w:pPr>
      <w:r w:rsidRPr="006070EA">
        <w:rPr>
          <w:rFonts w:asciiTheme="majorHAnsi" w:hAnsiTheme="majorHAnsi" w:cstheme="majorHAnsi"/>
          <w:sz w:val="18"/>
        </w:rPr>
        <w:t>umístění zařízení, která mohou ohrozit bezpečnost letového provozu nebo rušit funkci leteckých palubních přístrojů a leteckých zabezpečovacích zařízení, zejména zařízení průmyslových závodů,</w:t>
      </w:r>
    </w:p>
    <w:p w14:paraId="79DD44C9" w14:textId="77777777" w:rsidR="00275D39" w:rsidRPr="006070EA" w:rsidRDefault="00275D39" w:rsidP="00FC1E99">
      <w:pPr>
        <w:pStyle w:val="Odstavecseseznamem"/>
        <w:numPr>
          <w:ilvl w:val="0"/>
          <w:numId w:val="25"/>
        </w:numPr>
        <w:spacing w:before="60" w:after="60" w:line="240" w:lineRule="auto"/>
        <w:jc w:val="both"/>
        <w:rPr>
          <w:rFonts w:asciiTheme="majorHAnsi" w:hAnsiTheme="majorHAnsi" w:cstheme="majorHAnsi"/>
          <w:sz w:val="18"/>
        </w:rPr>
      </w:pPr>
      <w:r w:rsidRPr="006070EA">
        <w:rPr>
          <w:rFonts w:asciiTheme="majorHAnsi" w:hAnsiTheme="majorHAnsi" w:cstheme="majorHAnsi"/>
          <w:sz w:val="18"/>
        </w:rPr>
        <w:t>vedení vysokého a velmi vysokého napětí, energetická zařízení, větrné elektrárny a vysílací stanice</w:t>
      </w:r>
    </w:p>
    <w:p w14:paraId="69AFD6F4" w14:textId="615F9FE3" w:rsidR="00275D39" w:rsidRPr="006070EA" w:rsidRDefault="00275D39" w:rsidP="00275D39">
      <w:pPr>
        <w:pStyle w:val="Odstavecseseznamem"/>
        <w:numPr>
          <w:ilvl w:val="0"/>
          <w:numId w:val="25"/>
        </w:numPr>
        <w:spacing w:before="60" w:after="60" w:line="240" w:lineRule="auto"/>
        <w:jc w:val="both"/>
        <w:rPr>
          <w:rFonts w:asciiTheme="majorHAnsi" w:hAnsiTheme="majorHAnsi" w:cstheme="majorHAnsi"/>
          <w:sz w:val="18"/>
        </w:rPr>
      </w:pPr>
      <w:r w:rsidRPr="006070EA">
        <w:rPr>
          <w:rFonts w:asciiTheme="majorHAnsi" w:hAnsiTheme="majorHAnsi" w:cstheme="majorHAnsi"/>
          <w:sz w:val="18"/>
        </w:rPr>
        <w:t>veškerá výstavba dotýkající se nemovitostí (pozemky a stavby) ve vlastnictví ČR, v příslušnosti hospodařit s majetkem státu Ministerstva obrany</w:t>
      </w:r>
    </w:p>
    <w:p w14:paraId="67392F76" w14:textId="77777777" w:rsidR="00EF4091" w:rsidRPr="006070EA" w:rsidRDefault="0046613A" w:rsidP="00654835">
      <w:pPr>
        <w:spacing w:before="60" w:after="60" w:line="240" w:lineRule="auto"/>
        <w:ind w:firstLine="709"/>
        <w:jc w:val="both"/>
        <w:rPr>
          <w:rFonts w:asciiTheme="majorHAnsi" w:hAnsiTheme="majorHAnsi" w:cstheme="majorHAnsi"/>
          <w:sz w:val="18"/>
        </w:rPr>
      </w:pPr>
      <w:r w:rsidRPr="006070EA">
        <w:rPr>
          <w:rFonts w:asciiTheme="majorHAnsi" w:hAnsiTheme="majorHAnsi" w:cstheme="majorHAnsi"/>
          <w:sz w:val="18"/>
        </w:rPr>
        <w:t>V řešeném území se nenacházejí žádné vojenské inženýrské sítě</w:t>
      </w:r>
      <w:r w:rsidR="00D33E20" w:rsidRPr="006070EA">
        <w:rPr>
          <w:rFonts w:asciiTheme="majorHAnsi" w:hAnsiTheme="majorHAnsi" w:cstheme="majorHAnsi"/>
          <w:sz w:val="18"/>
        </w:rPr>
        <w:t xml:space="preserve"> ani objekty</w:t>
      </w:r>
      <w:r w:rsidRPr="006070EA">
        <w:rPr>
          <w:rFonts w:asciiTheme="majorHAnsi" w:hAnsiTheme="majorHAnsi" w:cstheme="majorHAnsi"/>
          <w:sz w:val="18"/>
        </w:rPr>
        <w:t>. Z obecného hlediska budou respektovány parametry příslušné kategorie komunikací včetně ochranných pásem stávajícího i</w:t>
      </w:r>
      <w:r w:rsidR="00D33E20" w:rsidRPr="006070EA">
        <w:rPr>
          <w:rFonts w:asciiTheme="majorHAnsi" w:hAnsiTheme="majorHAnsi" w:cstheme="majorHAnsi"/>
          <w:sz w:val="18"/>
        </w:rPr>
        <w:t> </w:t>
      </w:r>
      <w:r w:rsidRPr="006070EA">
        <w:rPr>
          <w:rFonts w:asciiTheme="majorHAnsi" w:hAnsiTheme="majorHAnsi" w:cstheme="majorHAnsi"/>
          <w:sz w:val="18"/>
        </w:rPr>
        <w:t xml:space="preserve">plánovaného dopravního systému. </w:t>
      </w:r>
    </w:p>
    <w:p w14:paraId="76089D11" w14:textId="77777777" w:rsidR="0046613A" w:rsidRPr="006070EA" w:rsidRDefault="0046613A" w:rsidP="009E07E1">
      <w:pPr>
        <w:keepNext/>
        <w:spacing w:before="120" w:after="120" w:line="240" w:lineRule="auto"/>
        <w:rPr>
          <w:rFonts w:asciiTheme="majorHAnsi" w:hAnsiTheme="majorHAnsi" w:cstheme="majorHAnsi"/>
          <w:b/>
          <w:sz w:val="18"/>
          <w:szCs w:val="20"/>
        </w:rPr>
      </w:pPr>
      <w:bookmarkStart w:id="307" w:name="_Toc424119848"/>
      <w:r w:rsidRPr="006070EA">
        <w:rPr>
          <w:rFonts w:asciiTheme="majorHAnsi" w:hAnsiTheme="majorHAnsi" w:cstheme="majorHAnsi"/>
          <w:b/>
          <w:sz w:val="18"/>
          <w:szCs w:val="20"/>
        </w:rPr>
        <w:t>Radonový index geologického podloží</w:t>
      </w:r>
      <w:bookmarkEnd w:id="307"/>
    </w:p>
    <w:p w14:paraId="326EB986" w14:textId="77777777" w:rsidR="0081184B" w:rsidRPr="006070EA" w:rsidRDefault="0081184B" w:rsidP="0081184B">
      <w:pPr>
        <w:pStyle w:val="Norml"/>
        <w:rPr>
          <w:rFonts w:asciiTheme="majorHAnsi" w:hAnsiTheme="majorHAnsi" w:cstheme="majorHAnsi"/>
        </w:rPr>
      </w:pPr>
      <w:r w:rsidRPr="006070EA">
        <w:rPr>
          <w:rFonts w:asciiTheme="majorHAnsi" w:hAnsiTheme="majorHAnsi" w:cstheme="majorHAnsi"/>
        </w:rPr>
        <w:t>Problematiku ozáření z přírodních zdrojů ionizujícího záření a způsoby úprav vedoucí ke snížení ozáření z přírodních zdrojů upravuje vyhláška č. 307/2002 Sb., o radiační ochraně, ve znění pozdějších předpisů.</w:t>
      </w:r>
    </w:p>
    <w:p w14:paraId="691EA89A" w14:textId="72A20F83" w:rsidR="00ED3FC7" w:rsidRPr="006070EA" w:rsidRDefault="0081184B" w:rsidP="0081184B">
      <w:pPr>
        <w:pStyle w:val="Norml"/>
        <w:rPr>
          <w:rFonts w:asciiTheme="majorHAnsi" w:hAnsiTheme="majorHAnsi" w:cstheme="majorHAnsi"/>
        </w:rPr>
      </w:pPr>
      <w:r w:rsidRPr="006070EA">
        <w:rPr>
          <w:rFonts w:asciiTheme="majorHAnsi" w:hAnsiTheme="majorHAnsi" w:cstheme="majorHAnsi"/>
        </w:rPr>
        <w:t>Správní území obce Kostomlaty nad Labem spadá dle mapy radonového indexu z geologického podloží Česka částečně do území s převažující kategorií radonového indexu nízkou až přechodnou s naměřenými hodnotami 10,1 – 16,9 (kBq.m</w:t>
      </w:r>
      <w:r w:rsidRPr="006070EA">
        <w:rPr>
          <w:rFonts w:asciiTheme="majorHAnsi" w:hAnsiTheme="majorHAnsi" w:cstheme="majorHAnsi"/>
          <w:vertAlign w:val="superscript"/>
        </w:rPr>
        <w:t>-3</w:t>
      </w:r>
      <w:r w:rsidRPr="006070EA">
        <w:rPr>
          <w:rFonts w:asciiTheme="majorHAnsi" w:hAnsiTheme="majorHAnsi" w:cstheme="majorHAnsi"/>
        </w:rPr>
        <w:t xml:space="preserve">). </w:t>
      </w:r>
      <w:r w:rsidR="00ED3FC7" w:rsidRPr="006070EA">
        <w:rPr>
          <w:rFonts w:asciiTheme="majorHAnsi" w:hAnsiTheme="majorHAnsi" w:cstheme="majorHAnsi"/>
        </w:rPr>
        <w:t xml:space="preserve"> </w:t>
      </w:r>
    </w:p>
    <w:p w14:paraId="58371361" w14:textId="77777777" w:rsidR="0046613A" w:rsidRPr="006070EA" w:rsidRDefault="0046613A" w:rsidP="009E07E1">
      <w:pPr>
        <w:keepNext/>
        <w:spacing w:before="120" w:after="120" w:line="240" w:lineRule="auto"/>
        <w:rPr>
          <w:rFonts w:asciiTheme="majorHAnsi" w:hAnsiTheme="majorHAnsi" w:cstheme="majorHAnsi"/>
          <w:b/>
          <w:sz w:val="18"/>
          <w:szCs w:val="20"/>
        </w:rPr>
      </w:pPr>
      <w:bookmarkStart w:id="308" w:name="_Toc424119849"/>
      <w:r w:rsidRPr="006070EA">
        <w:rPr>
          <w:rFonts w:asciiTheme="majorHAnsi" w:hAnsiTheme="majorHAnsi" w:cstheme="majorHAnsi"/>
          <w:b/>
          <w:sz w:val="18"/>
          <w:szCs w:val="20"/>
        </w:rPr>
        <w:t>Ochrana před povodněmi</w:t>
      </w:r>
      <w:bookmarkEnd w:id="308"/>
      <w:r w:rsidRPr="006070EA">
        <w:rPr>
          <w:rFonts w:asciiTheme="majorHAnsi" w:hAnsiTheme="majorHAnsi" w:cstheme="majorHAnsi"/>
          <w:b/>
          <w:sz w:val="18"/>
          <w:szCs w:val="20"/>
        </w:rPr>
        <w:t xml:space="preserve"> </w:t>
      </w:r>
    </w:p>
    <w:p w14:paraId="53EF5E9B" w14:textId="59F9E902" w:rsidR="002F495F" w:rsidRPr="006070EA" w:rsidRDefault="0046613A" w:rsidP="009E07E1">
      <w:pPr>
        <w:spacing w:after="60" w:line="240" w:lineRule="auto"/>
        <w:ind w:firstLine="709"/>
        <w:jc w:val="both"/>
        <w:rPr>
          <w:rFonts w:asciiTheme="majorHAnsi" w:hAnsiTheme="majorHAnsi" w:cstheme="majorHAnsi"/>
          <w:sz w:val="18"/>
        </w:rPr>
      </w:pPr>
      <w:r w:rsidRPr="006070EA">
        <w:rPr>
          <w:rFonts w:asciiTheme="majorHAnsi" w:hAnsiTheme="majorHAnsi" w:cstheme="majorHAnsi"/>
          <w:sz w:val="18"/>
        </w:rPr>
        <w:t xml:space="preserve">V řešeném území </w:t>
      </w:r>
      <w:r w:rsidR="008204BF" w:rsidRPr="006070EA">
        <w:rPr>
          <w:rFonts w:asciiTheme="majorHAnsi" w:hAnsiTheme="majorHAnsi" w:cstheme="majorHAnsi"/>
          <w:sz w:val="18"/>
        </w:rPr>
        <w:t>je</w:t>
      </w:r>
      <w:r w:rsidR="002F495F" w:rsidRPr="006070EA">
        <w:rPr>
          <w:rFonts w:asciiTheme="majorHAnsi" w:hAnsiTheme="majorHAnsi" w:cstheme="majorHAnsi"/>
          <w:sz w:val="18"/>
        </w:rPr>
        <w:t xml:space="preserve"> stanoveno záplavové území</w:t>
      </w:r>
      <w:r w:rsidR="008204BF" w:rsidRPr="006070EA">
        <w:rPr>
          <w:rFonts w:asciiTheme="majorHAnsi" w:hAnsiTheme="majorHAnsi" w:cstheme="majorHAnsi"/>
          <w:sz w:val="18"/>
        </w:rPr>
        <w:t xml:space="preserve"> na </w:t>
      </w:r>
      <w:r w:rsidR="007C4D7F" w:rsidRPr="006070EA">
        <w:rPr>
          <w:rFonts w:asciiTheme="majorHAnsi" w:hAnsiTheme="majorHAnsi" w:cstheme="majorHAnsi"/>
          <w:sz w:val="18"/>
        </w:rPr>
        <w:t>vodních tocích Labe a Vltava</w:t>
      </w:r>
      <w:r w:rsidR="00AC3163" w:rsidRPr="006070EA">
        <w:rPr>
          <w:rFonts w:asciiTheme="majorHAnsi" w:hAnsiTheme="majorHAnsi" w:cstheme="majorHAnsi"/>
          <w:sz w:val="18"/>
        </w:rPr>
        <w:t>.</w:t>
      </w:r>
      <w:r w:rsidR="00E57BB5" w:rsidRPr="006070EA">
        <w:rPr>
          <w:rFonts w:asciiTheme="majorHAnsi" w:hAnsiTheme="majorHAnsi" w:cstheme="majorHAnsi"/>
          <w:sz w:val="18"/>
        </w:rPr>
        <w:t xml:space="preserve"> </w:t>
      </w:r>
    </w:p>
    <w:p w14:paraId="10BFBC04" w14:textId="7001C579" w:rsidR="007C4D7F" w:rsidRPr="006070EA" w:rsidRDefault="007C4D7F" w:rsidP="009E07E1">
      <w:pPr>
        <w:spacing w:after="60" w:line="240" w:lineRule="auto"/>
        <w:ind w:firstLine="709"/>
        <w:jc w:val="both"/>
        <w:rPr>
          <w:rFonts w:asciiTheme="majorHAnsi" w:hAnsiTheme="majorHAnsi" w:cstheme="majorHAnsi"/>
          <w:sz w:val="18"/>
        </w:rPr>
      </w:pPr>
      <w:r w:rsidRPr="006070EA">
        <w:rPr>
          <w:rFonts w:asciiTheme="majorHAnsi" w:hAnsiTheme="majorHAnsi" w:cstheme="majorHAnsi"/>
          <w:sz w:val="18"/>
        </w:rPr>
        <w:t>Krajským úřadem Středočeského kraje bylo dne 25.5.2015 pod č. j. 073794/2015/KUSK opatřením obecné povahy stanoveno záplavové území a vymezena aktivní zóna záplavového území významného vodního toku Labe (IDVT 1010002) v úseku ř. km 826,613 – 892,000 a dne 6.8.2009 pod č. j. 104279/2009/KUSK významného vodního toku Vlkava (IDVT 10100104) v úseku ř. km 0,000 – 8,956. Hranice záplavového území Q100 a aktivní zóna záplavového území jsou limitem využití území a jako takové jsou územním plánem respektovány a graficky znázorněny v koordinačním výkrese.</w:t>
      </w:r>
    </w:p>
    <w:p w14:paraId="210D4F81" w14:textId="1C8FAC62" w:rsidR="002C2AFC" w:rsidRPr="006070EA" w:rsidRDefault="0046613A" w:rsidP="0063156C">
      <w:pPr>
        <w:keepLines/>
        <w:spacing w:after="60" w:line="240" w:lineRule="auto"/>
        <w:ind w:firstLine="709"/>
        <w:jc w:val="both"/>
        <w:rPr>
          <w:rFonts w:asciiTheme="majorHAnsi" w:hAnsiTheme="majorHAnsi" w:cstheme="majorHAnsi"/>
          <w:sz w:val="18"/>
        </w:rPr>
      </w:pPr>
      <w:r w:rsidRPr="006070EA">
        <w:rPr>
          <w:rFonts w:asciiTheme="majorHAnsi" w:hAnsiTheme="majorHAnsi" w:cstheme="majorHAnsi"/>
          <w:sz w:val="18"/>
        </w:rPr>
        <w:t xml:space="preserve">Protipovodňová opatření a opatření zvyšující retenční schopnost krajiny je územním plánem umožněno realizovat v rámci jednotlivých ploch s rozdílným způsobem využití, zejména </w:t>
      </w:r>
      <w:r w:rsidR="00FC5E76" w:rsidRPr="006070EA">
        <w:rPr>
          <w:rFonts w:asciiTheme="majorHAnsi" w:hAnsiTheme="majorHAnsi" w:cstheme="majorHAnsi"/>
          <w:iCs/>
          <w:sz w:val="18"/>
        </w:rPr>
        <w:t>ploch</w:t>
      </w:r>
      <w:r w:rsidR="00FC5E76" w:rsidRPr="006070EA">
        <w:rPr>
          <w:rFonts w:asciiTheme="majorHAnsi" w:hAnsiTheme="majorHAnsi" w:cstheme="majorHAnsi"/>
          <w:i/>
          <w:sz w:val="18"/>
        </w:rPr>
        <w:t xml:space="preserve"> vodních a vodohospodářských</w:t>
      </w:r>
      <w:r w:rsidR="00485315" w:rsidRPr="006070EA">
        <w:rPr>
          <w:rFonts w:asciiTheme="majorHAnsi" w:hAnsiTheme="majorHAnsi" w:cstheme="majorHAnsi"/>
          <w:i/>
          <w:sz w:val="18"/>
        </w:rPr>
        <w:t xml:space="preserve"> všeobecných</w:t>
      </w:r>
      <w:r w:rsidR="00FC5E76" w:rsidRPr="006070EA">
        <w:rPr>
          <w:rFonts w:asciiTheme="majorHAnsi" w:hAnsiTheme="majorHAnsi" w:cstheme="majorHAnsi"/>
          <w:sz w:val="18"/>
        </w:rPr>
        <w:t xml:space="preserve"> (W</w:t>
      </w:r>
      <w:r w:rsidR="00485315" w:rsidRPr="006070EA">
        <w:rPr>
          <w:rFonts w:asciiTheme="majorHAnsi" w:hAnsiTheme="majorHAnsi" w:cstheme="majorHAnsi"/>
          <w:sz w:val="18"/>
        </w:rPr>
        <w:t>U</w:t>
      </w:r>
      <w:r w:rsidR="00FC5E76" w:rsidRPr="006070EA">
        <w:rPr>
          <w:rFonts w:asciiTheme="majorHAnsi" w:hAnsiTheme="majorHAnsi" w:cstheme="majorHAnsi"/>
          <w:sz w:val="18"/>
        </w:rPr>
        <w:t xml:space="preserve">), </w:t>
      </w:r>
      <w:r w:rsidR="00FC5E76" w:rsidRPr="006070EA">
        <w:rPr>
          <w:rFonts w:asciiTheme="majorHAnsi" w:hAnsiTheme="majorHAnsi" w:cstheme="majorHAnsi"/>
          <w:i/>
          <w:sz w:val="18"/>
        </w:rPr>
        <w:t>zemědělských</w:t>
      </w:r>
      <w:r w:rsidR="00FC5E76" w:rsidRPr="006070EA">
        <w:rPr>
          <w:rFonts w:asciiTheme="majorHAnsi" w:hAnsiTheme="majorHAnsi" w:cstheme="majorHAnsi"/>
          <w:sz w:val="18"/>
        </w:rPr>
        <w:t xml:space="preserve"> </w:t>
      </w:r>
      <w:r w:rsidR="00485315" w:rsidRPr="006070EA">
        <w:rPr>
          <w:rFonts w:asciiTheme="majorHAnsi" w:hAnsiTheme="majorHAnsi" w:cstheme="majorHAnsi"/>
          <w:i/>
          <w:iCs/>
          <w:sz w:val="18"/>
        </w:rPr>
        <w:t>všeobecných</w:t>
      </w:r>
      <w:r w:rsidR="00485315" w:rsidRPr="006070EA">
        <w:rPr>
          <w:rFonts w:asciiTheme="majorHAnsi" w:hAnsiTheme="majorHAnsi" w:cstheme="majorHAnsi"/>
          <w:sz w:val="18"/>
        </w:rPr>
        <w:t xml:space="preserve"> </w:t>
      </w:r>
      <w:r w:rsidR="00FC5E76" w:rsidRPr="006070EA">
        <w:rPr>
          <w:rFonts w:asciiTheme="majorHAnsi" w:hAnsiTheme="majorHAnsi" w:cstheme="majorHAnsi"/>
          <w:sz w:val="18"/>
        </w:rPr>
        <w:t>(</w:t>
      </w:r>
      <w:r w:rsidR="00485315" w:rsidRPr="006070EA">
        <w:rPr>
          <w:rFonts w:asciiTheme="majorHAnsi" w:hAnsiTheme="majorHAnsi" w:cstheme="majorHAnsi"/>
          <w:sz w:val="18"/>
        </w:rPr>
        <w:t>AU</w:t>
      </w:r>
      <w:r w:rsidR="00FC5E76" w:rsidRPr="006070EA">
        <w:rPr>
          <w:rFonts w:asciiTheme="majorHAnsi" w:hAnsiTheme="majorHAnsi" w:cstheme="majorHAnsi"/>
          <w:sz w:val="18"/>
        </w:rPr>
        <w:t xml:space="preserve">), </w:t>
      </w:r>
      <w:r w:rsidR="00FC5E76" w:rsidRPr="006070EA">
        <w:rPr>
          <w:rFonts w:asciiTheme="majorHAnsi" w:hAnsiTheme="majorHAnsi" w:cstheme="majorHAnsi"/>
          <w:i/>
          <w:sz w:val="18"/>
        </w:rPr>
        <w:t xml:space="preserve">smíšených nezastavěného území </w:t>
      </w:r>
      <w:r w:rsidR="00FC5E76" w:rsidRPr="006070EA">
        <w:rPr>
          <w:rFonts w:asciiTheme="majorHAnsi" w:hAnsiTheme="majorHAnsi" w:cstheme="majorHAnsi"/>
          <w:sz w:val="18"/>
        </w:rPr>
        <w:t>(</w:t>
      </w:r>
      <w:r w:rsidR="00485315" w:rsidRPr="006070EA">
        <w:rPr>
          <w:rFonts w:asciiTheme="majorHAnsi" w:hAnsiTheme="majorHAnsi" w:cstheme="majorHAnsi"/>
          <w:sz w:val="18"/>
        </w:rPr>
        <w:t>MU.zp</w:t>
      </w:r>
      <w:r w:rsidR="0032705B" w:rsidRPr="006070EA">
        <w:rPr>
          <w:rFonts w:asciiTheme="majorHAnsi" w:hAnsiTheme="majorHAnsi" w:cstheme="majorHAnsi"/>
          <w:sz w:val="18"/>
        </w:rPr>
        <w:t xml:space="preserve">, </w:t>
      </w:r>
      <w:r w:rsidR="00485315" w:rsidRPr="006070EA">
        <w:rPr>
          <w:rFonts w:asciiTheme="majorHAnsi" w:hAnsiTheme="majorHAnsi" w:cstheme="majorHAnsi"/>
          <w:sz w:val="18"/>
        </w:rPr>
        <w:t>MU.s</w:t>
      </w:r>
      <w:r w:rsidR="0032705B" w:rsidRPr="006070EA">
        <w:rPr>
          <w:rFonts w:asciiTheme="majorHAnsi" w:hAnsiTheme="majorHAnsi" w:cstheme="majorHAnsi"/>
          <w:sz w:val="18"/>
        </w:rPr>
        <w:t xml:space="preserve">, </w:t>
      </w:r>
      <w:r w:rsidR="00485315" w:rsidRPr="006070EA">
        <w:rPr>
          <w:rFonts w:asciiTheme="majorHAnsi" w:hAnsiTheme="majorHAnsi" w:cstheme="majorHAnsi"/>
          <w:sz w:val="18"/>
        </w:rPr>
        <w:t>MU.r</w:t>
      </w:r>
      <w:r w:rsidR="00FC5E76" w:rsidRPr="006070EA">
        <w:rPr>
          <w:rFonts w:asciiTheme="majorHAnsi" w:hAnsiTheme="majorHAnsi" w:cstheme="majorHAnsi"/>
          <w:sz w:val="18"/>
        </w:rPr>
        <w:t xml:space="preserve">). </w:t>
      </w:r>
    </w:p>
    <w:p w14:paraId="37A35FCA" w14:textId="13B696EE" w:rsidR="00C65EB6" w:rsidRPr="006070EA" w:rsidRDefault="00C65EB6" w:rsidP="00C65EB6">
      <w:pPr>
        <w:pStyle w:val="Atext"/>
        <w:rPr>
          <w:rFonts w:asciiTheme="majorHAnsi" w:hAnsiTheme="majorHAnsi" w:cstheme="majorHAnsi"/>
          <w:szCs w:val="18"/>
        </w:rPr>
      </w:pPr>
      <w:r w:rsidRPr="006070EA">
        <w:rPr>
          <w:rFonts w:asciiTheme="majorHAnsi" w:hAnsiTheme="majorHAnsi" w:cstheme="majorHAnsi"/>
          <w:szCs w:val="18"/>
        </w:rPr>
        <w:t xml:space="preserve">Na severním břehu řeky Labe se v řešeném území nachází objekt protipovodňové ochrany – Ochranná hráz Kostomlaty nad Labem, jež je územním plánem respektována a zobrazena v koordinačním výkrese </w:t>
      </w:r>
      <w:r w:rsidR="0032705B" w:rsidRPr="006070EA">
        <w:rPr>
          <w:rFonts w:asciiTheme="majorHAnsi" w:hAnsiTheme="majorHAnsi" w:cstheme="majorHAnsi"/>
          <w:szCs w:val="18"/>
        </w:rPr>
        <w:t xml:space="preserve">grafické části odůvodnění </w:t>
      </w:r>
      <w:r w:rsidRPr="006070EA">
        <w:rPr>
          <w:rFonts w:asciiTheme="majorHAnsi" w:hAnsiTheme="majorHAnsi" w:cstheme="majorHAnsi"/>
          <w:szCs w:val="18"/>
        </w:rPr>
        <w:t>ÚP Kostomlaty nad Labem.</w:t>
      </w:r>
    </w:p>
    <w:p w14:paraId="71E3258C" w14:textId="77777777" w:rsidR="0046613A" w:rsidRPr="006070EA" w:rsidRDefault="0046613A" w:rsidP="00485315">
      <w:pPr>
        <w:pStyle w:val="Mra2-reakceern"/>
        <w:keepNext/>
        <w:pBdr>
          <w:left w:val="none" w:sz="0" w:space="0" w:color="auto"/>
        </w:pBdr>
        <w:shd w:val="clear" w:color="auto" w:fill="DEEAF6" w:themeFill="accent1" w:themeFillTint="33"/>
        <w:spacing w:before="240" w:after="120"/>
        <w:ind w:left="705" w:hanging="705"/>
        <w:rPr>
          <w:rFonts w:asciiTheme="majorHAnsi" w:hAnsiTheme="majorHAnsi" w:cstheme="majorHAnsi"/>
          <w:b/>
          <w:i/>
          <w:color w:val="auto"/>
          <w:sz w:val="22"/>
        </w:rPr>
      </w:pPr>
      <w:r w:rsidRPr="006070EA">
        <w:rPr>
          <w:rFonts w:asciiTheme="majorHAnsi" w:hAnsiTheme="majorHAnsi" w:cstheme="majorHAnsi"/>
          <w:b/>
          <w:i/>
          <w:color w:val="auto"/>
          <w:sz w:val="22"/>
        </w:rPr>
        <w:t>AD 3</w:t>
      </w:r>
      <w:r w:rsidRPr="006070EA">
        <w:rPr>
          <w:rFonts w:asciiTheme="majorHAnsi" w:hAnsiTheme="majorHAnsi" w:cstheme="majorHAnsi"/>
          <w:b/>
          <w:i/>
          <w:color w:val="auto"/>
          <w:sz w:val="22"/>
        </w:rPr>
        <w:tab/>
        <w:t xml:space="preserve">Urbanistická koncepce, </w:t>
      </w:r>
      <w:r w:rsidR="003367DF" w:rsidRPr="006070EA">
        <w:rPr>
          <w:rFonts w:asciiTheme="majorHAnsi" w:hAnsiTheme="majorHAnsi" w:cstheme="majorHAnsi"/>
          <w:b/>
          <w:i/>
          <w:color w:val="auto"/>
          <w:sz w:val="22"/>
        </w:rPr>
        <w:t xml:space="preserve">včetně urbanistické kompozice, </w:t>
      </w:r>
      <w:r w:rsidRPr="006070EA">
        <w:rPr>
          <w:rFonts w:asciiTheme="majorHAnsi" w:hAnsiTheme="majorHAnsi" w:cstheme="majorHAnsi"/>
          <w:b/>
          <w:i/>
          <w:color w:val="auto"/>
          <w:sz w:val="22"/>
        </w:rPr>
        <w:t xml:space="preserve">vymezení </w:t>
      </w:r>
      <w:r w:rsidR="003367DF" w:rsidRPr="006070EA">
        <w:rPr>
          <w:rFonts w:asciiTheme="majorHAnsi" w:hAnsiTheme="majorHAnsi" w:cstheme="majorHAnsi"/>
          <w:b/>
          <w:i/>
          <w:color w:val="auto"/>
          <w:sz w:val="22"/>
        </w:rPr>
        <w:t xml:space="preserve">ploch s rozdílným způsobem využití, </w:t>
      </w:r>
      <w:r w:rsidRPr="006070EA">
        <w:rPr>
          <w:rFonts w:asciiTheme="majorHAnsi" w:hAnsiTheme="majorHAnsi" w:cstheme="majorHAnsi"/>
          <w:b/>
          <w:i/>
          <w:color w:val="auto"/>
          <w:sz w:val="22"/>
        </w:rPr>
        <w:t>zastavitelných ploch, ploch přestavby a systému sídelní zeleně</w:t>
      </w:r>
    </w:p>
    <w:p w14:paraId="32245822" w14:textId="1449017B" w:rsidR="00AB1F4C" w:rsidRPr="006070EA" w:rsidRDefault="00AB1F4C" w:rsidP="00485315">
      <w:pPr>
        <w:pStyle w:val="Odstavecseseznamem"/>
        <w:keepNext/>
        <w:numPr>
          <w:ilvl w:val="1"/>
          <w:numId w:val="30"/>
        </w:numPr>
        <w:spacing w:before="160" w:after="120" w:line="240" w:lineRule="auto"/>
        <w:ind w:left="709" w:hanging="709"/>
        <w:contextualSpacing w:val="0"/>
        <w:outlineLvl w:val="1"/>
        <w:rPr>
          <w:rFonts w:asciiTheme="majorHAnsi" w:hAnsiTheme="majorHAnsi" w:cstheme="majorHAnsi"/>
          <w:b/>
          <w:sz w:val="24"/>
          <w:szCs w:val="20"/>
        </w:rPr>
      </w:pPr>
      <w:bookmarkStart w:id="309" w:name="_Toc424119828"/>
      <w:bookmarkStart w:id="310" w:name="_Toc204678192"/>
      <w:r w:rsidRPr="006070EA">
        <w:rPr>
          <w:rFonts w:asciiTheme="majorHAnsi" w:hAnsiTheme="majorHAnsi" w:cstheme="majorHAnsi"/>
          <w:b/>
          <w:sz w:val="24"/>
          <w:szCs w:val="20"/>
        </w:rPr>
        <w:t>Odůvodnění urbanistické koncepce</w:t>
      </w:r>
      <w:bookmarkEnd w:id="309"/>
      <w:r w:rsidR="0063156C" w:rsidRPr="006070EA">
        <w:rPr>
          <w:rFonts w:asciiTheme="majorHAnsi" w:hAnsiTheme="majorHAnsi" w:cstheme="majorHAnsi"/>
          <w:b/>
          <w:sz w:val="24"/>
          <w:szCs w:val="20"/>
        </w:rPr>
        <w:t>, včetně urbanistické kompozice</w:t>
      </w:r>
      <w:r w:rsidR="001A0DBB" w:rsidRPr="006070EA">
        <w:rPr>
          <w:rFonts w:asciiTheme="majorHAnsi" w:hAnsiTheme="majorHAnsi" w:cstheme="majorHAnsi"/>
          <w:b/>
          <w:sz w:val="24"/>
          <w:szCs w:val="20"/>
        </w:rPr>
        <w:t xml:space="preserve">, vymezení </w:t>
      </w:r>
      <w:r w:rsidR="0063156C" w:rsidRPr="006070EA">
        <w:rPr>
          <w:rFonts w:asciiTheme="majorHAnsi" w:hAnsiTheme="majorHAnsi" w:cstheme="majorHAnsi"/>
          <w:b/>
          <w:sz w:val="24"/>
          <w:szCs w:val="20"/>
        </w:rPr>
        <w:t xml:space="preserve">ploch s rozdílným způsobem využití, </w:t>
      </w:r>
      <w:r w:rsidR="001A0DBB" w:rsidRPr="006070EA">
        <w:rPr>
          <w:rFonts w:asciiTheme="majorHAnsi" w:hAnsiTheme="majorHAnsi" w:cstheme="majorHAnsi"/>
          <w:b/>
          <w:sz w:val="24"/>
          <w:szCs w:val="20"/>
        </w:rPr>
        <w:t>zastavitelných ploch, ploch přestavby a systému sídelní zeleně</w:t>
      </w:r>
      <w:bookmarkEnd w:id="310"/>
    </w:p>
    <w:p w14:paraId="3755D5F6" w14:textId="0CE16B5A" w:rsidR="001A0DBB" w:rsidRPr="006070EA" w:rsidRDefault="001A0DBB" w:rsidP="00485315">
      <w:pPr>
        <w:pStyle w:val="Odstavecseseznamem"/>
        <w:keepNext/>
        <w:numPr>
          <w:ilvl w:val="2"/>
          <w:numId w:val="30"/>
        </w:numPr>
        <w:spacing w:before="160" w:after="120" w:line="240" w:lineRule="auto"/>
        <w:ind w:left="709" w:hanging="709"/>
        <w:contextualSpacing w:val="0"/>
        <w:outlineLvl w:val="2"/>
        <w:rPr>
          <w:rFonts w:asciiTheme="majorHAnsi" w:hAnsiTheme="majorHAnsi" w:cstheme="majorHAnsi"/>
          <w:b/>
        </w:rPr>
      </w:pPr>
      <w:bookmarkStart w:id="311" w:name="_Toc204678193"/>
      <w:r w:rsidRPr="006070EA">
        <w:rPr>
          <w:rFonts w:asciiTheme="majorHAnsi" w:hAnsiTheme="majorHAnsi" w:cstheme="majorHAnsi"/>
          <w:b/>
        </w:rPr>
        <w:t>Odůvodnění urbanistické koncepce</w:t>
      </w:r>
      <w:r w:rsidR="003859D5" w:rsidRPr="006070EA">
        <w:rPr>
          <w:rFonts w:asciiTheme="majorHAnsi" w:hAnsiTheme="majorHAnsi" w:cstheme="majorHAnsi"/>
          <w:b/>
        </w:rPr>
        <w:t xml:space="preserve"> a urbanistické kompozice</w:t>
      </w:r>
      <w:bookmarkEnd w:id="311"/>
    </w:p>
    <w:p w14:paraId="72FE0E63" w14:textId="6A3539A6" w:rsidR="00E0081A" w:rsidRPr="006070EA" w:rsidRDefault="00BC0409" w:rsidP="00485315">
      <w:pPr>
        <w:pStyle w:val="Atext"/>
        <w:keepNext/>
        <w:tabs>
          <w:tab w:val="left" w:pos="1335"/>
          <w:tab w:val="right" w:pos="9070"/>
        </w:tabs>
        <w:ind w:firstLine="0"/>
        <w:jc w:val="left"/>
        <w:rPr>
          <w:rFonts w:asciiTheme="majorHAnsi" w:hAnsiTheme="majorHAnsi" w:cstheme="majorHAnsi"/>
          <w:i/>
          <w:snapToGrid w:val="0"/>
          <w:u w:val="single"/>
        </w:rPr>
      </w:pPr>
      <w:r w:rsidRPr="006070EA">
        <w:rPr>
          <w:rFonts w:asciiTheme="majorHAnsi" w:hAnsiTheme="majorHAnsi" w:cstheme="majorHAnsi"/>
          <w:i/>
          <w:snapToGrid w:val="0"/>
        </w:rPr>
        <w:tab/>
      </w:r>
      <w:r w:rsidRPr="006070EA">
        <w:rPr>
          <w:rFonts w:asciiTheme="majorHAnsi" w:hAnsiTheme="majorHAnsi" w:cstheme="majorHAnsi"/>
          <w:i/>
          <w:snapToGrid w:val="0"/>
        </w:rPr>
        <w:tab/>
      </w:r>
      <w:r w:rsidR="00E0081A" w:rsidRPr="006070EA">
        <w:rPr>
          <w:rFonts w:asciiTheme="majorHAnsi" w:hAnsiTheme="majorHAnsi" w:cstheme="majorHAnsi"/>
          <w:i/>
          <w:snapToGrid w:val="0"/>
          <w:u w:val="single"/>
        </w:rPr>
        <w:t xml:space="preserve">Odůvodnění odst. </w:t>
      </w:r>
      <w:r w:rsidR="00E0081A" w:rsidRPr="006070EA">
        <w:rPr>
          <w:rFonts w:asciiTheme="majorHAnsi" w:hAnsiTheme="majorHAnsi" w:cstheme="majorHAnsi"/>
          <w:b/>
          <w:i/>
          <w:snapToGrid w:val="0"/>
          <w:u w:val="single"/>
        </w:rPr>
        <w:t>(</w:t>
      </w:r>
      <w:r w:rsidR="0063156C" w:rsidRPr="006070EA">
        <w:rPr>
          <w:rFonts w:asciiTheme="majorHAnsi" w:hAnsiTheme="majorHAnsi" w:cstheme="majorHAnsi"/>
          <w:b/>
          <w:i/>
          <w:snapToGrid w:val="0"/>
          <w:u w:val="single"/>
        </w:rPr>
        <w:t>7</w:t>
      </w:r>
      <w:r w:rsidR="00E0081A" w:rsidRPr="006070EA">
        <w:rPr>
          <w:rFonts w:asciiTheme="majorHAnsi" w:hAnsiTheme="majorHAnsi" w:cstheme="majorHAnsi"/>
          <w:b/>
          <w:i/>
          <w:snapToGrid w:val="0"/>
          <w:u w:val="single"/>
        </w:rPr>
        <w:t>)</w:t>
      </w:r>
      <w:r w:rsidR="00E0081A" w:rsidRPr="006070EA">
        <w:rPr>
          <w:rFonts w:asciiTheme="majorHAnsi" w:hAnsiTheme="majorHAnsi" w:cstheme="majorHAnsi"/>
          <w:i/>
          <w:snapToGrid w:val="0"/>
          <w:u w:val="single"/>
        </w:rPr>
        <w:t xml:space="preserve"> </w:t>
      </w:r>
      <w:r w:rsidR="009E0B7E" w:rsidRPr="006070EA">
        <w:rPr>
          <w:rFonts w:asciiTheme="majorHAnsi" w:hAnsiTheme="majorHAnsi" w:cstheme="majorHAnsi"/>
          <w:i/>
          <w:snapToGrid w:val="0"/>
          <w:u w:val="single"/>
        </w:rPr>
        <w:t xml:space="preserve">a </w:t>
      </w:r>
      <w:r w:rsidR="009E0B7E" w:rsidRPr="006070EA">
        <w:rPr>
          <w:rFonts w:asciiTheme="majorHAnsi" w:hAnsiTheme="majorHAnsi" w:cstheme="majorHAnsi"/>
          <w:b/>
          <w:bCs w:val="0"/>
          <w:i/>
          <w:snapToGrid w:val="0"/>
          <w:u w:val="single"/>
        </w:rPr>
        <w:t>(8)</w:t>
      </w:r>
      <w:r w:rsidR="009E0B7E" w:rsidRPr="006070EA">
        <w:rPr>
          <w:rFonts w:asciiTheme="majorHAnsi" w:hAnsiTheme="majorHAnsi" w:cstheme="majorHAnsi"/>
          <w:i/>
          <w:snapToGrid w:val="0"/>
          <w:u w:val="single"/>
        </w:rPr>
        <w:t xml:space="preserve"> </w:t>
      </w:r>
      <w:r w:rsidR="00E0081A" w:rsidRPr="006070EA">
        <w:rPr>
          <w:rFonts w:asciiTheme="majorHAnsi" w:hAnsiTheme="majorHAnsi" w:cstheme="majorHAnsi"/>
          <w:i/>
          <w:snapToGrid w:val="0"/>
          <w:u w:val="single"/>
        </w:rPr>
        <w:t>výrokové části</w:t>
      </w:r>
    </w:p>
    <w:p w14:paraId="51346EB3" w14:textId="77777777" w:rsidR="0063156C" w:rsidRPr="006070EA" w:rsidRDefault="0063156C" w:rsidP="00485315">
      <w:pPr>
        <w:keepNext/>
        <w:spacing w:before="120" w:after="120" w:line="240" w:lineRule="auto"/>
        <w:rPr>
          <w:rFonts w:asciiTheme="majorHAnsi" w:hAnsiTheme="majorHAnsi" w:cstheme="majorHAnsi"/>
          <w:b/>
          <w:sz w:val="20"/>
          <w:szCs w:val="20"/>
        </w:rPr>
      </w:pPr>
      <w:r w:rsidRPr="006070EA">
        <w:rPr>
          <w:rFonts w:asciiTheme="majorHAnsi" w:hAnsiTheme="majorHAnsi" w:cstheme="majorHAnsi"/>
          <w:b/>
          <w:sz w:val="20"/>
          <w:szCs w:val="20"/>
        </w:rPr>
        <w:t>Východiska urbanistické koncepce</w:t>
      </w:r>
    </w:p>
    <w:p w14:paraId="6387B9CB" w14:textId="3F99CBF4" w:rsidR="0063156C" w:rsidRPr="006070EA" w:rsidRDefault="0063156C" w:rsidP="0063156C">
      <w:pPr>
        <w:pStyle w:val="Atext"/>
        <w:rPr>
          <w:rFonts w:asciiTheme="majorHAnsi" w:hAnsiTheme="majorHAnsi" w:cstheme="majorHAnsi"/>
        </w:rPr>
      </w:pPr>
      <w:r w:rsidRPr="006070EA">
        <w:rPr>
          <w:rFonts w:asciiTheme="majorHAnsi" w:hAnsiTheme="majorHAnsi" w:cstheme="majorHAnsi"/>
        </w:rPr>
        <w:t>Základním východiskem pro koncepci rozvoje území města je vytvoření optimální urbanistické a organizační struktury ploch, spočívající ve vyváženém vztahu podmínek pro příznivé životní prostředí, hospodářský růst, stabilizaci a rozvoj osídlení, ochranu hodnot a zlepšování soudržnosti společenství obyvatel obce. Územní plán je navržen tak, aby umožňoval obnovu a rozvoj území ve všech jeho funkčních složkách a současně vytvářel podmínky pro ochranu hodnot a respektoval limity využití území.</w:t>
      </w:r>
    </w:p>
    <w:p w14:paraId="68EF88BF" w14:textId="77777777" w:rsidR="0063156C" w:rsidRPr="006070EA" w:rsidRDefault="0063156C" w:rsidP="0063156C">
      <w:pPr>
        <w:pStyle w:val="Atext"/>
        <w:rPr>
          <w:rFonts w:asciiTheme="majorHAnsi" w:hAnsiTheme="majorHAnsi" w:cstheme="majorHAnsi"/>
        </w:rPr>
      </w:pPr>
      <w:r w:rsidRPr="006070EA">
        <w:rPr>
          <w:rFonts w:asciiTheme="majorHAnsi" w:hAnsiTheme="majorHAnsi" w:cstheme="majorHAnsi"/>
        </w:rPr>
        <w:t>Urbanistická koncepce je stanovena zejména dle následujících východisek a podkladů:</w:t>
      </w:r>
    </w:p>
    <w:p w14:paraId="485DE5B9" w14:textId="416E255B" w:rsidR="0063156C" w:rsidRPr="006070EA" w:rsidRDefault="0063156C" w:rsidP="0063156C">
      <w:pPr>
        <w:pStyle w:val="Odstavecseseznamem"/>
        <w:numPr>
          <w:ilvl w:val="0"/>
          <w:numId w:val="4"/>
        </w:numPr>
        <w:spacing w:before="40" w:after="40" w:line="240" w:lineRule="auto"/>
        <w:contextualSpacing w:val="0"/>
        <w:jc w:val="both"/>
        <w:rPr>
          <w:rFonts w:asciiTheme="majorHAnsi" w:hAnsiTheme="majorHAnsi" w:cstheme="majorHAnsi"/>
          <w:sz w:val="18"/>
        </w:rPr>
      </w:pPr>
      <w:r w:rsidRPr="006070EA">
        <w:rPr>
          <w:rFonts w:asciiTheme="majorHAnsi" w:hAnsiTheme="majorHAnsi" w:cstheme="majorHAnsi"/>
          <w:b/>
          <w:sz w:val="18"/>
        </w:rPr>
        <w:t>priority a zásady koncepce rozvoje území města</w:t>
      </w:r>
      <w:r w:rsidRPr="006070EA">
        <w:rPr>
          <w:rFonts w:asciiTheme="majorHAnsi" w:hAnsiTheme="majorHAnsi" w:cstheme="majorHAnsi"/>
          <w:sz w:val="18"/>
        </w:rPr>
        <w:t xml:space="preserve"> definované v kapitole 2.1. textové části výroku ÚP a podrobně popsané a odůvodněné v kapitole 11.2. tohoto odůvodnění </w:t>
      </w:r>
    </w:p>
    <w:p w14:paraId="5542B7FB" w14:textId="1F7CF4CF" w:rsidR="0063156C" w:rsidRPr="006070EA" w:rsidRDefault="0063156C" w:rsidP="0063156C">
      <w:pPr>
        <w:pStyle w:val="Odstavecseseznamem"/>
        <w:numPr>
          <w:ilvl w:val="0"/>
          <w:numId w:val="4"/>
        </w:numPr>
        <w:spacing w:before="40" w:after="40"/>
        <w:contextualSpacing w:val="0"/>
        <w:rPr>
          <w:rFonts w:asciiTheme="majorHAnsi" w:hAnsiTheme="majorHAnsi" w:cstheme="majorHAnsi"/>
          <w:sz w:val="18"/>
        </w:rPr>
      </w:pPr>
      <w:r w:rsidRPr="006070EA">
        <w:rPr>
          <w:rFonts w:asciiTheme="majorHAnsi" w:hAnsiTheme="majorHAnsi" w:cstheme="majorHAnsi"/>
          <w:b/>
          <w:bCs/>
          <w:sz w:val="18"/>
        </w:rPr>
        <w:t>požadavky na rozvoj města</w:t>
      </w:r>
      <w:r w:rsidRPr="006070EA">
        <w:rPr>
          <w:rFonts w:asciiTheme="majorHAnsi" w:hAnsiTheme="majorHAnsi" w:cstheme="majorHAnsi"/>
          <w:sz w:val="18"/>
        </w:rPr>
        <w:t xml:space="preserve"> obsažené v PÚR ČR, ZÚR SK a ve schváleném Zadání ÚP </w:t>
      </w:r>
      <w:r w:rsidR="00531B5A" w:rsidRPr="006070EA">
        <w:rPr>
          <w:rFonts w:asciiTheme="majorHAnsi" w:hAnsiTheme="majorHAnsi" w:cstheme="majorHAnsi"/>
          <w:sz w:val="18"/>
        </w:rPr>
        <w:t>Kostomlaty nad Labem</w:t>
      </w:r>
    </w:p>
    <w:p w14:paraId="7B9906D9" w14:textId="77777777" w:rsidR="0063156C" w:rsidRPr="006070EA" w:rsidRDefault="0063156C" w:rsidP="0063156C">
      <w:pPr>
        <w:pStyle w:val="Odstavecseseznamem"/>
        <w:numPr>
          <w:ilvl w:val="0"/>
          <w:numId w:val="4"/>
        </w:numPr>
        <w:spacing w:before="40" w:after="40" w:line="240" w:lineRule="auto"/>
        <w:contextualSpacing w:val="0"/>
        <w:jc w:val="both"/>
        <w:rPr>
          <w:rFonts w:asciiTheme="majorHAnsi" w:hAnsiTheme="majorHAnsi" w:cstheme="majorHAnsi"/>
          <w:b/>
          <w:bCs/>
          <w:sz w:val="18"/>
        </w:rPr>
      </w:pPr>
      <w:r w:rsidRPr="006070EA">
        <w:rPr>
          <w:rFonts w:asciiTheme="majorHAnsi" w:hAnsiTheme="majorHAnsi" w:cstheme="majorHAnsi"/>
          <w:b/>
          <w:bCs/>
          <w:sz w:val="18"/>
        </w:rPr>
        <w:t>požadavky platných právních předpisů</w:t>
      </w:r>
    </w:p>
    <w:p w14:paraId="38A8BDE6" w14:textId="77777777" w:rsidR="0063156C" w:rsidRPr="006070EA" w:rsidRDefault="0063156C" w:rsidP="0063156C">
      <w:pPr>
        <w:pStyle w:val="Odstavecseseznamem"/>
        <w:numPr>
          <w:ilvl w:val="0"/>
          <w:numId w:val="4"/>
        </w:numPr>
        <w:spacing w:before="40" w:after="40" w:line="240" w:lineRule="auto"/>
        <w:contextualSpacing w:val="0"/>
        <w:jc w:val="both"/>
        <w:rPr>
          <w:rFonts w:asciiTheme="majorHAnsi" w:hAnsiTheme="majorHAnsi" w:cstheme="majorHAnsi"/>
          <w:sz w:val="18"/>
        </w:rPr>
      </w:pPr>
      <w:r w:rsidRPr="006070EA">
        <w:rPr>
          <w:rFonts w:asciiTheme="majorHAnsi" w:hAnsiTheme="majorHAnsi" w:cstheme="majorHAnsi"/>
          <w:b/>
          <w:bCs/>
          <w:sz w:val="18"/>
        </w:rPr>
        <w:t>vyhodnocení sociogeografického vývoje území</w:t>
      </w:r>
      <w:r w:rsidRPr="006070EA">
        <w:rPr>
          <w:rFonts w:asciiTheme="majorHAnsi" w:hAnsiTheme="majorHAnsi" w:cstheme="majorHAnsi"/>
          <w:sz w:val="18"/>
        </w:rPr>
        <w:t xml:space="preserve"> (viz kapitola 10 Vyhodnocení účelného využití zastavěného území a vyhodnocení potřeby vymezení zastavitelných ploch)</w:t>
      </w:r>
    </w:p>
    <w:p w14:paraId="150FBE17" w14:textId="77777777" w:rsidR="0063156C" w:rsidRPr="006070EA" w:rsidRDefault="0063156C" w:rsidP="0063156C">
      <w:pPr>
        <w:pStyle w:val="Odstavecseseznamem"/>
        <w:numPr>
          <w:ilvl w:val="0"/>
          <w:numId w:val="4"/>
        </w:numPr>
        <w:spacing w:before="40" w:after="40" w:line="240" w:lineRule="auto"/>
        <w:contextualSpacing w:val="0"/>
        <w:jc w:val="both"/>
        <w:rPr>
          <w:rFonts w:asciiTheme="majorHAnsi" w:hAnsiTheme="majorHAnsi" w:cstheme="majorHAnsi"/>
          <w:sz w:val="18"/>
        </w:rPr>
      </w:pPr>
      <w:r w:rsidRPr="006070EA">
        <w:rPr>
          <w:rFonts w:asciiTheme="majorHAnsi" w:hAnsiTheme="majorHAnsi" w:cstheme="majorHAnsi"/>
          <w:b/>
          <w:bCs/>
          <w:sz w:val="18"/>
        </w:rPr>
        <w:t>historický vývoj území města</w:t>
      </w:r>
      <w:r w:rsidRPr="006070EA">
        <w:rPr>
          <w:rFonts w:asciiTheme="majorHAnsi" w:hAnsiTheme="majorHAnsi" w:cstheme="majorHAnsi"/>
          <w:sz w:val="18"/>
        </w:rPr>
        <w:t xml:space="preserve"> (viz níže v této kapitole)</w:t>
      </w:r>
    </w:p>
    <w:p w14:paraId="17FC302E" w14:textId="34B511F5" w:rsidR="0063156C" w:rsidRPr="006070EA" w:rsidRDefault="0063156C" w:rsidP="0063156C">
      <w:pPr>
        <w:pStyle w:val="Odstavecseseznamem"/>
        <w:numPr>
          <w:ilvl w:val="0"/>
          <w:numId w:val="4"/>
        </w:numPr>
        <w:spacing w:before="40" w:after="40" w:line="240" w:lineRule="auto"/>
        <w:contextualSpacing w:val="0"/>
        <w:jc w:val="both"/>
        <w:rPr>
          <w:rFonts w:asciiTheme="majorHAnsi" w:hAnsiTheme="majorHAnsi" w:cstheme="majorHAnsi"/>
          <w:b/>
          <w:bCs/>
          <w:sz w:val="18"/>
        </w:rPr>
      </w:pPr>
      <w:r w:rsidRPr="006070EA">
        <w:rPr>
          <w:rFonts w:asciiTheme="majorHAnsi" w:hAnsiTheme="majorHAnsi" w:cstheme="majorHAnsi"/>
          <w:b/>
          <w:bCs/>
          <w:sz w:val="18"/>
        </w:rPr>
        <w:t>koncepce rozvoje území města stanovená v platném ÚP</w:t>
      </w:r>
      <w:r w:rsidR="00531B5A" w:rsidRPr="006070EA">
        <w:rPr>
          <w:rFonts w:asciiTheme="majorHAnsi" w:hAnsiTheme="majorHAnsi" w:cstheme="majorHAnsi"/>
          <w:b/>
          <w:bCs/>
          <w:sz w:val="18"/>
        </w:rPr>
        <w:t>O</w:t>
      </w:r>
      <w:r w:rsidRPr="006070EA">
        <w:rPr>
          <w:rFonts w:asciiTheme="majorHAnsi" w:hAnsiTheme="majorHAnsi" w:cstheme="majorHAnsi"/>
          <w:b/>
          <w:bCs/>
          <w:sz w:val="18"/>
        </w:rPr>
        <w:t xml:space="preserve"> </w:t>
      </w:r>
      <w:r w:rsidR="00531B5A" w:rsidRPr="006070EA">
        <w:rPr>
          <w:rFonts w:asciiTheme="majorHAnsi" w:hAnsiTheme="majorHAnsi" w:cstheme="majorHAnsi"/>
          <w:b/>
          <w:bCs/>
          <w:sz w:val="18"/>
        </w:rPr>
        <w:t>Kostomlaty nad Labem</w:t>
      </w:r>
    </w:p>
    <w:p w14:paraId="40D1148D" w14:textId="77777777" w:rsidR="0063156C" w:rsidRPr="006070EA" w:rsidRDefault="0063156C" w:rsidP="0063156C">
      <w:pPr>
        <w:pStyle w:val="Odstavecseseznamem"/>
        <w:numPr>
          <w:ilvl w:val="0"/>
          <w:numId w:val="4"/>
        </w:numPr>
        <w:spacing w:before="40" w:after="40" w:line="240" w:lineRule="auto"/>
        <w:contextualSpacing w:val="0"/>
        <w:jc w:val="both"/>
        <w:rPr>
          <w:rFonts w:asciiTheme="majorHAnsi" w:hAnsiTheme="majorHAnsi" w:cstheme="majorHAnsi"/>
          <w:b/>
          <w:bCs/>
          <w:sz w:val="18"/>
        </w:rPr>
      </w:pPr>
      <w:r w:rsidRPr="006070EA">
        <w:rPr>
          <w:rFonts w:asciiTheme="majorHAnsi" w:hAnsiTheme="majorHAnsi" w:cstheme="majorHAnsi"/>
          <w:b/>
          <w:bCs/>
          <w:sz w:val="18"/>
        </w:rPr>
        <w:lastRenderedPageBreak/>
        <w:t>existující funkční, prostorové a provozní vazby v území, stabilizované prostorové a funkční uspořádání území</w:t>
      </w:r>
    </w:p>
    <w:p w14:paraId="300E35C6" w14:textId="77777777" w:rsidR="0063156C" w:rsidRPr="006070EA" w:rsidRDefault="0063156C" w:rsidP="0063156C">
      <w:pPr>
        <w:pStyle w:val="Odstavecseseznamem"/>
        <w:numPr>
          <w:ilvl w:val="0"/>
          <w:numId w:val="4"/>
        </w:numPr>
        <w:spacing w:before="40" w:after="40" w:line="240" w:lineRule="auto"/>
        <w:contextualSpacing w:val="0"/>
        <w:jc w:val="both"/>
        <w:rPr>
          <w:rFonts w:asciiTheme="majorHAnsi" w:hAnsiTheme="majorHAnsi" w:cstheme="majorHAnsi"/>
          <w:b/>
          <w:bCs/>
          <w:sz w:val="18"/>
        </w:rPr>
      </w:pPr>
      <w:r w:rsidRPr="006070EA">
        <w:rPr>
          <w:rFonts w:asciiTheme="majorHAnsi" w:hAnsiTheme="majorHAnsi" w:cstheme="majorHAnsi"/>
          <w:b/>
          <w:bCs/>
          <w:sz w:val="18"/>
        </w:rPr>
        <w:t>stávající charakter, struktura a prostorové uspořádání zástavby</w:t>
      </w:r>
    </w:p>
    <w:p w14:paraId="2C31AA86" w14:textId="77777777" w:rsidR="0063156C" w:rsidRPr="006070EA" w:rsidRDefault="0063156C" w:rsidP="0063156C">
      <w:pPr>
        <w:pStyle w:val="Odstavecseseznamem"/>
        <w:numPr>
          <w:ilvl w:val="0"/>
          <w:numId w:val="4"/>
        </w:numPr>
        <w:spacing w:before="40" w:after="40" w:line="240" w:lineRule="auto"/>
        <w:contextualSpacing w:val="0"/>
        <w:jc w:val="both"/>
        <w:rPr>
          <w:rFonts w:asciiTheme="majorHAnsi" w:hAnsiTheme="majorHAnsi" w:cstheme="majorHAnsi"/>
          <w:sz w:val="18"/>
        </w:rPr>
      </w:pPr>
      <w:r w:rsidRPr="006070EA">
        <w:rPr>
          <w:rFonts w:asciiTheme="majorHAnsi" w:hAnsiTheme="majorHAnsi" w:cstheme="majorHAnsi"/>
          <w:b/>
          <w:bCs/>
          <w:sz w:val="18"/>
        </w:rPr>
        <w:t>existence a stav stávající veřejné infrastruktury</w:t>
      </w:r>
      <w:r w:rsidRPr="006070EA">
        <w:rPr>
          <w:rFonts w:asciiTheme="majorHAnsi" w:hAnsiTheme="majorHAnsi" w:cstheme="majorHAnsi"/>
          <w:sz w:val="18"/>
        </w:rPr>
        <w:t xml:space="preserve"> (dopravní systém, inženýrské sítě, občanská vybavenost)</w:t>
      </w:r>
    </w:p>
    <w:p w14:paraId="086795FF" w14:textId="77777777" w:rsidR="0063156C" w:rsidRPr="006070EA" w:rsidRDefault="0063156C" w:rsidP="0063156C">
      <w:pPr>
        <w:pStyle w:val="Odstavecseseznamem"/>
        <w:numPr>
          <w:ilvl w:val="0"/>
          <w:numId w:val="4"/>
        </w:numPr>
        <w:spacing w:before="40" w:after="40" w:line="240" w:lineRule="auto"/>
        <w:contextualSpacing w:val="0"/>
        <w:jc w:val="both"/>
        <w:rPr>
          <w:rFonts w:asciiTheme="majorHAnsi" w:hAnsiTheme="majorHAnsi" w:cstheme="majorHAnsi"/>
          <w:b/>
          <w:bCs/>
          <w:sz w:val="18"/>
        </w:rPr>
      </w:pPr>
      <w:r w:rsidRPr="006070EA">
        <w:rPr>
          <w:rFonts w:asciiTheme="majorHAnsi" w:hAnsiTheme="majorHAnsi" w:cstheme="majorHAnsi"/>
          <w:b/>
          <w:bCs/>
          <w:sz w:val="18"/>
        </w:rPr>
        <w:t>limity využití území a hodnoty území</w:t>
      </w:r>
    </w:p>
    <w:p w14:paraId="08F21DC6" w14:textId="77777777" w:rsidR="0063156C" w:rsidRPr="006070EA" w:rsidRDefault="0063156C" w:rsidP="0063156C">
      <w:pPr>
        <w:pStyle w:val="Odstavecseseznamem"/>
        <w:numPr>
          <w:ilvl w:val="0"/>
          <w:numId w:val="4"/>
        </w:numPr>
        <w:spacing w:before="40" w:after="40" w:line="240" w:lineRule="auto"/>
        <w:ind w:left="1066" w:hanging="357"/>
        <w:contextualSpacing w:val="0"/>
        <w:jc w:val="both"/>
        <w:rPr>
          <w:rFonts w:asciiTheme="majorHAnsi" w:hAnsiTheme="majorHAnsi" w:cstheme="majorHAnsi"/>
          <w:b/>
          <w:bCs/>
          <w:sz w:val="18"/>
        </w:rPr>
      </w:pPr>
      <w:r w:rsidRPr="006070EA">
        <w:rPr>
          <w:rFonts w:asciiTheme="majorHAnsi" w:hAnsiTheme="majorHAnsi" w:cstheme="majorHAnsi"/>
          <w:b/>
          <w:bCs/>
          <w:sz w:val="18"/>
        </w:rPr>
        <w:t>přírodní podmínky, charakter území a volné krajiny</w:t>
      </w:r>
    </w:p>
    <w:p w14:paraId="4B6CE901" w14:textId="77777777" w:rsidR="0063156C" w:rsidRPr="006070EA" w:rsidRDefault="0063156C" w:rsidP="0063156C">
      <w:pPr>
        <w:pStyle w:val="Odstavecseseznamem"/>
        <w:numPr>
          <w:ilvl w:val="0"/>
          <w:numId w:val="4"/>
        </w:numPr>
        <w:spacing w:before="40" w:after="40" w:line="240" w:lineRule="auto"/>
        <w:contextualSpacing w:val="0"/>
        <w:jc w:val="both"/>
        <w:rPr>
          <w:rFonts w:asciiTheme="majorHAnsi" w:hAnsiTheme="majorHAnsi" w:cstheme="majorHAnsi"/>
          <w:sz w:val="18"/>
        </w:rPr>
      </w:pPr>
      <w:r w:rsidRPr="006070EA">
        <w:rPr>
          <w:rFonts w:asciiTheme="majorHAnsi" w:hAnsiTheme="majorHAnsi" w:cstheme="majorHAnsi"/>
          <w:sz w:val="18"/>
        </w:rPr>
        <w:t>terénní průzkum zpracovatele ÚP</w:t>
      </w:r>
    </w:p>
    <w:p w14:paraId="05340D05" w14:textId="3FDD819A" w:rsidR="00151744" w:rsidRPr="006070EA" w:rsidRDefault="00151744" w:rsidP="00151744">
      <w:pPr>
        <w:spacing w:before="120" w:after="120" w:line="240" w:lineRule="auto"/>
        <w:rPr>
          <w:rFonts w:asciiTheme="majorHAnsi" w:hAnsiTheme="majorHAnsi" w:cstheme="majorHAnsi"/>
          <w:b/>
          <w:sz w:val="20"/>
          <w:szCs w:val="20"/>
        </w:rPr>
      </w:pPr>
      <w:r w:rsidRPr="006070EA">
        <w:rPr>
          <w:rFonts w:asciiTheme="majorHAnsi" w:hAnsiTheme="majorHAnsi" w:cstheme="majorHAnsi"/>
          <w:b/>
          <w:sz w:val="20"/>
          <w:szCs w:val="20"/>
        </w:rPr>
        <w:t xml:space="preserve">Historický vývoj </w:t>
      </w:r>
      <w:r w:rsidR="00531B5A" w:rsidRPr="006070EA">
        <w:rPr>
          <w:rFonts w:asciiTheme="majorHAnsi" w:hAnsiTheme="majorHAnsi" w:cstheme="majorHAnsi"/>
          <w:b/>
          <w:sz w:val="20"/>
          <w:szCs w:val="20"/>
        </w:rPr>
        <w:t xml:space="preserve">osídlení a urbanistické </w:t>
      </w:r>
      <w:r w:rsidRPr="006070EA">
        <w:rPr>
          <w:rFonts w:asciiTheme="majorHAnsi" w:hAnsiTheme="majorHAnsi" w:cstheme="majorHAnsi"/>
          <w:b/>
          <w:sz w:val="20"/>
          <w:szCs w:val="20"/>
        </w:rPr>
        <w:t xml:space="preserve">struktury </w:t>
      </w:r>
      <w:r w:rsidR="00531B5A" w:rsidRPr="006070EA">
        <w:rPr>
          <w:rFonts w:asciiTheme="majorHAnsi" w:hAnsiTheme="majorHAnsi" w:cstheme="majorHAnsi"/>
          <w:b/>
          <w:sz w:val="20"/>
          <w:szCs w:val="20"/>
        </w:rPr>
        <w:t>území</w:t>
      </w:r>
    </w:p>
    <w:p w14:paraId="38E43D4D" w14:textId="2FC1C8EA" w:rsidR="00151744" w:rsidRPr="006070EA" w:rsidRDefault="00151744" w:rsidP="00531B5A">
      <w:pPr>
        <w:spacing w:before="120" w:after="120"/>
        <w:ind w:firstLine="709"/>
        <w:jc w:val="both"/>
        <w:rPr>
          <w:rFonts w:asciiTheme="majorHAnsi" w:hAnsiTheme="majorHAnsi" w:cstheme="majorHAnsi"/>
          <w:color w:val="000000"/>
          <w:sz w:val="20"/>
          <w:shd w:val="clear" w:color="auto" w:fill="FFFFFF"/>
          <w:lang w:eastAsia="cs-CZ"/>
        </w:rPr>
      </w:pPr>
      <w:r w:rsidRPr="006070EA">
        <w:rPr>
          <w:rFonts w:asciiTheme="majorHAnsi" w:hAnsiTheme="majorHAnsi" w:cstheme="majorHAnsi"/>
          <w:color w:val="000000"/>
          <w:sz w:val="18"/>
          <w:szCs w:val="18"/>
          <w:shd w:val="clear" w:color="auto" w:fill="FFFFFF"/>
          <w:lang w:eastAsia="cs-CZ"/>
        </w:rPr>
        <w:t>Oblast Nymburska patří ke staré sídelní komoře Polabí osídlené již od pravěku, což dokládá velké množství archeologických památek většiny archeologických kultur obývajících středočeský prostor. Jedná se o úrodnou krajinu prostoupenou množstvím historicky významných sídel. Kvůli své značné rozloze má oblast několik center, historických těžišť, kolem kterých se organizovalo již od dob nejstarší kolonizace dnešní osídlení. Nymbursko je starobylý kraj s mnoha památkami</w:t>
      </w:r>
      <w:r w:rsidR="00531B5A" w:rsidRPr="006070EA">
        <w:rPr>
          <w:rFonts w:asciiTheme="majorHAnsi" w:hAnsiTheme="majorHAnsi" w:cstheme="majorHAnsi"/>
          <w:color w:val="000000"/>
          <w:sz w:val="18"/>
          <w:szCs w:val="18"/>
          <w:shd w:val="clear" w:color="auto" w:fill="FFFFFF"/>
          <w:lang w:eastAsia="cs-CZ"/>
        </w:rPr>
        <w:t>,</w:t>
      </w:r>
      <w:r w:rsidRPr="006070EA">
        <w:rPr>
          <w:rFonts w:asciiTheme="majorHAnsi" w:hAnsiTheme="majorHAnsi" w:cstheme="majorHAnsi"/>
          <w:color w:val="000000"/>
          <w:sz w:val="18"/>
          <w:szCs w:val="18"/>
          <w:shd w:val="clear" w:color="auto" w:fill="FFFFFF"/>
          <w:lang w:eastAsia="cs-CZ"/>
        </w:rPr>
        <w:t xml:space="preserve"> archeologickými nálezy i památnými místy</w:t>
      </w:r>
      <w:r w:rsidRPr="006070EA">
        <w:rPr>
          <w:rFonts w:asciiTheme="majorHAnsi" w:hAnsiTheme="majorHAnsi" w:cstheme="majorHAnsi"/>
          <w:color w:val="000000"/>
          <w:sz w:val="20"/>
          <w:szCs w:val="18"/>
          <w:shd w:val="clear" w:color="auto" w:fill="FFFFFF"/>
          <w:lang w:eastAsia="cs-CZ"/>
        </w:rPr>
        <w:t>.</w:t>
      </w:r>
      <w:r w:rsidRPr="006070EA">
        <w:rPr>
          <w:rFonts w:asciiTheme="majorHAnsi" w:hAnsiTheme="majorHAnsi" w:cstheme="majorHAnsi"/>
          <w:color w:val="000000"/>
          <w:sz w:val="20"/>
        </w:rPr>
        <w:t xml:space="preserve"> </w:t>
      </w:r>
    </w:p>
    <w:p w14:paraId="27108D90" w14:textId="28F09133" w:rsidR="00151744" w:rsidRPr="006070EA" w:rsidRDefault="00151744" w:rsidP="00531B5A">
      <w:pPr>
        <w:spacing w:before="120" w:after="120"/>
        <w:jc w:val="both"/>
        <w:rPr>
          <w:rFonts w:asciiTheme="majorHAnsi" w:hAnsiTheme="majorHAnsi" w:cstheme="majorHAnsi"/>
          <w:color w:val="000000"/>
          <w:sz w:val="20"/>
          <w:shd w:val="clear" w:color="auto" w:fill="FFFFFF"/>
          <w:lang w:eastAsia="cs-CZ"/>
        </w:rPr>
      </w:pPr>
      <w:r w:rsidRPr="006070EA">
        <w:rPr>
          <w:rFonts w:asciiTheme="majorHAnsi" w:hAnsiTheme="majorHAnsi" w:cstheme="majorHAnsi"/>
          <w:bCs/>
          <w:color w:val="000000"/>
          <w:sz w:val="18"/>
          <w:szCs w:val="18"/>
          <w:shd w:val="clear" w:color="auto" w:fill="FFFFFF"/>
          <w:lang w:eastAsia="cs-CZ"/>
        </w:rPr>
        <w:tab/>
        <w:t>Podle lexikonu</w:t>
      </w:r>
      <w:r w:rsidRPr="006070EA">
        <w:rPr>
          <w:rFonts w:asciiTheme="majorHAnsi" w:hAnsiTheme="majorHAnsi" w:cstheme="majorHAnsi"/>
          <w:color w:val="000000"/>
          <w:sz w:val="18"/>
          <w:szCs w:val="18"/>
          <w:shd w:val="clear" w:color="auto" w:fill="FFFFFF"/>
          <w:lang w:eastAsia="cs-CZ"/>
        </w:rPr>
        <w:t> byla obec </w:t>
      </w:r>
      <w:r w:rsidRPr="006070EA">
        <w:rPr>
          <w:rFonts w:asciiTheme="majorHAnsi" w:hAnsiTheme="majorHAnsi" w:cstheme="majorHAnsi"/>
          <w:bCs/>
          <w:color w:val="000000"/>
          <w:sz w:val="18"/>
          <w:szCs w:val="18"/>
          <w:shd w:val="clear" w:color="auto" w:fill="FFFFFF"/>
          <w:lang w:eastAsia="cs-CZ"/>
        </w:rPr>
        <w:t>Kostomlaty nad Labem</w:t>
      </w:r>
      <w:r w:rsidRPr="006070EA">
        <w:rPr>
          <w:rFonts w:asciiTheme="majorHAnsi" w:hAnsiTheme="majorHAnsi" w:cstheme="majorHAnsi"/>
          <w:color w:val="000000"/>
          <w:sz w:val="18"/>
          <w:szCs w:val="18"/>
          <w:shd w:val="clear" w:color="auto" w:fill="FFFFFF"/>
          <w:lang w:eastAsia="cs-CZ"/>
        </w:rPr>
        <w:t xml:space="preserve"> založena v roce 1223. Historie osídlení území však sahá hlouběji kdy </w:t>
      </w:r>
      <w:r w:rsidRPr="006070EA">
        <w:rPr>
          <w:rFonts w:asciiTheme="majorHAnsi" w:hAnsiTheme="majorHAnsi" w:cstheme="majorHAnsi"/>
          <w:color w:val="000000"/>
          <w:sz w:val="18"/>
          <w:szCs w:val="18"/>
          <w:shd w:val="clear" w:color="auto" w:fill="FFFFFF"/>
        </w:rPr>
        <w:t xml:space="preserve">na labském břehu mezi dnešními </w:t>
      </w:r>
      <w:r w:rsidR="00531B5A" w:rsidRPr="006070EA">
        <w:rPr>
          <w:rFonts w:asciiTheme="majorHAnsi" w:hAnsiTheme="majorHAnsi" w:cstheme="majorHAnsi"/>
          <w:color w:val="000000"/>
          <w:sz w:val="18"/>
          <w:szCs w:val="18"/>
          <w:shd w:val="clear" w:color="auto" w:fill="FFFFFF"/>
        </w:rPr>
        <w:t xml:space="preserve">sídly </w:t>
      </w:r>
      <w:r w:rsidRPr="006070EA">
        <w:rPr>
          <w:rFonts w:asciiTheme="majorHAnsi" w:hAnsiTheme="majorHAnsi" w:cstheme="majorHAnsi"/>
          <w:color w:val="000000"/>
          <w:sz w:val="18"/>
          <w:szCs w:val="18"/>
          <w:shd w:val="clear" w:color="auto" w:fill="FFFFFF"/>
        </w:rPr>
        <w:t>Kostomlaty a Ostr</w:t>
      </w:r>
      <w:r w:rsidR="00531B5A" w:rsidRPr="006070EA">
        <w:rPr>
          <w:rFonts w:asciiTheme="majorHAnsi" w:hAnsiTheme="majorHAnsi" w:cstheme="majorHAnsi"/>
          <w:color w:val="000000"/>
          <w:sz w:val="18"/>
          <w:szCs w:val="18"/>
          <w:shd w:val="clear" w:color="auto" w:fill="FFFFFF"/>
        </w:rPr>
        <w:t>á</w:t>
      </w:r>
      <w:r w:rsidRPr="006070EA">
        <w:rPr>
          <w:rFonts w:asciiTheme="majorHAnsi" w:hAnsiTheme="majorHAnsi" w:cstheme="majorHAnsi"/>
          <w:color w:val="000000"/>
          <w:sz w:val="18"/>
          <w:szCs w:val="18"/>
          <w:shd w:val="clear" w:color="auto" w:fill="FFFFFF"/>
        </w:rPr>
        <w:t>, na třech vyvýšeninách porostlých nyní lužním lesem stával za dob Přemyslovců hrad Mydlovar a v jeho podhradí obec Mydlovary. V dřívějších dobách zde stávalo neolitické, později i</w:t>
      </w:r>
      <w:r w:rsidR="00531B5A" w:rsidRPr="006070EA">
        <w:rPr>
          <w:rFonts w:asciiTheme="majorHAnsi" w:hAnsiTheme="majorHAnsi" w:cstheme="majorHAnsi"/>
          <w:color w:val="000000"/>
          <w:sz w:val="18"/>
          <w:szCs w:val="18"/>
          <w:shd w:val="clear" w:color="auto" w:fill="FFFFFF"/>
        </w:rPr>
        <w:t> </w:t>
      </w:r>
      <w:r w:rsidRPr="006070EA">
        <w:rPr>
          <w:rFonts w:asciiTheme="majorHAnsi" w:hAnsiTheme="majorHAnsi" w:cstheme="majorHAnsi"/>
          <w:color w:val="000000"/>
          <w:sz w:val="18"/>
          <w:szCs w:val="18"/>
          <w:shd w:val="clear" w:color="auto" w:fill="FFFFFF"/>
        </w:rPr>
        <w:t>keltské opidium. Ves však zanikla a hrad byl opuštěn v roce 1553.</w:t>
      </w:r>
    </w:p>
    <w:p w14:paraId="411397F1" w14:textId="665DDEF7" w:rsidR="00151744" w:rsidRPr="006070EA" w:rsidRDefault="00151744" w:rsidP="00531B5A">
      <w:pPr>
        <w:spacing w:before="120" w:after="120"/>
        <w:jc w:val="both"/>
        <w:rPr>
          <w:rFonts w:asciiTheme="majorHAnsi" w:hAnsiTheme="majorHAnsi" w:cstheme="majorHAnsi"/>
          <w:color w:val="000000"/>
          <w:sz w:val="20"/>
          <w:szCs w:val="20"/>
          <w:shd w:val="clear" w:color="auto" w:fill="FFFFFF"/>
          <w:lang w:eastAsia="cs-CZ"/>
        </w:rPr>
      </w:pPr>
      <w:r w:rsidRPr="006070EA">
        <w:rPr>
          <w:rFonts w:asciiTheme="majorHAnsi" w:hAnsiTheme="majorHAnsi" w:cstheme="majorHAnsi"/>
          <w:color w:val="000000"/>
          <w:sz w:val="18"/>
          <w:szCs w:val="18"/>
          <w:shd w:val="clear" w:color="auto" w:fill="FFFFFF"/>
        </w:rPr>
        <w:tab/>
        <w:t xml:space="preserve"> Opevněné sídlo, nejspíše hrad stávalo také v nedaleké obci Kostomlaty na vyvýšenině na místě dnešního kostela a</w:t>
      </w:r>
      <w:r w:rsidR="00531B5A" w:rsidRPr="006070EA">
        <w:rPr>
          <w:rFonts w:asciiTheme="majorHAnsi" w:hAnsiTheme="majorHAnsi" w:cstheme="majorHAnsi"/>
          <w:color w:val="000000"/>
          <w:sz w:val="18"/>
          <w:szCs w:val="18"/>
          <w:shd w:val="clear" w:color="auto" w:fill="FFFFFF"/>
        </w:rPr>
        <w:t> </w:t>
      </w:r>
      <w:r w:rsidRPr="006070EA">
        <w:rPr>
          <w:rFonts w:asciiTheme="majorHAnsi" w:hAnsiTheme="majorHAnsi" w:cstheme="majorHAnsi"/>
          <w:color w:val="000000"/>
          <w:sz w:val="18"/>
          <w:szCs w:val="18"/>
          <w:shd w:val="clear" w:color="auto" w:fill="FFFFFF"/>
        </w:rPr>
        <w:t>hřbitova</w:t>
      </w:r>
      <w:r w:rsidRPr="006070EA">
        <w:rPr>
          <w:rFonts w:asciiTheme="majorHAnsi" w:hAnsiTheme="majorHAnsi" w:cstheme="majorHAnsi"/>
          <w:color w:val="000000"/>
          <w:sz w:val="18"/>
          <w:szCs w:val="18"/>
          <w:shd w:val="clear" w:color="auto" w:fill="FFFFFF"/>
          <w:lang w:eastAsia="cs-CZ"/>
        </w:rPr>
        <w:t xml:space="preserve">. Roku 1458 připadly Kostomlaty </w:t>
      </w:r>
      <w:r w:rsidRPr="006070EA">
        <w:rPr>
          <w:rFonts w:asciiTheme="majorHAnsi" w:hAnsiTheme="majorHAnsi" w:cstheme="majorHAnsi"/>
          <w:bCs/>
          <w:color w:val="000000"/>
          <w:sz w:val="18"/>
          <w:szCs w:val="18"/>
          <w:shd w:val="clear" w:color="auto" w:fill="FFFFFF"/>
          <w:lang w:eastAsia="cs-CZ"/>
        </w:rPr>
        <w:t>Jiřímu z Poděbrad</w:t>
      </w:r>
      <w:r w:rsidRPr="006070EA">
        <w:rPr>
          <w:rFonts w:asciiTheme="majorHAnsi" w:hAnsiTheme="majorHAnsi" w:cstheme="majorHAnsi"/>
          <w:color w:val="000000"/>
          <w:sz w:val="18"/>
          <w:szCs w:val="18"/>
          <w:shd w:val="clear" w:color="auto" w:fill="FFFFFF"/>
          <w:lang w:eastAsia="cs-CZ"/>
        </w:rPr>
        <w:t xml:space="preserve">, pozdějšímu králi českých zemí. V roce 1547 byly připojeny Kostomlaty k Lyskému panství. V dalších letech se Kostomlaty dostaly do vlastnictví řady majitelů. V letech 1702 – 1712 </w:t>
      </w:r>
      <w:r w:rsidR="00531B5A" w:rsidRPr="006070EA">
        <w:rPr>
          <w:rFonts w:asciiTheme="majorHAnsi" w:hAnsiTheme="majorHAnsi" w:cstheme="majorHAnsi"/>
          <w:color w:val="000000"/>
          <w:sz w:val="18"/>
          <w:szCs w:val="18"/>
          <w:shd w:val="clear" w:color="auto" w:fill="FFFFFF"/>
          <w:lang w:eastAsia="cs-CZ"/>
        </w:rPr>
        <w:t xml:space="preserve">zde </w:t>
      </w:r>
      <w:r w:rsidRPr="006070EA">
        <w:rPr>
          <w:rFonts w:asciiTheme="majorHAnsi" w:hAnsiTheme="majorHAnsi" w:cstheme="majorHAnsi"/>
          <w:color w:val="000000"/>
          <w:sz w:val="18"/>
          <w:szCs w:val="18"/>
          <w:shd w:val="clear" w:color="auto" w:fill="FFFFFF"/>
          <w:lang w:eastAsia="cs-CZ"/>
        </w:rPr>
        <w:t xml:space="preserve">byla založena škola. </w:t>
      </w:r>
      <w:r w:rsidRPr="006070EA">
        <w:rPr>
          <w:rFonts w:asciiTheme="majorHAnsi" w:hAnsiTheme="majorHAnsi" w:cstheme="majorHAnsi"/>
          <w:bCs/>
          <w:color w:val="000000"/>
          <w:sz w:val="18"/>
          <w:szCs w:val="18"/>
          <w:shd w:val="clear" w:color="auto" w:fill="FFFFFF"/>
          <w:lang w:eastAsia="cs-CZ"/>
        </w:rPr>
        <w:t>Výraznou dominantou je chrám</w:t>
      </w:r>
      <w:r w:rsidRPr="006070EA">
        <w:rPr>
          <w:rFonts w:asciiTheme="majorHAnsi" w:hAnsiTheme="majorHAnsi" w:cstheme="majorHAnsi"/>
          <w:color w:val="000000"/>
          <w:sz w:val="18"/>
          <w:szCs w:val="18"/>
          <w:shd w:val="clear" w:color="auto" w:fill="FFFFFF"/>
          <w:lang w:eastAsia="cs-CZ"/>
        </w:rPr>
        <w:t> </w:t>
      </w:r>
      <w:r w:rsidRPr="006070EA">
        <w:rPr>
          <w:rFonts w:asciiTheme="majorHAnsi" w:hAnsiTheme="majorHAnsi" w:cstheme="majorHAnsi"/>
          <w:bCs/>
          <w:color w:val="000000"/>
          <w:sz w:val="18"/>
          <w:szCs w:val="18"/>
          <w:shd w:val="clear" w:color="auto" w:fill="FFFFFF"/>
          <w:lang w:eastAsia="cs-CZ"/>
        </w:rPr>
        <w:t>sv. Bartoloměje</w:t>
      </w:r>
      <w:r w:rsidRPr="006070EA">
        <w:rPr>
          <w:rFonts w:asciiTheme="majorHAnsi" w:hAnsiTheme="majorHAnsi" w:cstheme="majorHAnsi"/>
          <w:color w:val="000000"/>
          <w:sz w:val="18"/>
          <w:szCs w:val="18"/>
          <w:shd w:val="clear" w:color="auto" w:fill="FFFFFF"/>
          <w:lang w:eastAsia="cs-CZ"/>
        </w:rPr>
        <w:t xml:space="preserve">, postavený v roce 1778, avšak kostel a fara jsou připomínány již v druhé polovině 14. </w:t>
      </w:r>
      <w:r w:rsidR="00531B5A" w:rsidRPr="006070EA">
        <w:rPr>
          <w:rFonts w:asciiTheme="majorHAnsi" w:hAnsiTheme="majorHAnsi" w:cstheme="majorHAnsi"/>
          <w:color w:val="000000"/>
          <w:sz w:val="18"/>
          <w:szCs w:val="18"/>
          <w:shd w:val="clear" w:color="auto" w:fill="FFFFFF"/>
          <w:lang w:eastAsia="cs-CZ"/>
        </w:rPr>
        <w:t>s</w:t>
      </w:r>
      <w:r w:rsidRPr="006070EA">
        <w:rPr>
          <w:rFonts w:asciiTheme="majorHAnsi" w:hAnsiTheme="majorHAnsi" w:cstheme="majorHAnsi"/>
          <w:color w:val="000000"/>
          <w:sz w:val="18"/>
          <w:szCs w:val="18"/>
          <w:shd w:val="clear" w:color="auto" w:fill="FFFFFF"/>
          <w:lang w:eastAsia="cs-CZ"/>
        </w:rPr>
        <w:t>toletí. Roku 1843 byla zřízena vinopalna. Ta byla později zbořena, a na jejím místě byl roku 1870 postaven cukrovar s novým dvorem. V polovině 19. století byly vykáceny četné lesy v okolí Kostomlat a následně proměněny v pole.</w:t>
      </w:r>
      <w:r w:rsidRPr="006070EA">
        <w:rPr>
          <w:rFonts w:asciiTheme="majorHAnsi" w:hAnsiTheme="majorHAnsi" w:cstheme="majorHAnsi"/>
          <w:color w:val="000000"/>
          <w:sz w:val="20"/>
          <w:szCs w:val="20"/>
          <w:shd w:val="clear" w:color="auto" w:fill="FFFFFF"/>
          <w:lang w:eastAsia="cs-CZ"/>
        </w:rPr>
        <w:t xml:space="preserve"> </w:t>
      </w:r>
      <w:r w:rsidRPr="006070EA">
        <w:rPr>
          <w:rFonts w:asciiTheme="majorHAnsi" w:hAnsiTheme="majorHAnsi" w:cstheme="majorHAnsi"/>
          <w:color w:val="000000"/>
          <w:sz w:val="18"/>
          <w:szCs w:val="20"/>
          <w:shd w:val="clear" w:color="auto" w:fill="FFFFFF"/>
          <w:lang w:eastAsia="cs-CZ"/>
        </w:rPr>
        <w:t>Obec má od roku 1875 poštu a stanici železniční dráhy. </w:t>
      </w:r>
      <w:r w:rsidRPr="006070EA">
        <w:rPr>
          <w:rFonts w:asciiTheme="majorHAnsi" w:hAnsiTheme="majorHAnsi" w:cstheme="majorHAnsi"/>
          <w:bCs/>
          <w:color w:val="000000"/>
          <w:sz w:val="18"/>
          <w:szCs w:val="20"/>
          <w:shd w:val="clear" w:color="auto" w:fill="FFFFFF"/>
          <w:lang w:eastAsia="cs-CZ"/>
        </w:rPr>
        <w:t>Železniční trať</w:t>
      </w:r>
      <w:r w:rsidRPr="006070EA">
        <w:rPr>
          <w:rFonts w:asciiTheme="majorHAnsi" w:hAnsiTheme="majorHAnsi" w:cstheme="majorHAnsi"/>
          <w:color w:val="000000"/>
          <w:sz w:val="18"/>
          <w:szCs w:val="20"/>
          <w:shd w:val="clear" w:color="auto" w:fill="FFFFFF"/>
          <w:lang w:eastAsia="cs-CZ"/>
        </w:rPr>
        <w:t> se začala stavět v roce 1872 od Nymburka do Lysé nad Labem.</w:t>
      </w:r>
    </w:p>
    <w:p w14:paraId="27B8CF18" w14:textId="77777777" w:rsidR="00151744" w:rsidRPr="006070EA" w:rsidRDefault="00151744" w:rsidP="00531B5A">
      <w:pPr>
        <w:pStyle w:val="Atext"/>
        <w:rPr>
          <w:rFonts w:asciiTheme="majorHAnsi" w:hAnsiTheme="majorHAnsi" w:cstheme="majorHAnsi"/>
          <w:color w:val="000000"/>
        </w:rPr>
      </w:pPr>
      <w:r w:rsidRPr="006070EA">
        <w:rPr>
          <w:rFonts w:asciiTheme="majorHAnsi" w:hAnsiTheme="majorHAnsi" w:cstheme="majorHAnsi"/>
          <w:color w:val="000000"/>
        </w:rPr>
        <w:t xml:space="preserve">Podrobný vývoj je popsán v členění na jednotlivá sídla v řešeném území. </w:t>
      </w:r>
    </w:p>
    <w:p w14:paraId="77ED9DB0" w14:textId="1444C218" w:rsidR="00151744" w:rsidRPr="006070EA" w:rsidRDefault="00151744" w:rsidP="00D430EF">
      <w:pPr>
        <w:keepNext/>
        <w:spacing w:before="120" w:after="120"/>
        <w:rPr>
          <w:rFonts w:asciiTheme="majorHAnsi" w:hAnsiTheme="majorHAnsi" w:cstheme="majorHAnsi"/>
          <w:b/>
          <w:bCs/>
          <w:i/>
          <w:iCs/>
          <w:color w:val="000000"/>
          <w:sz w:val="20"/>
          <w:szCs w:val="20"/>
        </w:rPr>
      </w:pPr>
      <w:bookmarkStart w:id="312" w:name="_Toc486259514"/>
      <w:r w:rsidRPr="006070EA">
        <w:rPr>
          <w:rFonts w:asciiTheme="majorHAnsi" w:hAnsiTheme="majorHAnsi" w:cstheme="majorHAnsi"/>
          <w:b/>
          <w:bCs/>
          <w:i/>
          <w:iCs/>
          <w:color w:val="000000"/>
          <w:sz w:val="20"/>
          <w:szCs w:val="20"/>
        </w:rPr>
        <w:t>Hronětice</w:t>
      </w:r>
      <w:bookmarkEnd w:id="312"/>
    </w:p>
    <w:p w14:paraId="4A161474" w14:textId="77777777" w:rsidR="00B3456F" w:rsidRPr="006070EA" w:rsidRDefault="00B3456F" w:rsidP="00B3456F">
      <w:pPr>
        <w:pStyle w:val="Anadpistun"/>
        <w:rPr>
          <w:rFonts w:asciiTheme="majorHAnsi" w:hAnsiTheme="majorHAnsi" w:cstheme="majorHAnsi"/>
          <w:b w:val="0"/>
          <w:bCs/>
          <w:i/>
          <w:iCs/>
          <w:color w:val="000000"/>
          <w:u w:val="single"/>
        </w:rPr>
      </w:pPr>
      <w:r w:rsidRPr="006070EA">
        <w:rPr>
          <w:rFonts w:asciiTheme="majorHAnsi" w:hAnsiTheme="majorHAnsi" w:cstheme="majorHAnsi"/>
          <w:b w:val="0"/>
          <w:bCs/>
          <w:i/>
          <w:iCs/>
          <w:color w:val="000000"/>
          <w:u w:val="single"/>
        </w:rPr>
        <w:t>Vývoj počtu obyvatel a počtu domů v sídle</w:t>
      </w:r>
    </w:p>
    <w:p w14:paraId="0875AEB6" w14:textId="77777777" w:rsidR="00151744" w:rsidRPr="006070EA" w:rsidRDefault="00151744" w:rsidP="00151744">
      <w:pPr>
        <w:pStyle w:val="Atext"/>
        <w:ind w:firstLine="0"/>
        <w:rPr>
          <w:rFonts w:asciiTheme="majorHAnsi" w:hAnsiTheme="majorHAnsi" w:cstheme="majorHAnsi"/>
          <w:noProof/>
          <w:color w:val="000000"/>
          <w:lang w:eastAsia="cs-CZ"/>
        </w:rPr>
      </w:pPr>
      <w:r w:rsidRPr="006070EA">
        <w:rPr>
          <w:rFonts w:asciiTheme="majorHAnsi" w:hAnsiTheme="majorHAnsi" w:cstheme="majorHAnsi"/>
          <w:noProof/>
          <w:color w:val="000000"/>
          <w:lang w:eastAsia="cs-CZ"/>
        </w:rPr>
        <w:drawing>
          <wp:inline distT="0" distB="0" distL="0" distR="0" wp14:anchorId="490F5B0A" wp14:editId="4BD71A90">
            <wp:extent cx="5569585" cy="3600000"/>
            <wp:effectExtent l="0" t="0" r="0" b="0"/>
            <wp:docPr id="55" name="Graf 5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25BC2A0D" w14:textId="3359790B" w:rsidR="00151744" w:rsidRPr="006070EA" w:rsidRDefault="00151744" w:rsidP="00BB48C8">
      <w:pPr>
        <w:pStyle w:val="Atext"/>
        <w:keepLines/>
        <w:rPr>
          <w:rFonts w:asciiTheme="majorHAnsi" w:hAnsiTheme="majorHAnsi" w:cstheme="majorHAnsi"/>
          <w:color w:val="000000"/>
        </w:rPr>
      </w:pPr>
      <w:r w:rsidRPr="006070EA">
        <w:rPr>
          <w:rFonts w:asciiTheme="majorHAnsi" w:hAnsiTheme="majorHAnsi" w:cstheme="majorHAnsi"/>
          <w:color w:val="000000"/>
        </w:rPr>
        <w:lastRenderedPageBreak/>
        <w:t xml:space="preserve">Vývoj sídelní struktury zástavby původních chalup, která se později ve 20. století více koncentrovala podél silnice, lze nyní považovat za stagnující. V posledních </w:t>
      </w:r>
      <w:r w:rsidR="00B3456F" w:rsidRPr="006070EA">
        <w:rPr>
          <w:rFonts w:asciiTheme="majorHAnsi" w:hAnsiTheme="majorHAnsi" w:cstheme="majorHAnsi"/>
          <w:color w:val="000000"/>
        </w:rPr>
        <w:t>dvaceti</w:t>
      </w:r>
      <w:r w:rsidRPr="006070EA">
        <w:rPr>
          <w:rFonts w:asciiTheme="majorHAnsi" w:hAnsiTheme="majorHAnsi" w:cstheme="majorHAnsi"/>
          <w:color w:val="000000"/>
        </w:rPr>
        <w:t xml:space="preserve"> letech bylo realizováno 6 rodinných domů. Obytné území sídla aktuálně tvoří 81 domů (údaj k roku 2011), což je historické maximum, avšak </w:t>
      </w:r>
      <w:r w:rsidR="00B3456F" w:rsidRPr="006070EA">
        <w:rPr>
          <w:rFonts w:asciiTheme="majorHAnsi" w:hAnsiTheme="majorHAnsi" w:cstheme="majorHAnsi"/>
          <w:color w:val="000000"/>
        </w:rPr>
        <w:t>nejvyššího počtu</w:t>
      </w:r>
      <w:r w:rsidRPr="006070EA">
        <w:rPr>
          <w:rFonts w:asciiTheme="majorHAnsi" w:hAnsiTheme="majorHAnsi" w:cstheme="majorHAnsi"/>
          <w:color w:val="000000"/>
        </w:rPr>
        <w:t xml:space="preserve"> obyvatel dosáhlo sídlo koncem 19.</w:t>
      </w:r>
      <w:r w:rsidR="00B3456F" w:rsidRPr="006070EA">
        <w:rPr>
          <w:rFonts w:asciiTheme="majorHAnsi" w:hAnsiTheme="majorHAnsi" w:cstheme="majorHAnsi"/>
          <w:color w:val="000000"/>
        </w:rPr>
        <w:t xml:space="preserve"> </w:t>
      </w:r>
      <w:r w:rsidRPr="006070EA">
        <w:rPr>
          <w:rFonts w:asciiTheme="majorHAnsi" w:hAnsiTheme="majorHAnsi" w:cstheme="majorHAnsi"/>
          <w:color w:val="000000"/>
        </w:rPr>
        <w:t>st</w:t>
      </w:r>
      <w:r w:rsidR="00B3456F" w:rsidRPr="006070EA">
        <w:rPr>
          <w:rFonts w:asciiTheme="majorHAnsi" w:hAnsiTheme="majorHAnsi" w:cstheme="majorHAnsi"/>
          <w:color w:val="000000"/>
        </w:rPr>
        <w:t>o</w:t>
      </w:r>
      <w:r w:rsidRPr="006070EA">
        <w:rPr>
          <w:rFonts w:asciiTheme="majorHAnsi" w:hAnsiTheme="majorHAnsi" w:cstheme="majorHAnsi"/>
          <w:color w:val="000000"/>
        </w:rPr>
        <w:t>l</w:t>
      </w:r>
      <w:r w:rsidR="00B3456F" w:rsidRPr="006070EA">
        <w:rPr>
          <w:rFonts w:asciiTheme="majorHAnsi" w:hAnsiTheme="majorHAnsi" w:cstheme="majorHAnsi"/>
          <w:color w:val="000000"/>
        </w:rPr>
        <w:t>etí</w:t>
      </w:r>
      <w:r w:rsidRPr="006070EA">
        <w:rPr>
          <w:rFonts w:asciiTheme="majorHAnsi" w:hAnsiTheme="majorHAnsi" w:cstheme="majorHAnsi"/>
          <w:color w:val="000000"/>
        </w:rPr>
        <w:t xml:space="preserve">. Dnes je stálý počet obyvatel téměř třetinový. Úpadek počtu obyvatel se zastavil v roce 1991, od té doby je počet obyvatel </w:t>
      </w:r>
      <w:r w:rsidR="00B3456F" w:rsidRPr="006070EA">
        <w:rPr>
          <w:rFonts w:asciiTheme="majorHAnsi" w:hAnsiTheme="majorHAnsi" w:cstheme="majorHAnsi"/>
          <w:color w:val="000000"/>
        </w:rPr>
        <w:t>stabilizovaný</w:t>
      </w:r>
      <w:r w:rsidRPr="006070EA">
        <w:rPr>
          <w:rFonts w:asciiTheme="majorHAnsi" w:hAnsiTheme="majorHAnsi" w:cstheme="majorHAnsi"/>
          <w:color w:val="000000"/>
        </w:rPr>
        <w:t>.</w:t>
      </w:r>
    </w:p>
    <w:p w14:paraId="3EA5F576" w14:textId="77777777" w:rsidR="00151744" w:rsidRPr="006070EA" w:rsidRDefault="00151744" w:rsidP="00151744">
      <w:pPr>
        <w:pStyle w:val="Anadpistun"/>
        <w:rPr>
          <w:rFonts w:asciiTheme="majorHAnsi" w:hAnsiTheme="majorHAnsi" w:cstheme="majorHAnsi"/>
          <w:b w:val="0"/>
          <w:bCs/>
          <w:i/>
          <w:iCs/>
          <w:color w:val="000000"/>
          <w:u w:val="single"/>
        </w:rPr>
      </w:pPr>
      <w:r w:rsidRPr="006070EA">
        <w:rPr>
          <w:rFonts w:asciiTheme="majorHAnsi" w:hAnsiTheme="majorHAnsi" w:cstheme="majorHAnsi"/>
          <w:b w:val="0"/>
          <w:bCs/>
          <w:i/>
          <w:iCs/>
          <w:color w:val="000000"/>
          <w:u w:val="single"/>
        </w:rPr>
        <w:t>Urbanistický vývoj</w:t>
      </w:r>
    </w:p>
    <w:tbl>
      <w:tblPr>
        <w:tblW w:w="0" w:type="auto"/>
        <w:jc w:val="center"/>
        <w:tblLook w:val="04A0" w:firstRow="1" w:lastRow="0" w:firstColumn="1" w:lastColumn="0" w:noHBand="0" w:noVBand="1"/>
      </w:tblPr>
      <w:tblGrid>
        <w:gridCol w:w="4536"/>
        <w:gridCol w:w="4461"/>
      </w:tblGrid>
      <w:tr w:rsidR="00151744" w:rsidRPr="006070EA" w14:paraId="3A9F10A3" w14:textId="77777777" w:rsidTr="000E35EE">
        <w:trPr>
          <w:trHeight w:val="283"/>
          <w:jc w:val="center"/>
        </w:trPr>
        <w:tc>
          <w:tcPr>
            <w:tcW w:w="4412" w:type="dxa"/>
          </w:tcPr>
          <w:p w14:paraId="7FC6874E" w14:textId="77777777" w:rsidR="00151744" w:rsidRPr="006070EA" w:rsidRDefault="00151744" w:rsidP="00B3456F">
            <w:pPr>
              <w:pStyle w:val="Bezmezer"/>
              <w:keepNext/>
              <w:jc w:val="left"/>
              <w:rPr>
                <w:rFonts w:asciiTheme="majorHAnsi" w:hAnsiTheme="majorHAnsi" w:cstheme="majorHAnsi"/>
                <w:b/>
                <w:color w:val="000000"/>
                <w:lang w:val="cs-CZ"/>
              </w:rPr>
            </w:pPr>
            <w:r w:rsidRPr="006070EA">
              <w:rPr>
                <w:rFonts w:asciiTheme="majorHAnsi" w:hAnsiTheme="majorHAnsi" w:cstheme="majorHAnsi"/>
                <w:b/>
                <w:noProof/>
                <w:color w:val="000000"/>
                <w:lang w:val="cs-CZ"/>
              </w:rPr>
              <w:drawing>
                <wp:inline distT="0" distB="0" distL="0" distR="0" wp14:anchorId="2661974E" wp14:editId="08F66448">
                  <wp:extent cx="2686050" cy="2686050"/>
                  <wp:effectExtent l="0" t="0" r="0" b="0"/>
                  <wp:docPr id="54" name="Obrázek 54" descr="Obsah obrázku map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Obrázek 54" descr="Obsah obrázku mapa&#10;&#10;Popis byl vytvořen automaticky"/>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686050" cy="2686050"/>
                          </a:xfrm>
                          <a:prstGeom prst="rect">
                            <a:avLst/>
                          </a:prstGeom>
                          <a:noFill/>
                          <a:ln>
                            <a:noFill/>
                          </a:ln>
                        </pic:spPr>
                      </pic:pic>
                    </a:graphicData>
                  </a:graphic>
                </wp:inline>
              </w:drawing>
            </w:r>
          </w:p>
        </w:tc>
        <w:tc>
          <w:tcPr>
            <w:tcW w:w="4410" w:type="dxa"/>
          </w:tcPr>
          <w:p w14:paraId="7E41BA90" w14:textId="77777777" w:rsidR="00151744" w:rsidRPr="006070EA" w:rsidRDefault="00151744" w:rsidP="00B3456F">
            <w:pPr>
              <w:pStyle w:val="Bezmezer"/>
              <w:keepNext/>
              <w:ind w:right="-171"/>
              <w:jc w:val="left"/>
              <w:rPr>
                <w:rFonts w:asciiTheme="majorHAnsi" w:hAnsiTheme="majorHAnsi" w:cstheme="majorHAnsi"/>
                <w:color w:val="000000"/>
                <w:lang w:val="cs-CZ"/>
              </w:rPr>
            </w:pPr>
            <w:r w:rsidRPr="006070EA">
              <w:rPr>
                <w:rFonts w:asciiTheme="majorHAnsi" w:hAnsiTheme="majorHAnsi" w:cstheme="majorHAnsi"/>
                <w:noProof/>
                <w:color w:val="000000"/>
                <w:lang w:val="cs-CZ"/>
              </w:rPr>
              <w:drawing>
                <wp:inline distT="0" distB="0" distL="0" distR="0" wp14:anchorId="6F71C292" wp14:editId="7A423F84">
                  <wp:extent cx="2695575" cy="2686050"/>
                  <wp:effectExtent l="0" t="0" r="0" b="0"/>
                  <wp:docPr id="53" name="Obrázek 53" descr="Obsah obrázku text&#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Obrázek 53" descr="Obsah obrázku text&#10;&#10;Popis byl vytvořen automaticky"/>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695575" cy="2686050"/>
                          </a:xfrm>
                          <a:prstGeom prst="rect">
                            <a:avLst/>
                          </a:prstGeom>
                          <a:noFill/>
                          <a:ln>
                            <a:noFill/>
                          </a:ln>
                        </pic:spPr>
                      </pic:pic>
                    </a:graphicData>
                  </a:graphic>
                </wp:inline>
              </w:drawing>
            </w:r>
          </w:p>
        </w:tc>
      </w:tr>
      <w:tr w:rsidR="00151744" w:rsidRPr="006070EA" w14:paraId="6B670ADC" w14:textId="77777777" w:rsidTr="000E35EE">
        <w:trPr>
          <w:trHeight w:val="168"/>
          <w:jc w:val="center"/>
        </w:trPr>
        <w:tc>
          <w:tcPr>
            <w:tcW w:w="4412" w:type="dxa"/>
            <w:vAlign w:val="center"/>
          </w:tcPr>
          <w:p w14:paraId="034E0D78" w14:textId="77777777" w:rsidR="00151744" w:rsidRPr="006070EA" w:rsidRDefault="00151744" w:rsidP="00B3456F">
            <w:pPr>
              <w:pStyle w:val="Atextkurzva"/>
              <w:jc w:val="left"/>
              <w:rPr>
                <w:rFonts w:asciiTheme="majorHAnsi" w:hAnsiTheme="majorHAnsi" w:cstheme="majorHAnsi"/>
                <w:color w:val="000000"/>
              </w:rPr>
            </w:pPr>
            <w:r w:rsidRPr="006070EA">
              <w:rPr>
                <w:rFonts w:asciiTheme="majorHAnsi" w:hAnsiTheme="majorHAnsi" w:cstheme="majorHAnsi"/>
                <w:color w:val="000000"/>
              </w:rPr>
              <w:t>Zákres sídla ve Stabilním katastru z roku 1838</w:t>
            </w:r>
          </w:p>
        </w:tc>
        <w:tc>
          <w:tcPr>
            <w:tcW w:w="4410" w:type="dxa"/>
            <w:vAlign w:val="center"/>
          </w:tcPr>
          <w:p w14:paraId="6467564F" w14:textId="77777777" w:rsidR="00151744" w:rsidRPr="006070EA" w:rsidRDefault="00151744" w:rsidP="00B3456F">
            <w:pPr>
              <w:pStyle w:val="Atextkurzva"/>
              <w:jc w:val="left"/>
              <w:rPr>
                <w:rFonts w:asciiTheme="majorHAnsi" w:hAnsiTheme="majorHAnsi" w:cstheme="majorHAnsi"/>
                <w:color w:val="000000"/>
              </w:rPr>
            </w:pPr>
            <w:r w:rsidRPr="006070EA">
              <w:rPr>
                <w:rFonts w:asciiTheme="majorHAnsi" w:hAnsiTheme="majorHAnsi" w:cstheme="majorHAnsi"/>
                <w:color w:val="000000"/>
              </w:rPr>
              <w:t>Letecký snímek z roku 1954</w:t>
            </w:r>
          </w:p>
        </w:tc>
      </w:tr>
      <w:tr w:rsidR="00151744" w:rsidRPr="006070EA" w14:paraId="6BE20CDA" w14:textId="77777777" w:rsidTr="000E35EE">
        <w:trPr>
          <w:trHeight w:val="283"/>
          <w:jc w:val="center"/>
        </w:trPr>
        <w:tc>
          <w:tcPr>
            <w:tcW w:w="4412" w:type="dxa"/>
          </w:tcPr>
          <w:p w14:paraId="6B189BEC" w14:textId="77777777" w:rsidR="00151744" w:rsidRPr="006070EA" w:rsidRDefault="00151744" w:rsidP="000E35EE">
            <w:pPr>
              <w:pStyle w:val="Bezmezer"/>
              <w:keepNext/>
              <w:rPr>
                <w:rFonts w:asciiTheme="majorHAnsi" w:hAnsiTheme="majorHAnsi" w:cstheme="majorHAnsi"/>
                <w:b/>
                <w:color w:val="000000"/>
                <w:lang w:val="cs-CZ"/>
              </w:rPr>
            </w:pPr>
            <w:r w:rsidRPr="006070EA">
              <w:rPr>
                <w:rFonts w:asciiTheme="majorHAnsi" w:hAnsiTheme="majorHAnsi" w:cstheme="majorHAnsi"/>
                <w:b/>
                <w:noProof/>
                <w:color w:val="000000"/>
                <w:lang w:val="cs-CZ"/>
              </w:rPr>
              <w:drawing>
                <wp:inline distT="0" distB="0" distL="0" distR="0" wp14:anchorId="5A8B9B1F" wp14:editId="46AD348A">
                  <wp:extent cx="2743200" cy="2514600"/>
                  <wp:effectExtent l="0" t="0" r="0" b="0"/>
                  <wp:docPr id="52" name="Obrázek 52" descr="Obsah obrázku text&#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Obrázek 52" descr="Obsah obrázku text&#10;&#10;Popis byl vytvořen automaticky"/>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743200" cy="2514600"/>
                          </a:xfrm>
                          <a:prstGeom prst="rect">
                            <a:avLst/>
                          </a:prstGeom>
                          <a:noFill/>
                          <a:ln>
                            <a:noFill/>
                          </a:ln>
                        </pic:spPr>
                      </pic:pic>
                    </a:graphicData>
                  </a:graphic>
                </wp:inline>
              </w:drawing>
            </w:r>
          </w:p>
        </w:tc>
        <w:tc>
          <w:tcPr>
            <w:tcW w:w="4410" w:type="dxa"/>
          </w:tcPr>
          <w:p w14:paraId="2A228C45" w14:textId="38C2A6C2" w:rsidR="00151744" w:rsidRPr="006070EA" w:rsidRDefault="00151744" w:rsidP="000E35EE">
            <w:pPr>
              <w:pStyle w:val="Atext"/>
              <w:keepNext/>
              <w:rPr>
                <w:rFonts w:asciiTheme="majorHAnsi" w:hAnsiTheme="majorHAnsi" w:cstheme="majorHAnsi"/>
                <w:color w:val="000000"/>
                <w:shd w:val="clear" w:color="auto" w:fill="FFFFFF"/>
              </w:rPr>
            </w:pPr>
            <w:r w:rsidRPr="006070EA">
              <w:rPr>
                <w:rFonts w:asciiTheme="majorHAnsi" w:hAnsiTheme="majorHAnsi" w:cstheme="majorHAnsi"/>
                <w:bCs w:val="0"/>
                <w:color w:val="000000"/>
                <w:shd w:val="clear" w:color="auto" w:fill="FFFFFF"/>
              </w:rPr>
              <w:t>Hronětice</w:t>
            </w:r>
            <w:r w:rsidRPr="006070EA">
              <w:rPr>
                <w:rStyle w:val="apple-converted-space"/>
                <w:rFonts w:asciiTheme="majorHAnsi" w:hAnsiTheme="majorHAnsi" w:cstheme="majorHAnsi"/>
                <w:color w:val="000000"/>
                <w:shd w:val="clear" w:color="auto" w:fill="FFFFFF"/>
              </w:rPr>
              <w:t> </w:t>
            </w:r>
            <w:r w:rsidRPr="006070EA">
              <w:rPr>
                <w:rFonts w:asciiTheme="majorHAnsi" w:hAnsiTheme="majorHAnsi" w:cstheme="majorHAnsi"/>
                <w:color w:val="000000"/>
                <w:shd w:val="clear" w:color="auto" w:fill="FFFFFF"/>
              </w:rPr>
              <w:t>leží při Hronětickém potoce asi 2 km severně od Kostomlat</w:t>
            </w:r>
            <w:r w:rsidR="00B3456F" w:rsidRPr="006070EA">
              <w:rPr>
                <w:rFonts w:asciiTheme="majorHAnsi" w:hAnsiTheme="majorHAnsi" w:cstheme="majorHAnsi"/>
                <w:color w:val="000000"/>
                <w:shd w:val="clear" w:color="auto" w:fill="FFFFFF"/>
              </w:rPr>
              <w:t xml:space="preserve"> nad Labem</w:t>
            </w:r>
            <w:r w:rsidRPr="006070EA">
              <w:rPr>
                <w:rFonts w:asciiTheme="majorHAnsi" w:hAnsiTheme="majorHAnsi" w:cstheme="majorHAnsi"/>
                <w:color w:val="000000"/>
                <w:shd w:val="clear" w:color="auto" w:fill="FFFFFF"/>
              </w:rPr>
              <w:t xml:space="preserve">. </w:t>
            </w:r>
            <w:r w:rsidR="00B3456F" w:rsidRPr="006070EA">
              <w:rPr>
                <w:rFonts w:asciiTheme="majorHAnsi" w:hAnsiTheme="majorHAnsi" w:cstheme="majorHAnsi"/>
                <w:color w:val="000000"/>
                <w:shd w:val="clear" w:color="auto" w:fill="FFFFFF"/>
              </w:rPr>
              <w:t>Sídlo</w:t>
            </w:r>
            <w:r w:rsidRPr="006070EA">
              <w:rPr>
                <w:rFonts w:asciiTheme="majorHAnsi" w:hAnsiTheme="majorHAnsi" w:cstheme="majorHAnsi"/>
                <w:color w:val="000000"/>
                <w:shd w:val="clear" w:color="auto" w:fill="FFFFFF"/>
              </w:rPr>
              <w:t xml:space="preserve"> pravděpodobně patřil</w:t>
            </w:r>
            <w:r w:rsidR="00B3456F" w:rsidRPr="006070EA">
              <w:rPr>
                <w:rFonts w:asciiTheme="majorHAnsi" w:hAnsiTheme="majorHAnsi" w:cstheme="majorHAnsi"/>
                <w:color w:val="000000"/>
                <w:shd w:val="clear" w:color="auto" w:fill="FFFFFF"/>
              </w:rPr>
              <w:t>o</w:t>
            </w:r>
            <w:r w:rsidRPr="006070EA">
              <w:rPr>
                <w:rFonts w:asciiTheme="majorHAnsi" w:hAnsiTheme="majorHAnsi" w:cstheme="majorHAnsi"/>
                <w:color w:val="000000"/>
                <w:shd w:val="clear" w:color="auto" w:fill="FFFFFF"/>
              </w:rPr>
              <w:t xml:space="preserve"> od roku 1495 k panství Kostomlaty, které se roku 1547 spojilo s panstvím Lysá nad Labem.</w:t>
            </w:r>
          </w:p>
          <w:p w14:paraId="0A6BFD53" w14:textId="7FC32BFF" w:rsidR="00151744" w:rsidRPr="006070EA" w:rsidRDefault="00151744" w:rsidP="000E35EE">
            <w:pPr>
              <w:pStyle w:val="Atext"/>
              <w:keepNext/>
              <w:rPr>
                <w:rFonts w:asciiTheme="majorHAnsi" w:hAnsiTheme="majorHAnsi" w:cstheme="majorHAnsi"/>
                <w:color w:val="000000"/>
              </w:rPr>
            </w:pPr>
            <w:r w:rsidRPr="006070EA">
              <w:rPr>
                <w:rFonts w:asciiTheme="majorHAnsi" w:hAnsiTheme="majorHAnsi" w:cstheme="majorHAnsi"/>
                <w:color w:val="000000"/>
                <w:shd w:val="clear" w:color="auto" w:fill="FFFFFF"/>
              </w:rPr>
              <w:t>V polovině 16. století zde bylo 10 usedlostí a</w:t>
            </w:r>
            <w:r w:rsidR="00B3456F" w:rsidRPr="006070EA">
              <w:rPr>
                <w:rFonts w:asciiTheme="majorHAnsi" w:hAnsiTheme="majorHAnsi" w:cstheme="majorHAnsi"/>
                <w:color w:val="000000"/>
                <w:shd w:val="clear" w:color="auto" w:fill="FFFFFF"/>
              </w:rPr>
              <w:t> </w:t>
            </w:r>
            <w:r w:rsidRPr="006070EA">
              <w:rPr>
                <w:rFonts w:asciiTheme="majorHAnsi" w:hAnsiTheme="majorHAnsi" w:cstheme="majorHAnsi"/>
                <w:color w:val="000000"/>
                <w:shd w:val="clear" w:color="auto" w:fill="FFFFFF"/>
              </w:rPr>
              <w:t>krčma. Třicetiletá válka znamenala potíže i pro Hronětice</w:t>
            </w:r>
            <w:r w:rsidR="00B3456F" w:rsidRPr="006070EA">
              <w:rPr>
                <w:rFonts w:asciiTheme="majorHAnsi" w:hAnsiTheme="majorHAnsi" w:cstheme="majorHAnsi"/>
                <w:color w:val="000000"/>
                <w:shd w:val="clear" w:color="auto" w:fill="FFFFFF"/>
              </w:rPr>
              <w:t xml:space="preserve"> –</w:t>
            </w:r>
            <w:r w:rsidRPr="006070EA">
              <w:rPr>
                <w:rFonts w:asciiTheme="majorHAnsi" w:hAnsiTheme="majorHAnsi" w:cstheme="majorHAnsi"/>
                <w:color w:val="000000"/>
                <w:shd w:val="clear" w:color="auto" w:fill="FFFFFF"/>
              </w:rPr>
              <w:t xml:space="preserve"> </w:t>
            </w:r>
            <w:r w:rsidR="00B3456F" w:rsidRPr="006070EA">
              <w:rPr>
                <w:rFonts w:asciiTheme="majorHAnsi" w:hAnsiTheme="majorHAnsi" w:cstheme="majorHAnsi"/>
                <w:color w:val="000000"/>
                <w:shd w:val="clear" w:color="auto" w:fill="FFFFFF"/>
              </w:rPr>
              <w:t>č</w:t>
            </w:r>
            <w:r w:rsidRPr="006070EA">
              <w:rPr>
                <w:rFonts w:asciiTheme="majorHAnsi" w:hAnsiTheme="majorHAnsi" w:cstheme="majorHAnsi"/>
                <w:color w:val="000000"/>
                <w:shd w:val="clear" w:color="auto" w:fill="FFFFFF"/>
              </w:rPr>
              <w:t>ást opuštěných pozemků byla přidělena k nově založené vsi Vápensk</w:t>
            </w:r>
            <w:r w:rsidR="00B3456F" w:rsidRPr="006070EA">
              <w:rPr>
                <w:rFonts w:asciiTheme="majorHAnsi" w:hAnsiTheme="majorHAnsi" w:cstheme="majorHAnsi"/>
                <w:color w:val="000000"/>
                <w:shd w:val="clear" w:color="auto" w:fill="FFFFFF"/>
              </w:rPr>
              <w:t>o</w:t>
            </w:r>
            <w:r w:rsidRPr="006070EA">
              <w:rPr>
                <w:rFonts w:asciiTheme="majorHAnsi" w:hAnsiTheme="majorHAnsi" w:cstheme="majorHAnsi"/>
                <w:color w:val="000000"/>
                <w:shd w:val="clear" w:color="auto" w:fill="FFFFFF"/>
              </w:rPr>
              <w:t>, část byla připojena ke dvoru Šibice, který vznikl ze stejnojmenné vsi.</w:t>
            </w:r>
          </w:p>
        </w:tc>
      </w:tr>
      <w:tr w:rsidR="00151744" w:rsidRPr="006070EA" w14:paraId="0A10133A" w14:textId="77777777" w:rsidTr="000E35EE">
        <w:trPr>
          <w:trHeight w:val="283"/>
          <w:jc w:val="center"/>
        </w:trPr>
        <w:tc>
          <w:tcPr>
            <w:tcW w:w="4412" w:type="dxa"/>
            <w:vAlign w:val="center"/>
          </w:tcPr>
          <w:p w14:paraId="5A13EDC5" w14:textId="77777777" w:rsidR="00151744" w:rsidRPr="006070EA" w:rsidRDefault="00151744" w:rsidP="00B3456F">
            <w:pPr>
              <w:pStyle w:val="Atextkurzva"/>
              <w:jc w:val="left"/>
              <w:rPr>
                <w:rFonts w:asciiTheme="majorHAnsi" w:hAnsiTheme="majorHAnsi" w:cstheme="majorHAnsi"/>
                <w:color w:val="000000"/>
              </w:rPr>
            </w:pPr>
            <w:r w:rsidRPr="006070EA">
              <w:rPr>
                <w:rFonts w:asciiTheme="majorHAnsi" w:hAnsiTheme="majorHAnsi" w:cstheme="majorHAnsi"/>
                <w:color w:val="000000"/>
              </w:rPr>
              <w:t>Letecký snímek z roku 2010</w:t>
            </w:r>
          </w:p>
        </w:tc>
        <w:tc>
          <w:tcPr>
            <w:tcW w:w="4410" w:type="dxa"/>
            <w:vAlign w:val="center"/>
          </w:tcPr>
          <w:p w14:paraId="49959208" w14:textId="77777777" w:rsidR="00151744" w:rsidRPr="006070EA" w:rsidRDefault="00151744" w:rsidP="00B3456F">
            <w:pPr>
              <w:pStyle w:val="Atextkurzva"/>
              <w:jc w:val="left"/>
              <w:rPr>
                <w:rFonts w:asciiTheme="majorHAnsi" w:hAnsiTheme="majorHAnsi" w:cstheme="majorHAnsi"/>
                <w:color w:val="000000"/>
              </w:rPr>
            </w:pPr>
          </w:p>
        </w:tc>
      </w:tr>
    </w:tbl>
    <w:p w14:paraId="25BE5524" w14:textId="77777777" w:rsidR="00151744" w:rsidRPr="006070EA" w:rsidRDefault="00151744" w:rsidP="006C286A">
      <w:pPr>
        <w:keepNext/>
        <w:spacing w:before="120" w:after="120"/>
        <w:rPr>
          <w:rFonts w:asciiTheme="majorHAnsi" w:hAnsiTheme="majorHAnsi" w:cstheme="majorHAnsi"/>
          <w:b/>
          <w:bCs/>
          <w:i/>
          <w:iCs/>
          <w:color w:val="000000"/>
          <w:sz w:val="20"/>
          <w:szCs w:val="20"/>
        </w:rPr>
      </w:pPr>
      <w:bookmarkStart w:id="313" w:name="_Toc486259515"/>
      <w:r w:rsidRPr="006070EA">
        <w:rPr>
          <w:rFonts w:asciiTheme="majorHAnsi" w:hAnsiTheme="majorHAnsi" w:cstheme="majorHAnsi"/>
          <w:b/>
          <w:bCs/>
          <w:i/>
          <w:iCs/>
          <w:color w:val="000000"/>
          <w:sz w:val="20"/>
          <w:szCs w:val="20"/>
        </w:rPr>
        <w:lastRenderedPageBreak/>
        <w:t>Kostomlaty nad Labem</w:t>
      </w:r>
      <w:bookmarkEnd w:id="313"/>
    </w:p>
    <w:p w14:paraId="11D4FAFB" w14:textId="77777777" w:rsidR="00151744" w:rsidRPr="006070EA" w:rsidRDefault="00151744" w:rsidP="00151744">
      <w:pPr>
        <w:pStyle w:val="Anadpistun"/>
        <w:rPr>
          <w:rFonts w:asciiTheme="majorHAnsi" w:hAnsiTheme="majorHAnsi" w:cstheme="majorHAnsi"/>
          <w:b w:val="0"/>
          <w:bCs/>
          <w:i/>
          <w:iCs/>
          <w:color w:val="000000"/>
          <w:u w:val="single"/>
        </w:rPr>
      </w:pPr>
      <w:r w:rsidRPr="006070EA">
        <w:rPr>
          <w:rFonts w:asciiTheme="majorHAnsi" w:hAnsiTheme="majorHAnsi" w:cstheme="majorHAnsi"/>
          <w:b w:val="0"/>
          <w:bCs/>
          <w:i/>
          <w:iCs/>
          <w:color w:val="000000"/>
          <w:u w:val="single"/>
        </w:rPr>
        <w:t>Vývoj počtu obyvatel a počtu domů v sídle</w:t>
      </w:r>
    </w:p>
    <w:p w14:paraId="32AD2BCD" w14:textId="77777777" w:rsidR="00151744" w:rsidRPr="006070EA" w:rsidRDefault="00151744" w:rsidP="00151744">
      <w:pPr>
        <w:pStyle w:val="Atext"/>
        <w:ind w:firstLine="0"/>
        <w:rPr>
          <w:rFonts w:asciiTheme="majorHAnsi" w:hAnsiTheme="majorHAnsi" w:cstheme="majorHAnsi"/>
          <w:noProof/>
          <w:color w:val="000000"/>
          <w:lang w:eastAsia="cs-CZ"/>
        </w:rPr>
      </w:pPr>
      <w:r w:rsidRPr="006070EA">
        <w:rPr>
          <w:rFonts w:asciiTheme="majorHAnsi" w:hAnsiTheme="majorHAnsi" w:cstheme="majorHAnsi"/>
          <w:noProof/>
          <w:color w:val="000000"/>
          <w:lang w:eastAsia="cs-CZ"/>
        </w:rPr>
        <w:drawing>
          <wp:inline distT="0" distB="0" distL="0" distR="0" wp14:anchorId="56D8D28C" wp14:editId="77111E01">
            <wp:extent cx="5560060" cy="3600000"/>
            <wp:effectExtent l="0" t="0" r="2540" b="635"/>
            <wp:docPr id="51" name="Graf 5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38762F4A" w14:textId="751480D6" w:rsidR="00151744" w:rsidRPr="006070EA" w:rsidRDefault="00151744" w:rsidP="00151744">
      <w:pPr>
        <w:pStyle w:val="Atext"/>
        <w:rPr>
          <w:rFonts w:asciiTheme="majorHAnsi" w:hAnsiTheme="majorHAnsi" w:cstheme="majorHAnsi"/>
          <w:color w:val="000000"/>
        </w:rPr>
      </w:pPr>
      <w:r w:rsidRPr="006070EA">
        <w:rPr>
          <w:rFonts w:asciiTheme="majorHAnsi" w:hAnsiTheme="majorHAnsi" w:cstheme="majorHAnsi"/>
          <w:color w:val="000000"/>
        </w:rPr>
        <w:t xml:space="preserve">Počet obyvatel v obci má stejně jako počet domů v celém měřeném období vyjma 60-70.let, kdy docházelo k prudkému stěhování do větších měst, celkově </w:t>
      </w:r>
      <w:r w:rsidR="00377C45" w:rsidRPr="006070EA">
        <w:rPr>
          <w:rFonts w:asciiTheme="majorHAnsi" w:hAnsiTheme="majorHAnsi" w:cstheme="majorHAnsi"/>
          <w:color w:val="000000"/>
        </w:rPr>
        <w:t>rostoucí</w:t>
      </w:r>
      <w:r w:rsidRPr="006070EA">
        <w:rPr>
          <w:rFonts w:asciiTheme="majorHAnsi" w:hAnsiTheme="majorHAnsi" w:cstheme="majorHAnsi"/>
          <w:color w:val="000000"/>
        </w:rPr>
        <w:t xml:space="preserve"> tendenci. V současnosti sídlo dosahuje svého historického maxima v počtu obyvatel i domů. Vývoj počtu domů lze považovat za zásadní. V současnosti dosahuje počet domů téměř šestinásobku zástavby z roku 1869. </w:t>
      </w:r>
    </w:p>
    <w:p w14:paraId="2900FF3A" w14:textId="77777777" w:rsidR="00151744" w:rsidRPr="006070EA" w:rsidRDefault="00151744" w:rsidP="00151744">
      <w:pPr>
        <w:pStyle w:val="Anadpistun"/>
        <w:rPr>
          <w:rFonts w:asciiTheme="majorHAnsi" w:hAnsiTheme="majorHAnsi" w:cstheme="majorHAnsi"/>
          <w:b w:val="0"/>
          <w:bCs/>
          <w:i/>
          <w:iCs/>
          <w:color w:val="000000"/>
          <w:u w:val="single"/>
        </w:rPr>
      </w:pPr>
      <w:r w:rsidRPr="006070EA">
        <w:rPr>
          <w:rFonts w:asciiTheme="majorHAnsi" w:hAnsiTheme="majorHAnsi" w:cstheme="majorHAnsi"/>
          <w:b w:val="0"/>
          <w:bCs/>
          <w:i/>
          <w:iCs/>
          <w:color w:val="000000"/>
          <w:u w:val="single"/>
        </w:rPr>
        <w:t>Urbanistický vývoj</w:t>
      </w:r>
    </w:p>
    <w:tbl>
      <w:tblPr>
        <w:tblW w:w="0" w:type="auto"/>
        <w:jc w:val="center"/>
        <w:tblLook w:val="04A0" w:firstRow="1" w:lastRow="0" w:firstColumn="1" w:lastColumn="0" w:noHBand="0" w:noVBand="1"/>
      </w:tblPr>
      <w:tblGrid>
        <w:gridCol w:w="4590"/>
        <w:gridCol w:w="4410"/>
      </w:tblGrid>
      <w:tr w:rsidR="00151744" w:rsidRPr="006070EA" w14:paraId="65B30A0C" w14:textId="77777777" w:rsidTr="00BB48C8">
        <w:trPr>
          <w:trHeight w:val="283"/>
          <w:jc w:val="center"/>
        </w:trPr>
        <w:tc>
          <w:tcPr>
            <w:tcW w:w="4590" w:type="dxa"/>
          </w:tcPr>
          <w:p w14:paraId="264C29A4" w14:textId="77777777" w:rsidR="00151744" w:rsidRPr="006070EA" w:rsidRDefault="00151744" w:rsidP="000E35EE">
            <w:pPr>
              <w:pStyle w:val="Bezmezer"/>
              <w:keepNext/>
              <w:rPr>
                <w:rFonts w:asciiTheme="majorHAnsi" w:hAnsiTheme="majorHAnsi" w:cstheme="majorHAnsi"/>
                <w:b/>
                <w:color w:val="000000"/>
                <w:lang w:val="cs-CZ"/>
              </w:rPr>
            </w:pPr>
            <w:r w:rsidRPr="006070EA">
              <w:rPr>
                <w:rFonts w:asciiTheme="majorHAnsi" w:hAnsiTheme="majorHAnsi" w:cstheme="majorHAnsi"/>
                <w:noProof/>
                <w:color w:val="000000"/>
                <w:lang w:val="cs-CZ"/>
              </w:rPr>
              <w:drawing>
                <wp:anchor distT="0" distB="0" distL="114300" distR="114300" simplePos="0" relativeHeight="251658752" behindDoc="0" locked="0" layoutInCell="1" allowOverlap="1" wp14:anchorId="70106997" wp14:editId="40AFB26D">
                  <wp:simplePos x="0" y="0"/>
                  <wp:positionH relativeFrom="column">
                    <wp:posOffset>-54610</wp:posOffset>
                  </wp:positionH>
                  <wp:positionV relativeFrom="paragraph">
                    <wp:posOffset>0</wp:posOffset>
                  </wp:positionV>
                  <wp:extent cx="2781300" cy="2492375"/>
                  <wp:effectExtent l="0" t="0" r="0" b="0"/>
                  <wp:wrapNone/>
                  <wp:docPr id="57" name="Obrázek 57" descr="Obsah obrázku map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Obrázek 57" descr="Obsah obrázku mapa&#10;&#10;Popis byl vytvořen automaticky"/>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781300" cy="249237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410" w:type="dxa"/>
          </w:tcPr>
          <w:p w14:paraId="52E63CB0" w14:textId="77777777" w:rsidR="00151744" w:rsidRPr="006070EA" w:rsidRDefault="00151744" w:rsidP="000E35EE">
            <w:pPr>
              <w:pStyle w:val="Bezmezer"/>
              <w:keepNext/>
              <w:ind w:right="-171"/>
              <w:rPr>
                <w:rFonts w:asciiTheme="majorHAnsi" w:hAnsiTheme="majorHAnsi" w:cstheme="majorHAnsi"/>
                <w:color w:val="000000"/>
                <w:lang w:val="cs-CZ"/>
              </w:rPr>
            </w:pPr>
            <w:r w:rsidRPr="006070EA">
              <w:rPr>
                <w:rFonts w:asciiTheme="majorHAnsi" w:hAnsiTheme="majorHAnsi" w:cstheme="majorHAnsi"/>
                <w:noProof/>
                <w:color w:val="000000"/>
                <w:lang w:val="cs-CZ" w:eastAsia="cs-CZ"/>
              </w:rPr>
              <w:drawing>
                <wp:inline distT="0" distB="0" distL="0" distR="0" wp14:anchorId="2F5CE115" wp14:editId="1933A22C">
                  <wp:extent cx="2638425" cy="2476500"/>
                  <wp:effectExtent l="0" t="0" r="0" b="0"/>
                  <wp:docPr id="50" name="Obrázek 50" descr="Obsah obrázku interiér, patro, místnost&#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Obrázek 50" descr="Obsah obrázku interiér, patro, místnost&#10;&#10;Popis byl vytvořen automaticky"/>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638425" cy="2476500"/>
                          </a:xfrm>
                          <a:prstGeom prst="rect">
                            <a:avLst/>
                          </a:prstGeom>
                          <a:noFill/>
                          <a:ln>
                            <a:noFill/>
                          </a:ln>
                        </pic:spPr>
                      </pic:pic>
                    </a:graphicData>
                  </a:graphic>
                </wp:inline>
              </w:drawing>
            </w:r>
          </w:p>
        </w:tc>
      </w:tr>
      <w:tr w:rsidR="00151744" w:rsidRPr="006070EA" w14:paraId="0232AC0C" w14:textId="77777777" w:rsidTr="00BB48C8">
        <w:trPr>
          <w:trHeight w:val="168"/>
          <w:jc w:val="center"/>
        </w:trPr>
        <w:tc>
          <w:tcPr>
            <w:tcW w:w="4590" w:type="dxa"/>
            <w:vAlign w:val="center"/>
          </w:tcPr>
          <w:p w14:paraId="20954D98" w14:textId="77777777" w:rsidR="00151744" w:rsidRPr="006070EA" w:rsidRDefault="00151744" w:rsidP="00B3456F">
            <w:pPr>
              <w:pStyle w:val="Atextkurzva"/>
              <w:jc w:val="left"/>
              <w:rPr>
                <w:rFonts w:asciiTheme="majorHAnsi" w:hAnsiTheme="majorHAnsi" w:cstheme="majorHAnsi"/>
                <w:color w:val="000000"/>
              </w:rPr>
            </w:pPr>
            <w:r w:rsidRPr="006070EA">
              <w:rPr>
                <w:rFonts w:asciiTheme="majorHAnsi" w:hAnsiTheme="majorHAnsi" w:cstheme="majorHAnsi"/>
                <w:color w:val="000000"/>
              </w:rPr>
              <w:t>Zákres sídla ve Stabilním katastru z roku 1838</w:t>
            </w:r>
          </w:p>
        </w:tc>
        <w:tc>
          <w:tcPr>
            <w:tcW w:w="4410" w:type="dxa"/>
            <w:vAlign w:val="center"/>
          </w:tcPr>
          <w:p w14:paraId="1ACE94E4" w14:textId="77777777" w:rsidR="00151744" w:rsidRPr="006070EA" w:rsidRDefault="00151744" w:rsidP="00B3456F">
            <w:pPr>
              <w:pStyle w:val="Atextkurzva"/>
              <w:jc w:val="left"/>
              <w:rPr>
                <w:rFonts w:asciiTheme="majorHAnsi" w:hAnsiTheme="majorHAnsi" w:cstheme="majorHAnsi"/>
                <w:color w:val="000000"/>
              </w:rPr>
            </w:pPr>
            <w:r w:rsidRPr="006070EA">
              <w:rPr>
                <w:rFonts w:asciiTheme="majorHAnsi" w:hAnsiTheme="majorHAnsi" w:cstheme="majorHAnsi"/>
                <w:color w:val="000000"/>
              </w:rPr>
              <w:t>Letecký snímek z roku 1954</w:t>
            </w:r>
          </w:p>
        </w:tc>
      </w:tr>
      <w:tr w:rsidR="00151744" w:rsidRPr="006070EA" w14:paraId="35E542F2" w14:textId="77777777" w:rsidTr="00BB48C8">
        <w:trPr>
          <w:trHeight w:val="283"/>
          <w:jc w:val="center"/>
        </w:trPr>
        <w:tc>
          <w:tcPr>
            <w:tcW w:w="4590" w:type="dxa"/>
            <w:vAlign w:val="center"/>
          </w:tcPr>
          <w:p w14:paraId="42D5242C" w14:textId="77777777" w:rsidR="00151744" w:rsidRPr="006070EA" w:rsidRDefault="00151744" w:rsidP="00B3456F">
            <w:pPr>
              <w:pStyle w:val="Atextkurzva"/>
              <w:jc w:val="left"/>
              <w:rPr>
                <w:rFonts w:asciiTheme="majorHAnsi" w:hAnsiTheme="majorHAnsi" w:cstheme="majorHAnsi"/>
                <w:color w:val="000000"/>
              </w:rPr>
            </w:pPr>
            <w:r w:rsidRPr="006070EA">
              <w:rPr>
                <w:rFonts w:asciiTheme="majorHAnsi" w:hAnsiTheme="majorHAnsi" w:cstheme="majorHAnsi"/>
                <w:noProof/>
                <w:color w:val="000000"/>
              </w:rPr>
              <w:lastRenderedPageBreak/>
              <w:drawing>
                <wp:inline distT="0" distB="0" distL="0" distR="0" wp14:anchorId="6CE126A8" wp14:editId="6657B311">
                  <wp:extent cx="2777490" cy="2597785"/>
                  <wp:effectExtent l="0" t="0" r="0" b="0"/>
                  <wp:docPr id="56" name="Obrázek 56" descr="Obsah obrázku map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Obrázek 56" descr="Obsah obrázku mapa&#10;&#10;Popis byl vytvořen automaticky"/>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777490" cy="2597785"/>
                          </a:xfrm>
                          <a:prstGeom prst="rect">
                            <a:avLst/>
                          </a:prstGeom>
                          <a:noFill/>
                          <a:ln>
                            <a:noFill/>
                          </a:ln>
                        </pic:spPr>
                      </pic:pic>
                    </a:graphicData>
                  </a:graphic>
                </wp:inline>
              </w:drawing>
            </w:r>
          </w:p>
          <w:p w14:paraId="1368794E" w14:textId="77777777" w:rsidR="00151744" w:rsidRPr="006070EA" w:rsidRDefault="00151744" w:rsidP="00B3456F">
            <w:pPr>
              <w:pStyle w:val="Atextkurzva"/>
              <w:jc w:val="left"/>
              <w:rPr>
                <w:rFonts w:asciiTheme="majorHAnsi" w:hAnsiTheme="majorHAnsi" w:cstheme="majorHAnsi"/>
                <w:color w:val="000000"/>
              </w:rPr>
            </w:pPr>
            <w:r w:rsidRPr="006070EA">
              <w:rPr>
                <w:rFonts w:asciiTheme="majorHAnsi" w:hAnsiTheme="majorHAnsi" w:cstheme="majorHAnsi"/>
                <w:color w:val="000000"/>
              </w:rPr>
              <w:t>Letecký snímek z roku 2010</w:t>
            </w:r>
          </w:p>
        </w:tc>
        <w:tc>
          <w:tcPr>
            <w:tcW w:w="4410" w:type="dxa"/>
          </w:tcPr>
          <w:p w14:paraId="2A0250DF" w14:textId="22377C9F" w:rsidR="00151744" w:rsidRPr="006070EA" w:rsidRDefault="00377C45" w:rsidP="00AF46BB">
            <w:pPr>
              <w:pStyle w:val="Atext"/>
              <w:keepNext/>
              <w:rPr>
                <w:rFonts w:asciiTheme="majorHAnsi" w:hAnsiTheme="majorHAnsi" w:cstheme="majorHAnsi"/>
                <w:i/>
                <w:iCs w:val="0"/>
                <w:color w:val="000000"/>
              </w:rPr>
            </w:pPr>
            <w:r w:rsidRPr="006070EA">
              <w:rPr>
                <w:rFonts w:asciiTheme="majorHAnsi" w:hAnsiTheme="majorHAnsi" w:cstheme="majorHAnsi"/>
                <w:bCs w:val="0"/>
                <w:color w:val="000000"/>
                <w:shd w:val="clear" w:color="auto" w:fill="FFFFFF"/>
              </w:rPr>
              <w:t>Stavební rozvoj v Kostomlatech nad Labem je v posledních letech koncentrován především do</w:t>
            </w:r>
            <w:r w:rsidR="00AF46BB" w:rsidRPr="006070EA">
              <w:rPr>
                <w:rFonts w:asciiTheme="majorHAnsi" w:hAnsiTheme="majorHAnsi" w:cstheme="majorHAnsi"/>
                <w:bCs w:val="0"/>
                <w:color w:val="000000"/>
                <w:shd w:val="clear" w:color="auto" w:fill="FFFFFF"/>
              </w:rPr>
              <w:t xml:space="preserve"> jižní části sídla, což je důsledkem využití</w:t>
            </w:r>
            <w:r w:rsidRPr="006070EA">
              <w:rPr>
                <w:rFonts w:asciiTheme="majorHAnsi" w:hAnsiTheme="majorHAnsi" w:cstheme="majorHAnsi"/>
                <w:bCs w:val="0"/>
                <w:color w:val="000000"/>
                <w:shd w:val="clear" w:color="auto" w:fill="FFFFFF"/>
              </w:rPr>
              <w:t xml:space="preserve"> rozvojových </w:t>
            </w:r>
            <w:r w:rsidR="00AF46BB" w:rsidRPr="006070EA">
              <w:rPr>
                <w:rFonts w:asciiTheme="majorHAnsi" w:hAnsiTheme="majorHAnsi" w:cstheme="majorHAnsi"/>
                <w:bCs w:val="0"/>
                <w:color w:val="000000"/>
                <w:shd w:val="clear" w:color="auto" w:fill="FFFFFF"/>
              </w:rPr>
              <w:t>ploch, vymezených v platném ÚPO Kostomlaty nad Labem.</w:t>
            </w:r>
          </w:p>
        </w:tc>
      </w:tr>
    </w:tbl>
    <w:p w14:paraId="3745FFC7" w14:textId="3ED7A9C2" w:rsidR="00151744" w:rsidRPr="006070EA" w:rsidRDefault="00151744" w:rsidP="00047F30">
      <w:pPr>
        <w:keepNext/>
        <w:spacing w:before="120" w:after="120"/>
        <w:rPr>
          <w:rFonts w:asciiTheme="majorHAnsi" w:hAnsiTheme="majorHAnsi" w:cstheme="majorHAnsi"/>
          <w:b/>
          <w:bCs/>
          <w:i/>
          <w:iCs/>
          <w:color w:val="000000"/>
          <w:sz w:val="20"/>
          <w:szCs w:val="20"/>
        </w:rPr>
      </w:pPr>
      <w:bookmarkStart w:id="314" w:name="_Toc486259516"/>
      <w:r w:rsidRPr="006070EA">
        <w:rPr>
          <w:rFonts w:asciiTheme="majorHAnsi" w:hAnsiTheme="majorHAnsi" w:cstheme="majorHAnsi"/>
          <w:b/>
          <w:bCs/>
          <w:i/>
          <w:iCs/>
          <w:color w:val="000000"/>
          <w:sz w:val="20"/>
          <w:szCs w:val="20"/>
        </w:rPr>
        <w:t>Lány</w:t>
      </w:r>
      <w:bookmarkEnd w:id="314"/>
    </w:p>
    <w:p w14:paraId="1372422C" w14:textId="77777777" w:rsidR="00151744" w:rsidRPr="006070EA" w:rsidRDefault="00151744" w:rsidP="00151744">
      <w:pPr>
        <w:pStyle w:val="Anadpistun"/>
        <w:rPr>
          <w:rFonts w:asciiTheme="majorHAnsi" w:hAnsiTheme="majorHAnsi" w:cstheme="majorHAnsi"/>
          <w:b w:val="0"/>
          <w:bCs/>
          <w:i/>
          <w:iCs/>
          <w:color w:val="000000"/>
          <w:u w:val="single"/>
        </w:rPr>
      </w:pPr>
      <w:r w:rsidRPr="006070EA">
        <w:rPr>
          <w:rFonts w:asciiTheme="majorHAnsi" w:hAnsiTheme="majorHAnsi" w:cstheme="majorHAnsi"/>
          <w:b w:val="0"/>
          <w:bCs/>
          <w:i/>
          <w:iCs/>
          <w:color w:val="000000"/>
          <w:u w:val="single"/>
        </w:rPr>
        <w:t>Vývoj počtu obyvatel a počtu domů v sídle</w:t>
      </w:r>
    </w:p>
    <w:p w14:paraId="21615366" w14:textId="77777777" w:rsidR="00151744" w:rsidRPr="006070EA" w:rsidRDefault="00151744" w:rsidP="00151744">
      <w:pPr>
        <w:pStyle w:val="Atext"/>
        <w:ind w:firstLine="0"/>
        <w:rPr>
          <w:rFonts w:asciiTheme="majorHAnsi" w:hAnsiTheme="majorHAnsi" w:cstheme="majorHAnsi"/>
          <w:noProof/>
          <w:color w:val="000000"/>
          <w:lang w:eastAsia="cs-CZ"/>
        </w:rPr>
      </w:pPr>
      <w:r w:rsidRPr="006070EA">
        <w:rPr>
          <w:rFonts w:asciiTheme="majorHAnsi" w:hAnsiTheme="majorHAnsi" w:cstheme="majorHAnsi"/>
          <w:noProof/>
          <w:color w:val="000000"/>
          <w:lang w:eastAsia="cs-CZ"/>
        </w:rPr>
        <w:drawing>
          <wp:inline distT="0" distB="0" distL="0" distR="0" wp14:anchorId="30B3B2ED" wp14:editId="27FD336D">
            <wp:extent cx="5569585" cy="3600000"/>
            <wp:effectExtent l="0" t="0" r="0" b="0"/>
            <wp:docPr id="49" name="Graf 4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2DC9397C" w14:textId="77777777" w:rsidR="00151744" w:rsidRPr="006070EA" w:rsidRDefault="00151744" w:rsidP="00151744">
      <w:pPr>
        <w:pStyle w:val="Atext"/>
        <w:rPr>
          <w:rFonts w:asciiTheme="majorHAnsi" w:hAnsiTheme="majorHAnsi" w:cstheme="majorHAnsi"/>
          <w:color w:val="000000"/>
        </w:rPr>
      </w:pPr>
      <w:r w:rsidRPr="006070EA">
        <w:rPr>
          <w:rFonts w:asciiTheme="majorHAnsi" w:hAnsiTheme="majorHAnsi" w:cstheme="majorHAnsi"/>
          <w:color w:val="000000"/>
        </w:rPr>
        <w:t>Typické ulicové sídlo zachovávající si svůj historický půdorys. Vývoj počtu domů zůstává s menším kolísáním na původním stavu z roku 1869, kdy sídlo dosahovalo svého historického maxima v počtu obyvatel. Dnes je stálý počet obyvatel téměř třetinový. Úpadek počtu obyvatel se zastavil v roce 1991, od té doby je počet obyvatel téměř stagnující.</w:t>
      </w:r>
    </w:p>
    <w:p w14:paraId="290C0C9F" w14:textId="77777777" w:rsidR="00151744" w:rsidRPr="006070EA" w:rsidRDefault="00151744" w:rsidP="00151744">
      <w:pPr>
        <w:pStyle w:val="Anadpistun"/>
        <w:rPr>
          <w:rFonts w:asciiTheme="majorHAnsi" w:hAnsiTheme="majorHAnsi" w:cstheme="majorHAnsi"/>
          <w:b w:val="0"/>
          <w:bCs/>
          <w:i/>
          <w:iCs/>
          <w:color w:val="000000"/>
          <w:u w:val="single"/>
        </w:rPr>
      </w:pPr>
      <w:r w:rsidRPr="006070EA">
        <w:rPr>
          <w:rFonts w:asciiTheme="majorHAnsi" w:hAnsiTheme="majorHAnsi" w:cstheme="majorHAnsi"/>
          <w:b w:val="0"/>
          <w:bCs/>
          <w:i/>
          <w:iCs/>
          <w:color w:val="000000"/>
          <w:u w:val="single"/>
        </w:rPr>
        <w:lastRenderedPageBreak/>
        <w:t>Urbanistický vývoj</w:t>
      </w:r>
    </w:p>
    <w:tbl>
      <w:tblPr>
        <w:tblW w:w="0" w:type="auto"/>
        <w:jc w:val="center"/>
        <w:tblLook w:val="04A0" w:firstRow="1" w:lastRow="0" w:firstColumn="1" w:lastColumn="0" w:noHBand="0" w:noVBand="1"/>
      </w:tblPr>
      <w:tblGrid>
        <w:gridCol w:w="4565"/>
        <w:gridCol w:w="4505"/>
      </w:tblGrid>
      <w:tr w:rsidR="00151744" w:rsidRPr="006070EA" w14:paraId="02244D81" w14:textId="77777777" w:rsidTr="00047F30">
        <w:trPr>
          <w:trHeight w:val="283"/>
          <w:jc w:val="center"/>
        </w:trPr>
        <w:tc>
          <w:tcPr>
            <w:tcW w:w="4607" w:type="dxa"/>
            <w:shd w:val="clear" w:color="auto" w:fill="auto"/>
          </w:tcPr>
          <w:p w14:paraId="4E4CF8AB" w14:textId="77777777" w:rsidR="00151744" w:rsidRPr="006070EA" w:rsidRDefault="00151744" w:rsidP="000E35EE">
            <w:pPr>
              <w:pStyle w:val="Bezmezer"/>
              <w:keepNext/>
              <w:rPr>
                <w:rFonts w:asciiTheme="majorHAnsi" w:hAnsiTheme="majorHAnsi" w:cstheme="majorHAnsi"/>
                <w:b/>
                <w:color w:val="000000"/>
                <w:lang w:val="cs-CZ"/>
              </w:rPr>
            </w:pPr>
            <w:r w:rsidRPr="006070EA">
              <w:rPr>
                <w:rFonts w:asciiTheme="majorHAnsi" w:hAnsiTheme="majorHAnsi" w:cstheme="majorHAnsi"/>
                <w:noProof/>
                <w:color w:val="000000"/>
                <w:lang w:val="cs-CZ" w:eastAsia="cs-CZ"/>
              </w:rPr>
              <w:drawing>
                <wp:inline distT="0" distB="0" distL="0" distR="0" wp14:anchorId="5A90A7B8" wp14:editId="7A7F1A3A">
                  <wp:extent cx="2705100" cy="2771775"/>
                  <wp:effectExtent l="0" t="0" r="0" b="0"/>
                  <wp:docPr id="48" name="Obrázek 48" descr="Obsah obrázku map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Obrázek 48" descr="Obsah obrázku mapa&#10;&#10;Popis byl vytvořen automaticky"/>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705100" cy="2771775"/>
                          </a:xfrm>
                          <a:prstGeom prst="rect">
                            <a:avLst/>
                          </a:prstGeom>
                          <a:noFill/>
                          <a:ln>
                            <a:noFill/>
                          </a:ln>
                        </pic:spPr>
                      </pic:pic>
                    </a:graphicData>
                  </a:graphic>
                </wp:inline>
              </w:drawing>
            </w:r>
          </w:p>
        </w:tc>
        <w:tc>
          <w:tcPr>
            <w:tcW w:w="4410" w:type="dxa"/>
            <w:shd w:val="clear" w:color="auto" w:fill="auto"/>
          </w:tcPr>
          <w:p w14:paraId="79EC87D7" w14:textId="77777777" w:rsidR="00151744" w:rsidRPr="006070EA" w:rsidRDefault="00151744" w:rsidP="000E35EE">
            <w:pPr>
              <w:pStyle w:val="Bezmezer"/>
              <w:keepNext/>
              <w:ind w:right="-171"/>
              <w:rPr>
                <w:rFonts w:asciiTheme="majorHAnsi" w:hAnsiTheme="majorHAnsi" w:cstheme="majorHAnsi"/>
                <w:color w:val="000000"/>
                <w:lang w:val="cs-CZ"/>
              </w:rPr>
            </w:pPr>
            <w:r w:rsidRPr="006070EA">
              <w:rPr>
                <w:rFonts w:asciiTheme="majorHAnsi" w:hAnsiTheme="majorHAnsi" w:cstheme="majorHAnsi"/>
                <w:noProof/>
                <w:color w:val="000000"/>
                <w:lang w:val="cs-CZ" w:eastAsia="cs-CZ"/>
              </w:rPr>
              <w:drawing>
                <wp:inline distT="0" distB="0" distL="0" distR="0" wp14:anchorId="791E21D9" wp14:editId="14056890">
                  <wp:extent cx="2752725" cy="2752725"/>
                  <wp:effectExtent l="0" t="0" r="0" b="0"/>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752725" cy="2752725"/>
                          </a:xfrm>
                          <a:prstGeom prst="rect">
                            <a:avLst/>
                          </a:prstGeom>
                          <a:noFill/>
                          <a:ln>
                            <a:noFill/>
                          </a:ln>
                        </pic:spPr>
                      </pic:pic>
                    </a:graphicData>
                  </a:graphic>
                </wp:inline>
              </w:drawing>
            </w:r>
          </w:p>
        </w:tc>
      </w:tr>
      <w:tr w:rsidR="00151744" w:rsidRPr="006070EA" w14:paraId="1266609E" w14:textId="77777777" w:rsidTr="00047F30">
        <w:trPr>
          <w:trHeight w:val="168"/>
          <w:jc w:val="center"/>
        </w:trPr>
        <w:tc>
          <w:tcPr>
            <w:tcW w:w="4607" w:type="dxa"/>
            <w:shd w:val="clear" w:color="auto" w:fill="auto"/>
            <w:vAlign w:val="center"/>
          </w:tcPr>
          <w:p w14:paraId="45BDEDDC" w14:textId="77777777" w:rsidR="00151744" w:rsidRPr="006070EA" w:rsidRDefault="00151744" w:rsidP="00047F30">
            <w:pPr>
              <w:pStyle w:val="Atextkurzva"/>
              <w:jc w:val="left"/>
              <w:rPr>
                <w:rFonts w:asciiTheme="majorHAnsi" w:hAnsiTheme="majorHAnsi" w:cstheme="majorHAnsi"/>
                <w:color w:val="000000"/>
              </w:rPr>
            </w:pPr>
            <w:r w:rsidRPr="006070EA">
              <w:rPr>
                <w:rFonts w:asciiTheme="majorHAnsi" w:hAnsiTheme="majorHAnsi" w:cstheme="majorHAnsi"/>
                <w:color w:val="000000"/>
              </w:rPr>
              <w:t>Zákres sídla ve Stabilním katastru z roku 1838</w:t>
            </w:r>
          </w:p>
        </w:tc>
        <w:tc>
          <w:tcPr>
            <w:tcW w:w="4410" w:type="dxa"/>
            <w:shd w:val="clear" w:color="auto" w:fill="auto"/>
            <w:vAlign w:val="center"/>
          </w:tcPr>
          <w:p w14:paraId="225AD9E8" w14:textId="77777777" w:rsidR="00151744" w:rsidRPr="006070EA" w:rsidRDefault="00151744" w:rsidP="00047F30">
            <w:pPr>
              <w:pStyle w:val="Atextkurzva"/>
              <w:jc w:val="left"/>
              <w:rPr>
                <w:rFonts w:asciiTheme="majorHAnsi" w:hAnsiTheme="majorHAnsi" w:cstheme="majorHAnsi"/>
                <w:color w:val="000000"/>
              </w:rPr>
            </w:pPr>
            <w:r w:rsidRPr="006070EA">
              <w:rPr>
                <w:rFonts w:asciiTheme="majorHAnsi" w:hAnsiTheme="majorHAnsi" w:cstheme="majorHAnsi"/>
                <w:color w:val="000000"/>
              </w:rPr>
              <w:t>Letecký snímek z roku 1954</w:t>
            </w:r>
          </w:p>
        </w:tc>
      </w:tr>
      <w:tr w:rsidR="00151744" w:rsidRPr="006070EA" w14:paraId="7E0BB086" w14:textId="77777777" w:rsidTr="000E35EE">
        <w:trPr>
          <w:trHeight w:val="283"/>
          <w:jc w:val="center"/>
        </w:trPr>
        <w:tc>
          <w:tcPr>
            <w:tcW w:w="4607" w:type="dxa"/>
          </w:tcPr>
          <w:p w14:paraId="7C953DE0" w14:textId="77777777" w:rsidR="00151744" w:rsidRPr="006070EA" w:rsidRDefault="00151744" w:rsidP="000E35EE">
            <w:pPr>
              <w:pStyle w:val="Bezmezer"/>
              <w:keepNext/>
              <w:rPr>
                <w:rFonts w:asciiTheme="majorHAnsi" w:hAnsiTheme="majorHAnsi" w:cstheme="majorHAnsi"/>
                <w:b/>
                <w:color w:val="000000"/>
                <w:lang w:val="cs-CZ"/>
              </w:rPr>
            </w:pPr>
            <w:r w:rsidRPr="006070EA">
              <w:rPr>
                <w:rFonts w:asciiTheme="majorHAnsi" w:hAnsiTheme="majorHAnsi" w:cstheme="majorHAnsi"/>
                <w:b/>
                <w:noProof/>
                <w:color w:val="000000"/>
                <w:lang w:val="cs-CZ"/>
              </w:rPr>
              <w:drawing>
                <wp:inline distT="0" distB="0" distL="0" distR="0" wp14:anchorId="2E8910FD" wp14:editId="5B5D87FC">
                  <wp:extent cx="2790825" cy="2781300"/>
                  <wp:effectExtent l="0" t="0" r="0" b="0"/>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790825" cy="2781300"/>
                          </a:xfrm>
                          <a:prstGeom prst="rect">
                            <a:avLst/>
                          </a:prstGeom>
                          <a:noFill/>
                          <a:ln>
                            <a:noFill/>
                          </a:ln>
                        </pic:spPr>
                      </pic:pic>
                    </a:graphicData>
                  </a:graphic>
                </wp:inline>
              </w:drawing>
            </w:r>
          </w:p>
        </w:tc>
        <w:tc>
          <w:tcPr>
            <w:tcW w:w="4410" w:type="dxa"/>
          </w:tcPr>
          <w:p w14:paraId="0473A839" w14:textId="69D5E1DB" w:rsidR="00151744" w:rsidRPr="006070EA" w:rsidRDefault="00151744" w:rsidP="000E35EE">
            <w:pPr>
              <w:pStyle w:val="Atext"/>
              <w:rPr>
                <w:rFonts w:asciiTheme="majorHAnsi" w:hAnsiTheme="majorHAnsi" w:cstheme="majorHAnsi"/>
                <w:color w:val="000000"/>
              </w:rPr>
            </w:pPr>
            <w:r w:rsidRPr="006070EA">
              <w:rPr>
                <w:rFonts w:asciiTheme="majorHAnsi" w:hAnsiTheme="majorHAnsi" w:cstheme="majorHAnsi"/>
                <w:color w:val="000000"/>
              </w:rPr>
              <w:t>Lány leží západně od Nymburka, v rovině po pravé straně silnice od Kostomlat nad Labem k Hroněticím. Na jižní straně sousedí s Kostomlaty.  Lány patřily ke zboží Kostomlatskému, které král Vladislav přenechal zápisem z roku 1495 Janovi ze Šelenberga.</w:t>
            </w:r>
          </w:p>
          <w:p w14:paraId="64095145" w14:textId="5EA66074" w:rsidR="00151744" w:rsidRPr="006070EA" w:rsidRDefault="00151744" w:rsidP="000E35EE">
            <w:pPr>
              <w:pStyle w:val="Atext"/>
              <w:rPr>
                <w:rFonts w:asciiTheme="majorHAnsi" w:hAnsiTheme="majorHAnsi" w:cstheme="majorHAnsi"/>
                <w:color w:val="000000"/>
              </w:rPr>
            </w:pPr>
            <w:r w:rsidRPr="006070EA">
              <w:rPr>
                <w:rFonts w:asciiTheme="majorHAnsi" w:hAnsiTheme="majorHAnsi" w:cstheme="majorHAnsi"/>
                <w:color w:val="000000"/>
              </w:rPr>
              <w:t>Třicetiletá válka postihla i Lány. Poměry ve vsi se změnily a původní hospodářství zanikla. V roce 1654 bylo napočítáno jen 19 usedlostí s</w:t>
            </w:r>
            <w:r w:rsidR="00EF336E" w:rsidRPr="006070EA">
              <w:rPr>
                <w:rFonts w:asciiTheme="majorHAnsi" w:hAnsiTheme="majorHAnsi" w:cstheme="majorHAnsi"/>
                <w:color w:val="000000"/>
              </w:rPr>
              <w:t xml:space="preserve"> méně než </w:t>
            </w:r>
            <w:r w:rsidRPr="006070EA">
              <w:rPr>
                <w:rFonts w:asciiTheme="majorHAnsi" w:hAnsiTheme="majorHAnsi" w:cstheme="majorHAnsi"/>
                <w:color w:val="000000"/>
              </w:rPr>
              <w:t xml:space="preserve">polovinou pozemků. Ostatní pozemky ležely ladem. </w:t>
            </w:r>
          </w:p>
          <w:p w14:paraId="547FB79B" w14:textId="77777777" w:rsidR="00151744" w:rsidRPr="006070EA" w:rsidRDefault="00151744" w:rsidP="000E35EE">
            <w:pPr>
              <w:pStyle w:val="Atext"/>
              <w:rPr>
                <w:rFonts w:asciiTheme="majorHAnsi" w:hAnsiTheme="majorHAnsi" w:cstheme="majorHAnsi"/>
                <w:color w:val="000000"/>
              </w:rPr>
            </w:pPr>
            <w:r w:rsidRPr="006070EA">
              <w:rPr>
                <w:rFonts w:asciiTheme="majorHAnsi" w:hAnsiTheme="majorHAnsi" w:cstheme="majorHAnsi"/>
                <w:color w:val="000000"/>
              </w:rPr>
              <w:t>V 18. století obyvatelstvo strádalo násilím protireformace a značnými robotními povinnostmi, což vedlo k nepokojům a vystěhování celých rodin ze vsi.</w:t>
            </w:r>
          </w:p>
          <w:p w14:paraId="42B39298" w14:textId="77777777" w:rsidR="00151744" w:rsidRPr="006070EA" w:rsidRDefault="00151744" w:rsidP="000E35EE">
            <w:pPr>
              <w:pStyle w:val="Atext"/>
              <w:keepNext/>
              <w:rPr>
                <w:rFonts w:asciiTheme="majorHAnsi" w:hAnsiTheme="majorHAnsi" w:cstheme="majorHAnsi"/>
                <w:color w:val="000000"/>
              </w:rPr>
            </w:pPr>
          </w:p>
        </w:tc>
      </w:tr>
      <w:tr w:rsidR="00151744" w:rsidRPr="006070EA" w14:paraId="0C2E0992" w14:textId="77777777" w:rsidTr="000E35EE">
        <w:trPr>
          <w:trHeight w:val="283"/>
          <w:jc w:val="center"/>
        </w:trPr>
        <w:tc>
          <w:tcPr>
            <w:tcW w:w="4607" w:type="dxa"/>
            <w:vAlign w:val="center"/>
          </w:tcPr>
          <w:p w14:paraId="218006AF" w14:textId="77777777" w:rsidR="00151744" w:rsidRPr="006070EA" w:rsidRDefault="00151744" w:rsidP="000E35EE">
            <w:pPr>
              <w:pStyle w:val="Atextkurzva"/>
              <w:rPr>
                <w:rFonts w:asciiTheme="majorHAnsi" w:hAnsiTheme="majorHAnsi" w:cstheme="majorHAnsi"/>
                <w:color w:val="000000"/>
              </w:rPr>
            </w:pPr>
            <w:r w:rsidRPr="006070EA">
              <w:rPr>
                <w:rFonts w:asciiTheme="majorHAnsi" w:hAnsiTheme="majorHAnsi" w:cstheme="majorHAnsi"/>
                <w:color w:val="000000"/>
              </w:rPr>
              <w:t>Letecký snímek z roku 2010</w:t>
            </w:r>
          </w:p>
        </w:tc>
        <w:tc>
          <w:tcPr>
            <w:tcW w:w="4410" w:type="dxa"/>
            <w:vAlign w:val="center"/>
          </w:tcPr>
          <w:p w14:paraId="478D20BF" w14:textId="77777777" w:rsidR="00151744" w:rsidRPr="006070EA" w:rsidRDefault="00151744" w:rsidP="000E35EE">
            <w:pPr>
              <w:pStyle w:val="Bezmezer"/>
              <w:rPr>
                <w:rFonts w:asciiTheme="majorHAnsi" w:hAnsiTheme="majorHAnsi" w:cstheme="majorHAnsi"/>
                <w:i/>
                <w:color w:val="000000"/>
                <w:lang w:val="cs-CZ"/>
              </w:rPr>
            </w:pPr>
          </w:p>
        </w:tc>
      </w:tr>
    </w:tbl>
    <w:p w14:paraId="5D31D2C5" w14:textId="77777777" w:rsidR="00151744" w:rsidRPr="006070EA" w:rsidRDefault="00151744" w:rsidP="00EF336E">
      <w:pPr>
        <w:keepNext/>
        <w:spacing w:before="120" w:after="120"/>
        <w:rPr>
          <w:rFonts w:asciiTheme="majorHAnsi" w:hAnsiTheme="majorHAnsi" w:cstheme="majorHAnsi"/>
          <w:b/>
          <w:bCs/>
          <w:i/>
          <w:iCs/>
          <w:color w:val="000000"/>
          <w:sz w:val="20"/>
          <w:szCs w:val="20"/>
        </w:rPr>
      </w:pPr>
      <w:bookmarkStart w:id="315" w:name="_Toc486259517"/>
      <w:r w:rsidRPr="006070EA">
        <w:rPr>
          <w:rFonts w:asciiTheme="majorHAnsi" w:hAnsiTheme="majorHAnsi" w:cstheme="majorHAnsi"/>
          <w:b/>
          <w:bCs/>
          <w:i/>
          <w:iCs/>
          <w:color w:val="000000"/>
          <w:sz w:val="20"/>
          <w:szCs w:val="20"/>
        </w:rPr>
        <w:lastRenderedPageBreak/>
        <w:t>Rozkoš</w:t>
      </w:r>
      <w:bookmarkEnd w:id="315"/>
    </w:p>
    <w:p w14:paraId="5B6FBA43" w14:textId="77777777" w:rsidR="00151744" w:rsidRPr="006070EA" w:rsidRDefault="00151744" w:rsidP="00151744">
      <w:pPr>
        <w:pStyle w:val="Anadpistun"/>
        <w:rPr>
          <w:rFonts w:asciiTheme="majorHAnsi" w:hAnsiTheme="majorHAnsi" w:cstheme="majorHAnsi"/>
          <w:b w:val="0"/>
          <w:bCs/>
          <w:i/>
          <w:iCs/>
          <w:color w:val="000000"/>
          <w:u w:val="single"/>
        </w:rPr>
      </w:pPr>
      <w:r w:rsidRPr="006070EA">
        <w:rPr>
          <w:rFonts w:asciiTheme="majorHAnsi" w:hAnsiTheme="majorHAnsi" w:cstheme="majorHAnsi"/>
          <w:b w:val="0"/>
          <w:bCs/>
          <w:i/>
          <w:iCs/>
          <w:color w:val="000000"/>
          <w:u w:val="single"/>
        </w:rPr>
        <w:t>Vývoj počtu obyvatel a počtu domů v sídle</w:t>
      </w:r>
    </w:p>
    <w:p w14:paraId="68498F5A" w14:textId="77777777" w:rsidR="00151744" w:rsidRPr="006070EA" w:rsidRDefault="00151744" w:rsidP="00151744">
      <w:pPr>
        <w:pStyle w:val="Atext"/>
        <w:ind w:firstLine="0"/>
        <w:rPr>
          <w:rFonts w:asciiTheme="majorHAnsi" w:hAnsiTheme="majorHAnsi" w:cstheme="majorHAnsi"/>
          <w:noProof/>
          <w:color w:val="000000"/>
          <w:lang w:eastAsia="cs-CZ"/>
        </w:rPr>
      </w:pPr>
      <w:r w:rsidRPr="006070EA">
        <w:rPr>
          <w:rFonts w:asciiTheme="majorHAnsi" w:hAnsiTheme="majorHAnsi" w:cstheme="majorHAnsi"/>
          <w:noProof/>
          <w:color w:val="000000"/>
          <w:lang w:eastAsia="cs-CZ"/>
        </w:rPr>
        <w:drawing>
          <wp:inline distT="0" distB="0" distL="0" distR="0" wp14:anchorId="2E36B2BA" wp14:editId="33E34CAA">
            <wp:extent cx="5569585" cy="3600000"/>
            <wp:effectExtent l="0" t="0" r="0" b="0"/>
            <wp:docPr id="45" name="Graf 4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690D68ED" w14:textId="77777777" w:rsidR="00151744" w:rsidRPr="006070EA" w:rsidRDefault="00151744" w:rsidP="00151744">
      <w:pPr>
        <w:pStyle w:val="Atext"/>
        <w:rPr>
          <w:rFonts w:asciiTheme="majorHAnsi" w:hAnsiTheme="majorHAnsi" w:cstheme="majorHAnsi"/>
          <w:color w:val="000000"/>
        </w:rPr>
      </w:pPr>
      <w:r w:rsidRPr="006070EA">
        <w:rPr>
          <w:rFonts w:asciiTheme="majorHAnsi" w:hAnsiTheme="majorHAnsi" w:cstheme="majorHAnsi"/>
          <w:color w:val="000000"/>
        </w:rPr>
        <w:t>Malé sídlo Rozkoš dosáhlo svého maxima v počtu obyvatel a domů v 50. letech 20. století. Počet domů v současnosti zůstává na stejných číslech, avšak počet obyvatel klesl o jednu třetinu. Pozorujeme mírný zlom v počtu obyvatel od roku 2001.</w:t>
      </w:r>
    </w:p>
    <w:p w14:paraId="427F4841" w14:textId="77777777" w:rsidR="00151744" w:rsidRPr="006070EA" w:rsidRDefault="00151744" w:rsidP="00151744">
      <w:pPr>
        <w:pStyle w:val="Anadpistun"/>
        <w:rPr>
          <w:rFonts w:asciiTheme="majorHAnsi" w:hAnsiTheme="majorHAnsi" w:cstheme="majorHAnsi"/>
          <w:b w:val="0"/>
          <w:bCs/>
          <w:i/>
          <w:iCs/>
          <w:color w:val="000000"/>
          <w:u w:val="single"/>
        </w:rPr>
      </w:pPr>
      <w:r w:rsidRPr="006070EA">
        <w:rPr>
          <w:rFonts w:asciiTheme="majorHAnsi" w:hAnsiTheme="majorHAnsi" w:cstheme="majorHAnsi"/>
          <w:b w:val="0"/>
          <w:bCs/>
          <w:i/>
          <w:iCs/>
          <w:color w:val="000000"/>
          <w:u w:val="single"/>
        </w:rPr>
        <w:t>Urbanistický vývoj</w:t>
      </w:r>
    </w:p>
    <w:tbl>
      <w:tblPr>
        <w:tblW w:w="0" w:type="auto"/>
        <w:jc w:val="center"/>
        <w:tblLook w:val="04A0" w:firstRow="1" w:lastRow="0" w:firstColumn="1" w:lastColumn="0" w:noHBand="0" w:noVBand="1"/>
      </w:tblPr>
      <w:tblGrid>
        <w:gridCol w:w="4557"/>
        <w:gridCol w:w="4513"/>
      </w:tblGrid>
      <w:tr w:rsidR="00151744" w:rsidRPr="006070EA" w14:paraId="63A3F627" w14:textId="77777777" w:rsidTr="00485315">
        <w:trPr>
          <w:trHeight w:val="283"/>
          <w:jc w:val="center"/>
        </w:trPr>
        <w:tc>
          <w:tcPr>
            <w:tcW w:w="4528" w:type="dxa"/>
          </w:tcPr>
          <w:p w14:paraId="2803BEA1" w14:textId="77777777" w:rsidR="00151744" w:rsidRPr="006070EA" w:rsidRDefault="00151744" w:rsidP="000E35EE">
            <w:pPr>
              <w:pStyle w:val="Bezmezer"/>
              <w:keepNext/>
              <w:rPr>
                <w:rFonts w:asciiTheme="majorHAnsi" w:hAnsiTheme="majorHAnsi" w:cstheme="majorHAnsi"/>
                <w:b/>
                <w:color w:val="000000"/>
                <w:lang w:val="cs-CZ"/>
              </w:rPr>
            </w:pPr>
            <w:r w:rsidRPr="006070EA">
              <w:rPr>
                <w:rFonts w:asciiTheme="majorHAnsi" w:hAnsiTheme="majorHAnsi" w:cstheme="majorHAnsi"/>
                <w:b/>
                <w:noProof/>
                <w:color w:val="000000"/>
                <w:lang w:val="cs-CZ"/>
              </w:rPr>
              <w:drawing>
                <wp:inline distT="0" distB="0" distL="0" distR="0" wp14:anchorId="7BE1EE83" wp14:editId="25881984">
                  <wp:extent cx="2790825" cy="2790825"/>
                  <wp:effectExtent l="0" t="0" r="0" b="0"/>
                  <wp:docPr id="44" name="Obrázek 44" descr="Obsah obrázku map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Obrázek 44" descr="Obsah obrázku mapa&#10;&#10;Popis byl vytvořen automaticky"/>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790825" cy="2790825"/>
                          </a:xfrm>
                          <a:prstGeom prst="rect">
                            <a:avLst/>
                          </a:prstGeom>
                          <a:noFill/>
                          <a:ln>
                            <a:noFill/>
                          </a:ln>
                        </pic:spPr>
                      </pic:pic>
                    </a:graphicData>
                  </a:graphic>
                </wp:inline>
              </w:drawing>
            </w:r>
          </w:p>
        </w:tc>
        <w:tc>
          <w:tcPr>
            <w:tcW w:w="4542" w:type="dxa"/>
          </w:tcPr>
          <w:p w14:paraId="32B4F83C" w14:textId="77777777" w:rsidR="00151744" w:rsidRPr="006070EA" w:rsidRDefault="00151744" w:rsidP="000E35EE">
            <w:pPr>
              <w:pStyle w:val="Bezmezer"/>
              <w:keepNext/>
              <w:ind w:right="-171"/>
              <w:rPr>
                <w:rFonts w:asciiTheme="majorHAnsi" w:hAnsiTheme="majorHAnsi" w:cstheme="majorHAnsi"/>
                <w:color w:val="000000"/>
                <w:lang w:val="cs-CZ"/>
              </w:rPr>
            </w:pPr>
            <w:r w:rsidRPr="006070EA">
              <w:rPr>
                <w:rFonts w:asciiTheme="majorHAnsi" w:hAnsiTheme="majorHAnsi" w:cstheme="majorHAnsi"/>
                <w:noProof/>
                <w:color w:val="000000"/>
                <w:lang w:val="cs-CZ" w:eastAsia="cs-CZ"/>
              </w:rPr>
              <w:drawing>
                <wp:inline distT="0" distB="0" distL="0" distR="0" wp14:anchorId="7147B597" wp14:editId="670E5D7C">
                  <wp:extent cx="2800350" cy="2790825"/>
                  <wp:effectExtent l="0" t="0" r="0" b="0"/>
                  <wp:docPr id="42" name="Obrázek 42" descr="Obsah obrázku text, bílá, staré&#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Obrázek 42" descr="Obsah obrázku text, bílá, staré&#10;&#10;Popis byl vytvořen automaticky"/>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800350" cy="2790825"/>
                          </a:xfrm>
                          <a:prstGeom prst="rect">
                            <a:avLst/>
                          </a:prstGeom>
                          <a:noFill/>
                          <a:ln>
                            <a:noFill/>
                          </a:ln>
                        </pic:spPr>
                      </pic:pic>
                    </a:graphicData>
                  </a:graphic>
                </wp:inline>
              </w:drawing>
            </w:r>
          </w:p>
        </w:tc>
      </w:tr>
      <w:tr w:rsidR="00151744" w:rsidRPr="006070EA" w14:paraId="21E0836D" w14:textId="77777777" w:rsidTr="00485315">
        <w:trPr>
          <w:trHeight w:val="168"/>
          <w:jc w:val="center"/>
        </w:trPr>
        <w:tc>
          <w:tcPr>
            <w:tcW w:w="4528" w:type="dxa"/>
            <w:vAlign w:val="center"/>
          </w:tcPr>
          <w:p w14:paraId="242726A3" w14:textId="77777777" w:rsidR="00151744" w:rsidRPr="006070EA" w:rsidRDefault="00151744" w:rsidP="000E35EE">
            <w:pPr>
              <w:pStyle w:val="Atextkurzva"/>
              <w:rPr>
                <w:rFonts w:asciiTheme="majorHAnsi" w:hAnsiTheme="majorHAnsi" w:cstheme="majorHAnsi"/>
                <w:color w:val="000000"/>
              </w:rPr>
            </w:pPr>
            <w:r w:rsidRPr="006070EA">
              <w:rPr>
                <w:rFonts w:asciiTheme="majorHAnsi" w:hAnsiTheme="majorHAnsi" w:cstheme="majorHAnsi"/>
                <w:color w:val="000000"/>
              </w:rPr>
              <w:t>Zákres sídla ve Stabilním katastru z roku 1838</w:t>
            </w:r>
          </w:p>
        </w:tc>
        <w:tc>
          <w:tcPr>
            <w:tcW w:w="4542" w:type="dxa"/>
            <w:vAlign w:val="center"/>
          </w:tcPr>
          <w:p w14:paraId="0D020758" w14:textId="77777777" w:rsidR="00151744" w:rsidRPr="006070EA" w:rsidRDefault="00151744" w:rsidP="000E35EE">
            <w:pPr>
              <w:pStyle w:val="Atextkurzva"/>
              <w:rPr>
                <w:rFonts w:asciiTheme="majorHAnsi" w:hAnsiTheme="majorHAnsi" w:cstheme="majorHAnsi"/>
                <w:color w:val="000000"/>
              </w:rPr>
            </w:pPr>
            <w:r w:rsidRPr="006070EA">
              <w:rPr>
                <w:rFonts w:asciiTheme="majorHAnsi" w:hAnsiTheme="majorHAnsi" w:cstheme="majorHAnsi"/>
                <w:color w:val="000000"/>
              </w:rPr>
              <w:t>Letecký snímek z roku 1954</w:t>
            </w:r>
          </w:p>
        </w:tc>
      </w:tr>
      <w:tr w:rsidR="00485315" w:rsidRPr="006070EA" w14:paraId="27C5F0B8" w14:textId="77777777" w:rsidTr="00485315">
        <w:trPr>
          <w:trHeight w:val="168"/>
          <w:jc w:val="center"/>
        </w:trPr>
        <w:tc>
          <w:tcPr>
            <w:tcW w:w="4528" w:type="dxa"/>
            <w:vAlign w:val="center"/>
          </w:tcPr>
          <w:p w14:paraId="4B29E440" w14:textId="77777777" w:rsidR="00485315" w:rsidRPr="006070EA" w:rsidRDefault="00485315" w:rsidP="00485315">
            <w:pPr>
              <w:pStyle w:val="Atextkurzva"/>
              <w:rPr>
                <w:rFonts w:asciiTheme="majorHAnsi" w:hAnsiTheme="majorHAnsi" w:cstheme="majorHAnsi"/>
                <w:color w:val="000000"/>
              </w:rPr>
            </w:pPr>
            <w:bookmarkStart w:id="316" w:name="_Toc486259518"/>
            <w:r w:rsidRPr="006070EA">
              <w:rPr>
                <w:rFonts w:asciiTheme="majorHAnsi" w:hAnsiTheme="majorHAnsi" w:cstheme="majorHAnsi"/>
                <w:noProof/>
                <w:color w:val="000000"/>
              </w:rPr>
              <w:lastRenderedPageBreak/>
              <w:drawing>
                <wp:inline distT="0" distB="0" distL="0" distR="0" wp14:anchorId="0CD956B5" wp14:editId="08E01C2C">
                  <wp:extent cx="2828925" cy="2809875"/>
                  <wp:effectExtent l="0" t="0" r="0" b="0"/>
                  <wp:docPr id="33" name="Obrázek 33" descr="Obsah obrázku interiér, zelená, oblouk&#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Obrázek 33" descr="Obsah obrázku interiér, zelená, oblouk&#10;&#10;Popis byl vytvořen automaticky"/>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828925" cy="2809875"/>
                          </a:xfrm>
                          <a:prstGeom prst="rect">
                            <a:avLst/>
                          </a:prstGeom>
                          <a:noFill/>
                          <a:ln>
                            <a:noFill/>
                          </a:ln>
                        </pic:spPr>
                      </pic:pic>
                    </a:graphicData>
                  </a:graphic>
                </wp:inline>
              </w:drawing>
            </w:r>
          </w:p>
        </w:tc>
        <w:tc>
          <w:tcPr>
            <w:tcW w:w="4542" w:type="dxa"/>
            <w:vAlign w:val="center"/>
          </w:tcPr>
          <w:p w14:paraId="21264C5C" w14:textId="77777777" w:rsidR="00485315" w:rsidRPr="006070EA" w:rsidRDefault="00485315" w:rsidP="00485315">
            <w:pPr>
              <w:pStyle w:val="Atextkurzva"/>
              <w:rPr>
                <w:rFonts w:asciiTheme="majorHAnsi" w:hAnsiTheme="majorHAnsi" w:cstheme="majorHAnsi"/>
                <w:color w:val="000000"/>
              </w:rPr>
            </w:pPr>
            <w:r w:rsidRPr="006070EA">
              <w:rPr>
                <w:rFonts w:asciiTheme="majorHAnsi" w:hAnsiTheme="majorHAnsi" w:cstheme="majorHAnsi"/>
                <w:color w:val="000000"/>
              </w:rPr>
              <w:t xml:space="preserve">Rozkoš je část obce, rozložená západně od Kostomlat. Osadou prochází silnice ke Stratovu a Lysé nad Labem a protéká jí rameno Vlkavského potoka, na kterém byl provozován mlýn „Rozkoš“ (stavba byla několikrát přestavována). </w:t>
            </w:r>
          </w:p>
          <w:p w14:paraId="554C287B" w14:textId="77777777" w:rsidR="00485315" w:rsidRPr="006070EA" w:rsidRDefault="00485315" w:rsidP="00485315">
            <w:pPr>
              <w:pStyle w:val="Atextkurzva"/>
              <w:rPr>
                <w:rFonts w:asciiTheme="majorHAnsi" w:hAnsiTheme="majorHAnsi" w:cstheme="majorHAnsi"/>
                <w:color w:val="000000"/>
              </w:rPr>
            </w:pPr>
            <w:r w:rsidRPr="006070EA">
              <w:rPr>
                <w:rFonts w:asciiTheme="majorHAnsi" w:hAnsiTheme="majorHAnsi" w:cstheme="majorHAnsi"/>
                <w:color w:val="000000"/>
              </w:rPr>
              <w:t>Zajímavé je, že v soupise z roku 1787 není ještě o Rozkoši informace. Teprve roku 1835 se uvádí na panství Lysé: mlýn Rozkoš s 15 čísly a 93 obyvateli.</w:t>
            </w:r>
          </w:p>
          <w:p w14:paraId="65B9E653" w14:textId="77777777" w:rsidR="00485315" w:rsidRPr="006070EA" w:rsidRDefault="00485315" w:rsidP="00485315">
            <w:pPr>
              <w:pStyle w:val="Atextkurzva"/>
              <w:rPr>
                <w:rFonts w:asciiTheme="majorHAnsi" w:hAnsiTheme="majorHAnsi" w:cstheme="majorHAnsi"/>
                <w:color w:val="000000"/>
              </w:rPr>
            </w:pPr>
          </w:p>
        </w:tc>
      </w:tr>
      <w:tr w:rsidR="00485315" w:rsidRPr="006070EA" w14:paraId="5C82468C" w14:textId="77777777" w:rsidTr="00485315">
        <w:trPr>
          <w:trHeight w:val="168"/>
          <w:jc w:val="center"/>
        </w:trPr>
        <w:tc>
          <w:tcPr>
            <w:tcW w:w="4528" w:type="dxa"/>
            <w:vAlign w:val="center"/>
          </w:tcPr>
          <w:p w14:paraId="6FB09244" w14:textId="77777777" w:rsidR="00485315" w:rsidRPr="006070EA" w:rsidRDefault="00485315" w:rsidP="00485315">
            <w:pPr>
              <w:pStyle w:val="Atextkurzva"/>
              <w:spacing w:before="0"/>
              <w:rPr>
                <w:rFonts w:asciiTheme="majorHAnsi" w:hAnsiTheme="majorHAnsi" w:cstheme="majorHAnsi"/>
                <w:color w:val="000000"/>
              </w:rPr>
            </w:pPr>
            <w:r w:rsidRPr="006070EA">
              <w:rPr>
                <w:rFonts w:asciiTheme="majorHAnsi" w:hAnsiTheme="majorHAnsi" w:cstheme="majorHAnsi"/>
                <w:color w:val="000000"/>
              </w:rPr>
              <w:t>Letecký snímek z roku 2010</w:t>
            </w:r>
          </w:p>
        </w:tc>
        <w:tc>
          <w:tcPr>
            <w:tcW w:w="4542" w:type="dxa"/>
            <w:vAlign w:val="center"/>
          </w:tcPr>
          <w:p w14:paraId="63E82938" w14:textId="77777777" w:rsidR="00485315" w:rsidRPr="006070EA" w:rsidRDefault="00485315" w:rsidP="00485315">
            <w:pPr>
              <w:pStyle w:val="Atextkurzva"/>
              <w:spacing w:before="0"/>
              <w:rPr>
                <w:rFonts w:asciiTheme="majorHAnsi" w:hAnsiTheme="majorHAnsi" w:cstheme="majorHAnsi"/>
                <w:color w:val="000000"/>
              </w:rPr>
            </w:pPr>
          </w:p>
        </w:tc>
      </w:tr>
    </w:tbl>
    <w:p w14:paraId="3C630743" w14:textId="23A20CC4" w:rsidR="00151744" w:rsidRPr="006070EA" w:rsidRDefault="00151744" w:rsidP="00EF336E">
      <w:pPr>
        <w:keepNext/>
        <w:spacing w:before="120" w:after="120"/>
        <w:rPr>
          <w:rFonts w:asciiTheme="majorHAnsi" w:hAnsiTheme="majorHAnsi" w:cstheme="majorHAnsi"/>
          <w:b/>
          <w:bCs/>
          <w:i/>
          <w:iCs/>
          <w:color w:val="000000"/>
          <w:sz w:val="20"/>
          <w:szCs w:val="20"/>
        </w:rPr>
      </w:pPr>
      <w:r w:rsidRPr="006070EA">
        <w:rPr>
          <w:rFonts w:asciiTheme="majorHAnsi" w:hAnsiTheme="majorHAnsi" w:cstheme="majorHAnsi"/>
          <w:b/>
          <w:bCs/>
          <w:i/>
          <w:iCs/>
          <w:color w:val="000000"/>
          <w:sz w:val="20"/>
          <w:szCs w:val="20"/>
        </w:rPr>
        <w:t>Vápensko</w:t>
      </w:r>
      <w:bookmarkEnd w:id="316"/>
    </w:p>
    <w:p w14:paraId="3E1A5A6D" w14:textId="77777777" w:rsidR="00151744" w:rsidRPr="006070EA" w:rsidRDefault="00151744" w:rsidP="00151744">
      <w:pPr>
        <w:pStyle w:val="Anadpistun"/>
        <w:rPr>
          <w:rFonts w:asciiTheme="majorHAnsi" w:hAnsiTheme="majorHAnsi" w:cstheme="majorHAnsi"/>
          <w:b w:val="0"/>
          <w:bCs/>
          <w:i/>
          <w:iCs/>
          <w:color w:val="000000"/>
          <w:u w:val="single"/>
        </w:rPr>
      </w:pPr>
      <w:r w:rsidRPr="006070EA">
        <w:rPr>
          <w:rFonts w:asciiTheme="majorHAnsi" w:hAnsiTheme="majorHAnsi" w:cstheme="majorHAnsi"/>
          <w:b w:val="0"/>
          <w:bCs/>
          <w:i/>
          <w:iCs/>
          <w:color w:val="000000"/>
          <w:u w:val="single"/>
        </w:rPr>
        <w:t>Vývoj počtu obyvatel a počtu domů v sídle</w:t>
      </w:r>
    </w:p>
    <w:p w14:paraId="140BCD36" w14:textId="77777777" w:rsidR="00151744" w:rsidRPr="006070EA" w:rsidRDefault="00151744" w:rsidP="00151744">
      <w:pPr>
        <w:pStyle w:val="Atext"/>
        <w:ind w:firstLine="0"/>
        <w:rPr>
          <w:rFonts w:asciiTheme="majorHAnsi" w:hAnsiTheme="majorHAnsi" w:cstheme="majorHAnsi"/>
          <w:color w:val="000000"/>
        </w:rPr>
      </w:pPr>
      <w:r w:rsidRPr="006070EA">
        <w:rPr>
          <w:rFonts w:asciiTheme="majorHAnsi" w:hAnsiTheme="majorHAnsi" w:cstheme="majorHAnsi"/>
          <w:noProof/>
          <w:color w:val="000000"/>
          <w:lang w:eastAsia="cs-CZ"/>
        </w:rPr>
        <w:drawing>
          <wp:inline distT="0" distB="0" distL="0" distR="0" wp14:anchorId="2FCB954F" wp14:editId="09BF7104">
            <wp:extent cx="5569585" cy="3600000"/>
            <wp:effectExtent l="0" t="0" r="0" b="0"/>
            <wp:docPr id="32" name="Graf 3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23CC3A48" w14:textId="3AFBD8CE" w:rsidR="00151744" w:rsidRPr="006070EA" w:rsidRDefault="00151744" w:rsidP="00151744">
      <w:pPr>
        <w:pStyle w:val="Atext"/>
        <w:rPr>
          <w:rFonts w:asciiTheme="majorHAnsi" w:hAnsiTheme="majorHAnsi" w:cstheme="majorHAnsi"/>
          <w:color w:val="000000"/>
        </w:rPr>
      </w:pPr>
      <w:r w:rsidRPr="006070EA">
        <w:rPr>
          <w:rFonts w:asciiTheme="majorHAnsi" w:hAnsiTheme="majorHAnsi" w:cstheme="majorHAnsi"/>
          <w:color w:val="000000"/>
        </w:rPr>
        <w:t>Typické sídlo okrouhlicového tvaru, zachovávající si svůj historický ráz. Maxima v počtu domů sídlo dosahovalo v 50.</w:t>
      </w:r>
      <w:r w:rsidR="003C696A" w:rsidRPr="006070EA">
        <w:rPr>
          <w:rFonts w:asciiTheme="majorHAnsi" w:hAnsiTheme="majorHAnsi" w:cstheme="majorHAnsi"/>
          <w:color w:val="000000"/>
        </w:rPr>
        <w:t> </w:t>
      </w:r>
      <w:r w:rsidRPr="006070EA">
        <w:rPr>
          <w:rFonts w:asciiTheme="majorHAnsi" w:hAnsiTheme="majorHAnsi" w:cstheme="majorHAnsi"/>
          <w:color w:val="000000"/>
        </w:rPr>
        <w:t>letech 20. století</w:t>
      </w:r>
      <w:r w:rsidR="003C696A" w:rsidRPr="006070EA">
        <w:rPr>
          <w:rFonts w:asciiTheme="majorHAnsi" w:hAnsiTheme="majorHAnsi" w:cstheme="majorHAnsi"/>
          <w:color w:val="000000"/>
        </w:rPr>
        <w:t>,</w:t>
      </w:r>
      <w:r w:rsidRPr="006070EA">
        <w:rPr>
          <w:rFonts w:asciiTheme="majorHAnsi" w:hAnsiTheme="majorHAnsi" w:cstheme="majorHAnsi"/>
          <w:color w:val="000000"/>
        </w:rPr>
        <w:t xml:space="preserve"> </w:t>
      </w:r>
      <w:r w:rsidR="003C696A" w:rsidRPr="006070EA">
        <w:rPr>
          <w:rFonts w:asciiTheme="majorHAnsi" w:hAnsiTheme="majorHAnsi" w:cstheme="majorHAnsi"/>
          <w:color w:val="000000"/>
        </w:rPr>
        <w:t xml:space="preserve">nejvyšší </w:t>
      </w:r>
      <w:r w:rsidRPr="006070EA">
        <w:rPr>
          <w:rFonts w:asciiTheme="majorHAnsi" w:hAnsiTheme="majorHAnsi" w:cstheme="majorHAnsi"/>
          <w:color w:val="000000"/>
        </w:rPr>
        <w:t>poč</w:t>
      </w:r>
      <w:r w:rsidR="003C696A" w:rsidRPr="006070EA">
        <w:rPr>
          <w:rFonts w:asciiTheme="majorHAnsi" w:hAnsiTheme="majorHAnsi" w:cstheme="majorHAnsi"/>
          <w:color w:val="000000"/>
        </w:rPr>
        <w:t>e</w:t>
      </w:r>
      <w:r w:rsidRPr="006070EA">
        <w:rPr>
          <w:rFonts w:asciiTheme="majorHAnsi" w:hAnsiTheme="majorHAnsi" w:cstheme="majorHAnsi"/>
          <w:color w:val="000000"/>
        </w:rPr>
        <w:t xml:space="preserve">t obyvatel vesnice </w:t>
      </w:r>
      <w:r w:rsidR="003C696A" w:rsidRPr="006070EA">
        <w:rPr>
          <w:rFonts w:asciiTheme="majorHAnsi" w:hAnsiTheme="majorHAnsi" w:cstheme="majorHAnsi"/>
          <w:color w:val="000000"/>
        </w:rPr>
        <w:t xml:space="preserve">byl zaznamenán </w:t>
      </w:r>
      <w:r w:rsidRPr="006070EA">
        <w:rPr>
          <w:rFonts w:asciiTheme="majorHAnsi" w:hAnsiTheme="majorHAnsi" w:cstheme="majorHAnsi"/>
          <w:color w:val="000000"/>
        </w:rPr>
        <w:t>v období 1869</w:t>
      </w:r>
      <w:r w:rsidR="003C696A" w:rsidRPr="006070EA">
        <w:rPr>
          <w:rFonts w:asciiTheme="majorHAnsi" w:hAnsiTheme="majorHAnsi" w:cstheme="majorHAnsi"/>
          <w:color w:val="000000"/>
        </w:rPr>
        <w:t xml:space="preserve"> – </w:t>
      </w:r>
      <w:r w:rsidRPr="006070EA">
        <w:rPr>
          <w:rFonts w:asciiTheme="majorHAnsi" w:hAnsiTheme="majorHAnsi" w:cstheme="majorHAnsi"/>
          <w:color w:val="000000"/>
        </w:rPr>
        <w:t xml:space="preserve">1930, Od 30. let 20. století došlo k trvalému úbytku obyvatel, který se zastavil až počátkem </w:t>
      </w:r>
      <w:r w:rsidR="003C696A" w:rsidRPr="006070EA">
        <w:rPr>
          <w:rFonts w:asciiTheme="majorHAnsi" w:hAnsiTheme="majorHAnsi" w:cstheme="majorHAnsi"/>
          <w:color w:val="000000"/>
        </w:rPr>
        <w:t>21. století</w:t>
      </w:r>
      <w:r w:rsidRPr="006070EA">
        <w:rPr>
          <w:rFonts w:asciiTheme="majorHAnsi" w:hAnsiTheme="majorHAnsi" w:cstheme="majorHAnsi"/>
          <w:color w:val="000000"/>
        </w:rPr>
        <w:t>.</w:t>
      </w:r>
    </w:p>
    <w:p w14:paraId="6CE48F54" w14:textId="77777777" w:rsidR="00151744" w:rsidRPr="006070EA" w:rsidRDefault="00151744" w:rsidP="00151744">
      <w:pPr>
        <w:pStyle w:val="Anadpistun"/>
        <w:rPr>
          <w:rFonts w:asciiTheme="majorHAnsi" w:hAnsiTheme="majorHAnsi" w:cstheme="majorHAnsi"/>
          <w:b w:val="0"/>
          <w:bCs/>
          <w:i/>
          <w:iCs/>
          <w:color w:val="000000"/>
          <w:u w:val="single"/>
        </w:rPr>
      </w:pPr>
      <w:r w:rsidRPr="006070EA">
        <w:rPr>
          <w:rFonts w:asciiTheme="majorHAnsi" w:hAnsiTheme="majorHAnsi" w:cstheme="majorHAnsi"/>
          <w:b w:val="0"/>
          <w:bCs/>
          <w:i/>
          <w:iCs/>
          <w:color w:val="000000"/>
          <w:u w:val="single"/>
        </w:rPr>
        <w:lastRenderedPageBreak/>
        <w:t>Urbanistický vývoj</w:t>
      </w:r>
    </w:p>
    <w:tbl>
      <w:tblPr>
        <w:tblW w:w="0" w:type="auto"/>
        <w:jc w:val="center"/>
        <w:tblLook w:val="04A0" w:firstRow="1" w:lastRow="0" w:firstColumn="1" w:lastColumn="0" w:noHBand="0" w:noVBand="1"/>
      </w:tblPr>
      <w:tblGrid>
        <w:gridCol w:w="4564"/>
        <w:gridCol w:w="4506"/>
      </w:tblGrid>
      <w:tr w:rsidR="00151744" w:rsidRPr="006070EA" w14:paraId="743518B1" w14:textId="77777777" w:rsidTr="000E35EE">
        <w:trPr>
          <w:trHeight w:val="283"/>
          <w:jc w:val="center"/>
        </w:trPr>
        <w:tc>
          <w:tcPr>
            <w:tcW w:w="4528" w:type="dxa"/>
          </w:tcPr>
          <w:p w14:paraId="175B8C0B" w14:textId="77777777" w:rsidR="00151744" w:rsidRPr="006070EA" w:rsidRDefault="00151744" w:rsidP="000E35EE">
            <w:pPr>
              <w:pStyle w:val="Bezmezer"/>
              <w:keepNext/>
              <w:rPr>
                <w:rFonts w:asciiTheme="majorHAnsi" w:hAnsiTheme="majorHAnsi" w:cstheme="majorHAnsi"/>
                <w:b/>
                <w:color w:val="000000"/>
                <w:lang w:val="cs-CZ"/>
              </w:rPr>
            </w:pPr>
            <w:r w:rsidRPr="006070EA">
              <w:rPr>
                <w:rFonts w:asciiTheme="majorHAnsi" w:hAnsiTheme="majorHAnsi" w:cstheme="majorHAnsi"/>
                <w:noProof/>
                <w:color w:val="000000"/>
                <w:lang w:val="cs-CZ" w:eastAsia="cs-CZ"/>
              </w:rPr>
              <w:drawing>
                <wp:inline distT="0" distB="0" distL="0" distR="0" wp14:anchorId="17C57E57" wp14:editId="0E8C881B">
                  <wp:extent cx="2781300" cy="2781300"/>
                  <wp:effectExtent l="0" t="0" r="0" b="0"/>
                  <wp:docPr id="28"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781300" cy="2781300"/>
                          </a:xfrm>
                          <a:prstGeom prst="rect">
                            <a:avLst/>
                          </a:prstGeom>
                          <a:noFill/>
                          <a:ln>
                            <a:noFill/>
                          </a:ln>
                        </pic:spPr>
                      </pic:pic>
                    </a:graphicData>
                  </a:graphic>
                </wp:inline>
              </w:drawing>
            </w:r>
          </w:p>
        </w:tc>
        <w:tc>
          <w:tcPr>
            <w:tcW w:w="4410" w:type="dxa"/>
          </w:tcPr>
          <w:p w14:paraId="2E1845A8" w14:textId="77777777" w:rsidR="00151744" w:rsidRPr="006070EA" w:rsidRDefault="00151744" w:rsidP="000E35EE">
            <w:pPr>
              <w:pStyle w:val="Bezmezer"/>
              <w:keepNext/>
              <w:ind w:right="-171"/>
              <w:rPr>
                <w:rFonts w:asciiTheme="majorHAnsi" w:hAnsiTheme="majorHAnsi" w:cstheme="majorHAnsi"/>
                <w:color w:val="000000"/>
                <w:lang w:val="cs-CZ"/>
              </w:rPr>
            </w:pPr>
            <w:r w:rsidRPr="006070EA">
              <w:rPr>
                <w:rFonts w:asciiTheme="majorHAnsi" w:hAnsiTheme="majorHAnsi" w:cstheme="majorHAnsi"/>
                <w:noProof/>
                <w:color w:val="000000"/>
                <w:lang w:val="cs-CZ" w:eastAsia="cs-CZ"/>
              </w:rPr>
              <w:drawing>
                <wp:inline distT="0" distB="0" distL="0" distR="0" wp14:anchorId="404E25A3" wp14:editId="1106B00A">
                  <wp:extent cx="2800350" cy="2800350"/>
                  <wp:effectExtent l="0" t="0" r="0" b="0"/>
                  <wp:docPr id="27" name="Obrázek 27" descr="Obsah obrázku text&#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Obrázek 27" descr="Obsah obrázku text&#10;&#10;Popis byl vytvořen automaticky"/>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800350" cy="2800350"/>
                          </a:xfrm>
                          <a:prstGeom prst="rect">
                            <a:avLst/>
                          </a:prstGeom>
                          <a:noFill/>
                          <a:ln>
                            <a:noFill/>
                          </a:ln>
                        </pic:spPr>
                      </pic:pic>
                    </a:graphicData>
                  </a:graphic>
                </wp:inline>
              </w:drawing>
            </w:r>
          </w:p>
        </w:tc>
      </w:tr>
      <w:tr w:rsidR="00151744" w:rsidRPr="006070EA" w14:paraId="5AF43D0E" w14:textId="77777777" w:rsidTr="000E35EE">
        <w:trPr>
          <w:trHeight w:val="168"/>
          <w:jc w:val="center"/>
        </w:trPr>
        <w:tc>
          <w:tcPr>
            <w:tcW w:w="4528" w:type="dxa"/>
            <w:vAlign w:val="center"/>
          </w:tcPr>
          <w:p w14:paraId="34013643" w14:textId="77777777" w:rsidR="00151744" w:rsidRPr="006070EA" w:rsidRDefault="00151744" w:rsidP="000E35EE">
            <w:pPr>
              <w:pStyle w:val="Atextkurzva"/>
              <w:rPr>
                <w:rFonts w:asciiTheme="majorHAnsi" w:hAnsiTheme="majorHAnsi" w:cstheme="majorHAnsi"/>
                <w:color w:val="000000"/>
              </w:rPr>
            </w:pPr>
            <w:r w:rsidRPr="006070EA">
              <w:rPr>
                <w:rFonts w:asciiTheme="majorHAnsi" w:hAnsiTheme="majorHAnsi" w:cstheme="majorHAnsi"/>
                <w:color w:val="000000"/>
              </w:rPr>
              <w:t>Zákres sídla ve Stabilním katastru z roku 1838</w:t>
            </w:r>
          </w:p>
        </w:tc>
        <w:tc>
          <w:tcPr>
            <w:tcW w:w="4410" w:type="dxa"/>
            <w:vAlign w:val="center"/>
          </w:tcPr>
          <w:p w14:paraId="2D8B7AD6" w14:textId="77777777" w:rsidR="00151744" w:rsidRPr="006070EA" w:rsidRDefault="00151744" w:rsidP="000E35EE">
            <w:pPr>
              <w:pStyle w:val="Atextkurzva"/>
              <w:rPr>
                <w:rFonts w:asciiTheme="majorHAnsi" w:hAnsiTheme="majorHAnsi" w:cstheme="majorHAnsi"/>
                <w:color w:val="000000"/>
              </w:rPr>
            </w:pPr>
            <w:r w:rsidRPr="006070EA">
              <w:rPr>
                <w:rFonts w:asciiTheme="majorHAnsi" w:hAnsiTheme="majorHAnsi" w:cstheme="majorHAnsi"/>
                <w:color w:val="000000"/>
              </w:rPr>
              <w:t>Letecký snímek z roku 1954</w:t>
            </w:r>
          </w:p>
        </w:tc>
      </w:tr>
      <w:tr w:rsidR="00151744" w:rsidRPr="006070EA" w14:paraId="13C7A618" w14:textId="77777777" w:rsidTr="000E35EE">
        <w:trPr>
          <w:trHeight w:val="283"/>
          <w:jc w:val="center"/>
        </w:trPr>
        <w:tc>
          <w:tcPr>
            <w:tcW w:w="4528" w:type="dxa"/>
          </w:tcPr>
          <w:p w14:paraId="66D72FB4" w14:textId="77777777" w:rsidR="00151744" w:rsidRPr="006070EA" w:rsidRDefault="00151744" w:rsidP="000E35EE">
            <w:pPr>
              <w:pStyle w:val="Bezmezer"/>
              <w:keepNext/>
              <w:rPr>
                <w:rFonts w:asciiTheme="majorHAnsi" w:hAnsiTheme="majorHAnsi" w:cstheme="majorHAnsi"/>
                <w:b/>
                <w:color w:val="000000"/>
                <w:lang w:val="cs-CZ"/>
              </w:rPr>
            </w:pPr>
            <w:r w:rsidRPr="006070EA">
              <w:rPr>
                <w:rFonts w:asciiTheme="majorHAnsi" w:hAnsiTheme="majorHAnsi" w:cstheme="majorHAnsi"/>
                <w:noProof/>
                <w:color w:val="000000"/>
                <w:lang w:val="cs-CZ" w:eastAsia="cs-CZ"/>
              </w:rPr>
              <w:drawing>
                <wp:inline distT="0" distB="0" distL="0" distR="0" wp14:anchorId="489C3098" wp14:editId="2B012391">
                  <wp:extent cx="2838450" cy="2838450"/>
                  <wp:effectExtent l="0" t="0" r="0" b="0"/>
                  <wp:docPr id="11" name="Obrázek 11" descr="Obsah obrázku text&#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Obrázek 11" descr="Obsah obrázku text&#10;&#10;Popis byl vytvořen automaticky"/>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838450" cy="2838450"/>
                          </a:xfrm>
                          <a:prstGeom prst="rect">
                            <a:avLst/>
                          </a:prstGeom>
                          <a:noFill/>
                          <a:ln>
                            <a:noFill/>
                          </a:ln>
                        </pic:spPr>
                      </pic:pic>
                    </a:graphicData>
                  </a:graphic>
                </wp:inline>
              </w:drawing>
            </w:r>
          </w:p>
        </w:tc>
        <w:tc>
          <w:tcPr>
            <w:tcW w:w="4410" w:type="dxa"/>
          </w:tcPr>
          <w:p w14:paraId="684E02A0" w14:textId="3CC1FA70" w:rsidR="003C696A" w:rsidRPr="006070EA" w:rsidRDefault="003C696A" w:rsidP="003C696A">
            <w:pPr>
              <w:pStyle w:val="Atext"/>
              <w:rPr>
                <w:rFonts w:asciiTheme="majorHAnsi" w:hAnsiTheme="majorHAnsi" w:cstheme="majorHAnsi"/>
                <w:color w:val="000000"/>
              </w:rPr>
            </w:pPr>
            <w:r w:rsidRPr="006070EA">
              <w:rPr>
                <w:rFonts w:asciiTheme="majorHAnsi" w:hAnsiTheme="majorHAnsi" w:cstheme="majorHAnsi"/>
                <w:color w:val="000000"/>
                <w:shd w:val="clear" w:color="auto" w:fill="FFFFFF"/>
              </w:rPr>
              <w:t>Roku 1709 založil hrabě František Antonín Špork v Lysé novou ves při Hroněticích se šesti chalupami a rozdělil hronětické grunty novým osadníkům. Ves (dnes Vápensko) byla původně pojmenována „Ráj“. Jméno se však dlouho neudrželo</w:t>
            </w:r>
            <w:r w:rsidR="00303A96" w:rsidRPr="006070EA">
              <w:rPr>
                <w:rFonts w:asciiTheme="majorHAnsi" w:hAnsiTheme="majorHAnsi" w:cstheme="majorHAnsi"/>
                <w:color w:val="000000"/>
                <w:shd w:val="clear" w:color="auto" w:fill="FFFFFF"/>
              </w:rPr>
              <w:t>.</w:t>
            </w:r>
          </w:p>
        </w:tc>
      </w:tr>
      <w:tr w:rsidR="00151744" w:rsidRPr="006070EA" w14:paraId="5C8DDACA" w14:textId="77777777" w:rsidTr="000E35EE">
        <w:trPr>
          <w:trHeight w:val="283"/>
          <w:jc w:val="center"/>
        </w:trPr>
        <w:tc>
          <w:tcPr>
            <w:tcW w:w="4528" w:type="dxa"/>
            <w:vAlign w:val="center"/>
          </w:tcPr>
          <w:p w14:paraId="6D3BA4C2" w14:textId="77777777" w:rsidR="00151744" w:rsidRPr="006070EA" w:rsidRDefault="00151744" w:rsidP="000E35EE">
            <w:pPr>
              <w:pStyle w:val="Atextkurzva"/>
              <w:rPr>
                <w:rFonts w:asciiTheme="majorHAnsi" w:hAnsiTheme="majorHAnsi" w:cstheme="majorHAnsi"/>
                <w:color w:val="000000"/>
              </w:rPr>
            </w:pPr>
            <w:r w:rsidRPr="006070EA">
              <w:rPr>
                <w:rFonts w:asciiTheme="majorHAnsi" w:hAnsiTheme="majorHAnsi" w:cstheme="majorHAnsi"/>
                <w:color w:val="000000"/>
              </w:rPr>
              <w:t>Letecký snímek z roku 2010</w:t>
            </w:r>
          </w:p>
        </w:tc>
        <w:tc>
          <w:tcPr>
            <w:tcW w:w="4410" w:type="dxa"/>
            <w:vAlign w:val="center"/>
          </w:tcPr>
          <w:p w14:paraId="242C8F9A" w14:textId="77777777" w:rsidR="00151744" w:rsidRPr="006070EA" w:rsidRDefault="00151744" w:rsidP="000E35EE">
            <w:pPr>
              <w:pStyle w:val="Bezmezer"/>
              <w:rPr>
                <w:rFonts w:asciiTheme="majorHAnsi" w:hAnsiTheme="majorHAnsi" w:cstheme="majorHAnsi"/>
                <w:i/>
                <w:color w:val="000000"/>
                <w:lang w:val="cs-CZ"/>
              </w:rPr>
            </w:pPr>
          </w:p>
        </w:tc>
      </w:tr>
    </w:tbl>
    <w:p w14:paraId="1FFFEC7A" w14:textId="5F3F6497" w:rsidR="00DE526D" w:rsidRPr="006070EA" w:rsidRDefault="00BC0409" w:rsidP="005F4B67">
      <w:pPr>
        <w:spacing w:before="120" w:after="120" w:line="240" w:lineRule="auto"/>
        <w:ind w:firstLine="709"/>
        <w:jc w:val="both"/>
        <w:rPr>
          <w:rFonts w:asciiTheme="majorHAnsi" w:hAnsiTheme="majorHAnsi" w:cstheme="majorHAnsi"/>
          <w:sz w:val="18"/>
        </w:rPr>
      </w:pPr>
      <w:r w:rsidRPr="006070EA">
        <w:rPr>
          <w:rFonts w:asciiTheme="majorHAnsi" w:hAnsiTheme="majorHAnsi" w:cstheme="majorHAnsi"/>
          <w:sz w:val="18"/>
        </w:rPr>
        <w:t>Charakter krajiny zůstává převážně zachován, převažuje zemědělské využití. Z porovnání leteckých snímků z</w:t>
      </w:r>
      <w:r w:rsidR="00303A96" w:rsidRPr="006070EA">
        <w:rPr>
          <w:rFonts w:asciiTheme="majorHAnsi" w:hAnsiTheme="majorHAnsi" w:cstheme="majorHAnsi"/>
          <w:sz w:val="18"/>
        </w:rPr>
        <w:t xml:space="preserve"> 50. </w:t>
      </w:r>
      <w:r w:rsidRPr="006070EA">
        <w:rPr>
          <w:rFonts w:asciiTheme="majorHAnsi" w:hAnsiTheme="majorHAnsi" w:cstheme="majorHAnsi"/>
          <w:sz w:val="18"/>
        </w:rPr>
        <w:t xml:space="preserve">let </w:t>
      </w:r>
      <w:r w:rsidR="00303A96" w:rsidRPr="006070EA">
        <w:rPr>
          <w:rFonts w:asciiTheme="majorHAnsi" w:hAnsiTheme="majorHAnsi" w:cstheme="majorHAnsi"/>
          <w:sz w:val="18"/>
        </w:rPr>
        <w:t xml:space="preserve">20. století (vlevo) a ze současnosti (vlevo) </w:t>
      </w:r>
      <w:r w:rsidRPr="006070EA">
        <w:rPr>
          <w:rFonts w:asciiTheme="majorHAnsi" w:hAnsiTheme="majorHAnsi" w:cstheme="majorHAnsi"/>
          <w:sz w:val="18"/>
        </w:rPr>
        <w:t xml:space="preserve">je zřejmé zejména scelení zemědělských pozemků do větších bloků. </w:t>
      </w:r>
    </w:p>
    <w:p w14:paraId="1084A8D7" w14:textId="0D67C1FA" w:rsidR="00303A96" w:rsidRPr="006070EA" w:rsidRDefault="00303A96" w:rsidP="00303A96">
      <w:pPr>
        <w:spacing w:before="60" w:after="0" w:line="240" w:lineRule="auto"/>
        <w:jc w:val="both"/>
        <w:rPr>
          <w:rFonts w:asciiTheme="majorHAnsi" w:hAnsiTheme="majorHAnsi" w:cstheme="majorHAnsi"/>
          <w:color w:val="FF0000"/>
          <w:sz w:val="18"/>
        </w:rPr>
      </w:pPr>
      <w:r w:rsidRPr="006070EA">
        <w:rPr>
          <w:rFonts w:asciiTheme="majorHAnsi" w:hAnsiTheme="majorHAnsi" w:cstheme="majorHAnsi"/>
          <w:noProof/>
          <w:color w:val="FF0000"/>
          <w:sz w:val="18"/>
        </w:rPr>
        <w:lastRenderedPageBreak/>
        <w:drawing>
          <wp:inline distT="0" distB="0" distL="0" distR="0" wp14:anchorId="44B09020" wp14:editId="5ACD3499">
            <wp:extent cx="2843370" cy="3867150"/>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47">
                      <a:extLst>
                        <a:ext uri="{28A0092B-C50C-407E-A947-70E740481C1C}">
                          <a14:useLocalDpi xmlns:a14="http://schemas.microsoft.com/office/drawing/2010/main" val="0"/>
                        </a:ext>
                      </a:extLst>
                    </a:blip>
                    <a:srcRect t="729" b="680"/>
                    <a:stretch/>
                  </pic:blipFill>
                  <pic:spPr bwMode="auto">
                    <a:xfrm>
                      <a:off x="0" y="0"/>
                      <a:ext cx="2844000" cy="3868007"/>
                    </a:xfrm>
                    <a:prstGeom prst="rect">
                      <a:avLst/>
                    </a:prstGeom>
                    <a:noFill/>
                    <a:ln>
                      <a:noFill/>
                    </a:ln>
                    <a:extLst>
                      <a:ext uri="{53640926-AAD7-44D8-BBD7-CCE9431645EC}">
                        <a14:shadowObscured xmlns:a14="http://schemas.microsoft.com/office/drawing/2010/main"/>
                      </a:ext>
                    </a:extLst>
                  </pic:spPr>
                </pic:pic>
              </a:graphicData>
            </a:graphic>
          </wp:inline>
        </w:drawing>
      </w:r>
      <w:r w:rsidR="009E0B7E" w:rsidRPr="006070EA">
        <w:rPr>
          <w:rFonts w:asciiTheme="majorHAnsi" w:hAnsiTheme="majorHAnsi" w:cstheme="majorHAnsi"/>
          <w:color w:val="FF0000"/>
          <w:sz w:val="18"/>
        </w:rPr>
        <w:t xml:space="preserve"> </w:t>
      </w:r>
      <w:r w:rsidRPr="006070EA">
        <w:rPr>
          <w:rFonts w:asciiTheme="majorHAnsi" w:hAnsiTheme="majorHAnsi" w:cstheme="majorHAnsi"/>
          <w:noProof/>
          <w:color w:val="FF0000"/>
          <w:sz w:val="18"/>
        </w:rPr>
        <w:drawing>
          <wp:inline distT="0" distB="0" distL="0" distR="0" wp14:anchorId="697D8C53" wp14:editId="6ED8AA1A">
            <wp:extent cx="2844000" cy="3876444"/>
            <wp:effectExtent l="0" t="0" r="0"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844000" cy="3876444"/>
                    </a:xfrm>
                    <a:prstGeom prst="rect">
                      <a:avLst/>
                    </a:prstGeom>
                    <a:noFill/>
                    <a:ln>
                      <a:noFill/>
                    </a:ln>
                  </pic:spPr>
                </pic:pic>
              </a:graphicData>
            </a:graphic>
          </wp:inline>
        </w:drawing>
      </w:r>
    </w:p>
    <w:p w14:paraId="381FD7CB" w14:textId="0FD25ABF" w:rsidR="00AB1F4C" w:rsidRPr="006070EA" w:rsidRDefault="00AB1F4C" w:rsidP="005F4B67">
      <w:pPr>
        <w:spacing w:before="120" w:after="120" w:line="240" w:lineRule="auto"/>
        <w:ind w:firstLine="709"/>
        <w:jc w:val="both"/>
        <w:rPr>
          <w:rFonts w:asciiTheme="majorHAnsi" w:hAnsiTheme="majorHAnsi" w:cstheme="majorHAnsi"/>
          <w:sz w:val="18"/>
        </w:rPr>
      </w:pPr>
      <w:r w:rsidRPr="006070EA">
        <w:rPr>
          <w:rFonts w:asciiTheme="majorHAnsi" w:hAnsiTheme="majorHAnsi" w:cstheme="majorHAnsi"/>
          <w:sz w:val="18"/>
        </w:rPr>
        <w:t>Od </w:t>
      </w:r>
      <w:r w:rsidR="002F426A" w:rsidRPr="006070EA">
        <w:rPr>
          <w:rFonts w:asciiTheme="majorHAnsi" w:hAnsiTheme="majorHAnsi" w:cstheme="majorHAnsi"/>
          <w:sz w:val="18"/>
        </w:rPr>
        <w:t>devadesátých let</w:t>
      </w:r>
      <w:r w:rsidRPr="006070EA">
        <w:rPr>
          <w:rFonts w:asciiTheme="majorHAnsi" w:hAnsiTheme="majorHAnsi" w:cstheme="majorHAnsi"/>
          <w:sz w:val="18"/>
        </w:rPr>
        <w:t xml:space="preserve"> dochází v obci ke kontinuálnímu růstu počtu obyvatel. Ten spolu s rostoucími nároky na kvalitu bydlení a s tím spjatým snižujícím se počtem obyvatel obývajících jednu domácnost </w:t>
      </w:r>
      <w:r w:rsidR="002F426A" w:rsidRPr="006070EA">
        <w:rPr>
          <w:rFonts w:asciiTheme="majorHAnsi" w:hAnsiTheme="majorHAnsi" w:cstheme="majorHAnsi"/>
          <w:sz w:val="18"/>
        </w:rPr>
        <w:t>zapříčinil</w:t>
      </w:r>
      <w:r w:rsidRPr="006070EA">
        <w:rPr>
          <w:rFonts w:asciiTheme="majorHAnsi" w:hAnsiTheme="majorHAnsi" w:cstheme="majorHAnsi"/>
          <w:sz w:val="18"/>
        </w:rPr>
        <w:t xml:space="preserve"> rozvoj zástavby v</w:t>
      </w:r>
      <w:r w:rsidR="00BC0409" w:rsidRPr="006070EA">
        <w:rPr>
          <w:rFonts w:asciiTheme="majorHAnsi" w:hAnsiTheme="majorHAnsi" w:cstheme="majorHAnsi"/>
          <w:sz w:val="18"/>
        </w:rPr>
        <w:t> </w:t>
      </w:r>
      <w:r w:rsidRPr="006070EA">
        <w:rPr>
          <w:rFonts w:asciiTheme="majorHAnsi" w:hAnsiTheme="majorHAnsi" w:cstheme="majorHAnsi"/>
          <w:sz w:val="18"/>
        </w:rPr>
        <w:t>obci</w:t>
      </w:r>
      <w:r w:rsidR="00BC0409" w:rsidRPr="006070EA">
        <w:rPr>
          <w:rFonts w:asciiTheme="majorHAnsi" w:hAnsiTheme="majorHAnsi" w:cstheme="majorHAnsi"/>
          <w:sz w:val="18"/>
        </w:rPr>
        <w:t xml:space="preserve">, který je nejzřetelnější </w:t>
      </w:r>
      <w:r w:rsidRPr="006070EA">
        <w:rPr>
          <w:rFonts w:asciiTheme="majorHAnsi" w:hAnsiTheme="majorHAnsi" w:cstheme="majorHAnsi"/>
          <w:sz w:val="18"/>
        </w:rPr>
        <w:t>v</w:t>
      </w:r>
      <w:r w:rsidR="00BC0409" w:rsidRPr="006070EA">
        <w:rPr>
          <w:rFonts w:asciiTheme="majorHAnsi" w:hAnsiTheme="majorHAnsi" w:cstheme="majorHAnsi"/>
          <w:sz w:val="18"/>
        </w:rPr>
        <w:t> </w:t>
      </w:r>
      <w:r w:rsidR="009E0B7E" w:rsidRPr="006070EA">
        <w:rPr>
          <w:rFonts w:asciiTheme="majorHAnsi" w:hAnsiTheme="majorHAnsi" w:cstheme="majorHAnsi"/>
          <w:sz w:val="18"/>
        </w:rPr>
        <w:t>jižní</w:t>
      </w:r>
      <w:r w:rsidR="00BC0409" w:rsidRPr="006070EA">
        <w:rPr>
          <w:rFonts w:asciiTheme="majorHAnsi" w:hAnsiTheme="majorHAnsi" w:cstheme="majorHAnsi"/>
          <w:sz w:val="18"/>
        </w:rPr>
        <w:t xml:space="preserve"> </w:t>
      </w:r>
      <w:r w:rsidR="002F426A" w:rsidRPr="006070EA">
        <w:rPr>
          <w:rFonts w:asciiTheme="majorHAnsi" w:hAnsiTheme="majorHAnsi" w:cstheme="majorHAnsi"/>
          <w:sz w:val="18"/>
        </w:rPr>
        <w:t xml:space="preserve">části </w:t>
      </w:r>
      <w:r w:rsidR="009E0B7E" w:rsidRPr="006070EA">
        <w:rPr>
          <w:rFonts w:asciiTheme="majorHAnsi" w:hAnsiTheme="majorHAnsi" w:cstheme="majorHAnsi"/>
          <w:sz w:val="18"/>
        </w:rPr>
        <w:t>Kostomlat nad Labem</w:t>
      </w:r>
      <w:r w:rsidRPr="006070EA">
        <w:rPr>
          <w:rFonts w:asciiTheme="majorHAnsi" w:hAnsiTheme="majorHAnsi" w:cstheme="majorHAnsi"/>
          <w:sz w:val="18"/>
        </w:rPr>
        <w:t xml:space="preserve">. </w:t>
      </w:r>
    </w:p>
    <w:p w14:paraId="38A6478F" w14:textId="6762885A" w:rsidR="00AB1F4C" w:rsidRPr="006070EA" w:rsidRDefault="002A349E" w:rsidP="009E07E1">
      <w:pPr>
        <w:spacing w:before="120" w:after="120" w:line="240" w:lineRule="auto"/>
        <w:ind w:firstLine="709"/>
        <w:jc w:val="both"/>
        <w:rPr>
          <w:rFonts w:asciiTheme="majorHAnsi" w:hAnsiTheme="majorHAnsi" w:cstheme="majorHAnsi"/>
          <w:sz w:val="18"/>
        </w:rPr>
      </w:pPr>
      <w:r w:rsidRPr="006070EA">
        <w:rPr>
          <w:rFonts w:asciiTheme="majorHAnsi" w:hAnsiTheme="majorHAnsi" w:cstheme="majorHAnsi"/>
          <w:sz w:val="18"/>
        </w:rPr>
        <w:t>Z</w:t>
      </w:r>
      <w:r w:rsidR="00BC0409" w:rsidRPr="006070EA">
        <w:rPr>
          <w:rFonts w:asciiTheme="majorHAnsi" w:hAnsiTheme="majorHAnsi" w:cstheme="majorHAnsi"/>
          <w:sz w:val="18"/>
        </w:rPr>
        <w:t>astavěné území v</w:t>
      </w:r>
      <w:r w:rsidR="009E0B7E" w:rsidRPr="006070EA">
        <w:rPr>
          <w:rFonts w:asciiTheme="majorHAnsi" w:hAnsiTheme="majorHAnsi" w:cstheme="majorHAnsi"/>
          <w:sz w:val="18"/>
        </w:rPr>
        <w:t xml:space="preserve"> sídlech </w:t>
      </w:r>
      <w:r w:rsidR="00AB1F4C" w:rsidRPr="006070EA">
        <w:rPr>
          <w:rFonts w:asciiTheme="majorHAnsi" w:hAnsiTheme="majorHAnsi" w:cstheme="majorHAnsi"/>
          <w:sz w:val="18"/>
        </w:rPr>
        <w:t xml:space="preserve">je </w:t>
      </w:r>
      <w:r w:rsidR="00BC0409" w:rsidRPr="006070EA">
        <w:rPr>
          <w:rFonts w:asciiTheme="majorHAnsi" w:hAnsiTheme="majorHAnsi" w:cstheme="majorHAnsi"/>
          <w:sz w:val="18"/>
        </w:rPr>
        <w:t>převážně</w:t>
      </w:r>
      <w:r w:rsidR="00AB1F4C" w:rsidRPr="006070EA">
        <w:rPr>
          <w:rFonts w:asciiTheme="majorHAnsi" w:hAnsiTheme="majorHAnsi" w:cstheme="majorHAnsi"/>
          <w:sz w:val="18"/>
        </w:rPr>
        <w:t xml:space="preserve"> naplněno a tvoří poměrně kompaktní celk</w:t>
      </w:r>
      <w:r w:rsidR="009E0B7E" w:rsidRPr="006070EA">
        <w:rPr>
          <w:rFonts w:asciiTheme="majorHAnsi" w:hAnsiTheme="majorHAnsi" w:cstheme="majorHAnsi"/>
          <w:sz w:val="18"/>
        </w:rPr>
        <w:t>y</w:t>
      </w:r>
      <w:r w:rsidR="00AB1F4C" w:rsidRPr="006070EA">
        <w:rPr>
          <w:rFonts w:asciiTheme="majorHAnsi" w:hAnsiTheme="majorHAnsi" w:cstheme="majorHAnsi"/>
          <w:sz w:val="18"/>
        </w:rPr>
        <w:t xml:space="preserve">. Zástavba charakteristicky doprovází klíčové komunikace </w:t>
      </w:r>
      <w:r w:rsidR="009E0B7E" w:rsidRPr="006070EA">
        <w:rPr>
          <w:rFonts w:asciiTheme="majorHAnsi" w:hAnsiTheme="majorHAnsi" w:cstheme="majorHAnsi"/>
          <w:sz w:val="18"/>
        </w:rPr>
        <w:t xml:space="preserve">(silnice II. a III. třídy, místní komunikace) </w:t>
      </w:r>
      <w:r w:rsidR="00BC0409" w:rsidRPr="006070EA">
        <w:rPr>
          <w:rFonts w:asciiTheme="majorHAnsi" w:hAnsiTheme="majorHAnsi" w:cstheme="majorHAnsi"/>
          <w:sz w:val="18"/>
        </w:rPr>
        <w:t>a vodní toky (</w:t>
      </w:r>
      <w:r w:rsidR="009E0B7E" w:rsidRPr="006070EA">
        <w:rPr>
          <w:rFonts w:asciiTheme="majorHAnsi" w:hAnsiTheme="majorHAnsi" w:cstheme="majorHAnsi"/>
          <w:sz w:val="18"/>
        </w:rPr>
        <w:t>Vlkava</w:t>
      </w:r>
      <w:r w:rsidR="00BC0409" w:rsidRPr="006070EA">
        <w:rPr>
          <w:rFonts w:asciiTheme="majorHAnsi" w:hAnsiTheme="majorHAnsi" w:cstheme="majorHAnsi"/>
          <w:sz w:val="18"/>
        </w:rPr>
        <w:t xml:space="preserve">, </w:t>
      </w:r>
      <w:r w:rsidR="009E0B7E" w:rsidRPr="006070EA">
        <w:rPr>
          <w:rFonts w:asciiTheme="majorHAnsi" w:hAnsiTheme="majorHAnsi" w:cstheme="majorHAnsi"/>
          <w:sz w:val="18"/>
        </w:rPr>
        <w:t xml:space="preserve">Hronětický </w:t>
      </w:r>
      <w:r w:rsidR="00BC0409" w:rsidRPr="006070EA">
        <w:rPr>
          <w:rFonts w:asciiTheme="majorHAnsi" w:hAnsiTheme="majorHAnsi" w:cstheme="majorHAnsi"/>
          <w:sz w:val="18"/>
        </w:rPr>
        <w:t xml:space="preserve">potok) </w:t>
      </w:r>
      <w:r w:rsidR="009E0B7E" w:rsidRPr="006070EA">
        <w:rPr>
          <w:rFonts w:asciiTheme="majorHAnsi" w:hAnsiTheme="majorHAnsi" w:cstheme="majorHAnsi"/>
          <w:sz w:val="18"/>
        </w:rPr>
        <w:t xml:space="preserve">v </w:t>
      </w:r>
      <w:r w:rsidR="00BC0409" w:rsidRPr="006070EA">
        <w:rPr>
          <w:rFonts w:asciiTheme="majorHAnsi" w:hAnsiTheme="majorHAnsi" w:cstheme="majorHAnsi"/>
          <w:sz w:val="18"/>
        </w:rPr>
        <w:t>řešené</w:t>
      </w:r>
      <w:r w:rsidR="009E0B7E" w:rsidRPr="006070EA">
        <w:rPr>
          <w:rFonts w:asciiTheme="majorHAnsi" w:hAnsiTheme="majorHAnsi" w:cstheme="majorHAnsi"/>
          <w:sz w:val="18"/>
        </w:rPr>
        <w:t>m</w:t>
      </w:r>
      <w:r w:rsidR="00BC0409" w:rsidRPr="006070EA">
        <w:rPr>
          <w:rFonts w:asciiTheme="majorHAnsi" w:hAnsiTheme="majorHAnsi" w:cstheme="majorHAnsi"/>
          <w:sz w:val="18"/>
        </w:rPr>
        <w:t xml:space="preserve"> území. V </w:t>
      </w:r>
      <w:r w:rsidR="00AB1F4C" w:rsidRPr="006070EA">
        <w:rPr>
          <w:rFonts w:asciiTheme="majorHAnsi" w:hAnsiTheme="majorHAnsi" w:cstheme="majorHAnsi"/>
          <w:sz w:val="18"/>
        </w:rPr>
        <w:t>území lze nalézt několik proluk, které lze označit za vnitřní rezervy zastavěného území, a jejichž využití by napomohlo k naplnění zvýšené poptávky po bydlení v</w:t>
      </w:r>
      <w:r w:rsidR="009E0B7E" w:rsidRPr="006070EA">
        <w:rPr>
          <w:rFonts w:asciiTheme="majorHAnsi" w:hAnsiTheme="majorHAnsi" w:cstheme="majorHAnsi"/>
          <w:sz w:val="18"/>
        </w:rPr>
        <w:t> </w:t>
      </w:r>
      <w:r w:rsidR="00AB1F4C" w:rsidRPr="006070EA">
        <w:rPr>
          <w:rFonts w:asciiTheme="majorHAnsi" w:hAnsiTheme="majorHAnsi" w:cstheme="majorHAnsi"/>
          <w:sz w:val="18"/>
        </w:rPr>
        <w:t>obci</w:t>
      </w:r>
      <w:r w:rsidR="009E0B7E" w:rsidRPr="006070EA">
        <w:rPr>
          <w:rFonts w:asciiTheme="majorHAnsi" w:hAnsiTheme="majorHAnsi" w:cstheme="majorHAnsi"/>
          <w:sz w:val="18"/>
        </w:rPr>
        <w:t xml:space="preserve"> (podrobněji viz kapitola 10.1)</w:t>
      </w:r>
      <w:r w:rsidR="00AB1F4C" w:rsidRPr="006070EA">
        <w:rPr>
          <w:rFonts w:asciiTheme="majorHAnsi" w:hAnsiTheme="majorHAnsi" w:cstheme="majorHAnsi"/>
          <w:sz w:val="18"/>
        </w:rPr>
        <w:t xml:space="preserve">. </w:t>
      </w:r>
    </w:p>
    <w:p w14:paraId="651E4249" w14:textId="79F39FF9" w:rsidR="00AB1F4C" w:rsidRPr="006070EA" w:rsidRDefault="00AB1F4C" w:rsidP="009E07E1">
      <w:pPr>
        <w:keepNext/>
        <w:spacing w:before="120" w:after="120" w:line="240" w:lineRule="auto"/>
        <w:rPr>
          <w:rFonts w:asciiTheme="majorHAnsi" w:hAnsiTheme="majorHAnsi" w:cstheme="majorHAnsi"/>
          <w:b/>
          <w:sz w:val="18"/>
          <w:szCs w:val="20"/>
        </w:rPr>
      </w:pPr>
      <w:r w:rsidRPr="006070EA">
        <w:rPr>
          <w:rFonts w:asciiTheme="majorHAnsi" w:hAnsiTheme="majorHAnsi" w:cstheme="majorHAnsi"/>
          <w:b/>
          <w:sz w:val="18"/>
          <w:szCs w:val="20"/>
        </w:rPr>
        <w:t>Odůvodnění stanovené urbanistické koncepce</w:t>
      </w:r>
      <w:r w:rsidR="009E0B7E" w:rsidRPr="006070EA">
        <w:rPr>
          <w:rFonts w:asciiTheme="majorHAnsi" w:hAnsiTheme="majorHAnsi" w:cstheme="majorHAnsi"/>
          <w:b/>
          <w:sz w:val="18"/>
          <w:szCs w:val="20"/>
        </w:rPr>
        <w:t xml:space="preserve"> </w:t>
      </w:r>
    </w:p>
    <w:p w14:paraId="05E5282F" w14:textId="04D9F936" w:rsidR="005F4B67" w:rsidRPr="006070EA" w:rsidRDefault="005F4B67" w:rsidP="005F4B67">
      <w:pPr>
        <w:pStyle w:val="Atext"/>
        <w:keepNext/>
        <w:ind w:firstLine="0"/>
        <w:jc w:val="right"/>
        <w:rPr>
          <w:rFonts w:asciiTheme="majorHAnsi" w:hAnsiTheme="majorHAnsi" w:cstheme="majorHAnsi"/>
          <w:i/>
          <w:snapToGrid w:val="0"/>
          <w:u w:val="single"/>
        </w:rPr>
      </w:pPr>
      <w:r w:rsidRPr="006070EA">
        <w:rPr>
          <w:rFonts w:asciiTheme="majorHAnsi" w:hAnsiTheme="majorHAnsi" w:cstheme="majorHAnsi"/>
          <w:i/>
          <w:snapToGrid w:val="0"/>
          <w:u w:val="single"/>
        </w:rPr>
        <w:t xml:space="preserve">Odůvodnění odst. </w:t>
      </w:r>
      <w:r w:rsidRPr="006070EA">
        <w:rPr>
          <w:rFonts w:asciiTheme="majorHAnsi" w:hAnsiTheme="majorHAnsi" w:cstheme="majorHAnsi"/>
          <w:b/>
          <w:i/>
          <w:snapToGrid w:val="0"/>
          <w:u w:val="single"/>
        </w:rPr>
        <w:t xml:space="preserve">(7) </w:t>
      </w:r>
      <w:r w:rsidRPr="006070EA">
        <w:rPr>
          <w:rFonts w:asciiTheme="majorHAnsi" w:hAnsiTheme="majorHAnsi" w:cstheme="majorHAnsi"/>
          <w:i/>
          <w:snapToGrid w:val="0"/>
          <w:u w:val="single"/>
        </w:rPr>
        <w:t>výrokové části</w:t>
      </w:r>
    </w:p>
    <w:p w14:paraId="54E1C721" w14:textId="1954F8B4" w:rsidR="00AB1F4C" w:rsidRPr="006070EA" w:rsidRDefault="00AB1F4C" w:rsidP="00C41C56">
      <w:pPr>
        <w:spacing w:before="120" w:after="120" w:line="240" w:lineRule="auto"/>
        <w:ind w:firstLine="708"/>
        <w:jc w:val="both"/>
        <w:rPr>
          <w:rFonts w:asciiTheme="majorHAnsi" w:hAnsiTheme="majorHAnsi" w:cstheme="majorHAnsi"/>
          <w:sz w:val="18"/>
        </w:rPr>
      </w:pPr>
      <w:r w:rsidRPr="006070EA">
        <w:rPr>
          <w:rFonts w:asciiTheme="majorHAnsi" w:hAnsiTheme="majorHAnsi" w:cstheme="majorHAnsi"/>
          <w:sz w:val="18"/>
        </w:rPr>
        <w:t xml:space="preserve">Územní plán je koncipován s ohledem na funkční, plošné a prostorové předpoklady obce </w:t>
      </w:r>
      <w:r w:rsidR="005F4B67" w:rsidRPr="006070EA">
        <w:rPr>
          <w:rFonts w:asciiTheme="majorHAnsi" w:hAnsiTheme="majorHAnsi" w:cstheme="majorHAnsi"/>
          <w:sz w:val="18"/>
        </w:rPr>
        <w:t>Kostomlaty nad Labem</w:t>
      </w:r>
      <w:r w:rsidRPr="006070EA">
        <w:rPr>
          <w:rFonts w:asciiTheme="majorHAnsi" w:hAnsiTheme="majorHAnsi" w:cstheme="majorHAnsi"/>
          <w:sz w:val="18"/>
        </w:rPr>
        <w:t>. Respektuje stávající urbanistickou strukturu sídla, architektonické, historické a kulturní hodnoty, limity využití území (přírodní, technické), geomorfologické podmínky a zohledňuje výhledové předpoklady obce.</w:t>
      </w:r>
    </w:p>
    <w:p w14:paraId="74A12A4E" w14:textId="4F0D6D6B" w:rsidR="00AB1F4C" w:rsidRPr="006070EA" w:rsidRDefault="00AB1F4C" w:rsidP="00C41C56">
      <w:pPr>
        <w:spacing w:before="120" w:after="120" w:line="240" w:lineRule="auto"/>
        <w:ind w:firstLine="708"/>
        <w:jc w:val="both"/>
        <w:rPr>
          <w:rFonts w:asciiTheme="majorHAnsi" w:hAnsiTheme="majorHAnsi" w:cstheme="majorHAnsi"/>
          <w:sz w:val="18"/>
        </w:rPr>
      </w:pPr>
      <w:r w:rsidRPr="006070EA">
        <w:rPr>
          <w:rFonts w:asciiTheme="majorHAnsi" w:hAnsiTheme="majorHAnsi" w:cstheme="majorHAnsi"/>
          <w:sz w:val="18"/>
        </w:rPr>
        <w:t>Při vymezování zastavitelných ploch byly respektovány kompoziční vztahy v území a vytvořeny předpoklady pro zachování přírodních a architektonických dominant a fyzické prostupnosti území. Návrh zastavitelných ploch vychází zejména ze snahy zachovat v co největší míře stávající strukturu urbanizovaného území a novou zástavbou ji doplnit</w:t>
      </w:r>
      <w:r w:rsidR="00C16D54" w:rsidRPr="006070EA">
        <w:rPr>
          <w:rFonts w:asciiTheme="majorHAnsi" w:hAnsiTheme="majorHAnsi" w:cstheme="majorHAnsi"/>
          <w:sz w:val="18"/>
        </w:rPr>
        <w:t xml:space="preserve"> v souladu s koncepcí stanovenou platnou ÚPD obce</w:t>
      </w:r>
      <w:r w:rsidRPr="006070EA">
        <w:rPr>
          <w:rFonts w:asciiTheme="majorHAnsi" w:hAnsiTheme="majorHAnsi" w:cstheme="majorHAnsi"/>
          <w:sz w:val="18"/>
        </w:rPr>
        <w:t xml:space="preserve">. Preferována je přestavba stávajících </w:t>
      </w:r>
      <w:r w:rsidR="009C1BBA" w:rsidRPr="006070EA">
        <w:rPr>
          <w:rFonts w:asciiTheme="majorHAnsi" w:hAnsiTheme="majorHAnsi" w:cstheme="majorHAnsi"/>
          <w:sz w:val="18"/>
        </w:rPr>
        <w:t>objektů a doplnění zástavby</w:t>
      </w:r>
      <w:r w:rsidRPr="006070EA">
        <w:rPr>
          <w:rFonts w:asciiTheme="majorHAnsi" w:hAnsiTheme="majorHAnsi" w:cstheme="majorHAnsi"/>
          <w:sz w:val="18"/>
        </w:rPr>
        <w:t xml:space="preserve"> v zastavěném území</w:t>
      </w:r>
      <w:r w:rsidR="00C41C56" w:rsidRPr="006070EA">
        <w:rPr>
          <w:rFonts w:asciiTheme="majorHAnsi" w:hAnsiTheme="majorHAnsi" w:cstheme="majorHAnsi"/>
          <w:sz w:val="18"/>
        </w:rPr>
        <w:t xml:space="preserve"> a v přímé vazbě na něj</w:t>
      </w:r>
      <w:r w:rsidRPr="006070EA">
        <w:rPr>
          <w:rFonts w:asciiTheme="majorHAnsi" w:hAnsiTheme="majorHAnsi" w:cstheme="majorHAnsi"/>
          <w:sz w:val="18"/>
        </w:rPr>
        <w:t xml:space="preserve"> před </w:t>
      </w:r>
      <w:r w:rsidR="009C1BBA" w:rsidRPr="006070EA">
        <w:rPr>
          <w:rFonts w:asciiTheme="majorHAnsi" w:hAnsiTheme="majorHAnsi" w:cstheme="majorHAnsi"/>
          <w:sz w:val="18"/>
        </w:rPr>
        <w:t xml:space="preserve">novou </w:t>
      </w:r>
      <w:r w:rsidRPr="006070EA">
        <w:rPr>
          <w:rFonts w:asciiTheme="majorHAnsi" w:hAnsiTheme="majorHAnsi" w:cstheme="majorHAnsi"/>
          <w:sz w:val="18"/>
        </w:rPr>
        <w:t>zástavbou zasahující do volné krajiny.</w:t>
      </w:r>
    </w:p>
    <w:p w14:paraId="7AB7AC7F" w14:textId="0229FE64" w:rsidR="00451158" w:rsidRPr="006070EA" w:rsidRDefault="00451158" w:rsidP="00451158">
      <w:pPr>
        <w:pStyle w:val="Atext"/>
        <w:rPr>
          <w:rFonts w:asciiTheme="majorHAnsi" w:hAnsiTheme="majorHAnsi" w:cstheme="majorHAnsi"/>
        </w:rPr>
      </w:pPr>
      <w:r w:rsidRPr="006070EA">
        <w:rPr>
          <w:rFonts w:asciiTheme="majorHAnsi" w:hAnsiTheme="majorHAnsi" w:cstheme="majorHAnsi"/>
        </w:rPr>
        <w:t xml:space="preserve">Stabilizovaná urbanistická struktura sídel v území je dědictvím a dokladem historického vývoje území. Důvodem pro stanovení výroku je požadavek kontinuálního vývoje sídel se zohledněním a návazností na v minulosti již vytvořené urbanistické struktury. Ochrana těchto struktur je dále promítnuta do podmínek prostorového uspořádání zejména definováním prostorových struktur zástavby. </w:t>
      </w:r>
    </w:p>
    <w:p w14:paraId="65E0F310" w14:textId="2C808595" w:rsidR="00AB1F4C" w:rsidRPr="006070EA" w:rsidRDefault="00AB1F4C" w:rsidP="00C41C56">
      <w:pPr>
        <w:spacing w:before="120" w:after="120" w:line="240" w:lineRule="auto"/>
        <w:ind w:firstLine="708"/>
        <w:jc w:val="both"/>
        <w:rPr>
          <w:rFonts w:asciiTheme="majorHAnsi" w:hAnsiTheme="majorHAnsi" w:cstheme="majorHAnsi"/>
          <w:sz w:val="18"/>
        </w:rPr>
      </w:pPr>
      <w:r w:rsidRPr="006070EA">
        <w:rPr>
          <w:rFonts w:asciiTheme="majorHAnsi" w:hAnsiTheme="majorHAnsi" w:cstheme="majorHAnsi"/>
          <w:sz w:val="18"/>
        </w:rPr>
        <w:t>Vymezené zastavitelné plochy byly situovány do míst, kde vhodně doplní stávající zástavbu, výhradně v přímé návaznosti na zastavěné území, a kde bude možné jejich bezproblémové napojení na dopravní infrastrukturu a sítě technické infrastruktury. Cílem je vytvořit kompaktní urbanizované území a minimalizování nárok</w:t>
      </w:r>
      <w:r w:rsidR="009C1BBA" w:rsidRPr="006070EA">
        <w:rPr>
          <w:rFonts w:asciiTheme="majorHAnsi" w:hAnsiTheme="majorHAnsi" w:cstheme="majorHAnsi"/>
          <w:sz w:val="18"/>
        </w:rPr>
        <w:t>ů</w:t>
      </w:r>
      <w:r w:rsidRPr="006070EA">
        <w:rPr>
          <w:rFonts w:asciiTheme="majorHAnsi" w:hAnsiTheme="majorHAnsi" w:cstheme="majorHAnsi"/>
          <w:sz w:val="18"/>
        </w:rPr>
        <w:t xml:space="preserve"> na veřejné rozpočty a</w:t>
      </w:r>
      <w:r w:rsidR="00C16D54" w:rsidRPr="006070EA">
        <w:rPr>
          <w:rFonts w:asciiTheme="majorHAnsi" w:hAnsiTheme="majorHAnsi" w:cstheme="majorHAnsi"/>
          <w:sz w:val="18"/>
        </w:rPr>
        <w:t> </w:t>
      </w:r>
      <w:r w:rsidRPr="006070EA">
        <w:rPr>
          <w:rFonts w:asciiTheme="majorHAnsi" w:hAnsiTheme="majorHAnsi" w:cstheme="majorHAnsi"/>
          <w:sz w:val="18"/>
        </w:rPr>
        <w:t xml:space="preserve">zábor ZPF. Umístění zastavitelných ploch vychází z limitů využití území a dalších determinujících prvků, které jsou v řešeném území identifikovány. </w:t>
      </w:r>
      <w:r w:rsidR="00F7361F" w:rsidRPr="006070EA">
        <w:rPr>
          <w:rFonts w:asciiTheme="majorHAnsi" w:hAnsiTheme="majorHAnsi" w:cstheme="majorHAnsi"/>
          <w:sz w:val="18"/>
        </w:rPr>
        <w:t>Celkovou snahou urbanistické koncepce ÚP </w:t>
      </w:r>
      <w:r w:rsidR="00C41C56" w:rsidRPr="006070EA">
        <w:rPr>
          <w:rFonts w:asciiTheme="majorHAnsi" w:hAnsiTheme="majorHAnsi" w:cstheme="majorHAnsi"/>
          <w:sz w:val="18"/>
        </w:rPr>
        <w:t>Kostomlaty nad Labem</w:t>
      </w:r>
      <w:r w:rsidR="00F7361F" w:rsidRPr="006070EA">
        <w:rPr>
          <w:rFonts w:asciiTheme="majorHAnsi" w:hAnsiTheme="majorHAnsi" w:cstheme="majorHAnsi"/>
          <w:sz w:val="18"/>
        </w:rPr>
        <w:t xml:space="preserve"> je </w:t>
      </w:r>
      <w:r w:rsidR="00C16D54" w:rsidRPr="006070EA">
        <w:rPr>
          <w:rFonts w:asciiTheme="majorHAnsi" w:hAnsiTheme="majorHAnsi" w:cstheme="majorHAnsi"/>
          <w:sz w:val="18"/>
        </w:rPr>
        <w:t>umožnění rozvoje obce v souladu s koncepcí stanovenou</w:t>
      </w:r>
      <w:r w:rsidR="009C1BBA" w:rsidRPr="006070EA">
        <w:rPr>
          <w:rFonts w:asciiTheme="majorHAnsi" w:hAnsiTheme="majorHAnsi" w:cstheme="majorHAnsi"/>
          <w:sz w:val="18"/>
        </w:rPr>
        <w:t xml:space="preserve"> platnou ÚPD obce při současné snaze o hospodárné</w:t>
      </w:r>
      <w:r w:rsidR="00C16D54" w:rsidRPr="006070EA">
        <w:rPr>
          <w:rFonts w:asciiTheme="majorHAnsi" w:hAnsiTheme="majorHAnsi" w:cstheme="majorHAnsi"/>
          <w:sz w:val="18"/>
        </w:rPr>
        <w:t xml:space="preserve"> </w:t>
      </w:r>
      <w:r w:rsidR="00F7361F" w:rsidRPr="006070EA">
        <w:rPr>
          <w:rFonts w:asciiTheme="majorHAnsi" w:hAnsiTheme="majorHAnsi" w:cstheme="majorHAnsi"/>
          <w:sz w:val="18"/>
        </w:rPr>
        <w:t>využití zastavěného území, čím</w:t>
      </w:r>
      <w:r w:rsidR="00C16D54" w:rsidRPr="006070EA">
        <w:rPr>
          <w:rFonts w:asciiTheme="majorHAnsi" w:hAnsiTheme="majorHAnsi" w:cstheme="majorHAnsi"/>
          <w:sz w:val="18"/>
        </w:rPr>
        <w:t xml:space="preserve">ž ÚP naplňuje požadavky PÚR ČR, </w:t>
      </w:r>
      <w:r w:rsidR="00F7361F" w:rsidRPr="006070EA">
        <w:rPr>
          <w:rFonts w:asciiTheme="majorHAnsi" w:hAnsiTheme="majorHAnsi" w:cstheme="majorHAnsi"/>
          <w:sz w:val="18"/>
        </w:rPr>
        <w:t xml:space="preserve">nadřazené ÚPD – ZÚR </w:t>
      </w:r>
      <w:r w:rsidR="00C41C56" w:rsidRPr="006070EA">
        <w:rPr>
          <w:rFonts w:asciiTheme="majorHAnsi" w:hAnsiTheme="majorHAnsi" w:cstheme="majorHAnsi"/>
          <w:sz w:val="18"/>
        </w:rPr>
        <w:t>S</w:t>
      </w:r>
      <w:r w:rsidR="00C16D54" w:rsidRPr="006070EA">
        <w:rPr>
          <w:rFonts w:asciiTheme="majorHAnsi" w:hAnsiTheme="majorHAnsi" w:cstheme="majorHAnsi"/>
          <w:sz w:val="18"/>
        </w:rPr>
        <w:t xml:space="preserve">K, Zadání ÚP </w:t>
      </w:r>
      <w:r w:rsidR="00C41C56" w:rsidRPr="006070EA">
        <w:rPr>
          <w:rFonts w:asciiTheme="majorHAnsi" w:hAnsiTheme="majorHAnsi" w:cstheme="majorHAnsi"/>
          <w:sz w:val="18"/>
        </w:rPr>
        <w:t>Kostomlaty nad Labem</w:t>
      </w:r>
      <w:r w:rsidR="00C16D54" w:rsidRPr="006070EA">
        <w:rPr>
          <w:rFonts w:asciiTheme="majorHAnsi" w:hAnsiTheme="majorHAnsi" w:cstheme="majorHAnsi"/>
          <w:sz w:val="18"/>
        </w:rPr>
        <w:t>, stejně jako cíle a úkoly</w:t>
      </w:r>
      <w:r w:rsidR="009C1BBA" w:rsidRPr="006070EA">
        <w:rPr>
          <w:rFonts w:asciiTheme="majorHAnsi" w:hAnsiTheme="majorHAnsi" w:cstheme="majorHAnsi"/>
          <w:sz w:val="18"/>
        </w:rPr>
        <w:t xml:space="preserve"> územního plánování</w:t>
      </w:r>
      <w:r w:rsidR="00C16D54" w:rsidRPr="006070EA">
        <w:rPr>
          <w:rFonts w:asciiTheme="majorHAnsi" w:hAnsiTheme="majorHAnsi" w:cstheme="majorHAnsi"/>
          <w:sz w:val="18"/>
        </w:rPr>
        <w:t>, definované stavebním zákonem</w:t>
      </w:r>
      <w:r w:rsidR="00F7361F" w:rsidRPr="006070EA">
        <w:rPr>
          <w:rFonts w:asciiTheme="majorHAnsi" w:hAnsiTheme="majorHAnsi" w:cstheme="majorHAnsi"/>
          <w:sz w:val="18"/>
        </w:rPr>
        <w:t xml:space="preserve">. </w:t>
      </w:r>
    </w:p>
    <w:p w14:paraId="01D9890E" w14:textId="664221D0" w:rsidR="00AB1F4C" w:rsidRPr="006070EA" w:rsidRDefault="00AB1F4C" w:rsidP="00C41C56">
      <w:pPr>
        <w:pStyle w:val="Atext"/>
        <w:rPr>
          <w:rFonts w:asciiTheme="majorHAnsi" w:hAnsiTheme="majorHAnsi" w:cstheme="majorHAnsi"/>
        </w:rPr>
      </w:pPr>
      <w:r w:rsidRPr="006070EA">
        <w:rPr>
          <w:rFonts w:asciiTheme="majorHAnsi" w:hAnsiTheme="majorHAnsi" w:cstheme="majorHAnsi"/>
        </w:rPr>
        <w:t xml:space="preserve">Vymezením zastavitelných ploch s převládající funkcí bydlení reaguje Územní plán </w:t>
      </w:r>
      <w:r w:rsidR="00C41C56" w:rsidRPr="006070EA">
        <w:rPr>
          <w:rFonts w:asciiTheme="majorHAnsi" w:hAnsiTheme="majorHAnsi" w:cstheme="majorHAnsi"/>
        </w:rPr>
        <w:t>Kostomlaty nad Labem</w:t>
      </w:r>
      <w:r w:rsidRPr="006070EA">
        <w:rPr>
          <w:rFonts w:asciiTheme="majorHAnsi" w:hAnsiTheme="majorHAnsi" w:cstheme="majorHAnsi"/>
        </w:rPr>
        <w:t xml:space="preserve"> na dosavadní ÚPD, rozvíjí či</w:t>
      </w:r>
      <w:r w:rsidR="002B0DE6" w:rsidRPr="006070EA">
        <w:rPr>
          <w:rFonts w:asciiTheme="majorHAnsi" w:hAnsiTheme="majorHAnsi" w:cstheme="majorHAnsi"/>
        </w:rPr>
        <w:t xml:space="preserve"> koriguje stanovenou koncepci. </w:t>
      </w:r>
      <w:r w:rsidRPr="006070EA">
        <w:rPr>
          <w:rFonts w:asciiTheme="majorHAnsi" w:hAnsiTheme="majorHAnsi" w:cstheme="majorHAnsi"/>
        </w:rPr>
        <w:t xml:space="preserve">Vymezením stabilizovaných ploch a stanovením podmínek jejich využití </w:t>
      </w:r>
      <w:r w:rsidRPr="006070EA">
        <w:rPr>
          <w:rFonts w:asciiTheme="majorHAnsi" w:hAnsiTheme="majorHAnsi" w:cstheme="majorHAnsi"/>
        </w:rPr>
        <w:lastRenderedPageBreak/>
        <w:t xml:space="preserve">je definována jednoznačná priorita intenzifikace a funkční variability za účelem polyfunkčního užívání. Vymezením stabilizovaných občanského vybavení jsou vytvořeny podmínky pro jejich ochranu ve struktuře </w:t>
      </w:r>
      <w:r w:rsidR="00C41C56" w:rsidRPr="006070EA">
        <w:rPr>
          <w:rFonts w:asciiTheme="majorHAnsi" w:hAnsiTheme="majorHAnsi" w:cstheme="majorHAnsi"/>
        </w:rPr>
        <w:t xml:space="preserve">sídla </w:t>
      </w:r>
      <w:r w:rsidRPr="006070EA">
        <w:rPr>
          <w:rFonts w:asciiTheme="majorHAnsi" w:hAnsiTheme="majorHAnsi" w:cstheme="majorHAnsi"/>
        </w:rPr>
        <w:t>a</w:t>
      </w:r>
      <w:r w:rsidR="002B0DE6" w:rsidRPr="006070EA">
        <w:rPr>
          <w:rFonts w:asciiTheme="majorHAnsi" w:hAnsiTheme="majorHAnsi" w:cstheme="majorHAnsi"/>
        </w:rPr>
        <w:t> </w:t>
      </w:r>
      <w:r w:rsidR="00C41C56" w:rsidRPr="006070EA">
        <w:rPr>
          <w:rFonts w:asciiTheme="majorHAnsi" w:hAnsiTheme="majorHAnsi" w:cstheme="majorHAnsi"/>
        </w:rPr>
        <w:t xml:space="preserve">jejich </w:t>
      </w:r>
      <w:r w:rsidRPr="006070EA">
        <w:rPr>
          <w:rFonts w:asciiTheme="majorHAnsi" w:hAnsiTheme="majorHAnsi" w:cstheme="majorHAnsi"/>
        </w:rPr>
        <w:t>kvalitativní rozvoj. Za účelem rozvoje v oblasti cestovního ruchu a rekreace je v rámci podmínek ploch s rozdílným způsobem využití umožněno realizovat stavby a opatření zvyšující atraktivitu území pro turisty a rekreanty, zejména v rámci ploch občanského vybavení a</w:t>
      </w:r>
      <w:r w:rsidR="00C41C56" w:rsidRPr="006070EA">
        <w:rPr>
          <w:rFonts w:asciiTheme="majorHAnsi" w:hAnsiTheme="majorHAnsi" w:cstheme="majorHAnsi"/>
        </w:rPr>
        <w:t> </w:t>
      </w:r>
      <w:r w:rsidRPr="006070EA">
        <w:rPr>
          <w:rFonts w:asciiTheme="majorHAnsi" w:hAnsiTheme="majorHAnsi" w:cstheme="majorHAnsi"/>
        </w:rPr>
        <w:t xml:space="preserve">ploch smíšených </w:t>
      </w:r>
      <w:r w:rsidR="002F426A" w:rsidRPr="006070EA">
        <w:rPr>
          <w:rFonts w:asciiTheme="majorHAnsi" w:hAnsiTheme="majorHAnsi" w:cstheme="majorHAnsi"/>
        </w:rPr>
        <w:t>bydlení</w:t>
      </w:r>
      <w:r w:rsidRPr="006070EA">
        <w:rPr>
          <w:rFonts w:asciiTheme="majorHAnsi" w:hAnsiTheme="majorHAnsi" w:cstheme="majorHAnsi"/>
        </w:rPr>
        <w:t xml:space="preserve">. </w:t>
      </w:r>
      <w:r w:rsidR="002F426A" w:rsidRPr="006070EA">
        <w:rPr>
          <w:rFonts w:asciiTheme="majorHAnsi" w:hAnsiTheme="majorHAnsi" w:cstheme="majorHAnsi"/>
        </w:rPr>
        <w:t>Z</w:t>
      </w:r>
      <w:r w:rsidRPr="006070EA">
        <w:rPr>
          <w:rFonts w:asciiTheme="majorHAnsi" w:hAnsiTheme="majorHAnsi" w:cstheme="majorHAnsi"/>
        </w:rPr>
        <w:t>astavitelné plochy jsou vymezovány s cílem minimálních nároků na veřejné rozpočty</w:t>
      </w:r>
      <w:r w:rsidR="00C41C56" w:rsidRPr="006070EA">
        <w:rPr>
          <w:rFonts w:asciiTheme="majorHAnsi" w:hAnsiTheme="majorHAnsi" w:cstheme="majorHAnsi"/>
        </w:rPr>
        <w:t>.</w:t>
      </w:r>
    </w:p>
    <w:p w14:paraId="28D74F69" w14:textId="55CD5FFC" w:rsidR="008E4E06" w:rsidRPr="006070EA" w:rsidRDefault="00AB1F4C" w:rsidP="008E4E06">
      <w:pPr>
        <w:pStyle w:val="Atext"/>
        <w:rPr>
          <w:rFonts w:asciiTheme="majorHAnsi" w:hAnsiTheme="majorHAnsi" w:cstheme="majorHAnsi"/>
        </w:rPr>
      </w:pPr>
      <w:r w:rsidRPr="006070EA">
        <w:rPr>
          <w:rFonts w:asciiTheme="majorHAnsi" w:hAnsiTheme="majorHAnsi" w:cstheme="majorHAnsi"/>
        </w:rPr>
        <w:t xml:space="preserve">ÚP </w:t>
      </w:r>
      <w:r w:rsidR="00C41C56" w:rsidRPr="006070EA">
        <w:rPr>
          <w:rFonts w:asciiTheme="majorHAnsi" w:hAnsiTheme="majorHAnsi" w:cstheme="majorHAnsi"/>
        </w:rPr>
        <w:t>Kostomlaty nad Labem</w:t>
      </w:r>
      <w:r w:rsidRPr="006070EA">
        <w:rPr>
          <w:rFonts w:asciiTheme="majorHAnsi" w:hAnsiTheme="majorHAnsi" w:cstheme="majorHAnsi"/>
        </w:rPr>
        <w:t xml:space="preserve"> respektuje stávající strukturu veřejných prostranství, tvořenou především úseky místních a účelových komunikací, návesními prostory a dílčími plochami sídelní zeleně, a doplňuje ji. Návrh ÚP </w:t>
      </w:r>
      <w:r w:rsidR="00C41C56" w:rsidRPr="006070EA">
        <w:rPr>
          <w:rFonts w:asciiTheme="majorHAnsi" w:hAnsiTheme="majorHAnsi" w:cstheme="majorHAnsi"/>
        </w:rPr>
        <w:t>Kostomlaty nad Labem</w:t>
      </w:r>
      <w:r w:rsidRPr="006070EA">
        <w:rPr>
          <w:rFonts w:asciiTheme="majorHAnsi" w:hAnsiTheme="majorHAnsi" w:cstheme="majorHAnsi"/>
        </w:rPr>
        <w:t xml:space="preserve"> podněcuje založení, resp. obnovu úseků propojovacích komunikací v sídle. </w:t>
      </w:r>
      <w:r w:rsidR="002B0DE6" w:rsidRPr="006070EA">
        <w:rPr>
          <w:rFonts w:asciiTheme="majorHAnsi" w:hAnsiTheme="majorHAnsi" w:cstheme="majorHAnsi"/>
        </w:rPr>
        <w:t xml:space="preserve">Zároveň je doplněn systém veřejně přístupné zeleně. </w:t>
      </w:r>
      <w:r w:rsidR="008E4E06" w:rsidRPr="006070EA">
        <w:rPr>
          <w:rFonts w:asciiTheme="majorHAnsi" w:hAnsiTheme="majorHAnsi" w:cstheme="majorHAnsi"/>
        </w:rPr>
        <w:t>Plochy veřejných prostranství specifikované v ustanovení § 2 odst. 1 písm. m) stavebního zákona a § 7 vyhlášky č. 501/2006 Sb., jsou v územním plánu vymezeny jako součást veřejné infrastruktury. Zachování rozsahu veřejných prostranství a jejich kvalitativní rozvoj je ve veřejném zájmu. Veřejná prostranství tvoří základní kostru sídel i volné krajiny. Intenzivní využívání veřejných prostranství je základním předpokladem kvalitního života v sídlech. Veřejná prostranství jsou odrazem kvality života v sídlech a jsou těžištěm veřejného života. Využívají je všichni lidé vyskytující se v daném území z nejrůznějších důvodů. Proto je nutné dbát na zvyšování kvality veřejných prostranství zejména pro pohyb chodců, rozvoj systému tak, aby zajišťoval a</w:t>
      </w:r>
      <w:r w:rsidR="00E96988" w:rsidRPr="006070EA">
        <w:rPr>
          <w:rFonts w:asciiTheme="majorHAnsi" w:hAnsiTheme="majorHAnsi" w:cstheme="majorHAnsi"/>
        </w:rPr>
        <w:t> </w:t>
      </w:r>
      <w:r w:rsidR="008E4E06" w:rsidRPr="006070EA">
        <w:rPr>
          <w:rFonts w:asciiTheme="majorHAnsi" w:hAnsiTheme="majorHAnsi" w:cstheme="majorHAnsi"/>
        </w:rPr>
        <w:t>zlepšoval prostupnost území.</w:t>
      </w:r>
    </w:p>
    <w:p w14:paraId="70115E23" w14:textId="77777777" w:rsidR="00451158" w:rsidRPr="006070EA" w:rsidRDefault="00451158" w:rsidP="00451158">
      <w:pPr>
        <w:pStyle w:val="Atext"/>
        <w:rPr>
          <w:rFonts w:asciiTheme="majorHAnsi" w:hAnsiTheme="majorHAnsi" w:cstheme="majorHAnsi"/>
        </w:rPr>
      </w:pPr>
      <w:r w:rsidRPr="006070EA">
        <w:rPr>
          <w:rFonts w:asciiTheme="majorHAnsi" w:hAnsiTheme="majorHAnsi" w:cstheme="majorHAnsi"/>
        </w:rPr>
        <w:t>Veřejná prostranství jsou také nositeli existujících turistických a cyklistických tras, cyklostezek a naučných stezek. Turistická infrastruktura je významným předpokladem pro rozvoj cestovního ruchu a turistiky v území, proto je nutné ji chránit a rozvíjet, zcela vyloučit jakoukoliv redukci. Stanovením zásady je zdůrazněna funkce a způsob užívání veřejných prostranství, která tvoří základní matrici území, systém prostupnosti území a dostupnosti jednotlivých pozemků.</w:t>
      </w:r>
    </w:p>
    <w:p w14:paraId="2C060565" w14:textId="5F09BDCE" w:rsidR="00451158" w:rsidRPr="006070EA" w:rsidRDefault="00451158" w:rsidP="008E4E06">
      <w:pPr>
        <w:pStyle w:val="Atext"/>
        <w:rPr>
          <w:rFonts w:asciiTheme="majorHAnsi" w:hAnsiTheme="majorHAnsi" w:cstheme="majorHAnsi"/>
        </w:rPr>
      </w:pPr>
      <w:r w:rsidRPr="006070EA">
        <w:rPr>
          <w:rFonts w:asciiTheme="majorHAnsi" w:hAnsiTheme="majorHAnsi" w:cstheme="majorHAnsi"/>
        </w:rPr>
        <w:t>Sportovní a rekreační areály jsou nezbytnou funkční složkou obce a součástí občanského vybavení. Proto je nutné je chránit a rozvíjet tyto areály zejména pro každodenní rekreaci obyvatel, sportovní vyžití a zajištění atraktivity města pro bydlení. Ochrana a rozvoj rekreační funkce je stanovena z důvodu zachování a rozvoje veřejných forem rekreace a s ohledem na zajištění základní rekreační infrastruktury, která je nezbytným předpokladem pro posílení ekonomického pilíře města v souvislosti s</w:t>
      </w:r>
      <w:r w:rsidR="00E96988" w:rsidRPr="006070EA">
        <w:rPr>
          <w:rFonts w:asciiTheme="majorHAnsi" w:hAnsiTheme="majorHAnsi" w:cstheme="majorHAnsi"/>
        </w:rPr>
        <w:t> </w:t>
      </w:r>
      <w:r w:rsidRPr="006070EA">
        <w:rPr>
          <w:rFonts w:asciiTheme="majorHAnsi" w:hAnsiTheme="majorHAnsi" w:cstheme="majorHAnsi"/>
        </w:rPr>
        <w:t>cestovním ruchem.</w:t>
      </w:r>
    </w:p>
    <w:p w14:paraId="19181042" w14:textId="77777777" w:rsidR="008E4E06" w:rsidRPr="006070EA" w:rsidRDefault="008E4E06" w:rsidP="008E4E06">
      <w:pPr>
        <w:pStyle w:val="Atext"/>
        <w:rPr>
          <w:rFonts w:asciiTheme="majorHAnsi" w:hAnsiTheme="majorHAnsi" w:cstheme="majorHAnsi"/>
        </w:rPr>
      </w:pPr>
      <w:r w:rsidRPr="006070EA">
        <w:rPr>
          <w:rFonts w:asciiTheme="majorHAnsi" w:hAnsiTheme="majorHAnsi" w:cstheme="majorHAnsi"/>
        </w:rPr>
        <w:t>Ve volné krajině nejsou vymezovány žádné samostatné obytné komplexy nebo soubory, které zpravidla utvářejí nepřístupné obytné celky sociálně a prostorově izolované od ostatní zástavby a obyvatel města. Podobně nežádoucí je srůstání sídel z důvodu ztráty identity jednotlivých sídel, rozmělňování struktury zástavby a oslabování stávajících lokálních center. Rozvoj ve vazbě na stávající dopravní a technickou infrastrukturu je zdůvodněn efektivním využitím stávajících inženýrských sítí a pozemních komunikací s nižšími nároky na veřejný rozpočet města.</w:t>
      </w:r>
    </w:p>
    <w:p w14:paraId="5E0708D9" w14:textId="3779BBE5" w:rsidR="008E4E06" w:rsidRPr="006070EA" w:rsidRDefault="008E4E06" w:rsidP="008E4E06">
      <w:pPr>
        <w:pStyle w:val="Atext"/>
        <w:rPr>
          <w:rFonts w:asciiTheme="majorHAnsi" w:hAnsiTheme="majorHAnsi" w:cstheme="majorHAnsi"/>
        </w:rPr>
      </w:pPr>
      <w:r w:rsidRPr="006070EA">
        <w:rPr>
          <w:rFonts w:asciiTheme="majorHAnsi" w:hAnsiTheme="majorHAnsi" w:cstheme="majorHAnsi"/>
        </w:rPr>
        <w:t xml:space="preserve">Princip zachování oddělenosti sídel je dán mimo jiné požadavky nadřazené územně plánovací dokumentace, zejména ve vazbě na prioritu (34): </w:t>
      </w:r>
      <w:r w:rsidRPr="006070EA">
        <w:rPr>
          <w:rFonts w:asciiTheme="majorHAnsi" w:hAnsiTheme="majorHAnsi" w:cstheme="majorHAnsi"/>
          <w:i/>
          <w:iCs w:val="0"/>
        </w:rPr>
        <w:t>Podporovat polycentrický rozvoj sídelní soustavy, pro kraj typické kooperativní vztahy mezi jednotlivými sídly a racionální střediskové uspořádání sídelní soustavy, současně respektovat a kultivovat specifickou tvářnost každého sídla včetně zřetele k zachování prostorové oddělenosti sídel s ohledem na zajištění přístupnosti a prostupnosti krajiny. Vytvářet předpoklady pro posílení partnerství mezi urbánními a venkovskými oblastmi.</w:t>
      </w:r>
    </w:p>
    <w:p w14:paraId="01A99802" w14:textId="77777777" w:rsidR="008E4E06" w:rsidRPr="006070EA" w:rsidRDefault="008E4E06" w:rsidP="008E4E06">
      <w:pPr>
        <w:pStyle w:val="Atext"/>
        <w:rPr>
          <w:rFonts w:asciiTheme="majorHAnsi" w:hAnsiTheme="majorHAnsi" w:cstheme="majorHAnsi"/>
        </w:rPr>
      </w:pPr>
      <w:r w:rsidRPr="006070EA">
        <w:rPr>
          <w:rFonts w:asciiTheme="majorHAnsi" w:hAnsiTheme="majorHAnsi" w:cstheme="majorHAnsi"/>
        </w:rPr>
        <w:t>Plochy občanského vybavení specifikované v § 2 odst. 1 písm. m) stavebního zákona a § 6 vyhlášky č. 501/2006 Sb., jsou v územním plánu vymezeny jako součást veřejné infrastruktury. Existence a rozvoj občanského vybavení je ve veřejném zájmu, proto je nezbytné důkladně posuzovat jakékoliv požadavky na změny v daných plochách. Pro zajištění dobré dostupnosti občanského vybavení a jeho spolupůsobení na upevňování komunit a sociální soudržnosti obyvatel je nutné přednostně umisťovat občanské vybavení ve vymezených, urbanisticky vhodně umístěných plochách.</w:t>
      </w:r>
    </w:p>
    <w:p w14:paraId="62394354" w14:textId="77777777" w:rsidR="008E4E06" w:rsidRPr="006070EA" w:rsidRDefault="008E4E06" w:rsidP="008E4E06">
      <w:pPr>
        <w:pStyle w:val="Atext"/>
        <w:rPr>
          <w:rFonts w:asciiTheme="majorHAnsi" w:hAnsiTheme="majorHAnsi" w:cstheme="majorHAnsi"/>
        </w:rPr>
      </w:pPr>
      <w:r w:rsidRPr="006070EA">
        <w:rPr>
          <w:rFonts w:asciiTheme="majorHAnsi" w:hAnsiTheme="majorHAnsi" w:cstheme="majorHAnsi"/>
        </w:rPr>
        <w:t xml:space="preserve">Vymezením ploch občanského vybavení jsou chráněna významná zařízení a areály, jejichž umístění v urbanistické struktuře je optimální. Přesto je ale nutné podpořit také další rozvoj občanského vybavení v jiných plochách, kde je jeho potřebnost nejvyšší – v plochách bydlení a plochách smíšených obytných, a to především v rámci centrálních území sídel, která představují základní matrici veřejného prostoru města a jeho dílčí urbanistická těžiště. </w:t>
      </w:r>
    </w:p>
    <w:p w14:paraId="68827F84" w14:textId="5F5428E3" w:rsidR="008E4E06" w:rsidRPr="006070EA" w:rsidRDefault="008E4E06" w:rsidP="008E4E06">
      <w:pPr>
        <w:pStyle w:val="Atext"/>
        <w:rPr>
          <w:rFonts w:asciiTheme="majorHAnsi" w:hAnsiTheme="majorHAnsi" w:cstheme="majorHAnsi"/>
        </w:rPr>
      </w:pPr>
      <w:r w:rsidRPr="006070EA">
        <w:rPr>
          <w:rFonts w:asciiTheme="majorHAnsi" w:hAnsiTheme="majorHAnsi" w:cstheme="majorHAnsi"/>
        </w:rPr>
        <w:t>Lokalizace, rozsah a význam staveb a zařízení občanského vybavení mají významný vliv na kvalitu bydlení a</w:t>
      </w:r>
      <w:r w:rsidR="00A46AD3" w:rsidRPr="006070EA">
        <w:rPr>
          <w:rFonts w:asciiTheme="majorHAnsi" w:hAnsiTheme="majorHAnsi" w:cstheme="majorHAnsi"/>
        </w:rPr>
        <w:t> </w:t>
      </w:r>
      <w:r w:rsidRPr="006070EA">
        <w:rPr>
          <w:rFonts w:asciiTheme="majorHAnsi" w:hAnsiTheme="majorHAnsi" w:cstheme="majorHAnsi"/>
        </w:rPr>
        <w:t>dosažitelnost těchto služeb pro obyvatele, z pohledu rekreace a cestovního ruchu je občanská vybavenost klíčová pro míru atraktivity území, návštěvnost území a délku pobytu návštěvníků.</w:t>
      </w:r>
    </w:p>
    <w:p w14:paraId="7E00668E" w14:textId="77777777" w:rsidR="00A46AD3" w:rsidRPr="006070EA" w:rsidRDefault="00A46AD3" w:rsidP="00A46AD3">
      <w:pPr>
        <w:pStyle w:val="Atext"/>
        <w:rPr>
          <w:rFonts w:asciiTheme="majorHAnsi" w:hAnsiTheme="majorHAnsi" w:cstheme="majorHAnsi"/>
        </w:rPr>
      </w:pPr>
      <w:r w:rsidRPr="006070EA">
        <w:rPr>
          <w:rFonts w:asciiTheme="majorHAnsi" w:hAnsiTheme="majorHAnsi" w:cstheme="majorHAnsi"/>
        </w:rPr>
        <w:t>Územní plán v rámci podmínek využití jednotlivých ploch s rozdílným způsobem využití, zejména ploch smíšených obytných, umožňuje prolínání funkcí, které se vzájemně negativně neovlivňují. Důvodem je zejména rozvoj typické funkční diverzity venkovských sídel a vytvoření podmínek pro rozvoj základního občanského vybavení z důvodu zajištění jeho dostupnosti z obytných území menších sídel.</w:t>
      </w:r>
    </w:p>
    <w:p w14:paraId="78645AF4" w14:textId="133F2ED0" w:rsidR="005F4B67" w:rsidRPr="006070EA" w:rsidRDefault="005F4B67" w:rsidP="005F4B67">
      <w:pPr>
        <w:keepNext/>
        <w:spacing w:before="120" w:after="120" w:line="240" w:lineRule="auto"/>
        <w:rPr>
          <w:rFonts w:asciiTheme="majorHAnsi" w:hAnsiTheme="majorHAnsi" w:cstheme="majorHAnsi"/>
          <w:b/>
          <w:sz w:val="18"/>
          <w:szCs w:val="20"/>
        </w:rPr>
      </w:pPr>
      <w:r w:rsidRPr="006070EA">
        <w:rPr>
          <w:rFonts w:asciiTheme="majorHAnsi" w:hAnsiTheme="majorHAnsi" w:cstheme="majorHAnsi"/>
          <w:b/>
          <w:sz w:val="18"/>
          <w:szCs w:val="20"/>
        </w:rPr>
        <w:t>Odůvodnění stanovené urbanistické kompozice</w:t>
      </w:r>
    </w:p>
    <w:p w14:paraId="3D0231FC" w14:textId="0DA57971" w:rsidR="005F4B67" w:rsidRPr="006070EA" w:rsidRDefault="005F4B67" w:rsidP="005F4B67">
      <w:pPr>
        <w:pStyle w:val="Atext"/>
        <w:keepNext/>
        <w:ind w:firstLine="0"/>
        <w:jc w:val="right"/>
        <w:rPr>
          <w:rFonts w:asciiTheme="majorHAnsi" w:hAnsiTheme="majorHAnsi" w:cstheme="majorHAnsi"/>
          <w:i/>
          <w:snapToGrid w:val="0"/>
          <w:u w:val="single"/>
        </w:rPr>
      </w:pPr>
      <w:r w:rsidRPr="006070EA">
        <w:rPr>
          <w:rFonts w:asciiTheme="majorHAnsi" w:hAnsiTheme="majorHAnsi" w:cstheme="majorHAnsi"/>
          <w:i/>
          <w:snapToGrid w:val="0"/>
          <w:u w:val="single"/>
        </w:rPr>
        <w:t xml:space="preserve">Odůvodnění odst. </w:t>
      </w:r>
      <w:r w:rsidRPr="006070EA">
        <w:rPr>
          <w:rFonts w:asciiTheme="majorHAnsi" w:hAnsiTheme="majorHAnsi" w:cstheme="majorHAnsi"/>
          <w:b/>
          <w:i/>
          <w:snapToGrid w:val="0"/>
          <w:u w:val="single"/>
        </w:rPr>
        <w:t xml:space="preserve">(8) </w:t>
      </w:r>
      <w:r w:rsidRPr="006070EA">
        <w:rPr>
          <w:rFonts w:asciiTheme="majorHAnsi" w:hAnsiTheme="majorHAnsi" w:cstheme="majorHAnsi"/>
          <w:i/>
          <w:snapToGrid w:val="0"/>
          <w:u w:val="single"/>
        </w:rPr>
        <w:t>výrokové části</w:t>
      </w:r>
    </w:p>
    <w:p w14:paraId="224F231A" w14:textId="01925A3E" w:rsidR="00A46AD3" w:rsidRPr="006070EA" w:rsidRDefault="00A46AD3" w:rsidP="00A46AD3">
      <w:pPr>
        <w:pStyle w:val="Atext"/>
        <w:rPr>
          <w:rFonts w:asciiTheme="majorHAnsi" w:hAnsiTheme="majorHAnsi" w:cstheme="majorHAnsi"/>
          <w:i/>
          <w:iCs w:val="0"/>
          <w:szCs w:val="18"/>
        </w:rPr>
      </w:pPr>
      <w:r w:rsidRPr="006070EA">
        <w:rPr>
          <w:rFonts w:asciiTheme="majorHAnsi" w:hAnsiTheme="majorHAnsi" w:cstheme="majorHAnsi"/>
          <w:i/>
          <w:iCs w:val="0"/>
          <w:szCs w:val="18"/>
        </w:rPr>
        <w:t>Urbanistická kompozice je cílevědomá skladba vybraných prostorů, částí urbánních a krajinných prvků za účelem vytváření a ochrany jejich vzájemných harmonických vztahů, například pohledových horizontů, panoramatu, urbanistických a pohledových os, průhledů, dominant, přiměřeného měřítka a proporcí.</w:t>
      </w:r>
    </w:p>
    <w:p w14:paraId="5102558A" w14:textId="77777777" w:rsidR="00A46AD3" w:rsidRPr="006070EA" w:rsidRDefault="00A46AD3" w:rsidP="00A46AD3">
      <w:pPr>
        <w:pStyle w:val="Atext"/>
        <w:rPr>
          <w:rFonts w:asciiTheme="majorHAnsi" w:hAnsiTheme="majorHAnsi" w:cstheme="majorHAnsi"/>
          <w:i/>
          <w:iCs w:val="0"/>
          <w:szCs w:val="18"/>
        </w:rPr>
      </w:pPr>
      <w:r w:rsidRPr="006070EA">
        <w:rPr>
          <w:rFonts w:asciiTheme="majorHAnsi" w:hAnsiTheme="majorHAnsi" w:cstheme="majorHAnsi"/>
          <w:i/>
          <w:iCs w:val="0"/>
          <w:szCs w:val="18"/>
        </w:rPr>
        <w:lastRenderedPageBreak/>
        <w:t>Cílem urbanistické kompozice je estetické utváření a kompoziční uspořádání prostorů, ploch, přírodních a stavebních prvků do komponovaných souborů a celků s kvalitním a charakterově pestrým prostředím. Urbanistická kompozice má rozhodující vliv na vizuální vnímání prostředí člověkem a na jeho chování, na celkový obraz krajiny, sídel a jejich částí. Urbanistická kompozice řeší rozvoj území s ohledem na jeho hodnoty a podmínky.</w:t>
      </w:r>
    </w:p>
    <w:p w14:paraId="619878B4" w14:textId="77777777" w:rsidR="00A46AD3" w:rsidRPr="006070EA" w:rsidRDefault="00A46AD3" w:rsidP="00A46AD3">
      <w:pPr>
        <w:pStyle w:val="Atext"/>
        <w:rPr>
          <w:rFonts w:asciiTheme="majorHAnsi" w:hAnsiTheme="majorHAnsi" w:cstheme="majorHAnsi"/>
          <w:i/>
          <w:iCs w:val="0"/>
          <w:szCs w:val="18"/>
        </w:rPr>
      </w:pPr>
      <w:r w:rsidRPr="006070EA">
        <w:rPr>
          <w:rFonts w:asciiTheme="majorHAnsi" w:hAnsiTheme="majorHAnsi" w:cstheme="majorHAnsi"/>
          <w:i/>
          <w:iCs w:val="0"/>
          <w:szCs w:val="18"/>
        </w:rPr>
        <w:t>Urbanistická kompozice je tedy součástí celkové koncepce a dbá na vzhled území, tj. na estetické uspořádání hmotných prvků, kterými je území tvořeno. Toto uspořádání působí na vnímání prostředí, posiluje orientaci v sídle a jeho okolí, ovlivňuje přívětivost místa, jeho přitažlivost, atraktivnost, příjemnost, uměřenost, harmonii.</w:t>
      </w:r>
    </w:p>
    <w:p w14:paraId="315B8EF9" w14:textId="77777777" w:rsidR="00A46AD3" w:rsidRPr="006070EA" w:rsidRDefault="00A46AD3" w:rsidP="00A46AD3">
      <w:pPr>
        <w:pStyle w:val="Atext"/>
        <w:rPr>
          <w:rFonts w:asciiTheme="majorHAnsi" w:hAnsiTheme="majorHAnsi" w:cstheme="majorHAnsi"/>
          <w:szCs w:val="18"/>
        </w:rPr>
      </w:pPr>
      <w:r w:rsidRPr="006070EA">
        <w:rPr>
          <w:rFonts w:asciiTheme="majorHAnsi" w:hAnsiTheme="majorHAnsi" w:cstheme="majorHAnsi"/>
          <w:szCs w:val="18"/>
        </w:rPr>
        <w:t>(převzato z Principy a zásady urbanistické kompozice v příkladech, MMR, verze 2019)</w:t>
      </w:r>
    </w:p>
    <w:p w14:paraId="2088AA6B" w14:textId="25C7EE47" w:rsidR="00A46AD3" w:rsidRPr="006070EA" w:rsidRDefault="00A46AD3" w:rsidP="00A46AD3">
      <w:pPr>
        <w:pStyle w:val="Atext"/>
        <w:rPr>
          <w:rFonts w:asciiTheme="majorHAnsi" w:hAnsiTheme="majorHAnsi" w:cstheme="majorHAnsi"/>
          <w:szCs w:val="18"/>
        </w:rPr>
      </w:pPr>
      <w:r w:rsidRPr="006070EA">
        <w:rPr>
          <w:rFonts w:asciiTheme="majorHAnsi" w:hAnsiTheme="majorHAnsi" w:cstheme="majorHAnsi"/>
          <w:szCs w:val="18"/>
        </w:rPr>
        <w:t>Urbanistická kompozice se uplatňuje v řešení územního plánu stanovením podmínek prostorového uspořádání, které jsou specifikovány v souladu s novelou stavebního zákona a dle požadavku přílohy č. 7 vyhlášky č. 501/2006 Sb. (stanovení podmínek prostorového uspořádání, včetně základních podmínek ochrany krajinného rázu (například výškové regulace zástavby, charakteru a struktury zástavby, stanovení rozmezí výměry pro vymezování stavebních pozemků a intenzity jejich využití).</w:t>
      </w:r>
    </w:p>
    <w:p w14:paraId="35FE9B0C" w14:textId="2BC25CCB" w:rsidR="00A46AD3" w:rsidRPr="006070EA" w:rsidRDefault="00A46AD3" w:rsidP="00A46AD3">
      <w:pPr>
        <w:pStyle w:val="Atext"/>
        <w:rPr>
          <w:rFonts w:asciiTheme="majorHAnsi" w:hAnsiTheme="majorHAnsi" w:cstheme="majorHAnsi"/>
          <w:szCs w:val="18"/>
        </w:rPr>
      </w:pPr>
      <w:r w:rsidRPr="006070EA">
        <w:rPr>
          <w:rFonts w:asciiTheme="majorHAnsi" w:hAnsiTheme="majorHAnsi" w:cstheme="majorHAnsi"/>
          <w:szCs w:val="18"/>
        </w:rPr>
        <w:t xml:space="preserve">Z hlediska stanovení urbanistické kompozice je podstatná specifikace charakteru a struktury zástavby a stanovení dalších prostorových parametrů – maximální výška zástavby </w:t>
      </w:r>
      <w:r w:rsidR="00BB72C6" w:rsidRPr="006070EA">
        <w:rPr>
          <w:rFonts w:asciiTheme="majorHAnsi" w:hAnsiTheme="majorHAnsi" w:cstheme="majorHAnsi"/>
          <w:szCs w:val="18"/>
        </w:rPr>
        <w:t>koeficienty maximálního zastavění pozemku a minimálního podílu zeleně na pozemku, rozmezí výměry pro vymezování stavebního pozemku a maximální velikosti zastavěné plochy stavby</w:t>
      </w:r>
      <w:r w:rsidRPr="006070EA">
        <w:rPr>
          <w:rFonts w:asciiTheme="majorHAnsi" w:hAnsiTheme="majorHAnsi" w:cstheme="majorHAnsi"/>
          <w:szCs w:val="18"/>
        </w:rPr>
        <w:t xml:space="preserve">. Kompozici utváří také veřejná prostranství v zástavbě, proto jsou jako kompoziční prvky identifikovány rovněž směry zajištění prostupnosti veřejným prostranstvím. </w:t>
      </w:r>
    </w:p>
    <w:p w14:paraId="0D679B2E" w14:textId="50C77D70" w:rsidR="00BD6542" w:rsidRPr="006070EA" w:rsidRDefault="00BD6542" w:rsidP="00BD6542">
      <w:pPr>
        <w:pStyle w:val="Atext"/>
        <w:rPr>
          <w:rFonts w:asciiTheme="majorHAnsi" w:hAnsiTheme="majorHAnsi" w:cstheme="majorHAnsi"/>
          <w:szCs w:val="18"/>
        </w:rPr>
      </w:pPr>
      <w:r w:rsidRPr="006070EA">
        <w:rPr>
          <w:rFonts w:asciiTheme="majorHAnsi" w:hAnsiTheme="majorHAnsi" w:cstheme="majorHAnsi"/>
          <w:szCs w:val="18"/>
        </w:rPr>
        <w:t>Ve volné krajině, resp. v nezastavěném území je umisťování staveb omezeno na jednotlivé, solitérní stavby zajišťující hospodaření nebo jiné aktivity v krajině a stavby zvyšující využitelnost vybraných ploch. Mimo zastavěné území a</w:t>
      </w:r>
      <w:r w:rsidR="00BE35FE" w:rsidRPr="006070EA">
        <w:rPr>
          <w:rFonts w:asciiTheme="majorHAnsi" w:hAnsiTheme="majorHAnsi" w:cstheme="majorHAnsi"/>
          <w:szCs w:val="18"/>
        </w:rPr>
        <w:t> </w:t>
      </w:r>
      <w:r w:rsidRPr="006070EA">
        <w:rPr>
          <w:rFonts w:asciiTheme="majorHAnsi" w:hAnsiTheme="majorHAnsi" w:cstheme="majorHAnsi"/>
          <w:szCs w:val="18"/>
        </w:rPr>
        <w:t xml:space="preserve">zastavitelné plochy tedy nejsou stanoveny prostorové struktury zástavby; kompozice je omezena na stanovení maximální výšky staveb dle způsobu využití jednotlivých ploch a stanovení maximální velikosti zastavěné plochy objektu. Ve volné krajině není urbanistická kompozice jinak utvářena. </w:t>
      </w:r>
    </w:p>
    <w:p w14:paraId="00E08141" w14:textId="10241040" w:rsidR="00BD6542" w:rsidRPr="006070EA" w:rsidRDefault="00BD6542" w:rsidP="00BE35FE">
      <w:pPr>
        <w:spacing w:before="60" w:after="60" w:line="240" w:lineRule="auto"/>
        <w:ind w:firstLine="709"/>
        <w:jc w:val="both"/>
        <w:rPr>
          <w:rFonts w:asciiTheme="majorHAnsi" w:hAnsiTheme="majorHAnsi" w:cstheme="majorHAnsi"/>
          <w:color w:val="FF0000"/>
          <w:sz w:val="18"/>
          <w:szCs w:val="18"/>
        </w:rPr>
      </w:pPr>
      <w:r w:rsidRPr="006070EA">
        <w:rPr>
          <w:rFonts w:asciiTheme="majorHAnsi" w:hAnsiTheme="majorHAnsi" w:cstheme="majorHAnsi"/>
          <w:sz w:val="18"/>
          <w:szCs w:val="18"/>
        </w:rPr>
        <w:t>Stanovení prostorové struktury zástavby je základním prvkem urbanistické kompozice, proto je v řešení ÚP obsažen také přesnější popis jednotlivých typů prostorové struktury zástavby a stanoveny konkrétní podmínky. Stanovení jednotlivých typů prostorové struktury zástavby je uvedeno níže.</w:t>
      </w:r>
    </w:p>
    <w:p w14:paraId="5A6EA8AB" w14:textId="6B06ACC8" w:rsidR="00BB72C6" w:rsidRPr="006070EA" w:rsidRDefault="00BB72C6" w:rsidP="00A46AD3">
      <w:pPr>
        <w:pStyle w:val="Atext"/>
        <w:rPr>
          <w:rFonts w:asciiTheme="majorHAnsi" w:hAnsiTheme="majorHAnsi" w:cstheme="majorHAnsi"/>
          <w:szCs w:val="18"/>
        </w:rPr>
      </w:pPr>
      <w:r w:rsidRPr="006070EA">
        <w:rPr>
          <w:rFonts w:asciiTheme="majorHAnsi" w:hAnsiTheme="majorHAnsi" w:cstheme="majorHAnsi"/>
          <w:szCs w:val="18"/>
        </w:rPr>
        <w:t>Územní plán vymezuje v řešeném území následující charaktery a struktury zástavby, které definuje v rámci výkladu pojmů v kapitole 6 výrokové části ÚP (Podmínky využití jednotlivých ploch s rozdílným způsobem využití)</w:t>
      </w:r>
      <w:r w:rsidR="00BD6542" w:rsidRPr="006070EA">
        <w:rPr>
          <w:rFonts w:asciiTheme="majorHAnsi" w:hAnsiTheme="majorHAnsi" w:cstheme="majorHAnsi"/>
          <w:szCs w:val="18"/>
        </w:rPr>
        <w:t>, kde uplatňuje podmínky pro umisťování staveb v rámci daného charakteru a struktury zástavby</w:t>
      </w:r>
      <w:r w:rsidRPr="006070EA">
        <w:rPr>
          <w:rFonts w:asciiTheme="majorHAnsi" w:hAnsiTheme="majorHAnsi" w:cstheme="majorHAnsi"/>
          <w:szCs w:val="18"/>
        </w:rPr>
        <w:t>:</w:t>
      </w:r>
    </w:p>
    <w:p w14:paraId="68156E4C" w14:textId="0E4DD00E" w:rsidR="00BB72C6" w:rsidRPr="006070EA" w:rsidRDefault="00BB72C6" w:rsidP="00BB72C6">
      <w:pPr>
        <w:pStyle w:val="Anadpistun"/>
        <w:rPr>
          <w:rFonts w:asciiTheme="majorHAnsi" w:hAnsiTheme="majorHAnsi" w:cstheme="majorHAnsi"/>
          <w:i/>
          <w:iCs/>
        </w:rPr>
      </w:pPr>
      <w:r w:rsidRPr="006070EA">
        <w:rPr>
          <w:rFonts w:asciiTheme="majorHAnsi" w:hAnsiTheme="majorHAnsi" w:cstheme="majorHAnsi"/>
          <w:i/>
          <w:iCs/>
        </w:rPr>
        <w:t>Volná otevřená zástavba</w:t>
      </w:r>
    </w:p>
    <w:p w14:paraId="19354775" w14:textId="5929A334" w:rsidR="00BB72C6" w:rsidRPr="006070EA" w:rsidRDefault="00BB72C6" w:rsidP="00BB72C6">
      <w:pPr>
        <w:pStyle w:val="Atext"/>
        <w:rPr>
          <w:rFonts w:asciiTheme="majorHAnsi" w:hAnsiTheme="majorHAnsi" w:cstheme="majorHAnsi"/>
        </w:rPr>
      </w:pPr>
      <w:r w:rsidRPr="006070EA">
        <w:rPr>
          <w:rFonts w:asciiTheme="majorHAnsi" w:hAnsiTheme="majorHAnsi" w:cstheme="majorHAnsi"/>
        </w:rPr>
        <w:t xml:space="preserve">Volná zástavba je založena na samostatných objektech, které jsou volně přístupné ve veřejném prostranství, bez oplocení či ohraničení. K veřejnému prostranství přiléhají zpravidla jen výjimečně, obvykle však respektují orientaci do veřejného prostranství. Volná struktura nemá městotvornou funkci a z urbanistického hlediska je tedy spíše doplňková. V Kostomlatech nad Labem je volná otevřená struktura zastoupena především zástavbou bytových domů. Pro strukturu zástavby volnou otevřenou je charakteristický vysoký podíl navazující veřejné zeleně. </w:t>
      </w:r>
    </w:p>
    <w:p w14:paraId="60AEC815" w14:textId="163F852A" w:rsidR="00BB72C6" w:rsidRPr="006070EA" w:rsidRDefault="00BB72C6" w:rsidP="00BB72C6">
      <w:pPr>
        <w:pStyle w:val="Atext"/>
        <w:rPr>
          <w:rFonts w:asciiTheme="majorHAnsi" w:hAnsiTheme="majorHAnsi" w:cstheme="majorHAnsi"/>
        </w:rPr>
      </w:pPr>
      <w:r w:rsidRPr="006070EA">
        <w:rPr>
          <w:rFonts w:asciiTheme="majorHAnsi" w:hAnsiTheme="majorHAnsi" w:cstheme="majorHAnsi"/>
        </w:rPr>
        <w:t>Důvodem stanovení tohoto typu prostorové struktury zástavby je zachování prostorového uspořádání zástavby zejména ve vztahu k odlišné architektonické formě oproti ostatní (okolní) zástavbě.</w:t>
      </w:r>
    </w:p>
    <w:p w14:paraId="0CD349FA" w14:textId="3C2DB61E" w:rsidR="00BB72C6" w:rsidRPr="006070EA" w:rsidRDefault="00BB72C6" w:rsidP="00BB72C6">
      <w:pPr>
        <w:pStyle w:val="Anadpistun"/>
        <w:rPr>
          <w:rFonts w:asciiTheme="majorHAnsi" w:hAnsiTheme="majorHAnsi" w:cstheme="majorHAnsi"/>
          <w:i/>
          <w:iCs/>
        </w:rPr>
      </w:pPr>
      <w:r w:rsidRPr="006070EA">
        <w:rPr>
          <w:rFonts w:asciiTheme="majorHAnsi" w:hAnsiTheme="majorHAnsi" w:cstheme="majorHAnsi"/>
          <w:i/>
          <w:iCs/>
        </w:rPr>
        <w:t>Volná individuální zástavba</w:t>
      </w:r>
    </w:p>
    <w:p w14:paraId="20C9BAFD" w14:textId="1F3ADAD7" w:rsidR="00BB72C6" w:rsidRPr="006070EA" w:rsidRDefault="00BB72C6" w:rsidP="00BB72C6">
      <w:pPr>
        <w:pStyle w:val="Atext"/>
        <w:rPr>
          <w:rFonts w:asciiTheme="majorHAnsi" w:hAnsiTheme="majorHAnsi" w:cstheme="majorHAnsi"/>
        </w:rPr>
      </w:pPr>
      <w:r w:rsidRPr="006070EA">
        <w:rPr>
          <w:rFonts w:asciiTheme="majorHAnsi" w:hAnsiTheme="majorHAnsi" w:cstheme="majorHAnsi"/>
        </w:rPr>
        <w:t xml:space="preserve">Volná individuální struktura tvoří plošně převažující charakter zástavby </w:t>
      </w:r>
      <w:r w:rsidR="00BD6542" w:rsidRPr="006070EA">
        <w:rPr>
          <w:rFonts w:asciiTheme="majorHAnsi" w:hAnsiTheme="majorHAnsi" w:cstheme="majorHAnsi"/>
        </w:rPr>
        <w:t>sídel</w:t>
      </w:r>
      <w:r w:rsidRPr="006070EA">
        <w:rPr>
          <w:rFonts w:asciiTheme="majorHAnsi" w:hAnsiTheme="majorHAnsi" w:cstheme="majorHAnsi"/>
        </w:rPr>
        <w:t xml:space="preserve">. Této struktuře odpovídá volně vzniklá zástavba samostatných individuálních objektů (rodinné domy, bytové domy s malým počtem bytů, chaty, chalupy); zástavba volně umisťovaná v prostoru, na vlastních pozemcích, zpravidla ohraničená souvislým oplocením. </w:t>
      </w:r>
    </w:p>
    <w:p w14:paraId="7617341A" w14:textId="77777777" w:rsidR="00BB72C6" w:rsidRPr="006070EA" w:rsidRDefault="00BB72C6" w:rsidP="00BB72C6">
      <w:pPr>
        <w:pStyle w:val="Atext"/>
        <w:rPr>
          <w:rFonts w:asciiTheme="majorHAnsi" w:hAnsiTheme="majorHAnsi" w:cstheme="majorHAnsi"/>
        </w:rPr>
      </w:pPr>
      <w:r w:rsidRPr="006070EA">
        <w:rPr>
          <w:rFonts w:asciiTheme="majorHAnsi" w:hAnsiTheme="majorHAnsi" w:cstheme="majorHAnsi"/>
        </w:rPr>
        <w:t>Volná individuální zástavba navazuje v okrajových polohách na převážně kompaktní či volnou zarovnanou zástavbu. Objekty mohou buď přiléhat k veřejnému prostranství, nebo jsou umístěny na pozemku zcela volně, bez jednotného odstupu od hrany veřejného prostranství. Tento typ struktury je charakteristický zejména pro okrajové polohy obytné zástavby města, obytnou zástavbu menších sídel a pro rekreační lokality.</w:t>
      </w:r>
    </w:p>
    <w:p w14:paraId="7336D27D" w14:textId="77777777" w:rsidR="00BB72C6" w:rsidRPr="006070EA" w:rsidRDefault="00BB72C6" w:rsidP="00BB72C6">
      <w:pPr>
        <w:pStyle w:val="Atext"/>
        <w:rPr>
          <w:rFonts w:asciiTheme="majorHAnsi" w:hAnsiTheme="majorHAnsi" w:cstheme="majorHAnsi"/>
        </w:rPr>
      </w:pPr>
      <w:r w:rsidRPr="006070EA">
        <w:rPr>
          <w:rFonts w:asciiTheme="majorHAnsi" w:hAnsiTheme="majorHAnsi" w:cstheme="majorHAnsi"/>
        </w:rPr>
        <w:t>Rozvolněná zástavba tvoří nejpřirozenější typ zástavby ve vztahu ke krajinnému prostředí a je nejvhodnější strukturou pro zajištění harmonického přechodu do volné krajiny, a to zejména v okrajových částech sídel.</w:t>
      </w:r>
    </w:p>
    <w:p w14:paraId="1935E7CB" w14:textId="5EE73EED" w:rsidR="00BB72C6" w:rsidRPr="006070EA" w:rsidRDefault="00BB72C6" w:rsidP="00BB72C6">
      <w:pPr>
        <w:pStyle w:val="Anadpistun"/>
        <w:rPr>
          <w:rFonts w:asciiTheme="majorHAnsi" w:hAnsiTheme="majorHAnsi" w:cstheme="majorHAnsi"/>
          <w:i/>
          <w:iCs/>
        </w:rPr>
      </w:pPr>
      <w:r w:rsidRPr="006070EA">
        <w:rPr>
          <w:rFonts w:asciiTheme="majorHAnsi" w:hAnsiTheme="majorHAnsi" w:cstheme="majorHAnsi"/>
          <w:i/>
          <w:iCs/>
        </w:rPr>
        <w:t>Areálová zástavba</w:t>
      </w:r>
    </w:p>
    <w:p w14:paraId="440A1D41" w14:textId="02345CA0" w:rsidR="00BB72C6" w:rsidRPr="006070EA" w:rsidRDefault="00BB72C6" w:rsidP="00BB72C6">
      <w:pPr>
        <w:pStyle w:val="Atext"/>
        <w:rPr>
          <w:rFonts w:asciiTheme="majorHAnsi" w:hAnsiTheme="majorHAnsi" w:cstheme="majorHAnsi"/>
        </w:rPr>
      </w:pPr>
      <w:r w:rsidRPr="006070EA">
        <w:rPr>
          <w:rFonts w:asciiTheme="majorHAnsi" w:hAnsiTheme="majorHAnsi" w:cstheme="majorHAnsi"/>
        </w:rPr>
        <w:t xml:space="preserve">Areálovou intenzivní zástavbu tvoří obvykle rozsáhlejší zařízení tvořené skupinou objektů se specifickým prostorovým uspořádáním, často se jedná o halovou či pavilónovou zástavbu (např. výrobní </w:t>
      </w:r>
      <w:r w:rsidR="00BD6542" w:rsidRPr="006070EA">
        <w:rPr>
          <w:rFonts w:asciiTheme="majorHAnsi" w:hAnsiTheme="majorHAnsi" w:cstheme="majorHAnsi"/>
        </w:rPr>
        <w:t xml:space="preserve">a zemědělské </w:t>
      </w:r>
      <w:r w:rsidRPr="006070EA">
        <w:rPr>
          <w:rFonts w:asciiTheme="majorHAnsi" w:hAnsiTheme="majorHAnsi" w:cstheme="majorHAnsi"/>
        </w:rPr>
        <w:t>areály)</w:t>
      </w:r>
      <w:r w:rsidR="00BD6542" w:rsidRPr="006070EA">
        <w:rPr>
          <w:rFonts w:asciiTheme="majorHAnsi" w:hAnsiTheme="majorHAnsi" w:cstheme="majorHAnsi"/>
        </w:rPr>
        <w:t>, případně areály s nižším podílem zástavby (solitérní stavby v areálu – hřbitov, areály technické infrastruktury, sportovní areály)</w:t>
      </w:r>
      <w:r w:rsidRPr="006070EA">
        <w:rPr>
          <w:rFonts w:asciiTheme="majorHAnsi" w:hAnsiTheme="majorHAnsi" w:cstheme="majorHAnsi"/>
        </w:rPr>
        <w:t>. Z provozního hlediska se jedná o objekty s omezenou přístupností pro veřejnost (vzdělávací, sportovní či rekreační zařízení) nebo o uzavřené soukromé výrobní areály. Zástavba v těchto areálech je velmi různorodá, závislá na způsobu využití a</w:t>
      </w:r>
      <w:r w:rsidR="00BD6542" w:rsidRPr="006070EA">
        <w:rPr>
          <w:rFonts w:asciiTheme="majorHAnsi" w:hAnsiTheme="majorHAnsi" w:cstheme="majorHAnsi"/>
        </w:rPr>
        <w:t> </w:t>
      </w:r>
      <w:r w:rsidRPr="006070EA">
        <w:rPr>
          <w:rFonts w:asciiTheme="majorHAnsi" w:hAnsiTheme="majorHAnsi" w:cstheme="majorHAnsi"/>
        </w:rPr>
        <w:t xml:space="preserve">nezbytných technologiích, podřízená provozu areálů s rozmanitým uspořádáním, rozdílnými proporcemi a měřítkem staveb, bez typické struktury, a nelze </w:t>
      </w:r>
      <w:r w:rsidRPr="006070EA">
        <w:rPr>
          <w:rFonts w:asciiTheme="majorHAnsi" w:hAnsiTheme="majorHAnsi" w:cstheme="majorHAnsi"/>
        </w:rPr>
        <w:lastRenderedPageBreak/>
        <w:t>stanovit konkrétnější podmínky, a to ani z hlediska výšky zástavby. Areálová struktura obvykle svým rozsahem výrazně zasahuje do půdorysu zástavby.</w:t>
      </w:r>
    </w:p>
    <w:p w14:paraId="53111D87" w14:textId="77777777" w:rsidR="00BB72C6" w:rsidRPr="006070EA" w:rsidRDefault="00BB72C6" w:rsidP="00BB72C6">
      <w:pPr>
        <w:pStyle w:val="Atext"/>
        <w:rPr>
          <w:rFonts w:asciiTheme="majorHAnsi" w:hAnsiTheme="majorHAnsi" w:cstheme="majorHAnsi"/>
        </w:rPr>
      </w:pPr>
      <w:r w:rsidRPr="006070EA">
        <w:rPr>
          <w:rFonts w:asciiTheme="majorHAnsi" w:hAnsiTheme="majorHAnsi" w:cstheme="majorHAnsi"/>
        </w:rPr>
        <w:t>Důvodem stanovení tohoto typu prostorové struktury zástavby je nižší míra prostorové regulace ve vztahu k vysokým nárokům na provoz a funkčnost areálů oproti ostatním typům prostorové struktury, neboť areálová zástavba se výrazně méně uplatňuje v organismu města a nemá tak výrazný vliv na formování veřejného prostoru sídel.</w:t>
      </w:r>
    </w:p>
    <w:p w14:paraId="534FFF0B" w14:textId="56FE361F" w:rsidR="00BB72C6" w:rsidRPr="006070EA" w:rsidRDefault="00BB72C6" w:rsidP="00BB72C6">
      <w:pPr>
        <w:pStyle w:val="Anadpistun"/>
        <w:rPr>
          <w:rFonts w:asciiTheme="majorHAnsi" w:hAnsiTheme="majorHAnsi" w:cstheme="majorHAnsi"/>
          <w:i/>
          <w:iCs/>
        </w:rPr>
      </w:pPr>
      <w:r w:rsidRPr="006070EA">
        <w:rPr>
          <w:rFonts w:asciiTheme="majorHAnsi" w:hAnsiTheme="majorHAnsi" w:cstheme="majorHAnsi"/>
          <w:i/>
          <w:iCs/>
        </w:rPr>
        <w:t>Solitérní zástavba a jednotlivé solitérní objekty</w:t>
      </w:r>
    </w:p>
    <w:p w14:paraId="3EF82DA0" w14:textId="20DEA2D7" w:rsidR="00BB72C6" w:rsidRPr="006070EA" w:rsidRDefault="00BB72C6" w:rsidP="00BB72C6">
      <w:pPr>
        <w:pStyle w:val="Atext"/>
        <w:rPr>
          <w:rFonts w:asciiTheme="majorHAnsi" w:hAnsiTheme="majorHAnsi" w:cstheme="majorHAnsi"/>
        </w:rPr>
      </w:pPr>
      <w:r w:rsidRPr="006070EA">
        <w:rPr>
          <w:rFonts w:asciiTheme="majorHAnsi" w:hAnsiTheme="majorHAnsi" w:cstheme="majorHAnsi"/>
        </w:rPr>
        <w:t xml:space="preserve">Solitérní zástavba je specifickou kategorií zástavby. Je vymezena v území, kde se v podstatě žádná zástavba nepředpokládá, a pokud ano, pak jen doplňková, pro nezbytnou potřebu využití dotčeného území, avšak s minimálním rozsahem i objemem a bez narušení celkového vizuálního vnímání území i jeho prostorotvorné funkce. Solitérní stavby nenavazují na souvislou zástavbu sídel nebo rekreačních lokalit a měly by zůstat solitérem. Důvodem je zejména ochrana volné krajiny a krajinného rázu a upřednostnění rozvoje v souvisle urbanizovaném území a zastavěných částech města a sídel v řešeném území. </w:t>
      </w:r>
    </w:p>
    <w:p w14:paraId="7EB153FA" w14:textId="4B9051D0" w:rsidR="00BE35FE" w:rsidRPr="006070EA" w:rsidRDefault="00BE35FE" w:rsidP="003A4B1E">
      <w:pPr>
        <w:pStyle w:val="Odstavecseseznamem"/>
        <w:keepNext/>
        <w:numPr>
          <w:ilvl w:val="2"/>
          <w:numId w:val="30"/>
        </w:numPr>
        <w:spacing w:before="160" w:after="120" w:line="240" w:lineRule="auto"/>
        <w:ind w:left="709" w:hanging="709"/>
        <w:contextualSpacing w:val="0"/>
        <w:outlineLvl w:val="2"/>
        <w:rPr>
          <w:rFonts w:asciiTheme="majorHAnsi" w:hAnsiTheme="majorHAnsi" w:cstheme="majorHAnsi"/>
          <w:b/>
        </w:rPr>
      </w:pPr>
      <w:bookmarkStart w:id="317" w:name="_Toc204678194"/>
      <w:r w:rsidRPr="006070EA">
        <w:rPr>
          <w:rFonts w:asciiTheme="majorHAnsi" w:hAnsiTheme="majorHAnsi" w:cstheme="majorHAnsi"/>
          <w:b/>
        </w:rPr>
        <w:t>Odůvodnění vymezení ploch s rozdílným způsobem využití</w:t>
      </w:r>
      <w:bookmarkEnd w:id="317"/>
    </w:p>
    <w:p w14:paraId="1F5C2D2E" w14:textId="7ED7E79E" w:rsidR="00BE35FE" w:rsidRPr="006070EA" w:rsidRDefault="00BE35FE" w:rsidP="00BE35FE">
      <w:pPr>
        <w:pStyle w:val="Atext"/>
        <w:keepNext/>
        <w:ind w:firstLine="0"/>
        <w:jc w:val="right"/>
        <w:rPr>
          <w:rFonts w:asciiTheme="majorHAnsi" w:hAnsiTheme="majorHAnsi" w:cstheme="majorHAnsi"/>
          <w:i/>
          <w:snapToGrid w:val="0"/>
          <w:u w:val="single"/>
        </w:rPr>
      </w:pPr>
      <w:r w:rsidRPr="006070EA">
        <w:rPr>
          <w:rFonts w:asciiTheme="majorHAnsi" w:hAnsiTheme="majorHAnsi" w:cstheme="majorHAnsi"/>
          <w:i/>
          <w:snapToGrid w:val="0"/>
          <w:u w:val="single"/>
        </w:rPr>
        <w:t>Odůvodnění odst. (9) výrokové části</w:t>
      </w:r>
    </w:p>
    <w:p w14:paraId="2E3E0DA9" w14:textId="606BF27A" w:rsidR="00BE35FE" w:rsidRPr="006070EA" w:rsidRDefault="00E96988" w:rsidP="00E96988">
      <w:pPr>
        <w:pStyle w:val="Atext"/>
        <w:rPr>
          <w:rFonts w:asciiTheme="majorHAnsi" w:eastAsia="Calibri" w:hAnsiTheme="majorHAnsi" w:cstheme="majorHAnsi"/>
          <w:szCs w:val="18"/>
        </w:rPr>
      </w:pPr>
      <w:r w:rsidRPr="006070EA">
        <w:rPr>
          <w:rFonts w:asciiTheme="majorHAnsi" w:hAnsiTheme="majorHAnsi" w:cstheme="majorHAnsi"/>
          <w:szCs w:val="18"/>
        </w:rPr>
        <w:t>V</w:t>
      </w:r>
      <w:r w:rsidR="00BE35FE" w:rsidRPr="006070EA">
        <w:rPr>
          <w:rFonts w:asciiTheme="majorHAnsi" w:eastAsia="Calibri" w:hAnsiTheme="majorHAnsi" w:cstheme="majorHAnsi"/>
          <w:szCs w:val="18"/>
        </w:rPr>
        <w:t> souladu s</w:t>
      </w:r>
      <w:r w:rsidRPr="006070EA">
        <w:rPr>
          <w:rFonts w:asciiTheme="majorHAnsi" w:eastAsia="Calibri" w:hAnsiTheme="majorHAnsi" w:cstheme="majorHAnsi"/>
          <w:szCs w:val="18"/>
        </w:rPr>
        <w:t xml:space="preserve"> Jednotným standardem ÚPD (Standard vybraných částí územního plánu, Metodický pokyn MMR, 2023), resp. podle § 21a vyhlášky č. 418/2022 Sb., kterou se mění vyhláška č. 500/2006 Sb., o územně analytických podkladech, územně plánovací dokumentaci a způsobu evidence územně plánovací činnosti, ve znění pozdějších předpisů, vyhláška č. 501/2006 Sb., o obecných požadavcích na využívání území, ve znění pozdějších předpisů, a vyhláška č. 360/2021 Sb., kterou se mění vyhláška č. 501/2006 Sb., o obecných požadavcích na využívání území, ve znění pozdějších předpisů, ve znění vyhlášky č. 164/2022 Sb., </w:t>
      </w:r>
      <w:r w:rsidRPr="006070EA">
        <w:rPr>
          <w:rFonts w:asciiTheme="majorHAnsi" w:hAnsiTheme="majorHAnsi" w:cstheme="majorHAnsi"/>
          <w:szCs w:val="18"/>
        </w:rPr>
        <w:t>jsou v řešeném území vymezeny plochy s rozdílným způsobem využití</w:t>
      </w:r>
      <w:r w:rsidRPr="006070EA">
        <w:rPr>
          <w:rFonts w:asciiTheme="majorHAnsi" w:eastAsia="Calibri" w:hAnsiTheme="majorHAnsi" w:cstheme="majorHAnsi"/>
          <w:szCs w:val="18"/>
        </w:rPr>
        <w:t>.</w:t>
      </w:r>
    </w:p>
    <w:p w14:paraId="1D9EDEF8" w14:textId="28A9A761" w:rsidR="00BE35FE" w:rsidRPr="006070EA" w:rsidRDefault="00BE35FE" w:rsidP="00BE35FE">
      <w:pPr>
        <w:pStyle w:val="Atext"/>
        <w:rPr>
          <w:rFonts w:asciiTheme="majorHAnsi" w:eastAsia="Calibri" w:hAnsiTheme="majorHAnsi" w:cstheme="majorHAnsi"/>
          <w:szCs w:val="18"/>
        </w:rPr>
      </w:pPr>
      <w:r w:rsidRPr="006070EA">
        <w:rPr>
          <w:rFonts w:asciiTheme="majorHAnsi" w:eastAsia="Calibri" w:hAnsiTheme="majorHAnsi" w:cstheme="majorHAnsi"/>
          <w:szCs w:val="18"/>
        </w:rPr>
        <w:t xml:space="preserve">Plochy s rozdílným způsobem využití beze zbytku pokrývají celé řešené území. To je metodikou územního plánu členěno na urbanizované území řešené v této kapitole (zastavěné území a zastavitelné plochy) a volnou krajinu řešenou v kapitole 11.5 (nezastavěné území a plochy změn v krajině). V rámci stanovení urbanistické koncepce se uplatňují následující typy ploch s rozdílným způsobem využití: </w:t>
      </w:r>
    </w:p>
    <w:p w14:paraId="2D0F812A" w14:textId="4AC245F0" w:rsidR="00E96988" w:rsidRPr="006070EA" w:rsidRDefault="00E96988" w:rsidP="007F78AE">
      <w:pPr>
        <w:pStyle w:val="Odstavecseseznamem"/>
        <w:keepNext/>
        <w:spacing w:before="120" w:after="60" w:line="240" w:lineRule="auto"/>
        <w:ind w:left="851"/>
        <w:contextualSpacing w:val="0"/>
        <w:jc w:val="both"/>
        <w:rPr>
          <w:rFonts w:asciiTheme="majorHAnsi" w:hAnsiTheme="majorHAnsi" w:cstheme="majorHAnsi"/>
          <w:b/>
          <w:sz w:val="18"/>
          <w:szCs w:val="18"/>
        </w:rPr>
      </w:pPr>
      <w:r w:rsidRPr="006070EA">
        <w:rPr>
          <w:rFonts w:asciiTheme="majorHAnsi" w:hAnsiTheme="majorHAnsi" w:cstheme="majorHAnsi"/>
          <w:b/>
          <w:sz w:val="18"/>
          <w:szCs w:val="18"/>
        </w:rPr>
        <w:t xml:space="preserve">Plochy bydlení dle § 4 </w:t>
      </w:r>
      <w:r w:rsidR="007F78AE" w:rsidRPr="006070EA">
        <w:rPr>
          <w:rFonts w:asciiTheme="majorHAnsi" w:hAnsiTheme="majorHAnsi" w:cstheme="majorHAnsi"/>
          <w:b/>
          <w:sz w:val="18"/>
          <w:szCs w:val="18"/>
        </w:rPr>
        <w:t xml:space="preserve">vyhlášky č. </w:t>
      </w:r>
      <w:r w:rsidR="00B50542" w:rsidRPr="006070EA">
        <w:rPr>
          <w:rFonts w:asciiTheme="majorHAnsi" w:hAnsiTheme="majorHAnsi" w:cstheme="majorHAnsi"/>
          <w:b/>
          <w:sz w:val="18"/>
          <w:szCs w:val="18"/>
        </w:rPr>
        <w:t>501/2006</w:t>
      </w:r>
      <w:r w:rsidR="007F78AE" w:rsidRPr="006070EA">
        <w:rPr>
          <w:rFonts w:asciiTheme="majorHAnsi" w:hAnsiTheme="majorHAnsi" w:cstheme="majorHAnsi"/>
          <w:b/>
          <w:sz w:val="18"/>
          <w:szCs w:val="18"/>
        </w:rPr>
        <w:t xml:space="preserve"> Sb.</w:t>
      </w:r>
      <w:r w:rsidR="00B50542" w:rsidRPr="006070EA">
        <w:rPr>
          <w:rFonts w:asciiTheme="majorHAnsi" w:hAnsiTheme="majorHAnsi" w:cstheme="majorHAnsi"/>
          <w:b/>
          <w:sz w:val="18"/>
          <w:szCs w:val="18"/>
        </w:rPr>
        <w:t xml:space="preserve"> v aktuálním znění:</w:t>
      </w:r>
    </w:p>
    <w:p w14:paraId="3B5C4B43" w14:textId="5255FE01" w:rsidR="00BE35FE" w:rsidRPr="006070EA" w:rsidRDefault="007F78AE" w:rsidP="007F78AE">
      <w:pPr>
        <w:pStyle w:val="Odstavecseseznamem"/>
        <w:keepNext/>
        <w:spacing w:after="0" w:line="240" w:lineRule="auto"/>
        <w:ind w:left="1418"/>
        <w:jc w:val="both"/>
        <w:rPr>
          <w:rFonts w:asciiTheme="majorHAnsi" w:hAnsiTheme="majorHAnsi" w:cstheme="majorHAnsi"/>
          <w:bCs/>
          <w:sz w:val="18"/>
          <w:szCs w:val="18"/>
        </w:rPr>
      </w:pPr>
      <w:r w:rsidRPr="006070EA">
        <w:rPr>
          <w:rFonts w:asciiTheme="majorHAnsi" w:hAnsiTheme="majorHAnsi" w:cstheme="majorHAnsi"/>
          <w:bCs/>
          <w:sz w:val="18"/>
          <w:szCs w:val="18"/>
        </w:rPr>
        <w:t>b</w:t>
      </w:r>
      <w:r w:rsidR="00BE35FE" w:rsidRPr="006070EA">
        <w:rPr>
          <w:rFonts w:asciiTheme="majorHAnsi" w:hAnsiTheme="majorHAnsi" w:cstheme="majorHAnsi"/>
          <w:bCs/>
          <w:sz w:val="18"/>
          <w:szCs w:val="18"/>
        </w:rPr>
        <w:t xml:space="preserve">ydlení </w:t>
      </w:r>
      <w:r w:rsidR="00E96988" w:rsidRPr="006070EA">
        <w:rPr>
          <w:rFonts w:asciiTheme="majorHAnsi" w:hAnsiTheme="majorHAnsi" w:cstheme="majorHAnsi"/>
          <w:bCs/>
          <w:sz w:val="18"/>
          <w:szCs w:val="18"/>
        </w:rPr>
        <w:t>hromadné</w:t>
      </w:r>
      <w:r w:rsidR="00BE35FE" w:rsidRPr="006070EA">
        <w:rPr>
          <w:rFonts w:asciiTheme="majorHAnsi" w:hAnsiTheme="majorHAnsi" w:cstheme="majorHAnsi"/>
          <w:bCs/>
          <w:sz w:val="18"/>
          <w:szCs w:val="18"/>
        </w:rPr>
        <w:t xml:space="preserve"> (BH)</w:t>
      </w:r>
    </w:p>
    <w:p w14:paraId="5EC0298C" w14:textId="0FB68839" w:rsidR="00BE35FE" w:rsidRPr="006070EA" w:rsidRDefault="007F78AE" w:rsidP="007F78AE">
      <w:pPr>
        <w:pStyle w:val="Odstavecseseznamem"/>
        <w:keepNext/>
        <w:spacing w:after="0" w:line="240" w:lineRule="auto"/>
        <w:ind w:left="1418"/>
        <w:jc w:val="both"/>
        <w:rPr>
          <w:rFonts w:asciiTheme="majorHAnsi" w:hAnsiTheme="majorHAnsi" w:cstheme="majorHAnsi"/>
          <w:bCs/>
          <w:sz w:val="18"/>
          <w:szCs w:val="18"/>
        </w:rPr>
      </w:pPr>
      <w:r w:rsidRPr="006070EA">
        <w:rPr>
          <w:rFonts w:asciiTheme="majorHAnsi" w:hAnsiTheme="majorHAnsi" w:cstheme="majorHAnsi"/>
          <w:bCs/>
          <w:sz w:val="18"/>
          <w:szCs w:val="18"/>
        </w:rPr>
        <w:t>b</w:t>
      </w:r>
      <w:r w:rsidR="00BE35FE" w:rsidRPr="006070EA">
        <w:rPr>
          <w:rFonts w:asciiTheme="majorHAnsi" w:hAnsiTheme="majorHAnsi" w:cstheme="majorHAnsi"/>
          <w:bCs/>
          <w:sz w:val="18"/>
          <w:szCs w:val="18"/>
        </w:rPr>
        <w:t xml:space="preserve">ydlení </w:t>
      </w:r>
      <w:r w:rsidRPr="006070EA">
        <w:rPr>
          <w:rFonts w:asciiTheme="majorHAnsi" w:hAnsiTheme="majorHAnsi" w:cstheme="majorHAnsi"/>
          <w:bCs/>
          <w:sz w:val="18"/>
          <w:szCs w:val="18"/>
        </w:rPr>
        <w:t>individuální</w:t>
      </w:r>
      <w:r w:rsidR="00BE35FE" w:rsidRPr="006070EA">
        <w:rPr>
          <w:rFonts w:asciiTheme="majorHAnsi" w:hAnsiTheme="majorHAnsi" w:cstheme="majorHAnsi"/>
          <w:bCs/>
          <w:sz w:val="18"/>
          <w:szCs w:val="18"/>
        </w:rPr>
        <w:t xml:space="preserve"> (BI)</w:t>
      </w:r>
    </w:p>
    <w:p w14:paraId="352509F2" w14:textId="3A275247" w:rsidR="007F78AE" w:rsidRPr="006070EA" w:rsidRDefault="007F78AE" w:rsidP="007F78AE">
      <w:pPr>
        <w:pStyle w:val="Odstavecseseznamem"/>
        <w:keepNext/>
        <w:spacing w:before="120" w:after="60" w:line="240" w:lineRule="auto"/>
        <w:ind w:left="851"/>
        <w:contextualSpacing w:val="0"/>
        <w:jc w:val="both"/>
        <w:rPr>
          <w:rFonts w:asciiTheme="majorHAnsi" w:hAnsiTheme="majorHAnsi" w:cstheme="majorHAnsi"/>
          <w:b/>
          <w:sz w:val="18"/>
          <w:szCs w:val="18"/>
        </w:rPr>
      </w:pPr>
      <w:r w:rsidRPr="006070EA">
        <w:rPr>
          <w:rFonts w:asciiTheme="majorHAnsi" w:hAnsiTheme="majorHAnsi" w:cstheme="majorHAnsi"/>
          <w:b/>
          <w:sz w:val="18"/>
          <w:szCs w:val="18"/>
        </w:rPr>
        <w:t xml:space="preserve">Plochy občanského vybavení dle § 6 vyhlášky č. </w:t>
      </w:r>
      <w:r w:rsidR="00B50542" w:rsidRPr="006070EA">
        <w:rPr>
          <w:rFonts w:asciiTheme="majorHAnsi" w:hAnsiTheme="majorHAnsi" w:cstheme="majorHAnsi"/>
          <w:b/>
          <w:sz w:val="18"/>
          <w:szCs w:val="18"/>
        </w:rPr>
        <w:t>501/2006 Sb. v aktuálním znění</w:t>
      </w:r>
    </w:p>
    <w:p w14:paraId="0D06C265" w14:textId="45C37F9E" w:rsidR="00BE35FE" w:rsidRPr="006070EA" w:rsidRDefault="007F78AE" w:rsidP="007F78AE">
      <w:pPr>
        <w:pStyle w:val="Odstavecseseznamem"/>
        <w:spacing w:after="120" w:line="240" w:lineRule="auto"/>
        <w:ind w:left="1418"/>
        <w:jc w:val="both"/>
        <w:rPr>
          <w:rFonts w:asciiTheme="majorHAnsi" w:hAnsiTheme="majorHAnsi" w:cstheme="majorHAnsi"/>
          <w:bCs/>
          <w:sz w:val="18"/>
          <w:szCs w:val="18"/>
        </w:rPr>
      </w:pPr>
      <w:r w:rsidRPr="006070EA">
        <w:rPr>
          <w:rFonts w:asciiTheme="majorHAnsi" w:hAnsiTheme="majorHAnsi" w:cstheme="majorHAnsi"/>
          <w:bCs/>
          <w:sz w:val="18"/>
          <w:szCs w:val="18"/>
        </w:rPr>
        <w:t>o</w:t>
      </w:r>
      <w:r w:rsidR="00BE35FE" w:rsidRPr="006070EA">
        <w:rPr>
          <w:rFonts w:asciiTheme="majorHAnsi" w:hAnsiTheme="majorHAnsi" w:cstheme="majorHAnsi"/>
          <w:bCs/>
          <w:sz w:val="18"/>
          <w:szCs w:val="18"/>
        </w:rPr>
        <w:t xml:space="preserve">bčanské vybavení </w:t>
      </w:r>
      <w:r w:rsidRPr="006070EA">
        <w:rPr>
          <w:rFonts w:asciiTheme="majorHAnsi" w:hAnsiTheme="majorHAnsi" w:cstheme="majorHAnsi"/>
          <w:bCs/>
          <w:sz w:val="18"/>
          <w:szCs w:val="18"/>
        </w:rPr>
        <w:t xml:space="preserve">veřejné </w:t>
      </w:r>
      <w:r w:rsidR="00BE35FE" w:rsidRPr="006070EA">
        <w:rPr>
          <w:rFonts w:asciiTheme="majorHAnsi" w:hAnsiTheme="majorHAnsi" w:cstheme="majorHAnsi"/>
          <w:bCs/>
          <w:sz w:val="18"/>
          <w:szCs w:val="18"/>
        </w:rPr>
        <w:t>(OV)</w:t>
      </w:r>
    </w:p>
    <w:p w14:paraId="575C4AB2" w14:textId="0BFE1057" w:rsidR="00BE35FE" w:rsidRPr="006070EA" w:rsidRDefault="007F78AE" w:rsidP="007F78AE">
      <w:pPr>
        <w:pStyle w:val="Odstavecseseznamem"/>
        <w:spacing w:after="0" w:line="240" w:lineRule="auto"/>
        <w:ind w:left="1418"/>
        <w:jc w:val="both"/>
        <w:rPr>
          <w:rFonts w:asciiTheme="majorHAnsi" w:hAnsiTheme="majorHAnsi" w:cstheme="majorHAnsi"/>
          <w:bCs/>
          <w:sz w:val="18"/>
          <w:szCs w:val="18"/>
        </w:rPr>
      </w:pPr>
      <w:r w:rsidRPr="006070EA">
        <w:rPr>
          <w:rFonts w:asciiTheme="majorHAnsi" w:hAnsiTheme="majorHAnsi" w:cstheme="majorHAnsi"/>
          <w:bCs/>
          <w:sz w:val="18"/>
          <w:szCs w:val="18"/>
        </w:rPr>
        <w:t>o</w:t>
      </w:r>
      <w:r w:rsidR="00BE35FE" w:rsidRPr="006070EA">
        <w:rPr>
          <w:rFonts w:asciiTheme="majorHAnsi" w:hAnsiTheme="majorHAnsi" w:cstheme="majorHAnsi"/>
          <w:bCs/>
          <w:sz w:val="18"/>
          <w:szCs w:val="18"/>
        </w:rPr>
        <w:t xml:space="preserve">bčanské vybavení </w:t>
      </w:r>
      <w:r w:rsidR="00B50542" w:rsidRPr="006070EA">
        <w:rPr>
          <w:rFonts w:asciiTheme="majorHAnsi" w:hAnsiTheme="majorHAnsi" w:cstheme="majorHAnsi"/>
          <w:bCs/>
          <w:sz w:val="18"/>
          <w:szCs w:val="18"/>
        </w:rPr>
        <w:t>–</w:t>
      </w:r>
      <w:r w:rsidR="00BE35FE" w:rsidRPr="006070EA">
        <w:rPr>
          <w:rFonts w:asciiTheme="majorHAnsi" w:hAnsiTheme="majorHAnsi" w:cstheme="majorHAnsi"/>
          <w:bCs/>
          <w:sz w:val="18"/>
          <w:szCs w:val="18"/>
        </w:rPr>
        <w:t xml:space="preserve"> hřbitovy (OH)</w:t>
      </w:r>
    </w:p>
    <w:p w14:paraId="7A176ABA" w14:textId="7B771722" w:rsidR="00B50542" w:rsidRPr="006070EA" w:rsidRDefault="00B50542" w:rsidP="00B50542">
      <w:pPr>
        <w:pStyle w:val="Odstavecseseznamem"/>
        <w:keepNext/>
        <w:spacing w:before="120" w:after="60" w:line="240" w:lineRule="auto"/>
        <w:ind w:left="851"/>
        <w:contextualSpacing w:val="0"/>
        <w:jc w:val="both"/>
        <w:rPr>
          <w:rFonts w:asciiTheme="majorHAnsi" w:hAnsiTheme="majorHAnsi" w:cstheme="majorHAnsi"/>
          <w:b/>
          <w:sz w:val="18"/>
          <w:szCs w:val="18"/>
        </w:rPr>
      </w:pPr>
      <w:r w:rsidRPr="006070EA">
        <w:rPr>
          <w:rFonts w:asciiTheme="majorHAnsi" w:hAnsiTheme="majorHAnsi" w:cstheme="majorHAnsi"/>
          <w:b/>
          <w:sz w:val="18"/>
          <w:szCs w:val="18"/>
        </w:rPr>
        <w:t>Plochy veřejných prostranství dle § 7 vyhlášky č. 501/2006 Sb. v aktuálním znění:</w:t>
      </w:r>
    </w:p>
    <w:p w14:paraId="05A36E6D" w14:textId="352020AC" w:rsidR="00B50542" w:rsidRPr="006070EA" w:rsidRDefault="00B50542" w:rsidP="00B50542">
      <w:pPr>
        <w:pStyle w:val="Odstavecseseznamem"/>
        <w:spacing w:after="0" w:line="240" w:lineRule="auto"/>
        <w:ind w:left="851" w:firstLine="567"/>
        <w:jc w:val="both"/>
        <w:rPr>
          <w:rFonts w:asciiTheme="majorHAnsi" w:hAnsiTheme="majorHAnsi" w:cstheme="majorHAnsi"/>
          <w:bCs/>
          <w:sz w:val="18"/>
          <w:szCs w:val="18"/>
        </w:rPr>
      </w:pPr>
      <w:r w:rsidRPr="006070EA">
        <w:rPr>
          <w:rFonts w:asciiTheme="majorHAnsi" w:hAnsiTheme="majorHAnsi" w:cstheme="majorHAnsi"/>
          <w:bCs/>
          <w:sz w:val="18"/>
          <w:szCs w:val="18"/>
        </w:rPr>
        <w:t>veřejná prostranství všeobecná (PU)</w:t>
      </w:r>
    </w:p>
    <w:p w14:paraId="2D69DCA4" w14:textId="794BF0A2" w:rsidR="007F78AE" w:rsidRPr="006070EA" w:rsidRDefault="007F78AE" w:rsidP="007F78AE">
      <w:pPr>
        <w:pStyle w:val="Odstavecseseznamem"/>
        <w:keepNext/>
        <w:spacing w:before="120" w:after="60" w:line="240" w:lineRule="auto"/>
        <w:ind w:left="851"/>
        <w:contextualSpacing w:val="0"/>
        <w:jc w:val="both"/>
        <w:rPr>
          <w:rFonts w:asciiTheme="majorHAnsi" w:hAnsiTheme="majorHAnsi" w:cstheme="majorHAnsi"/>
          <w:b/>
          <w:sz w:val="18"/>
          <w:szCs w:val="18"/>
        </w:rPr>
      </w:pPr>
      <w:r w:rsidRPr="006070EA">
        <w:rPr>
          <w:rFonts w:asciiTheme="majorHAnsi" w:hAnsiTheme="majorHAnsi" w:cstheme="majorHAnsi"/>
          <w:b/>
          <w:sz w:val="18"/>
          <w:szCs w:val="18"/>
        </w:rPr>
        <w:t>Plochy zeleně dle § 7</w:t>
      </w:r>
      <w:r w:rsidR="00B50542" w:rsidRPr="006070EA">
        <w:rPr>
          <w:rFonts w:asciiTheme="majorHAnsi" w:hAnsiTheme="majorHAnsi" w:cstheme="majorHAnsi"/>
          <w:b/>
          <w:sz w:val="18"/>
          <w:szCs w:val="18"/>
        </w:rPr>
        <w:t>a</w:t>
      </w:r>
      <w:r w:rsidRPr="006070EA">
        <w:rPr>
          <w:rFonts w:asciiTheme="majorHAnsi" w:hAnsiTheme="majorHAnsi" w:cstheme="majorHAnsi"/>
          <w:b/>
          <w:sz w:val="18"/>
          <w:szCs w:val="18"/>
        </w:rPr>
        <w:t xml:space="preserve"> vyhlášky č. </w:t>
      </w:r>
      <w:r w:rsidR="00B50542" w:rsidRPr="006070EA">
        <w:rPr>
          <w:rFonts w:asciiTheme="majorHAnsi" w:hAnsiTheme="majorHAnsi" w:cstheme="majorHAnsi"/>
          <w:b/>
          <w:sz w:val="18"/>
          <w:szCs w:val="18"/>
        </w:rPr>
        <w:t>501/2006 Sb. v aktuálním znění</w:t>
      </w:r>
      <w:r w:rsidRPr="006070EA">
        <w:rPr>
          <w:rFonts w:asciiTheme="majorHAnsi" w:hAnsiTheme="majorHAnsi" w:cstheme="majorHAnsi"/>
          <w:b/>
          <w:sz w:val="18"/>
          <w:szCs w:val="18"/>
        </w:rPr>
        <w:t>:</w:t>
      </w:r>
    </w:p>
    <w:p w14:paraId="7FA233D7" w14:textId="680274A4" w:rsidR="007F78AE" w:rsidRPr="006070EA" w:rsidRDefault="007F78AE" w:rsidP="007F78AE">
      <w:pPr>
        <w:pStyle w:val="Odstavecseseznamem"/>
        <w:spacing w:after="0" w:line="240" w:lineRule="auto"/>
        <w:ind w:left="1418"/>
        <w:jc w:val="both"/>
        <w:rPr>
          <w:rFonts w:asciiTheme="majorHAnsi" w:hAnsiTheme="majorHAnsi" w:cstheme="majorHAnsi"/>
          <w:bCs/>
          <w:sz w:val="18"/>
          <w:szCs w:val="18"/>
        </w:rPr>
      </w:pPr>
      <w:r w:rsidRPr="006070EA">
        <w:rPr>
          <w:rFonts w:asciiTheme="majorHAnsi" w:hAnsiTheme="majorHAnsi" w:cstheme="majorHAnsi"/>
          <w:bCs/>
          <w:sz w:val="18"/>
          <w:szCs w:val="18"/>
        </w:rPr>
        <w:t>zeleň – parky a parkově upravené plochy (ZP)</w:t>
      </w:r>
    </w:p>
    <w:p w14:paraId="54DDCAB5" w14:textId="531B7839" w:rsidR="007F78AE" w:rsidRPr="006070EA" w:rsidRDefault="007F78AE" w:rsidP="007F78AE">
      <w:pPr>
        <w:pStyle w:val="Odstavecseseznamem"/>
        <w:spacing w:after="0" w:line="240" w:lineRule="auto"/>
        <w:ind w:left="1418"/>
        <w:jc w:val="both"/>
        <w:rPr>
          <w:rFonts w:asciiTheme="majorHAnsi" w:hAnsiTheme="majorHAnsi" w:cstheme="majorHAnsi"/>
          <w:bCs/>
          <w:sz w:val="18"/>
          <w:szCs w:val="18"/>
        </w:rPr>
      </w:pPr>
      <w:r w:rsidRPr="006070EA">
        <w:rPr>
          <w:rFonts w:asciiTheme="majorHAnsi" w:hAnsiTheme="majorHAnsi" w:cstheme="majorHAnsi"/>
          <w:bCs/>
          <w:sz w:val="18"/>
          <w:szCs w:val="18"/>
        </w:rPr>
        <w:t>zeleň krajinná (ZK)</w:t>
      </w:r>
    </w:p>
    <w:p w14:paraId="31C5578E" w14:textId="0E1A4C7A" w:rsidR="007F78AE" w:rsidRPr="006070EA" w:rsidRDefault="007F78AE" w:rsidP="007F78AE">
      <w:pPr>
        <w:pStyle w:val="Odstavecseseznamem"/>
        <w:keepNext/>
        <w:spacing w:before="120" w:after="60" w:line="240" w:lineRule="auto"/>
        <w:ind w:left="851"/>
        <w:contextualSpacing w:val="0"/>
        <w:jc w:val="both"/>
        <w:rPr>
          <w:rFonts w:asciiTheme="majorHAnsi" w:hAnsiTheme="majorHAnsi" w:cstheme="majorHAnsi"/>
          <w:b/>
          <w:sz w:val="18"/>
          <w:szCs w:val="18"/>
        </w:rPr>
      </w:pPr>
      <w:r w:rsidRPr="006070EA">
        <w:rPr>
          <w:rFonts w:asciiTheme="majorHAnsi" w:hAnsiTheme="majorHAnsi" w:cstheme="majorHAnsi"/>
          <w:b/>
          <w:sz w:val="18"/>
          <w:szCs w:val="18"/>
        </w:rPr>
        <w:t xml:space="preserve">Plochy smíšené obytné dle § 8 vyhlášky č. </w:t>
      </w:r>
      <w:r w:rsidR="00B50542" w:rsidRPr="006070EA">
        <w:rPr>
          <w:rFonts w:asciiTheme="majorHAnsi" w:hAnsiTheme="majorHAnsi" w:cstheme="majorHAnsi"/>
          <w:b/>
          <w:sz w:val="18"/>
          <w:szCs w:val="18"/>
        </w:rPr>
        <w:t>501/2006 Sb. v aktuálním znění</w:t>
      </w:r>
      <w:r w:rsidRPr="006070EA">
        <w:rPr>
          <w:rFonts w:asciiTheme="majorHAnsi" w:hAnsiTheme="majorHAnsi" w:cstheme="majorHAnsi"/>
          <w:b/>
          <w:sz w:val="18"/>
          <w:szCs w:val="18"/>
        </w:rPr>
        <w:t>:</w:t>
      </w:r>
    </w:p>
    <w:p w14:paraId="49800B9E" w14:textId="20EB4A94" w:rsidR="00BE35FE" w:rsidRPr="006070EA" w:rsidRDefault="007F78AE" w:rsidP="007F78AE">
      <w:pPr>
        <w:pStyle w:val="Odstavecseseznamem"/>
        <w:spacing w:after="0" w:line="240" w:lineRule="auto"/>
        <w:ind w:left="1418"/>
        <w:jc w:val="both"/>
        <w:rPr>
          <w:rFonts w:asciiTheme="majorHAnsi" w:hAnsiTheme="majorHAnsi" w:cstheme="majorHAnsi"/>
          <w:bCs/>
          <w:sz w:val="18"/>
          <w:szCs w:val="18"/>
        </w:rPr>
      </w:pPr>
      <w:r w:rsidRPr="006070EA">
        <w:rPr>
          <w:rFonts w:asciiTheme="majorHAnsi" w:hAnsiTheme="majorHAnsi" w:cstheme="majorHAnsi"/>
          <w:bCs/>
          <w:sz w:val="18"/>
          <w:szCs w:val="18"/>
        </w:rPr>
        <w:t>s</w:t>
      </w:r>
      <w:r w:rsidR="00BE35FE" w:rsidRPr="006070EA">
        <w:rPr>
          <w:rFonts w:asciiTheme="majorHAnsi" w:hAnsiTheme="majorHAnsi" w:cstheme="majorHAnsi"/>
          <w:bCs/>
          <w:sz w:val="18"/>
          <w:szCs w:val="18"/>
        </w:rPr>
        <w:t>míšené obytné městské (SM)</w:t>
      </w:r>
    </w:p>
    <w:p w14:paraId="504A85A3" w14:textId="4BEE490C" w:rsidR="00BE35FE" w:rsidRPr="006070EA" w:rsidRDefault="007F78AE" w:rsidP="007F78AE">
      <w:pPr>
        <w:pStyle w:val="Odstavecseseznamem"/>
        <w:spacing w:after="0" w:line="240" w:lineRule="auto"/>
        <w:ind w:left="1418"/>
        <w:jc w:val="both"/>
        <w:rPr>
          <w:rFonts w:asciiTheme="majorHAnsi" w:hAnsiTheme="majorHAnsi" w:cstheme="majorHAnsi"/>
          <w:bCs/>
          <w:sz w:val="18"/>
          <w:szCs w:val="18"/>
        </w:rPr>
      </w:pPr>
      <w:r w:rsidRPr="006070EA">
        <w:rPr>
          <w:rFonts w:asciiTheme="majorHAnsi" w:hAnsiTheme="majorHAnsi" w:cstheme="majorHAnsi"/>
          <w:bCs/>
          <w:sz w:val="18"/>
          <w:szCs w:val="18"/>
        </w:rPr>
        <w:t>s</w:t>
      </w:r>
      <w:r w:rsidR="00BE35FE" w:rsidRPr="006070EA">
        <w:rPr>
          <w:rFonts w:asciiTheme="majorHAnsi" w:hAnsiTheme="majorHAnsi" w:cstheme="majorHAnsi"/>
          <w:bCs/>
          <w:sz w:val="18"/>
          <w:szCs w:val="18"/>
        </w:rPr>
        <w:t>míšené obytné venkovské (SV)</w:t>
      </w:r>
    </w:p>
    <w:p w14:paraId="06CD1063" w14:textId="40FFCCCE" w:rsidR="007F78AE" w:rsidRPr="006070EA" w:rsidRDefault="007F78AE" w:rsidP="007F78AE">
      <w:pPr>
        <w:pStyle w:val="Odstavecseseznamem"/>
        <w:keepNext/>
        <w:spacing w:before="120" w:after="60" w:line="240" w:lineRule="auto"/>
        <w:ind w:left="851"/>
        <w:contextualSpacing w:val="0"/>
        <w:jc w:val="both"/>
        <w:rPr>
          <w:rFonts w:asciiTheme="majorHAnsi" w:hAnsiTheme="majorHAnsi" w:cstheme="majorHAnsi"/>
          <w:b/>
          <w:sz w:val="18"/>
          <w:szCs w:val="18"/>
        </w:rPr>
      </w:pPr>
      <w:r w:rsidRPr="006070EA">
        <w:rPr>
          <w:rFonts w:asciiTheme="majorHAnsi" w:hAnsiTheme="majorHAnsi" w:cstheme="majorHAnsi"/>
          <w:b/>
          <w:sz w:val="18"/>
          <w:szCs w:val="18"/>
        </w:rPr>
        <w:t xml:space="preserve">Plochy dopravní infrastruktury dle § 9 vyhlášky č. </w:t>
      </w:r>
      <w:r w:rsidR="00B50542" w:rsidRPr="006070EA">
        <w:rPr>
          <w:rFonts w:asciiTheme="majorHAnsi" w:hAnsiTheme="majorHAnsi" w:cstheme="majorHAnsi"/>
          <w:b/>
          <w:sz w:val="18"/>
          <w:szCs w:val="18"/>
        </w:rPr>
        <w:t>501/2006 Sb. v aktuálním znění</w:t>
      </w:r>
      <w:r w:rsidRPr="006070EA">
        <w:rPr>
          <w:rFonts w:asciiTheme="majorHAnsi" w:hAnsiTheme="majorHAnsi" w:cstheme="majorHAnsi"/>
          <w:b/>
          <w:sz w:val="18"/>
          <w:szCs w:val="18"/>
        </w:rPr>
        <w:t>:</w:t>
      </w:r>
    </w:p>
    <w:p w14:paraId="55F5A4DE" w14:textId="2EF04778" w:rsidR="00BE35FE" w:rsidRPr="006070EA" w:rsidRDefault="007F78AE" w:rsidP="007F78AE">
      <w:pPr>
        <w:pStyle w:val="Odstavecseseznamem"/>
        <w:spacing w:after="0" w:line="240" w:lineRule="auto"/>
        <w:ind w:left="1418"/>
        <w:jc w:val="both"/>
        <w:rPr>
          <w:rFonts w:asciiTheme="majorHAnsi" w:hAnsiTheme="majorHAnsi" w:cstheme="majorHAnsi"/>
          <w:bCs/>
          <w:sz w:val="18"/>
          <w:szCs w:val="18"/>
        </w:rPr>
      </w:pPr>
      <w:r w:rsidRPr="006070EA">
        <w:rPr>
          <w:rFonts w:asciiTheme="majorHAnsi" w:hAnsiTheme="majorHAnsi" w:cstheme="majorHAnsi"/>
          <w:bCs/>
          <w:sz w:val="18"/>
          <w:szCs w:val="18"/>
        </w:rPr>
        <w:t xml:space="preserve">doprava silniční </w:t>
      </w:r>
      <w:r w:rsidR="00BE35FE" w:rsidRPr="006070EA">
        <w:rPr>
          <w:rFonts w:asciiTheme="majorHAnsi" w:hAnsiTheme="majorHAnsi" w:cstheme="majorHAnsi"/>
          <w:bCs/>
          <w:sz w:val="18"/>
          <w:szCs w:val="18"/>
        </w:rPr>
        <w:t>(DS)</w:t>
      </w:r>
    </w:p>
    <w:p w14:paraId="4BC2ACA5" w14:textId="364C576F" w:rsidR="00BE35FE" w:rsidRPr="006070EA" w:rsidRDefault="007F78AE" w:rsidP="007F78AE">
      <w:pPr>
        <w:pStyle w:val="Odstavecseseznamem"/>
        <w:spacing w:after="0" w:line="240" w:lineRule="auto"/>
        <w:ind w:left="1418"/>
        <w:jc w:val="both"/>
        <w:rPr>
          <w:rFonts w:asciiTheme="majorHAnsi" w:hAnsiTheme="majorHAnsi" w:cstheme="majorHAnsi"/>
          <w:bCs/>
          <w:sz w:val="18"/>
          <w:szCs w:val="18"/>
        </w:rPr>
      </w:pPr>
      <w:r w:rsidRPr="006070EA">
        <w:rPr>
          <w:rFonts w:asciiTheme="majorHAnsi" w:hAnsiTheme="majorHAnsi" w:cstheme="majorHAnsi"/>
          <w:bCs/>
          <w:sz w:val="18"/>
          <w:szCs w:val="18"/>
        </w:rPr>
        <w:t>d</w:t>
      </w:r>
      <w:r w:rsidR="00BE35FE" w:rsidRPr="006070EA">
        <w:rPr>
          <w:rFonts w:asciiTheme="majorHAnsi" w:hAnsiTheme="majorHAnsi" w:cstheme="majorHAnsi"/>
          <w:bCs/>
          <w:sz w:val="18"/>
          <w:szCs w:val="18"/>
        </w:rPr>
        <w:t>oprav</w:t>
      </w:r>
      <w:r w:rsidRPr="006070EA">
        <w:rPr>
          <w:rFonts w:asciiTheme="majorHAnsi" w:hAnsiTheme="majorHAnsi" w:cstheme="majorHAnsi"/>
          <w:bCs/>
          <w:sz w:val="18"/>
          <w:szCs w:val="18"/>
        </w:rPr>
        <w:t>a</w:t>
      </w:r>
      <w:r w:rsidR="00BE35FE" w:rsidRPr="006070EA">
        <w:rPr>
          <w:rFonts w:asciiTheme="majorHAnsi" w:hAnsiTheme="majorHAnsi" w:cstheme="majorHAnsi"/>
          <w:bCs/>
          <w:sz w:val="18"/>
          <w:szCs w:val="18"/>
        </w:rPr>
        <w:t xml:space="preserve"> </w:t>
      </w:r>
      <w:r w:rsidRPr="006070EA">
        <w:rPr>
          <w:rFonts w:asciiTheme="majorHAnsi" w:hAnsiTheme="majorHAnsi" w:cstheme="majorHAnsi"/>
          <w:bCs/>
          <w:sz w:val="18"/>
          <w:szCs w:val="18"/>
        </w:rPr>
        <w:t xml:space="preserve">drážní </w:t>
      </w:r>
      <w:r w:rsidR="00BE35FE" w:rsidRPr="006070EA">
        <w:rPr>
          <w:rFonts w:asciiTheme="majorHAnsi" w:hAnsiTheme="majorHAnsi" w:cstheme="majorHAnsi"/>
          <w:bCs/>
          <w:sz w:val="18"/>
          <w:szCs w:val="18"/>
        </w:rPr>
        <w:t>(D</w:t>
      </w:r>
      <w:r w:rsidRPr="006070EA">
        <w:rPr>
          <w:rFonts w:asciiTheme="majorHAnsi" w:hAnsiTheme="majorHAnsi" w:cstheme="majorHAnsi"/>
          <w:bCs/>
          <w:sz w:val="18"/>
          <w:szCs w:val="18"/>
        </w:rPr>
        <w:t>D</w:t>
      </w:r>
      <w:r w:rsidR="00BE35FE" w:rsidRPr="006070EA">
        <w:rPr>
          <w:rFonts w:asciiTheme="majorHAnsi" w:hAnsiTheme="majorHAnsi" w:cstheme="majorHAnsi"/>
          <w:bCs/>
          <w:sz w:val="18"/>
          <w:szCs w:val="18"/>
        </w:rPr>
        <w:t>)</w:t>
      </w:r>
    </w:p>
    <w:p w14:paraId="0666012C" w14:textId="35F578F9" w:rsidR="00BE35FE" w:rsidRPr="006070EA" w:rsidRDefault="007F78AE" w:rsidP="007F78AE">
      <w:pPr>
        <w:pStyle w:val="Odstavecseseznamem"/>
        <w:spacing w:after="0" w:line="240" w:lineRule="auto"/>
        <w:ind w:left="1418"/>
        <w:jc w:val="both"/>
        <w:rPr>
          <w:rFonts w:asciiTheme="majorHAnsi" w:hAnsiTheme="majorHAnsi" w:cstheme="majorHAnsi"/>
          <w:bCs/>
          <w:sz w:val="18"/>
          <w:szCs w:val="18"/>
        </w:rPr>
      </w:pPr>
      <w:r w:rsidRPr="006070EA">
        <w:rPr>
          <w:rFonts w:asciiTheme="majorHAnsi" w:hAnsiTheme="majorHAnsi" w:cstheme="majorHAnsi"/>
          <w:bCs/>
          <w:sz w:val="18"/>
          <w:szCs w:val="18"/>
        </w:rPr>
        <w:t>d</w:t>
      </w:r>
      <w:r w:rsidR="00BE35FE" w:rsidRPr="006070EA">
        <w:rPr>
          <w:rFonts w:asciiTheme="majorHAnsi" w:hAnsiTheme="majorHAnsi" w:cstheme="majorHAnsi"/>
          <w:bCs/>
          <w:sz w:val="18"/>
          <w:szCs w:val="18"/>
        </w:rPr>
        <w:t>oprav</w:t>
      </w:r>
      <w:r w:rsidRPr="006070EA">
        <w:rPr>
          <w:rFonts w:asciiTheme="majorHAnsi" w:hAnsiTheme="majorHAnsi" w:cstheme="majorHAnsi"/>
          <w:bCs/>
          <w:sz w:val="18"/>
          <w:szCs w:val="18"/>
        </w:rPr>
        <w:t>a</w:t>
      </w:r>
      <w:r w:rsidR="00BE35FE" w:rsidRPr="006070EA">
        <w:rPr>
          <w:rFonts w:asciiTheme="majorHAnsi" w:hAnsiTheme="majorHAnsi" w:cstheme="majorHAnsi"/>
          <w:bCs/>
          <w:sz w:val="18"/>
          <w:szCs w:val="18"/>
        </w:rPr>
        <w:t xml:space="preserve"> vodní (DV)</w:t>
      </w:r>
    </w:p>
    <w:p w14:paraId="6C41194B" w14:textId="0E1F1EC6" w:rsidR="007F78AE" w:rsidRPr="006070EA" w:rsidRDefault="007F78AE" w:rsidP="007F78AE">
      <w:pPr>
        <w:pStyle w:val="Odstavecseseznamem"/>
        <w:keepNext/>
        <w:spacing w:before="120" w:after="60" w:line="240" w:lineRule="auto"/>
        <w:ind w:left="851"/>
        <w:contextualSpacing w:val="0"/>
        <w:jc w:val="both"/>
        <w:rPr>
          <w:rFonts w:asciiTheme="majorHAnsi" w:hAnsiTheme="majorHAnsi" w:cstheme="majorHAnsi"/>
          <w:b/>
          <w:sz w:val="18"/>
          <w:szCs w:val="18"/>
        </w:rPr>
      </w:pPr>
      <w:r w:rsidRPr="006070EA">
        <w:rPr>
          <w:rFonts w:asciiTheme="majorHAnsi" w:hAnsiTheme="majorHAnsi" w:cstheme="majorHAnsi"/>
          <w:b/>
          <w:sz w:val="18"/>
          <w:szCs w:val="18"/>
        </w:rPr>
        <w:t xml:space="preserve">Plocha technické infrastruktury dle § 10 vyhlášky č. </w:t>
      </w:r>
      <w:r w:rsidR="00B50542" w:rsidRPr="006070EA">
        <w:rPr>
          <w:rFonts w:asciiTheme="majorHAnsi" w:hAnsiTheme="majorHAnsi" w:cstheme="majorHAnsi"/>
          <w:b/>
          <w:sz w:val="18"/>
          <w:szCs w:val="18"/>
        </w:rPr>
        <w:t>501/2006 Sb. v aktuálním znění</w:t>
      </w:r>
      <w:r w:rsidRPr="006070EA">
        <w:rPr>
          <w:rFonts w:asciiTheme="majorHAnsi" w:hAnsiTheme="majorHAnsi" w:cstheme="majorHAnsi"/>
          <w:b/>
          <w:sz w:val="18"/>
          <w:szCs w:val="18"/>
        </w:rPr>
        <w:t>:</w:t>
      </w:r>
    </w:p>
    <w:p w14:paraId="1247B68D" w14:textId="755C0832" w:rsidR="00BE35FE" w:rsidRPr="006070EA" w:rsidRDefault="007F78AE" w:rsidP="007F78AE">
      <w:pPr>
        <w:pStyle w:val="Odstavecseseznamem"/>
        <w:spacing w:after="0" w:line="240" w:lineRule="auto"/>
        <w:ind w:left="851" w:firstLine="567"/>
        <w:jc w:val="both"/>
        <w:rPr>
          <w:rFonts w:asciiTheme="majorHAnsi" w:hAnsiTheme="majorHAnsi" w:cstheme="majorHAnsi"/>
          <w:bCs/>
          <w:sz w:val="18"/>
          <w:szCs w:val="18"/>
        </w:rPr>
      </w:pPr>
      <w:r w:rsidRPr="006070EA">
        <w:rPr>
          <w:rFonts w:asciiTheme="majorHAnsi" w:hAnsiTheme="majorHAnsi" w:cstheme="majorHAnsi"/>
          <w:bCs/>
          <w:sz w:val="18"/>
          <w:szCs w:val="18"/>
        </w:rPr>
        <w:t>t</w:t>
      </w:r>
      <w:r w:rsidR="00BE35FE" w:rsidRPr="006070EA">
        <w:rPr>
          <w:rFonts w:asciiTheme="majorHAnsi" w:hAnsiTheme="majorHAnsi" w:cstheme="majorHAnsi"/>
          <w:bCs/>
          <w:sz w:val="18"/>
          <w:szCs w:val="18"/>
        </w:rPr>
        <w:t xml:space="preserve">echnická infrastruktura </w:t>
      </w:r>
      <w:r w:rsidRPr="006070EA">
        <w:rPr>
          <w:rFonts w:asciiTheme="majorHAnsi" w:hAnsiTheme="majorHAnsi" w:cstheme="majorHAnsi"/>
          <w:bCs/>
          <w:sz w:val="18"/>
          <w:szCs w:val="18"/>
        </w:rPr>
        <w:t>všeobecná</w:t>
      </w:r>
      <w:r w:rsidR="00BE35FE" w:rsidRPr="006070EA">
        <w:rPr>
          <w:rFonts w:asciiTheme="majorHAnsi" w:hAnsiTheme="majorHAnsi" w:cstheme="majorHAnsi"/>
          <w:bCs/>
          <w:sz w:val="18"/>
          <w:szCs w:val="18"/>
        </w:rPr>
        <w:t xml:space="preserve"> (T</w:t>
      </w:r>
      <w:r w:rsidRPr="006070EA">
        <w:rPr>
          <w:rFonts w:asciiTheme="majorHAnsi" w:hAnsiTheme="majorHAnsi" w:cstheme="majorHAnsi"/>
          <w:bCs/>
          <w:sz w:val="18"/>
          <w:szCs w:val="18"/>
        </w:rPr>
        <w:t>U</w:t>
      </w:r>
      <w:r w:rsidR="00BE35FE" w:rsidRPr="006070EA">
        <w:rPr>
          <w:rFonts w:asciiTheme="majorHAnsi" w:hAnsiTheme="majorHAnsi" w:cstheme="majorHAnsi"/>
          <w:bCs/>
          <w:sz w:val="18"/>
          <w:szCs w:val="18"/>
        </w:rPr>
        <w:t>)</w:t>
      </w:r>
    </w:p>
    <w:p w14:paraId="0766EB28" w14:textId="3474A0DC" w:rsidR="007F78AE" w:rsidRPr="006070EA" w:rsidRDefault="007F78AE" w:rsidP="007F78AE">
      <w:pPr>
        <w:pStyle w:val="Odstavecseseznamem"/>
        <w:keepNext/>
        <w:spacing w:before="120" w:after="60" w:line="240" w:lineRule="auto"/>
        <w:ind w:left="851"/>
        <w:contextualSpacing w:val="0"/>
        <w:jc w:val="both"/>
        <w:rPr>
          <w:rFonts w:asciiTheme="majorHAnsi" w:hAnsiTheme="majorHAnsi" w:cstheme="majorHAnsi"/>
          <w:b/>
          <w:sz w:val="18"/>
          <w:szCs w:val="18"/>
        </w:rPr>
      </w:pPr>
      <w:r w:rsidRPr="006070EA">
        <w:rPr>
          <w:rFonts w:asciiTheme="majorHAnsi" w:hAnsiTheme="majorHAnsi" w:cstheme="majorHAnsi"/>
          <w:b/>
          <w:sz w:val="18"/>
          <w:szCs w:val="18"/>
        </w:rPr>
        <w:t xml:space="preserve">Plochy výroby a skladování dle § 11 vyhlášky č. </w:t>
      </w:r>
      <w:r w:rsidR="00B50542" w:rsidRPr="006070EA">
        <w:rPr>
          <w:rFonts w:asciiTheme="majorHAnsi" w:hAnsiTheme="majorHAnsi" w:cstheme="majorHAnsi"/>
          <w:b/>
          <w:sz w:val="18"/>
          <w:szCs w:val="18"/>
        </w:rPr>
        <w:t>501/2006 Sb. v aktuálním znění</w:t>
      </w:r>
      <w:r w:rsidRPr="006070EA">
        <w:rPr>
          <w:rFonts w:asciiTheme="majorHAnsi" w:hAnsiTheme="majorHAnsi" w:cstheme="majorHAnsi"/>
          <w:b/>
          <w:sz w:val="18"/>
          <w:szCs w:val="18"/>
        </w:rPr>
        <w:t>:</w:t>
      </w:r>
    </w:p>
    <w:p w14:paraId="6432F039" w14:textId="3021B32D" w:rsidR="00BE35FE" w:rsidRPr="006070EA" w:rsidRDefault="007F78AE" w:rsidP="007F78AE">
      <w:pPr>
        <w:pStyle w:val="Odstavecseseznamem"/>
        <w:spacing w:after="0" w:line="240" w:lineRule="auto"/>
        <w:ind w:left="1418"/>
        <w:jc w:val="both"/>
        <w:rPr>
          <w:rFonts w:asciiTheme="majorHAnsi" w:hAnsiTheme="majorHAnsi" w:cstheme="majorHAnsi"/>
          <w:bCs/>
          <w:sz w:val="18"/>
          <w:szCs w:val="18"/>
        </w:rPr>
      </w:pPr>
      <w:r w:rsidRPr="006070EA">
        <w:rPr>
          <w:rFonts w:asciiTheme="majorHAnsi" w:hAnsiTheme="majorHAnsi" w:cstheme="majorHAnsi"/>
          <w:bCs/>
          <w:sz w:val="18"/>
          <w:szCs w:val="18"/>
        </w:rPr>
        <w:t>v</w:t>
      </w:r>
      <w:r w:rsidR="00BE35FE" w:rsidRPr="006070EA">
        <w:rPr>
          <w:rFonts w:asciiTheme="majorHAnsi" w:hAnsiTheme="majorHAnsi" w:cstheme="majorHAnsi"/>
          <w:bCs/>
          <w:sz w:val="18"/>
          <w:szCs w:val="18"/>
        </w:rPr>
        <w:t xml:space="preserve">ýroba </w:t>
      </w:r>
      <w:r w:rsidRPr="006070EA">
        <w:rPr>
          <w:rFonts w:asciiTheme="majorHAnsi" w:hAnsiTheme="majorHAnsi" w:cstheme="majorHAnsi"/>
          <w:bCs/>
          <w:sz w:val="18"/>
          <w:szCs w:val="18"/>
        </w:rPr>
        <w:t xml:space="preserve">lehká </w:t>
      </w:r>
      <w:r w:rsidR="00BE35FE" w:rsidRPr="006070EA">
        <w:rPr>
          <w:rFonts w:asciiTheme="majorHAnsi" w:hAnsiTheme="majorHAnsi" w:cstheme="majorHAnsi"/>
          <w:bCs/>
          <w:sz w:val="18"/>
          <w:szCs w:val="18"/>
        </w:rPr>
        <w:t>(VL)</w:t>
      </w:r>
    </w:p>
    <w:p w14:paraId="1136B2F8" w14:textId="08C08DAE" w:rsidR="00BE35FE" w:rsidRPr="006070EA" w:rsidRDefault="007F78AE" w:rsidP="007F78AE">
      <w:pPr>
        <w:pStyle w:val="Odstavecseseznamem"/>
        <w:spacing w:after="0" w:line="240" w:lineRule="auto"/>
        <w:ind w:left="1418"/>
        <w:jc w:val="both"/>
        <w:rPr>
          <w:rFonts w:asciiTheme="majorHAnsi" w:hAnsiTheme="majorHAnsi" w:cstheme="majorHAnsi"/>
          <w:bCs/>
          <w:sz w:val="18"/>
          <w:szCs w:val="18"/>
        </w:rPr>
      </w:pPr>
      <w:r w:rsidRPr="006070EA">
        <w:rPr>
          <w:rFonts w:asciiTheme="majorHAnsi" w:hAnsiTheme="majorHAnsi" w:cstheme="majorHAnsi"/>
          <w:bCs/>
          <w:sz w:val="18"/>
          <w:szCs w:val="18"/>
        </w:rPr>
        <w:t>v</w:t>
      </w:r>
      <w:r w:rsidR="00BE35FE" w:rsidRPr="006070EA">
        <w:rPr>
          <w:rFonts w:asciiTheme="majorHAnsi" w:hAnsiTheme="majorHAnsi" w:cstheme="majorHAnsi"/>
          <w:bCs/>
          <w:sz w:val="18"/>
          <w:szCs w:val="18"/>
        </w:rPr>
        <w:t xml:space="preserve">ýroba zemědělská </w:t>
      </w:r>
      <w:r w:rsidRPr="006070EA">
        <w:rPr>
          <w:rFonts w:asciiTheme="majorHAnsi" w:hAnsiTheme="majorHAnsi" w:cstheme="majorHAnsi"/>
          <w:bCs/>
          <w:sz w:val="18"/>
          <w:szCs w:val="18"/>
        </w:rPr>
        <w:t xml:space="preserve">a lesnická </w:t>
      </w:r>
      <w:r w:rsidR="00BE35FE" w:rsidRPr="006070EA">
        <w:rPr>
          <w:rFonts w:asciiTheme="majorHAnsi" w:hAnsiTheme="majorHAnsi" w:cstheme="majorHAnsi"/>
          <w:bCs/>
          <w:sz w:val="18"/>
          <w:szCs w:val="18"/>
        </w:rPr>
        <w:t>(VZ)</w:t>
      </w:r>
    </w:p>
    <w:p w14:paraId="668F37CA" w14:textId="17FA0DDB" w:rsidR="00BE35FE" w:rsidRPr="006070EA" w:rsidRDefault="00BE35FE" w:rsidP="00BE35FE">
      <w:pPr>
        <w:pStyle w:val="Atext"/>
        <w:rPr>
          <w:rFonts w:asciiTheme="majorHAnsi" w:eastAsia="Calibri" w:hAnsiTheme="majorHAnsi" w:cstheme="majorHAnsi"/>
          <w:szCs w:val="18"/>
        </w:rPr>
      </w:pPr>
      <w:r w:rsidRPr="006070EA">
        <w:rPr>
          <w:rFonts w:asciiTheme="majorHAnsi" w:eastAsia="Calibri" w:hAnsiTheme="majorHAnsi" w:cstheme="majorHAnsi"/>
          <w:szCs w:val="18"/>
        </w:rPr>
        <w:t>Podrobné odůvodnění uplatněných typů ploch s rozdílným způsobem využití je uvedeno v kapitole 11.6., kde je popsáno a zdůvodněno také stanovení podmínek využití a prostorového uspořádání těchto ploch.</w:t>
      </w:r>
    </w:p>
    <w:p w14:paraId="06A53C72" w14:textId="77777777" w:rsidR="001A0DBB" w:rsidRPr="006070EA" w:rsidRDefault="001A0DBB" w:rsidP="003A4B1E">
      <w:pPr>
        <w:pStyle w:val="Odstavecseseznamem"/>
        <w:keepNext/>
        <w:numPr>
          <w:ilvl w:val="2"/>
          <w:numId w:val="30"/>
        </w:numPr>
        <w:spacing w:before="160" w:after="120" w:line="240" w:lineRule="auto"/>
        <w:ind w:left="709" w:hanging="709"/>
        <w:contextualSpacing w:val="0"/>
        <w:outlineLvl w:val="2"/>
        <w:rPr>
          <w:rFonts w:asciiTheme="majorHAnsi" w:hAnsiTheme="majorHAnsi" w:cstheme="majorHAnsi"/>
          <w:b/>
        </w:rPr>
      </w:pPr>
      <w:bookmarkStart w:id="318" w:name="_Toc204678195"/>
      <w:r w:rsidRPr="006070EA">
        <w:rPr>
          <w:rFonts w:asciiTheme="majorHAnsi" w:hAnsiTheme="majorHAnsi" w:cstheme="majorHAnsi"/>
          <w:b/>
        </w:rPr>
        <w:lastRenderedPageBreak/>
        <w:t>Odůvodnění vymezení zastavitelných ploch</w:t>
      </w:r>
      <w:bookmarkEnd w:id="318"/>
      <w:r w:rsidRPr="006070EA">
        <w:rPr>
          <w:rFonts w:asciiTheme="majorHAnsi" w:hAnsiTheme="majorHAnsi" w:cstheme="majorHAnsi"/>
          <w:b/>
        </w:rPr>
        <w:t xml:space="preserve"> </w:t>
      </w:r>
    </w:p>
    <w:p w14:paraId="0C0CA634" w14:textId="7D76C607" w:rsidR="00431A60" w:rsidRPr="006070EA" w:rsidRDefault="00431A60" w:rsidP="009E07E1">
      <w:pPr>
        <w:pStyle w:val="Atext"/>
        <w:keepNext/>
        <w:ind w:firstLine="0"/>
        <w:jc w:val="right"/>
        <w:rPr>
          <w:rFonts w:asciiTheme="majorHAnsi" w:hAnsiTheme="majorHAnsi" w:cstheme="majorHAnsi"/>
          <w:i/>
          <w:snapToGrid w:val="0"/>
          <w:u w:val="single"/>
        </w:rPr>
      </w:pPr>
      <w:r w:rsidRPr="006070EA">
        <w:rPr>
          <w:rFonts w:asciiTheme="majorHAnsi" w:hAnsiTheme="majorHAnsi" w:cstheme="majorHAnsi"/>
          <w:i/>
          <w:snapToGrid w:val="0"/>
          <w:u w:val="single"/>
        </w:rPr>
        <w:t xml:space="preserve">Odůvodnění odst. </w:t>
      </w:r>
      <w:r w:rsidRPr="006070EA">
        <w:rPr>
          <w:rFonts w:asciiTheme="majorHAnsi" w:hAnsiTheme="majorHAnsi" w:cstheme="majorHAnsi"/>
          <w:b/>
          <w:i/>
          <w:snapToGrid w:val="0"/>
          <w:u w:val="single"/>
        </w:rPr>
        <w:t>(</w:t>
      </w:r>
      <w:r w:rsidR="005272E3" w:rsidRPr="006070EA">
        <w:rPr>
          <w:rFonts w:asciiTheme="majorHAnsi" w:hAnsiTheme="majorHAnsi" w:cstheme="majorHAnsi"/>
          <w:b/>
          <w:i/>
          <w:snapToGrid w:val="0"/>
          <w:u w:val="single"/>
        </w:rPr>
        <w:t>10</w:t>
      </w:r>
      <w:r w:rsidRPr="006070EA">
        <w:rPr>
          <w:rFonts w:asciiTheme="majorHAnsi" w:hAnsiTheme="majorHAnsi" w:cstheme="majorHAnsi"/>
          <w:b/>
          <w:i/>
          <w:snapToGrid w:val="0"/>
          <w:u w:val="single"/>
        </w:rPr>
        <w:t xml:space="preserve">) </w:t>
      </w:r>
      <w:r w:rsidRPr="006070EA">
        <w:rPr>
          <w:rFonts w:asciiTheme="majorHAnsi" w:hAnsiTheme="majorHAnsi" w:cstheme="majorHAnsi"/>
          <w:i/>
          <w:snapToGrid w:val="0"/>
          <w:u w:val="single"/>
        </w:rPr>
        <w:t>výrokové části</w:t>
      </w:r>
    </w:p>
    <w:p w14:paraId="4CE4E394" w14:textId="77777777" w:rsidR="002D0BDA" w:rsidRPr="006070EA" w:rsidRDefault="002D0BDA" w:rsidP="002D0BDA">
      <w:pPr>
        <w:pStyle w:val="Atext"/>
        <w:rPr>
          <w:rFonts w:asciiTheme="majorHAnsi" w:hAnsiTheme="majorHAnsi" w:cstheme="majorHAnsi"/>
        </w:rPr>
      </w:pPr>
      <w:r w:rsidRPr="006070EA">
        <w:rPr>
          <w:rFonts w:asciiTheme="majorHAnsi" w:hAnsiTheme="majorHAnsi" w:cstheme="majorHAnsi"/>
        </w:rPr>
        <w:t xml:space="preserve">Zastavitelné plochy jsou vymezeny v souladu s § 43 odst. 1 zákona č. 183/2006 Sb. a § 3 odst. 2 písm. a) a b) vyhlášky č. 501/2006 Sb. na základě odborného zhodnocení potřebnosti změny způsobu využití nebo změny prostorového uspořádání dané plochy. </w:t>
      </w:r>
    </w:p>
    <w:p w14:paraId="03FB9097" w14:textId="2CC59BF5" w:rsidR="002D0BDA" w:rsidRPr="006070EA" w:rsidRDefault="002D0BDA" w:rsidP="002D0BDA">
      <w:pPr>
        <w:pStyle w:val="Atext"/>
        <w:rPr>
          <w:rFonts w:asciiTheme="majorHAnsi" w:hAnsiTheme="majorHAnsi" w:cstheme="majorHAnsi"/>
        </w:rPr>
      </w:pPr>
      <w:r w:rsidRPr="006070EA">
        <w:rPr>
          <w:rFonts w:asciiTheme="majorHAnsi" w:hAnsiTheme="majorHAnsi" w:cstheme="majorHAnsi"/>
        </w:rPr>
        <w:t>Jako zastavitelné plochy v souladu s § 2 odst. 1 písm. j zákona č. 183/2006 Sb. jsou vymezeny všechny plochy určené pro urbanistický rozvoj, na nichž se dosud nenacházejí stavby dle KN a nebyly zde provedeny úpravy směřující ke stavebnímu využití, a to bez ohledu na umístění vůči zastavěnému území. Jako plochy přestavby (plochy vymezené ke změně stávající zástavby, k obnově nebo opětovnému využití znehodnoceného území); v souladu s § 43 odst. 1 zákona č. 183/2006 Sb. jsou vymezeny všechny plochy určené pro urbanistický rozvoj, na nichž se nacházejí stavby dle KN nebo na nichž již byly v minulosti provedeny stavební zásahy, nebo jejichž využití nebo prostorové uspořádání bylo vyhodnoceno jako extenzivní či z urbanistického hlediska nevhodné.</w:t>
      </w:r>
    </w:p>
    <w:p w14:paraId="016BA956" w14:textId="1A19A307" w:rsidR="002D0BDA" w:rsidRPr="006070EA" w:rsidRDefault="002D0BDA" w:rsidP="00AE7B69">
      <w:pPr>
        <w:pStyle w:val="ANADPIS4"/>
        <w:rPr>
          <w:rFonts w:asciiTheme="majorHAnsi" w:hAnsiTheme="majorHAnsi" w:cstheme="majorHAnsi"/>
        </w:rPr>
      </w:pPr>
      <w:r w:rsidRPr="006070EA">
        <w:rPr>
          <w:rFonts w:asciiTheme="majorHAnsi" w:hAnsiTheme="majorHAnsi" w:cstheme="majorHAnsi"/>
        </w:rPr>
        <w:t>ODŮVODNĚNÍ VYMEZENÍ JEDNOTLIVÝCH ZASTAVITELNÝCH PLOCH</w:t>
      </w:r>
    </w:p>
    <w:tbl>
      <w:tblPr>
        <w:tblStyle w:val="Mkatabulky2"/>
        <w:tblW w:w="0" w:type="auto"/>
        <w:tblBorders>
          <w:left w:val="none" w:sz="0" w:space="0" w:color="auto"/>
          <w:right w:val="none" w:sz="0" w:space="0" w:color="auto"/>
          <w:insideV w:val="single" w:sz="12" w:space="0" w:color="auto"/>
        </w:tblBorders>
        <w:tblLook w:val="04A0" w:firstRow="1" w:lastRow="0" w:firstColumn="1" w:lastColumn="0" w:noHBand="0" w:noVBand="1"/>
      </w:tblPr>
      <w:tblGrid>
        <w:gridCol w:w="2660"/>
        <w:gridCol w:w="6410"/>
      </w:tblGrid>
      <w:tr w:rsidR="002D0BDA" w:rsidRPr="006070EA" w14:paraId="0662C38D" w14:textId="77777777" w:rsidTr="00B23E4A">
        <w:trPr>
          <w:cantSplit/>
          <w:tblHeader/>
        </w:trPr>
        <w:tc>
          <w:tcPr>
            <w:tcW w:w="2660" w:type="dxa"/>
            <w:shd w:val="clear" w:color="auto" w:fill="F2F2F2" w:themeFill="background1" w:themeFillShade="F2"/>
          </w:tcPr>
          <w:p w14:paraId="1A4BFD4B" w14:textId="77777777" w:rsidR="002D0BDA" w:rsidRPr="006070EA" w:rsidRDefault="002D0BDA" w:rsidP="005038EA">
            <w:pPr>
              <w:keepNext/>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Zastavitelná plocha</w:t>
            </w:r>
          </w:p>
        </w:tc>
        <w:tc>
          <w:tcPr>
            <w:tcW w:w="6410" w:type="dxa"/>
            <w:shd w:val="clear" w:color="auto" w:fill="F2F2F2" w:themeFill="background1" w:themeFillShade="F2"/>
          </w:tcPr>
          <w:p w14:paraId="7040F0CC" w14:textId="33FCC6A1" w:rsidR="002D0BDA" w:rsidRPr="006070EA" w:rsidRDefault="002D0BDA" w:rsidP="005038EA">
            <w:pPr>
              <w:keepNext/>
              <w:tabs>
                <w:tab w:val="center" w:pos="4536"/>
                <w:tab w:val="right" w:pos="9072"/>
              </w:tabs>
              <w:suppressAutoHyphens/>
              <w:spacing w:before="40" w:after="40"/>
              <w:jc w:val="both"/>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w:t>
            </w:r>
            <w:r w:rsidR="00B50542" w:rsidRPr="006070EA">
              <w:rPr>
                <w:rFonts w:asciiTheme="majorHAnsi" w:eastAsia="Times New Roman" w:hAnsiTheme="majorHAnsi" w:cstheme="majorHAnsi"/>
                <w:b/>
                <w:bCs/>
                <w:iCs/>
                <w:sz w:val="18"/>
                <w:szCs w:val="20"/>
                <w:lang w:eastAsia="ar-SA"/>
              </w:rPr>
              <w:t>.</w:t>
            </w:r>
            <w:r w:rsidRPr="006070EA">
              <w:rPr>
                <w:rFonts w:asciiTheme="majorHAnsi" w:eastAsia="Times New Roman" w:hAnsiTheme="majorHAnsi" w:cstheme="majorHAnsi"/>
                <w:b/>
                <w:bCs/>
                <w:iCs/>
                <w:sz w:val="18"/>
                <w:szCs w:val="20"/>
                <w:lang w:eastAsia="ar-SA"/>
              </w:rPr>
              <w:t>01</w:t>
            </w:r>
          </w:p>
        </w:tc>
      </w:tr>
      <w:tr w:rsidR="00B23E4A" w:rsidRPr="006070EA" w14:paraId="3367E774" w14:textId="77777777" w:rsidTr="00FC1E99">
        <w:trPr>
          <w:cantSplit/>
          <w:trHeight w:val="227"/>
        </w:trPr>
        <w:tc>
          <w:tcPr>
            <w:tcW w:w="9070" w:type="dxa"/>
            <w:gridSpan w:val="2"/>
          </w:tcPr>
          <w:p w14:paraId="680F70D1" w14:textId="64250E40" w:rsidR="00B23E4A" w:rsidRPr="006070EA" w:rsidRDefault="00B23E4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plocha vypuštěna v rámci úprav po společném jednání (požadavek obce)</w:t>
            </w:r>
          </w:p>
        </w:tc>
      </w:tr>
    </w:tbl>
    <w:p w14:paraId="03C0B581" w14:textId="77777777" w:rsidR="002D0BDA" w:rsidRPr="006070EA" w:rsidRDefault="002D0BDA" w:rsidP="002D0BDA">
      <w:pPr>
        <w:pStyle w:val="Atext"/>
        <w:keepNext/>
        <w:ind w:firstLine="0"/>
        <w:jc w:val="right"/>
        <w:rPr>
          <w:rFonts w:asciiTheme="majorHAnsi" w:hAnsiTheme="majorHAnsi" w:cstheme="majorHAnsi"/>
          <w:i/>
          <w:snapToGrid w:val="0"/>
          <w:color w:val="FF0000"/>
          <w:u w:val="single"/>
        </w:rPr>
      </w:pPr>
    </w:p>
    <w:tbl>
      <w:tblPr>
        <w:tblStyle w:val="Mkatabulky2"/>
        <w:tblW w:w="0" w:type="auto"/>
        <w:tblBorders>
          <w:left w:val="none" w:sz="0" w:space="0" w:color="auto"/>
          <w:right w:val="none" w:sz="0" w:space="0" w:color="auto"/>
          <w:insideV w:val="single" w:sz="12" w:space="0" w:color="auto"/>
        </w:tblBorders>
        <w:tblLook w:val="04A0" w:firstRow="1" w:lastRow="0" w:firstColumn="1" w:lastColumn="0" w:noHBand="0" w:noVBand="1"/>
      </w:tblPr>
      <w:tblGrid>
        <w:gridCol w:w="2660"/>
        <w:gridCol w:w="6410"/>
      </w:tblGrid>
      <w:tr w:rsidR="002D0BDA" w:rsidRPr="006070EA" w14:paraId="3CCDF92C" w14:textId="77777777" w:rsidTr="00A46281">
        <w:trPr>
          <w:cantSplit/>
          <w:tblHeader/>
        </w:trPr>
        <w:tc>
          <w:tcPr>
            <w:tcW w:w="2660" w:type="dxa"/>
            <w:shd w:val="clear" w:color="auto" w:fill="F2F2F2" w:themeFill="background1" w:themeFillShade="F2"/>
          </w:tcPr>
          <w:p w14:paraId="12FFB629" w14:textId="77777777" w:rsidR="002D0BDA" w:rsidRPr="006070EA" w:rsidRDefault="002D0BDA" w:rsidP="005038EA">
            <w:pPr>
              <w:keepNext/>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Zastavitelná plocha</w:t>
            </w:r>
          </w:p>
        </w:tc>
        <w:tc>
          <w:tcPr>
            <w:tcW w:w="6410" w:type="dxa"/>
            <w:shd w:val="clear" w:color="auto" w:fill="F2F2F2" w:themeFill="background1" w:themeFillShade="F2"/>
          </w:tcPr>
          <w:p w14:paraId="76FC0162" w14:textId="35E0349B" w:rsidR="002D0BDA" w:rsidRPr="006070EA" w:rsidRDefault="002D0BDA" w:rsidP="005038EA">
            <w:pPr>
              <w:keepNext/>
              <w:tabs>
                <w:tab w:val="center" w:pos="4536"/>
                <w:tab w:val="right" w:pos="9072"/>
              </w:tabs>
              <w:suppressAutoHyphens/>
              <w:spacing w:before="40" w:after="40"/>
              <w:jc w:val="both"/>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w:t>
            </w:r>
            <w:r w:rsidR="00B50542" w:rsidRPr="006070EA">
              <w:rPr>
                <w:rFonts w:asciiTheme="majorHAnsi" w:eastAsia="Times New Roman" w:hAnsiTheme="majorHAnsi" w:cstheme="majorHAnsi"/>
                <w:b/>
                <w:bCs/>
                <w:iCs/>
                <w:sz w:val="18"/>
                <w:szCs w:val="20"/>
                <w:lang w:eastAsia="ar-SA"/>
              </w:rPr>
              <w:t>.</w:t>
            </w:r>
            <w:r w:rsidRPr="006070EA">
              <w:rPr>
                <w:rFonts w:asciiTheme="majorHAnsi" w:eastAsia="Times New Roman" w:hAnsiTheme="majorHAnsi" w:cstheme="majorHAnsi"/>
                <w:b/>
                <w:bCs/>
                <w:iCs/>
                <w:sz w:val="18"/>
                <w:szCs w:val="20"/>
                <w:lang w:eastAsia="ar-SA"/>
              </w:rPr>
              <w:t>02</w:t>
            </w:r>
          </w:p>
        </w:tc>
      </w:tr>
      <w:tr w:rsidR="00A46281" w:rsidRPr="006070EA" w14:paraId="442AC064" w14:textId="77777777" w:rsidTr="00FC1E99">
        <w:trPr>
          <w:cantSplit/>
          <w:trHeight w:val="227"/>
        </w:trPr>
        <w:tc>
          <w:tcPr>
            <w:tcW w:w="9070" w:type="dxa"/>
            <w:gridSpan w:val="2"/>
          </w:tcPr>
          <w:p w14:paraId="6AB53121" w14:textId="63800C76" w:rsidR="00A46281" w:rsidRPr="006070EA" w:rsidRDefault="00A46281"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plocha vypuštěna v rámci úprav po společném jednání (požadavek obce)</w:t>
            </w:r>
          </w:p>
        </w:tc>
      </w:tr>
    </w:tbl>
    <w:p w14:paraId="45AADA69" w14:textId="77777777" w:rsidR="002D0BDA" w:rsidRPr="006070EA" w:rsidRDefault="002D0BDA" w:rsidP="002D0BDA">
      <w:pPr>
        <w:rPr>
          <w:rFonts w:asciiTheme="majorHAnsi" w:hAnsiTheme="majorHAnsi" w:cstheme="majorHAnsi"/>
        </w:rPr>
      </w:pPr>
    </w:p>
    <w:tbl>
      <w:tblPr>
        <w:tblStyle w:val="Mkatabulky2"/>
        <w:tblW w:w="0" w:type="auto"/>
        <w:tblBorders>
          <w:left w:val="none" w:sz="0" w:space="0" w:color="auto"/>
          <w:right w:val="none" w:sz="0" w:space="0" w:color="auto"/>
          <w:insideV w:val="single" w:sz="12" w:space="0" w:color="auto"/>
        </w:tblBorders>
        <w:tblLook w:val="04A0" w:firstRow="1" w:lastRow="0" w:firstColumn="1" w:lastColumn="0" w:noHBand="0" w:noVBand="1"/>
      </w:tblPr>
      <w:tblGrid>
        <w:gridCol w:w="2660"/>
        <w:gridCol w:w="6410"/>
      </w:tblGrid>
      <w:tr w:rsidR="002D0BDA" w:rsidRPr="006070EA" w14:paraId="0568799B" w14:textId="77777777" w:rsidTr="005038EA">
        <w:trPr>
          <w:cantSplit/>
          <w:tblHeader/>
        </w:trPr>
        <w:tc>
          <w:tcPr>
            <w:tcW w:w="2705" w:type="dxa"/>
            <w:shd w:val="clear" w:color="auto" w:fill="F2F2F2" w:themeFill="background1" w:themeFillShade="F2"/>
          </w:tcPr>
          <w:p w14:paraId="4689D9E4" w14:textId="77777777" w:rsidR="002D0BDA" w:rsidRPr="006070EA" w:rsidRDefault="002D0BDA" w:rsidP="005038EA">
            <w:pPr>
              <w:keepNext/>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Zastavitelná plocha</w:t>
            </w:r>
          </w:p>
        </w:tc>
        <w:tc>
          <w:tcPr>
            <w:tcW w:w="6581" w:type="dxa"/>
            <w:shd w:val="clear" w:color="auto" w:fill="F2F2F2" w:themeFill="background1" w:themeFillShade="F2"/>
          </w:tcPr>
          <w:p w14:paraId="3178E150" w14:textId="754EDE38" w:rsidR="002D0BDA" w:rsidRPr="006070EA" w:rsidRDefault="002D0BDA" w:rsidP="005038EA">
            <w:pPr>
              <w:keepNext/>
              <w:tabs>
                <w:tab w:val="center" w:pos="4536"/>
                <w:tab w:val="right" w:pos="9072"/>
              </w:tabs>
              <w:suppressAutoHyphens/>
              <w:spacing w:before="40" w:after="40"/>
              <w:jc w:val="both"/>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w:t>
            </w:r>
            <w:r w:rsidR="00B50542" w:rsidRPr="006070EA">
              <w:rPr>
                <w:rFonts w:asciiTheme="majorHAnsi" w:eastAsia="Times New Roman" w:hAnsiTheme="majorHAnsi" w:cstheme="majorHAnsi"/>
                <w:b/>
                <w:bCs/>
                <w:iCs/>
                <w:sz w:val="18"/>
                <w:szCs w:val="20"/>
                <w:lang w:eastAsia="ar-SA"/>
              </w:rPr>
              <w:t>.</w:t>
            </w:r>
            <w:r w:rsidRPr="006070EA">
              <w:rPr>
                <w:rFonts w:asciiTheme="majorHAnsi" w:eastAsia="Times New Roman" w:hAnsiTheme="majorHAnsi" w:cstheme="majorHAnsi"/>
                <w:b/>
                <w:bCs/>
                <w:iCs/>
                <w:sz w:val="18"/>
                <w:szCs w:val="20"/>
                <w:lang w:eastAsia="ar-SA"/>
              </w:rPr>
              <w:t>03</w:t>
            </w:r>
          </w:p>
        </w:tc>
      </w:tr>
      <w:tr w:rsidR="002D0BDA" w:rsidRPr="006070EA" w14:paraId="5A879FF1" w14:textId="77777777" w:rsidTr="005038EA">
        <w:trPr>
          <w:cantSplit/>
        </w:trPr>
        <w:tc>
          <w:tcPr>
            <w:tcW w:w="2705" w:type="dxa"/>
          </w:tcPr>
          <w:p w14:paraId="140DE3FC"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způsob využití</w:t>
            </w:r>
          </w:p>
        </w:tc>
        <w:tc>
          <w:tcPr>
            <w:tcW w:w="6581" w:type="dxa"/>
          </w:tcPr>
          <w:p w14:paraId="73F0089F" w14:textId="1538528B"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SV – </w:t>
            </w:r>
            <w:r w:rsidRPr="006070EA">
              <w:rPr>
                <w:rFonts w:asciiTheme="majorHAnsi" w:eastAsia="Times New Roman" w:hAnsiTheme="majorHAnsi" w:cstheme="majorHAnsi"/>
                <w:sz w:val="18"/>
                <w:szCs w:val="18"/>
                <w:lang w:eastAsia="cs-CZ"/>
              </w:rPr>
              <w:t>plochy smíšené obytné venkovské</w:t>
            </w:r>
            <w:r w:rsidRPr="006070EA">
              <w:rPr>
                <w:rFonts w:asciiTheme="majorHAnsi" w:eastAsia="Times New Roman" w:hAnsiTheme="majorHAnsi" w:cstheme="majorHAnsi"/>
                <w:bCs/>
                <w:iCs/>
                <w:sz w:val="18"/>
                <w:szCs w:val="20"/>
                <w:lang w:eastAsia="ar-SA"/>
              </w:rPr>
              <w:t xml:space="preserve"> </w:t>
            </w:r>
          </w:p>
        </w:tc>
      </w:tr>
      <w:tr w:rsidR="002D0BDA" w:rsidRPr="006070EA" w14:paraId="430B1D7B" w14:textId="77777777" w:rsidTr="005038EA">
        <w:trPr>
          <w:cantSplit/>
        </w:trPr>
        <w:tc>
          <w:tcPr>
            <w:tcW w:w="2705" w:type="dxa"/>
          </w:tcPr>
          <w:p w14:paraId="200FB4D9"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limity využití území</w:t>
            </w:r>
          </w:p>
        </w:tc>
        <w:tc>
          <w:tcPr>
            <w:tcW w:w="6581" w:type="dxa"/>
          </w:tcPr>
          <w:p w14:paraId="1599A993"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OP železniční trati; OP stavby zajišťující letecký provoz (radar Kbely)</w:t>
            </w:r>
          </w:p>
        </w:tc>
      </w:tr>
      <w:tr w:rsidR="002D0BDA" w:rsidRPr="006070EA" w14:paraId="3F359C82" w14:textId="77777777" w:rsidTr="005038EA">
        <w:trPr>
          <w:cantSplit/>
        </w:trPr>
        <w:tc>
          <w:tcPr>
            <w:tcW w:w="2705" w:type="dxa"/>
          </w:tcPr>
          <w:p w14:paraId="1C76D08D"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vztah k platné ÚPD (ZÚR, ÚPO)</w:t>
            </w:r>
          </w:p>
        </w:tc>
        <w:tc>
          <w:tcPr>
            <w:tcW w:w="6581" w:type="dxa"/>
          </w:tcPr>
          <w:p w14:paraId="152B7509"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w:t>
            </w:r>
          </w:p>
        </w:tc>
      </w:tr>
      <w:tr w:rsidR="002D0BDA" w:rsidRPr="006070EA" w14:paraId="603A9C52" w14:textId="77777777" w:rsidTr="005038EA">
        <w:trPr>
          <w:cantSplit/>
        </w:trPr>
        <w:tc>
          <w:tcPr>
            <w:tcW w:w="2705" w:type="dxa"/>
          </w:tcPr>
          <w:p w14:paraId="06C1F096"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vazba na veřejnou infrastrukturu (DI, TI)</w:t>
            </w:r>
          </w:p>
        </w:tc>
        <w:tc>
          <w:tcPr>
            <w:tcW w:w="6581" w:type="dxa"/>
          </w:tcPr>
          <w:p w14:paraId="5937574C"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Přímá vazba na místní komunikace</w:t>
            </w:r>
          </w:p>
          <w:p w14:paraId="3B1CF047" w14:textId="2726BEB8"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Přímá vazba na koridor </w:t>
            </w:r>
            <w:r w:rsidR="00B50542" w:rsidRPr="006070EA">
              <w:rPr>
                <w:rFonts w:asciiTheme="majorHAnsi" w:eastAsia="Times New Roman" w:hAnsiTheme="majorHAnsi" w:cstheme="majorHAnsi"/>
                <w:bCs/>
                <w:iCs/>
                <w:sz w:val="18"/>
                <w:szCs w:val="20"/>
                <w:lang w:eastAsia="ar-SA"/>
              </w:rPr>
              <w:t>CNU.</w:t>
            </w:r>
            <w:r w:rsidRPr="006070EA">
              <w:rPr>
                <w:rFonts w:asciiTheme="majorHAnsi" w:eastAsia="Times New Roman" w:hAnsiTheme="majorHAnsi" w:cstheme="majorHAnsi"/>
                <w:bCs/>
                <w:iCs/>
                <w:sz w:val="18"/>
                <w:szCs w:val="20"/>
                <w:lang w:eastAsia="ar-SA"/>
              </w:rPr>
              <w:t>KTI1 (navržené sítě vodovodu a kanalizace)</w:t>
            </w:r>
          </w:p>
        </w:tc>
      </w:tr>
      <w:tr w:rsidR="002D0BDA" w:rsidRPr="006070EA" w14:paraId="49A2D0ED" w14:textId="77777777" w:rsidTr="005038EA">
        <w:trPr>
          <w:cantSplit/>
        </w:trPr>
        <w:tc>
          <w:tcPr>
            <w:tcW w:w="2705" w:type="dxa"/>
          </w:tcPr>
          <w:p w14:paraId="438BEF66"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vztah k zastavěnému území</w:t>
            </w:r>
          </w:p>
        </w:tc>
        <w:tc>
          <w:tcPr>
            <w:tcW w:w="6581" w:type="dxa"/>
          </w:tcPr>
          <w:p w14:paraId="6A6BEE53"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Plocha v přímé návaznosti na zastavěné území</w:t>
            </w:r>
          </w:p>
        </w:tc>
      </w:tr>
      <w:tr w:rsidR="002D0BDA" w:rsidRPr="006070EA" w14:paraId="7C123962" w14:textId="77777777" w:rsidTr="005038EA">
        <w:trPr>
          <w:cantSplit/>
        </w:trPr>
        <w:tc>
          <w:tcPr>
            <w:tcW w:w="2705" w:type="dxa"/>
          </w:tcPr>
          <w:p w14:paraId="0635E7B9"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dotčení půdního fondu (ZPF, LPF)</w:t>
            </w:r>
          </w:p>
        </w:tc>
        <w:tc>
          <w:tcPr>
            <w:tcW w:w="6581" w:type="dxa"/>
          </w:tcPr>
          <w:p w14:paraId="5D074C98"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ZPF IV. třídy ochrany</w:t>
            </w:r>
          </w:p>
        </w:tc>
      </w:tr>
      <w:tr w:rsidR="002D0BDA" w:rsidRPr="006070EA" w14:paraId="7CA661C0" w14:textId="77777777" w:rsidTr="005038EA">
        <w:trPr>
          <w:cantSplit/>
        </w:trPr>
        <w:tc>
          <w:tcPr>
            <w:tcW w:w="2705" w:type="dxa"/>
          </w:tcPr>
          <w:p w14:paraId="62306075"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hlavní důvody vymezení plochy</w:t>
            </w:r>
          </w:p>
        </w:tc>
        <w:tc>
          <w:tcPr>
            <w:tcW w:w="6581" w:type="dxa"/>
          </w:tcPr>
          <w:p w14:paraId="74F14C15"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Vytvoření podmínek pro rozvoj rezidenční funkce v sídle Rozkoš. Plocha dotváří okraj zástavby podél silnice železniční trati v západní části sídla se stabilizovanou obytnou zástavbou. </w:t>
            </w:r>
          </w:p>
          <w:p w14:paraId="6800AAD3"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Plocha je vymezena na základě potřebnosti rozvoje obytné funkce obce dle podrobné analýzy potřeby vymezení zastavitelných ploch pro bydlení (viz kapitola 10) a v souladu se základní koncepcí rozvoje území, která vychází z původního řešení ÚPO. </w:t>
            </w:r>
          </w:p>
        </w:tc>
      </w:tr>
      <w:tr w:rsidR="002D0BDA" w:rsidRPr="006070EA" w14:paraId="12186AB4" w14:textId="77777777" w:rsidTr="005038EA">
        <w:trPr>
          <w:cantSplit/>
        </w:trPr>
        <w:tc>
          <w:tcPr>
            <w:tcW w:w="2705" w:type="dxa"/>
          </w:tcPr>
          <w:p w14:paraId="160101AE"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související podmínky využití</w:t>
            </w:r>
          </w:p>
        </w:tc>
        <w:tc>
          <w:tcPr>
            <w:tcW w:w="6581" w:type="dxa"/>
          </w:tcPr>
          <w:p w14:paraId="3FAA3EA9" w14:textId="241FA0DE"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Zpracování územní studie </w:t>
            </w:r>
            <w:r w:rsidR="00B50542" w:rsidRPr="006070EA">
              <w:rPr>
                <w:rFonts w:asciiTheme="majorHAnsi" w:eastAsia="Times New Roman" w:hAnsiTheme="majorHAnsi" w:cstheme="majorHAnsi"/>
                <w:bCs/>
                <w:iCs/>
                <w:sz w:val="18"/>
                <w:szCs w:val="20"/>
                <w:lang w:eastAsia="ar-SA"/>
              </w:rPr>
              <w:t>US.1</w:t>
            </w:r>
            <w:r w:rsidRPr="006070EA">
              <w:rPr>
                <w:rFonts w:asciiTheme="majorHAnsi" w:eastAsia="Times New Roman" w:hAnsiTheme="majorHAnsi" w:cstheme="majorHAnsi"/>
                <w:bCs/>
                <w:iCs/>
                <w:sz w:val="18"/>
                <w:szCs w:val="20"/>
                <w:lang w:eastAsia="ar-SA"/>
              </w:rPr>
              <w:t>.</w:t>
            </w:r>
          </w:p>
          <w:p w14:paraId="0132BA0E"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Zajistit prostupnost území při respektování směrů zajištění prostupnosti území veřejným prostranstvím.</w:t>
            </w:r>
          </w:p>
        </w:tc>
      </w:tr>
    </w:tbl>
    <w:p w14:paraId="4DC23709" w14:textId="77777777" w:rsidR="002D0BDA" w:rsidRPr="006070EA" w:rsidRDefault="002D0BDA" w:rsidP="002D0BDA">
      <w:pPr>
        <w:pStyle w:val="Atext"/>
        <w:rPr>
          <w:rFonts w:asciiTheme="majorHAnsi" w:hAnsiTheme="majorHAnsi" w:cstheme="majorHAnsi"/>
          <w:i/>
          <w:snapToGrid w:val="0"/>
          <w:color w:val="FF0000"/>
          <w:u w:val="single"/>
        </w:rPr>
      </w:pPr>
    </w:p>
    <w:tbl>
      <w:tblPr>
        <w:tblStyle w:val="Mkatabulky2"/>
        <w:tblW w:w="0" w:type="auto"/>
        <w:tblBorders>
          <w:left w:val="none" w:sz="0" w:space="0" w:color="auto"/>
          <w:right w:val="none" w:sz="0" w:space="0" w:color="auto"/>
          <w:insideV w:val="single" w:sz="12" w:space="0" w:color="auto"/>
        </w:tblBorders>
        <w:tblLook w:val="04A0" w:firstRow="1" w:lastRow="0" w:firstColumn="1" w:lastColumn="0" w:noHBand="0" w:noVBand="1"/>
      </w:tblPr>
      <w:tblGrid>
        <w:gridCol w:w="2660"/>
        <w:gridCol w:w="6410"/>
      </w:tblGrid>
      <w:tr w:rsidR="002D0BDA" w:rsidRPr="006070EA" w14:paraId="1F47AA31" w14:textId="77777777" w:rsidTr="005038EA">
        <w:trPr>
          <w:cantSplit/>
          <w:tblHeader/>
        </w:trPr>
        <w:tc>
          <w:tcPr>
            <w:tcW w:w="2705" w:type="dxa"/>
            <w:shd w:val="clear" w:color="auto" w:fill="F2F2F2" w:themeFill="background1" w:themeFillShade="F2"/>
          </w:tcPr>
          <w:p w14:paraId="2EC629BA" w14:textId="77777777" w:rsidR="002D0BDA" w:rsidRPr="006070EA" w:rsidRDefault="002D0BDA" w:rsidP="005038EA">
            <w:pPr>
              <w:keepNext/>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Zastavitelná plocha</w:t>
            </w:r>
          </w:p>
        </w:tc>
        <w:tc>
          <w:tcPr>
            <w:tcW w:w="6581" w:type="dxa"/>
            <w:shd w:val="clear" w:color="auto" w:fill="F2F2F2" w:themeFill="background1" w:themeFillShade="F2"/>
          </w:tcPr>
          <w:p w14:paraId="033B9173" w14:textId="6C6B3139" w:rsidR="002D0BDA" w:rsidRPr="006070EA" w:rsidRDefault="002D0BDA" w:rsidP="005038EA">
            <w:pPr>
              <w:keepNext/>
              <w:tabs>
                <w:tab w:val="center" w:pos="4536"/>
                <w:tab w:val="right" w:pos="9072"/>
              </w:tabs>
              <w:suppressAutoHyphens/>
              <w:spacing w:before="40" w:after="40"/>
              <w:jc w:val="both"/>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w:t>
            </w:r>
            <w:r w:rsidR="00B50542" w:rsidRPr="006070EA">
              <w:rPr>
                <w:rFonts w:asciiTheme="majorHAnsi" w:eastAsia="Times New Roman" w:hAnsiTheme="majorHAnsi" w:cstheme="majorHAnsi"/>
                <w:b/>
                <w:bCs/>
                <w:iCs/>
                <w:sz w:val="18"/>
                <w:szCs w:val="20"/>
                <w:lang w:eastAsia="ar-SA"/>
              </w:rPr>
              <w:t>.</w:t>
            </w:r>
            <w:r w:rsidRPr="006070EA">
              <w:rPr>
                <w:rFonts w:asciiTheme="majorHAnsi" w:eastAsia="Times New Roman" w:hAnsiTheme="majorHAnsi" w:cstheme="majorHAnsi"/>
                <w:b/>
                <w:bCs/>
                <w:iCs/>
                <w:sz w:val="18"/>
                <w:szCs w:val="20"/>
                <w:lang w:eastAsia="ar-SA"/>
              </w:rPr>
              <w:t>04</w:t>
            </w:r>
          </w:p>
        </w:tc>
      </w:tr>
      <w:tr w:rsidR="002D0BDA" w:rsidRPr="006070EA" w14:paraId="231DCEE2" w14:textId="77777777" w:rsidTr="005038EA">
        <w:trPr>
          <w:cantSplit/>
        </w:trPr>
        <w:tc>
          <w:tcPr>
            <w:tcW w:w="2705" w:type="dxa"/>
          </w:tcPr>
          <w:p w14:paraId="1B58E33C"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způsob využití</w:t>
            </w:r>
          </w:p>
        </w:tc>
        <w:tc>
          <w:tcPr>
            <w:tcW w:w="6581" w:type="dxa"/>
          </w:tcPr>
          <w:p w14:paraId="3C123F93" w14:textId="74BEAF71"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SV – </w:t>
            </w:r>
            <w:r w:rsidRPr="006070EA">
              <w:rPr>
                <w:rFonts w:asciiTheme="majorHAnsi" w:eastAsia="Times New Roman" w:hAnsiTheme="majorHAnsi" w:cstheme="majorHAnsi"/>
                <w:sz w:val="18"/>
                <w:szCs w:val="18"/>
                <w:lang w:eastAsia="cs-CZ"/>
              </w:rPr>
              <w:t>plochy smíšené obytné venkovské</w:t>
            </w:r>
            <w:r w:rsidRPr="006070EA">
              <w:rPr>
                <w:rFonts w:asciiTheme="majorHAnsi" w:eastAsia="Times New Roman" w:hAnsiTheme="majorHAnsi" w:cstheme="majorHAnsi"/>
                <w:bCs/>
                <w:iCs/>
                <w:sz w:val="18"/>
                <w:szCs w:val="20"/>
                <w:lang w:eastAsia="ar-SA"/>
              </w:rPr>
              <w:t xml:space="preserve"> </w:t>
            </w:r>
          </w:p>
        </w:tc>
      </w:tr>
      <w:tr w:rsidR="002D0BDA" w:rsidRPr="006070EA" w14:paraId="4280FD9B" w14:textId="77777777" w:rsidTr="005038EA">
        <w:trPr>
          <w:cantSplit/>
        </w:trPr>
        <w:tc>
          <w:tcPr>
            <w:tcW w:w="2705" w:type="dxa"/>
          </w:tcPr>
          <w:p w14:paraId="49967DD5"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limity využití území</w:t>
            </w:r>
          </w:p>
        </w:tc>
        <w:tc>
          <w:tcPr>
            <w:tcW w:w="6581" w:type="dxa"/>
          </w:tcPr>
          <w:p w14:paraId="2D662407" w14:textId="2916A87E"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ÚSES (L</w:t>
            </w:r>
            <w:r w:rsidR="00B50542" w:rsidRPr="006070EA">
              <w:rPr>
                <w:rFonts w:asciiTheme="majorHAnsi" w:eastAsia="Times New Roman" w:hAnsiTheme="majorHAnsi" w:cstheme="majorHAnsi"/>
                <w:bCs/>
                <w:iCs/>
                <w:sz w:val="18"/>
                <w:szCs w:val="20"/>
                <w:lang w:eastAsia="ar-SA"/>
              </w:rPr>
              <w:t>B</w:t>
            </w:r>
            <w:r w:rsidRPr="006070EA">
              <w:rPr>
                <w:rFonts w:asciiTheme="majorHAnsi" w:eastAsia="Times New Roman" w:hAnsiTheme="majorHAnsi" w:cstheme="majorHAnsi"/>
                <w:bCs/>
                <w:iCs/>
                <w:sz w:val="18"/>
                <w:szCs w:val="20"/>
                <w:lang w:eastAsia="ar-SA"/>
              </w:rPr>
              <w:t>K</w:t>
            </w:r>
            <w:r w:rsidR="00B50542" w:rsidRPr="006070EA">
              <w:rPr>
                <w:rFonts w:asciiTheme="majorHAnsi" w:eastAsia="Times New Roman" w:hAnsiTheme="majorHAnsi" w:cstheme="majorHAnsi"/>
                <w:bCs/>
                <w:iCs/>
                <w:sz w:val="18"/>
                <w:szCs w:val="20"/>
                <w:lang w:eastAsia="ar-SA"/>
              </w:rPr>
              <w:t>.</w:t>
            </w:r>
            <w:r w:rsidRPr="006070EA">
              <w:rPr>
                <w:rFonts w:asciiTheme="majorHAnsi" w:eastAsia="Times New Roman" w:hAnsiTheme="majorHAnsi" w:cstheme="majorHAnsi"/>
                <w:bCs/>
                <w:iCs/>
                <w:sz w:val="18"/>
                <w:szCs w:val="20"/>
                <w:lang w:eastAsia="ar-SA"/>
              </w:rPr>
              <w:t>2); OP stavby zajišťující letecký provoz (radar Kbely)</w:t>
            </w:r>
          </w:p>
        </w:tc>
      </w:tr>
      <w:tr w:rsidR="002D0BDA" w:rsidRPr="006070EA" w14:paraId="6AE6283B" w14:textId="77777777" w:rsidTr="005038EA">
        <w:trPr>
          <w:cantSplit/>
        </w:trPr>
        <w:tc>
          <w:tcPr>
            <w:tcW w:w="2705" w:type="dxa"/>
          </w:tcPr>
          <w:p w14:paraId="698DEDB6"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vztah k platné ÚPD (ZÚR, ÚPO)</w:t>
            </w:r>
          </w:p>
        </w:tc>
        <w:tc>
          <w:tcPr>
            <w:tcW w:w="6581" w:type="dxa"/>
          </w:tcPr>
          <w:p w14:paraId="04E5471F"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převzato z ÚPO</w:t>
            </w:r>
          </w:p>
        </w:tc>
      </w:tr>
      <w:tr w:rsidR="002D0BDA" w:rsidRPr="006070EA" w14:paraId="76F7D4EB" w14:textId="77777777" w:rsidTr="005038EA">
        <w:trPr>
          <w:cantSplit/>
        </w:trPr>
        <w:tc>
          <w:tcPr>
            <w:tcW w:w="2705" w:type="dxa"/>
          </w:tcPr>
          <w:p w14:paraId="1AA25393"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vazba na veřejnou infrastrukturu (DI, TI)</w:t>
            </w:r>
          </w:p>
        </w:tc>
        <w:tc>
          <w:tcPr>
            <w:tcW w:w="6581" w:type="dxa"/>
          </w:tcPr>
          <w:p w14:paraId="606CF6DB" w14:textId="3767D21D"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Bez přímé návaznosti na dopravní infrastrukturu, ve vazbě na směr zajištění prostupnosti území veřejným prostranstvím</w:t>
            </w:r>
          </w:p>
          <w:p w14:paraId="4F472233" w14:textId="2DCC5C90"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V dosahu koridoru </w:t>
            </w:r>
            <w:r w:rsidR="00B50542" w:rsidRPr="006070EA">
              <w:rPr>
                <w:rFonts w:asciiTheme="majorHAnsi" w:eastAsia="Times New Roman" w:hAnsiTheme="majorHAnsi" w:cstheme="majorHAnsi"/>
                <w:bCs/>
                <w:iCs/>
                <w:sz w:val="18"/>
                <w:szCs w:val="20"/>
                <w:lang w:eastAsia="ar-SA"/>
              </w:rPr>
              <w:t>CNU.</w:t>
            </w:r>
            <w:r w:rsidRPr="006070EA">
              <w:rPr>
                <w:rFonts w:asciiTheme="majorHAnsi" w:eastAsia="Times New Roman" w:hAnsiTheme="majorHAnsi" w:cstheme="majorHAnsi"/>
                <w:bCs/>
                <w:iCs/>
                <w:sz w:val="18"/>
                <w:szCs w:val="20"/>
                <w:lang w:eastAsia="ar-SA"/>
              </w:rPr>
              <w:t>KTI1 (navržené sítě vodovodu a kanalizace)</w:t>
            </w:r>
          </w:p>
        </w:tc>
      </w:tr>
      <w:tr w:rsidR="002D0BDA" w:rsidRPr="006070EA" w14:paraId="6FD17C1B" w14:textId="77777777" w:rsidTr="005038EA">
        <w:trPr>
          <w:cantSplit/>
        </w:trPr>
        <w:tc>
          <w:tcPr>
            <w:tcW w:w="2705" w:type="dxa"/>
          </w:tcPr>
          <w:p w14:paraId="1CB025C6"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vztah k zastavěnému území</w:t>
            </w:r>
          </w:p>
        </w:tc>
        <w:tc>
          <w:tcPr>
            <w:tcW w:w="6581" w:type="dxa"/>
          </w:tcPr>
          <w:p w14:paraId="2CA5CDB6"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Plocha v přímé návaznosti na zastavěné území</w:t>
            </w:r>
          </w:p>
        </w:tc>
      </w:tr>
      <w:tr w:rsidR="002D0BDA" w:rsidRPr="006070EA" w14:paraId="5CF1E231" w14:textId="77777777" w:rsidTr="005038EA">
        <w:trPr>
          <w:cantSplit/>
        </w:trPr>
        <w:tc>
          <w:tcPr>
            <w:tcW w:w="2705" w:type="dxa"/>
          </w:tcPr>
          <w:p w14:paraId="52931277"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dotčení půdního fondu (ZPF, LPF)</w:t>
            </w:r>
          </w:p>
        </w:tc>
        <w:tc>
          <w:tcPr>
            <w:tcW w:w="6581" w:type="dxa"/>
          </w:tcPr>
          <w:p w14:paraId="6F384667"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ZPF IV. třídy ochrany</w:t>
            </w:r>
          </w:p>
        </w:tc>
      </w:tr>
      <w:tr w:rsidR="002D0BDA" w:rsidRPr="006070EA" w14:paraId="51A88804" w14:textId="77777777" w:rsidTr="005038EA">
        <w:trPr>
          <w:cantSplit/>
        </w:trPr>
        <w:tc>
          <w:tcPr>
            <w:tcW w:w="2705" w:type="dxa"/>
          </w:tcPr>
          <w:p w14:paraId="467F468B"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lastRenderedPageBreak/>
              <w:t>hlavní důvody vymezení plochy</w:t>
            </w:r>
          </w:p>
        </w:tc>
        <w:tc>
          <w:tcPr>
            <w:tcW w:w="6581" w:type="dxa"/>
          </w:tcPr>
          <w:p w14:paraId="1BC22D0C"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Vytvoření podmínek pro rozvoj rezidenční funkce v sídle Rozkoš. Plocha dotváří okraj zástavby severním směrem podél toku Hronětického náhonu se stabilizovanou obytnou zástavbou. </w:t>
            </w:r>
          </w:p>
          <w:p w14:paraId="0346E414"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Plocha je vymezena na základě potřebnosti rozvoje obytné funkce obce dle podrobné analýzy potřeby vymezení zastavitelných ploch pro bydlení (viz kapitola 10) a v souladu se základní koncepcí rozvoje území, která vychází z původního řešení ÚPO. </w:t>
            </w:r>
          </w:p>
        </w:tc>
      </w:tr>
      <w:tr w:rsidR="002D0BDA" w:rsidRPr="006070EA" w14:paraId="49DA190E" w14:textId="77777777" w:rsidTr="005038EA">
        <w:trPr>
          <w:cantSplit/>
        </w:trPr>
        <w:tc>
          <w:tcPr>
            <w:tcW w:w="2705" w:type="dxa"/>
          </w:tcPr>
          <w:p w14:paraId="4976D680"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související podmínky využití</w:t>
            </w:r>
          </w:p>
        </w:tc>
        <w:tc>
          <w:tcPr>
            <w:tcW w:w="6581" w:type="dxa"/>
          </w:tcPr>
          <w:p w14:paraId="6F0FBD32"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ab/>
              <w:t>Přístup zajistit výhradně přes jižně situovaný sousední pozemek při respektování směru zajištění prostupnosti území veřejným prostranstvím.</w:t>
            </w:r>
          </w:p>
        </w:tc>
      </w:tr>
    </w:tbl>
    <w:p w14:paraId="4F000B85" w14:textId="77777777" w:rsidR="002D0BDA" w:rsidRPr="006070EA" w:rsidRDefault="002D0BDA" w:rsidP="002D0BDA">
      <w:pPr>
        <w:pStyle w:val="Atext"/>
        <w:rPr>
          <w:rFonts w:asciiTheme="majorHAnsi" w:hAnsiTheme="majorHAnsi" w:cstheme="majorHAnsi"/>
          <w:i/>
          <w:snapToGrid w:val="0"/>
          <w:color w:val="FF0000"/>
          <w:u w:val="single"/>
        </w:rPr>
      </w:pPr>
    </w:p>
    <w:tbl>
      <w:tblPr>
        <w:tblStyle w:val="Mkatabulky2"/>
        <w:tblW w:w="0" w:type="auto"/>
        <w:tblBorders>
          <w:left w:val="none" w:sz="0" w:space="0" w:color="auto"/>
          <w:right w:val="none" w:sz="0" w:space="0" w:color="auto"/>
          <w:insideV w:val="single" w:sz="12" w:space="0" w:color="auto"/>
        </w:tblBorders>
        <w:tblLook w:val="04A0" w:firstRow="1" w:lastRow="0" w:firstColumn="1" w:lastColumn="0" w:noHBand="0" w:noVBand="1"/>
      </w:tblPr>
      <w:tblGrid>
        <w:gridCol w:w="2658"/>
        <w:gridCol w:w="6412"/>
      </w:tblGrid>
      <w:tr w:rsidR="002D0BDA" w:rsidRPr="006070EA" w14:paraId="2A0494F7" w14:textId="77777777" w:rsidTr="00A46281">
        <w:trPr>
          <w:cantSplit/>
          <w:tblHeader/>
        </w:trPr>
        <w:tc>
          <w:tcPr>
            <w:tcW w:w="2658" w:type="dxa"/>
            <w:shd w:val="clear" w:color="auto" w:fill="F2F2F2" w:themeFill="background1" w:themeFillShade="F2"/>
          </w:tcPr>
          <w:p w14:paraId="4FC6DA90" w14:textId="77777777" w:rsidR="002D0BDA" w:rsidRPr="006070EA" w:rsidRDefault="002D0BDA" w:rsidP="005038EA">
            <w:pPr>
              <w:keepNext/>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Zastavitelná plocha</w:t>
            </w:r>
          </w:p>
        </w:tc>
        <w:tc>
          <w:tcPr>
            <w:tcW w:w="6412" w:type="dxa"/>
            <w:shd w:val="clear" w:color="auto" w:fill="F2F2F2" w:themeFill="background1" w:themeFillShade="F2"/>
          </w:tcPr>
          <w:p w14:paraId="1ABB99B6" w14:textId="1407CEB1" w:rsidR="002D0BDA" w:rsidRPr="006070EA" w:rsidRDefault="002D0BDA" w:rsidP="005038EA">
            <w:pPr>
              <w:keepNext/>
              <w:tabs>
                <w:tab w:val="center" w:pos="4536"/>
                <w:tab w:val="right" w:pos="9072"/>
              </w:tabs>
              <w:suppressAutoHyphens/>
              <w:spacing w:before="40" w:after="40"/>
              <w:jc w:val="both"/>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w:t>
            </w:r>
            <w:r w:rsidR="00B50542" w:rsidRPr="006070EA">
              <w:rPr>
                <w:rFonts w:asciiTheme="majorHAnsi" w:eastAsia="Times New Roman" w:hAnsiTheme="majorHAnsi" w:cstheme="majorHAnsi"/>
                <w:b/>
                <w:bCs/>
                <w:iCs/>
                <w:sz w:val="18"/>
                <w:szCs w:val="20"/>
                <w:lang w:eastAsia="ar-SA"/>
              </w:rPr>
              <w:t>.</w:t>
            </w:r>
            <w:r w:rsidRPr="006070EA">
              <w:rPr>
                <w:rFonts w:asciiTheme="majorHAnsi" w:eastAsia="Times New Roman" w:hAnsiTheme="majorHAnsi" w:cstheme="majorHAnsi"/>
                <w:b/>
                <w:bCs/>
                <w:iCs/>
                <w:sz w:val="18"/>
                <w:szCs w:val="20"/>
                <w:lang w:eastAsia="ar-SA"/>
              </w:rPr>
              <w:t>05</w:t>
            </w:r>
          </w:p>
        </w:tc>
      </w:tr>
      <w:tr w:rsidR="00A46281" w:rsidRPr="006070EA" w14:paraId="774965CD" w14:textId="77777777" w:rsidTr="00FC1E99">
        <w:trPr>
          <w:cantSplit/>
          <w:trHeight w:val="227"/>
        </w:trPr>
        <w:tc>
          <w:tcPr>
            <w:tcW w:w="9070" w:type="dxa"/>
            <w:gridSpan w:val="2"/>
          </w:tcPr>
          <w:p w14:paraId="2977E2ED" w14:textId="464CBCD3" w:rsidR="00A46281" w:rsidRPr="006070EA" w:rsidRDefault="00A46281"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plocha vypuštěna v rámci úprav po společném jednání (požadavek obce)</w:t>
            </w:r>
          </w:p>
        </w:tc>
      </w:tr>
    </w:tbl>
    <w:p w14:paraId="7F3CE0A6" w14:textId="77777777" w:rsidR="002D0BDA" w:rsidRPr="006070EA" w:rsidRDefault="002D0BDA" w:rsidP="002D0BDA">
      <w:pPr>
        <w:pStyle w:val="Atext"/>
        <w:rPr>
          <w:rFonts w:asciiTheme="majorHAnsi" w:hAnsiTheme="majorHAnsi" w:cstheme="majorHAnsi"/>
          <w:i/>
          <w:snapToGrid w:val="0"/>
          <w:color w:val="FF0000"/>
          <w:u w:val="single"/>
        </w:rPr>
      </w:pPr>
    </w:p>
    <w:tbl>
      <w:tblPr>
        <w:tblStyle w:val="Mkatabulky2"/>
        <w:tblW w:w="0" w:type="auto"/>
        <w:tblBorders>
          <w:left w:val="none" w:sz="0" w:space="0" w:color="auto"/>
          <w:right w:val="none" w:sz="0" w:space="0" w:color="auto"/>
          <w:insideV w:val="single" w:sz="12" w:space="0" w:color="auto"/>
        </w:tblBorders>
        <w:tblLook w:val="04A0" w:firstRow="1" w:lastRow="0" w:firstColumn="1" w:lastColumn="0" w:noHBand="0" w:noVBand="1"/>
      </w:tblPr>
      <w:tblGrid>
        <w:gridCol w:w="2660"/>
        <w:gridCol w:w="6410"/>
      </w:tblGrid>
      <w:tr w:rsidR="002D0BDA" w:rsidRPr="00A76411" w14:paraId="3D9E5742" w14:textId="77777777" w:rsidTr="005038EA">
        <w:trPr>
          <w:cantSplit/>
          <w:tblHeader/>
        </w:trPr>
        <w:tc>
          <w:tcPr>
            <w:tcW w:w="2705" w:type="dxa"/>
            <w:shd w:val="clear" w:color="auto" w:fill="F2F2F2" w:themeFill="background1" w:themeFillShade="F2"/>
          </w:tcPr>
          <w:p w14:paraId="5D8349CC" w14:textId="77777777" w:rsidR="002D0BDA" w:rsidRPr="00A76411" w:rsidRDefault="002D0BDA" w:rsidP="005038EA">
            <w:pPr>
              <w:keepNext/>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A76411">
              <w:rPr>
                <w:rFonts w:asciiTheme="majorHAnsi" w:eastAsia="Times New Roman" w:hAnsiTheme="majorHAnsi" w:cstheme="majorHAnsi"/>
                <w:b/>
                <w:bCs/>
                <w:iCs/>
                <w:sz w:val="18"/>
                <w:szCs w:val="20"/>
                <w:lang w:eastAsia="ar-SA"/>
              </w:rPr>
              <w:t>Zastavitelná plocha</w:t>
            </w:r>
          </w:p>
        </w:tc>
        <w:tc>
          <w:tcPr>
            <w:tcW w:w="6581" w:type="dxa"/>
            <w:shd w:val="clear" w:color="auto" w:fill="F2F2F2" w:themeFill="background1" w:themeFillShade="F2"/>
          </w:tcPr>
          <w:p w14:paraId="10B2FCF1" w14:textId="11CF373F" w:rsidR="002D0BDA" w:rsidRPr="00A76411" w:rsidRDefault="002D0BDA" w:rsidP="005038EA">
            <w:pPr>
              <w:keepNext/>
              <w:tabs>
                <w:tab w:val="center" w:pos="4536"/>
                <w:tab w:val="right" w:pos="9072"/>
              </w:tabs>
              <w:suppressAutoHyphens/>
              <w:spacing w:before="40" w:after="40"/>
              <w:jc w:val="both"/>
              <w:rPr>
                <w:rFonts w:asciiTheme="majorHAnsi" w:eastAsia="Times New Roman" w:hAnsiTheme="majorHAnsi" w:cstheme="majorHAnsi"/>
                <w:b/>
                <w:bCs/>
                <w:iCs/>
                <w:sz w:val="18"/>
                <w:szCs w:val="20"/>
                <w:lang w:eastAsia="ar-SA"/>
              </w:rPr>
            </w:pPr>
            <w:r w:rsidRPr="00A76411">
              <w:rPr>
                <w:rFonts w:asciiTheme="majorHAnsi" w:eastAsia="Times New Roman" w:hAnsiTheme="majorHAnsi" w:cstheme="majorHAnsi"/>
                <w:b/>
                <w:bCs/>
                <w:iCs/>
                <w:sz w:val="18"/>
                <w:szCs w:val="20"/>
                <w:lang w:eastAsia="ar-SA"/>
              </w:rPr>
              <w:t>Z</w:t>
            </w:r>
            <w:r w:rsidR="00B50542" w:rsidRPr="00A76411">
              <w:rPr>
                <w:rFonts w:asciiTheme="majorHAnsi" w:eastAsia="Times New Roman" w:hAnsiTheme="majorHAnsi" w:cstheme="majorHAnsi"/>
                <w:b/>
                <w:bCs/>
                <w:iCs/>
                <w:sz w:val="18"/>
                <w:szCs w:val="20"/>
                <w:lang w:eastAsia="ar-SA"/>
              </w:rPr>
              <w:t>.</w:t>
            </w:r>
            <w:r w:rsidRPr="00A76411">
              <w:rPr>
                <w:rFonts w:asciiTheme="majorHAnsi" w:eastAsia="Times New Roman" w:hAnsiTheme="majorHAnsi" w:cstheme="majorHAnsi"/>
                <w:b/>
                <w:bCs/>
                <w:iCs/>
                <w:sz w:val="18"/>
                <w:szCs w:val="20"/>
                <w:lang w:eastAsia="ar-SA"/>
              </w:rPr>
              <w:t>06</w:t>
            </w:r>
            <w:r w:rsidR="007E10C4" w:rsidRPr="00A76411">
              <w:rPr>
                <w:rFonts w:asciiTheme="majorHAnsi" w:eastAsia="Times New Roman" w:hAnsiTheme="majorHAnsi" w:cstheme="majorHAnsi"/>
                <w:b/>
                <w:bCs/>
                <w:iCs/>
                <w:sz w:val="18"/>
                <w:szCs w:val="20"/>
                <w:lang w:eastAsia="ar-SA"/>
              </w:rPr>
              <w:t>A, Z.06B</w:t>
            </w:r>
          </w:p>
        </w:tc>
      </w:tr>
      <w:tr w:rsidR="002D0BDA" w:rsidRPr="00A76411" w14:paraId="45C36520" w14:textId="77777777" w:rsidTr="005038EA">
        <w:trPr>
          <w:cantSplit/>
        </w:trPr>
        <w:tc>
          <w:tcPr>
            <w:tcW w:w="2705" w:type="dxa"/>
          </w:tcPr>
          <w:p w14:paraId="7E86512B" w14:textId="77777777" w:rsidR="002D0BDA" w:rsidRPr="00A76411"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A76411">
              <w:rPr>
                <w:rFonts w:asciiTheme="majorHAnsi" w:eastAsia="Times New Roman" w:hAnsiTheme="majorHAnsi" w:cstheme="majorHAnsi"/>
                <w:b/>
                <w:bCs/>
                <w:iCs/>
                <w:sz w:val="18"/>
                <w:szCs w:val="20"/>
                <w:lang w:eastAsia="ar-SA"/>
              </w:rPr>
              <w:t>způsob využití</w:t>
            </w:r>
          </w:p>
        </w:tc>
        <w:tc>
          <w:tcPr>
            <w:tcW w:w="6581" w:type="dxa"/>
            <w:vAlign w:val="center"/>
          </w:tcPr>
          <w:p w14:paraId="01E4E8CB" w14:textId="2506A876" w:rsidR="002D0BDA" w:rsidRPr="00A76411"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A76411">
              <w:rPr>
                <w:rFonts w:asciiTheme="majorHAnsi" w:eastAsia="Times New Roman" w:hAnsiTheme="majorHAnsi" w:cstheme="majorHAnsi"/>
                <w:sz w:val="18"/>
                <w:szCs w:val="18"/>
                <w:lang w:eastAsia="cs-CZ"/>
              </w:rPr>
              <w:t xml:space="preserve">BI – bydlení </w:t>
            </w:r>
            <w:r w:rsidR="00B50542" w:rsidRPr="00A76411">
              <w:rPr>
                <w:rFonts w:asciiTheme="majorHAnsi" w:eastAsia="Times New Roman" w:hAnsiTheme="majorHAnsi" w:cstheme="majorHAnsi"/>
                <w:sz w:val="18"/>
                <w:szCs w:val="18"/>
                <w:lang w:eastAsia="cs-CZ"/>
              </w:rPr>
              <w:t>individuální</w:t>
            </w:r>
            <w:r w:rsidRPr="00A76411">
              <w:rPr>
                <w:rFonts w:asciiTheme="majorHAnsi" w:eastAsia="Times New Roman" w:hAnsiTheme="majorHAnsi" w:cstheme="majorHAnsi"/>
                <w:sz w:val="18"/>
                <w:szCs w:val="18"/>
                <w:lang w:eastAsia="cs-CZ"/>
              </w:rPr>
              <w:t xml:space="preserve"> </w:t>
            </w:r>
          </w:p>
        </w:tc>
      </w:tr>
      <w:tr w:rsidR="002D0BDA" w:rsidRPr="00A76411" w14:paraId="42B77A55" w14:textId="77777777" w:rsidTr="005038EA">
        <w:trPr>
          <w:cantSplit/>
        </w:trPr>
        <w:tc>
          <w:tcPr>
            <w:tcW w:w="2705" w:type="dxa"/>
          </w:tcPr>
          <w:p w14:paraId="740B4B00" w14:textId="77777777" w:rsidR="002D0BDA" w:rsidRPr="00A76411"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A76411">
              <w:rPr>
                <w:rFonts w:asciiTheme="majorHAnsi" w:eastAsia="Times New Roman" w:hAnsiTheme="majorHAnsi" w:cstheme="majorHAnsi"/>
                <w:b/>
                <w:bCs/>
                <w:iCs/>
                <w:sz w:val="18"/>
                <w:szCs w:val="20"/>
                <w:lang w:eastAsia="ar-SA"/>
              </w:rPr>
              <w:t>limity využití území</w:t>
            </w:r>
          </w:p>
        </w:tc>
        <w:tc>
          <w:tcPr>
            <w:tcW w:w="6581" w:type="dxa"/>
          </w:tcPr>
          <w:p w14:paraId="70492FB1" w14:textId="36D13A66" w:rsidR="002D0BDA" w:rsidRPr="00A76411"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A76411">
              <w:rPr>
                <w:rFonts w:asciiTheme="majorHAnsi" w:eastAsia="Times New Roman" w:hAnsiTheme="majorHAnsi" w:cstheme="majorHAnsi"/>
                <w:bCs/>
                <w:iCs/>
                <w:sz w:val="18"/>
                <w:szCs w:val="20"/>
                <w:lang w:eastAsia="ar-SA"/>
              </w:rPr>
              <w:t xml:space="preserve">záplavové území Q100; aktivní zóna záplavového území; radioreléová trasa; koridor </w:t>
            </w:r>
            <w:r w:rsidR="00B50542" w:rsidRPr="00A76411">
              <w:rPr>
                <w:rFonts w:asciiTheme="majorHAnsi" w:eastAsia="Times New Roman" w:hAnsiTheme="majorHAnsi" w:cstheme="majorHAnsi"/>
                <w:bCs/>
                <w:iCs/>
                <w:sz w:val="18"/>
                <w:szCs w:val="20"/>
                <w:lang w:eastAsia="ar-SA"/>
              </w:rPr>
              <w:t>CNU.</w:t>
            </w:r>
            <w:r w:rsidRPr="00A76411">
              <w:rPr>
                <w:rFonts w:asciiTheme="majorHAnsi" w:eastAsia="Times New Roman" w:hAnsiTheme="majorHAnsi" w:cstheme="majorHAnsi"/>
                <w:bCs/>
                <w:iCs/>
                <w:sz w:val="18"/>
                <w:szCs w:val="20"/>
                <w:lang w:eastAsia="ar-SA"/>
              </w:rPr>
              <w:t>KD</w:t>
            </w:r>
            <w:r w:rsidR="0097451F" w:rsidRPr="00A76411">
              <w:rPr>
                <w:rFonts w:asciiTheme="majorHAnsi" w:eastAsia="Times New Roman" w:hAnsiTheme="majorHAnsi" w:cstheme="majorHAnsi"/>
                <w:bCs/>
                <w:iCs/>
                <w:sz w:val="18"/>
                <w:szCs w:val="20"/>
                <w:lang w:eastAsia="ar-SA"/>
              </w:rPr>
              <w:t>2</w:t>
            </w:r>
            <w:r w:rsidRPr="00A76411">
              <w:rPr>
                <w:rFonts w:asciiTheme="majorHAnsi" w:eastAsia="Times New Roman" w:hAnsiTheme="majorHAnsi" w:cstheme="majorHAnsi"/>
                <w:bCs/>
                <w:iCs/>
                <w:sz w:val="18"/>
                <w:szCs w:val="20"/>
                <w:lang w:eastAsia="ar-SA"/>
              </w:rPr>
              <w:t>; OP stavby zajišťující letecký provoz (radar Kbely)</w:t>
            </w:r>
          </w:p>
        </w:tc>
      </w:tr>
      <w:tr w:rsidR="002D0BDA" w:rsidRPr="00A76411" w14:paraId="374718A9" w14:textId="77777777" w:rsidTr="005038EA">
        <w:trPr>
          <w:cantSplit/>
        </w:trPr>
        <w:tc>
          <w:tcPr>
            <w:tcW w:w="2705" w:type="dxa"/>
          </w:tcPr>
          <w:p w14:paraId="13DCF16A" w14:textId="77777777" w:rsidR="002D0BDA" w:rsidRPr="00A76411"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A76411">
              <w:rPr>
                <w:rFonts w:asciiTheme="majorHAnsi" w:eastAsia="Times New Roman" w:hAnsiTheme="majorHAnsi" w:cstheme="majorHAnsi"/>
                <w:b/>
                <w:bCs/>
                <w:iCs/>
                <w:sz w:val="18"/>
                <w:szCs w:val="20"/>
                <w:lang w:eastAsia="ar-SA"/>
              </w:rPr>
              <w:t>vztah k platné ÚPD (ZÚR, ÚPO)</w:t>
            </w:r>
          </w:p>
        </w:tc>
        <w:tc>
          <w:tcPr>
            <w:tcW w:w="6581" w:type="dxa"/>
          </w:tcPr>
          <w:p w14:paraId="1E261D84" w14:textId="77777777" w:rsidR="002D0BDA" w:rsidRPr="00A76411"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A76411">
              <w:rPr>
                <w:rFonts w:asciiTheme="majorHAnsi" w:eastAsia="Times New Roman" w:hAnsiTheme="majorHAnsi" w:cstheme="majorHAnsi"/>
                <w:bCs/>
                <w:iCs/>
                <w:sz w:val="18"/>
                <w:szCs w:val="20"/>
                <w:lang w:eastAsia="ar-SA"/>
              </w:rPr>
              <w:t>částečně převzato z ÚPO</w:t>
            </w:r>
          </w:p>
        </w:tc>
      </w:tr>
      <w:tr w:rsidR="002D0BDA" w:rsidRPr="00A76411" w14:paraId="7E002751" w14:textId="77777777" w:rsidTr="005038EA">
        <w:trPr>
          <w:cantSplit/>
        </w:trPr>
        <w:tc>
          <w:tcPr>
            <w:tcW w:w="2705" w:type="dxa"/>
          </w:tcPr>
          <w:p w14:paraId="3D89DEB7" w14:textId="77777777" w:rsidR="002D0BDA" w:rsidRPr="00A76411"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A76411">
              <w:rPr>
                <w:rFonts w:asciiTheme="majorHAnsi" w:eastAsia="Times New Roman" w:hAnsiTheme="majorHAnsi" w:cstheme="majorHAnsi"/>
                <w:b/>
                <w:bCs/>
                <w:iCs/>
                <w:sz w:val="18"/>
                <w:szCs w:val="20"/>
                <w:lang w:eastAsia="ar-SA"/>
              </w:rPr>
              <w:t>vazba na veřejnou infrastrukturu (DI, TI)</w:t>
            </w:r>
          </w:p>
        </w:tc>
        <w:tc>
          <w:tcPr>
            <w:tcW w:w="6581" w:type="dxa"/>
          </w:tcPr>
          <w:p w14:paraId="6D31EBB8" w14:textId="77777777" w:rsidR="002D0BDA" w:rsidRPr="00A76411"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A76411">
              <w:rPr>
                <w:rFonts w:asciiTheme="majorHAnsi" w:eastAsia="Times New Roman" w:hAnsiTheme="majorHAnsi" w:cstheme="majorHAnsi"/>
                <w:bCs/>
                <w:iCs/>
                <w:sz w:val="18"/>
                <w:szCs w:val="20"/>
                <w:lang w:eastAsia="ar-SA"/>
              </w:rPr>
              <w:t>Přímá vazba na místní komunikace</w:t>
            </w:r>
          </w:p>
          <w:p w14:paraId="2F2CD87F" w14:textId="77777777" w:rsidR="002D0BDA" w:rsidRPr="00A76411"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A76411">
              <w:rPr>
                <w:rFonts w:asciiTheme="majorHAnsi" w:eastAsia="Times New Roman" w:hAnsiTheme="majorHAnsi" w:cstheme="majorHAnsi"/>
                <w:bCs/>
                <w:iCs/>
                <w:sz w:val="18"/>
                <w:szCs w:val="20"/>
                <w:lang w:eastAsia="ar-SA"/>
              </w:rPr>
              <w:t>Přímá vazba na technickou infrastrukturu (vodovod, plynovod, kanalizace)</w:t>
            </w:r>
          </w:p>
          <w:p w14:paraId="667A5447" w14:textId="471D04D3" w:rsidR="002D0BDA" w:rsidRPr="00A76411"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A76411">
              <w:rPr>
                <w:rFonts w:asciiTheme="majorHAnsi" w:eastAsia="Times New Roman" w:hAnsiTheme="majorHAnsi" w:cstheme="majorHAnsi"/>
                <w:bCs/>
                <w:iCs/>
                <w:sz w:val="18"/>
                <w:szCs w:val="20"/>
                <w:lang w:eastAsia="ar-SA"/>
              </w:rPr>
              <w:t xml:space="preserve">Přímá vazba na koridor </w:t>
            </w:r>
            <w:r w:rsidR="00B50542" w:rsidRPr="00A76411">
              <w:rPr>
                <w:rFonts w:asciiTheme="majorHAnsi" w:eastAsia="Times New Roman" w:hAnsiTheme="majorHAnsi" w:cstheme="majorHAnsi"/>
                <w:bCs/>
                <w:iCs/>
                <w:sz w:val="18"/>
                <w:szCs w:val="20"/>
                <w:lang w:eastAsia="ar-SA"/>
              </w:rPr>
              <w:t>CNU.</w:t>
            </w:r>
            <w:r w:rsidRPr="00A76411">
              <w:rPr>
                <w:rFonts w:asciiTheme="majorHAnsi" w:eastAsia="Times New Roman" w:hAnsiTheme="majorHAnsi" w:cstheme="majorHAnsi"/>
                <w:bCs/>
                <w:iCs/>
                <w:sz w:val="18"/>
                <w:szCs w:val="20"/>
                <w:lang w:eastAsia="ar-SA"/>
              </w:rPr>
              <w:t>KTI1 (navržené sítě vodovodu a kanalizace)</w:t>
            </w:r>
          </w:p>
        </w:tc>
      </w:tr>
      <w:tr w:rsidR="002D0BDA" w:rsidRPr="00A76411" w14:paraId="38EE49A1" w14:textId="77777777" w:rsidTr="005038EA">
        <w:trPr>
          <w:cantSplit/>
        </w:trPr>
        <w:tc>
          <w:tcPr>
            <w:tcW w:w="2705" w:type="dxa"/>
          </w:tcPr>
          <w:p w14:paraId="66F15478" w14:textId="77777777" w:rsidR="002D0BDA" w:rsidRPr="00A76411"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A76411">
              <w:rPr>
                <w:rFonts w:asciiTheme="majorHAnsi" w:eastAsia="Times New Roman" w:hAnsiTheme="majorHAnsi" w:cstheme="majorHAnsi"/>
                <w:b/>
                <w:bCs/>
                <w:iCs/>
                <w:sz w:val="18"/>
                <w:szCs w:val="20"/>
                <w:lang w:eastAsia="ar-SA"/>
              </w:rPr>
              <w:t>vztah k zastavěnému území</w:t>
            </w:r>
          </w:p>
        </w:tc>
        <w:tc>
          <w:tcPr>
            <w:tcW w:w="6581" w:type="dxa"/>
          </w:tcPr>
          <w:p w14:paraId="53427E26" w14:textId="77777777" w:rsidR="002D0BDA" w:rsidRPr="00A76411"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A76411">
              <w:rPr>
                <w:rFonts w:asciiTheme="majorHAnsi" w:eastAsia="Times New Roman" w:hAnsiTheme="majorHAnsi" w:cstheme="majorHAnsi"/>
                <w:bCs/>
                <w:iCs/>
                <w:sz w:val="18"/>
                <w:szCs w:val="20"/>
                <w:lang w:eastAsia="ar-SA"/>
              </w:rPr>
              <w:t>Plocha v přímé návaznosti na zastavěné území</w:t>
            </w:r>
          </w:p>
        </w:tc>
      </w:tr>
      <w:tr w:rsidR="002D0BDA" w:rsidRPr="00A76411" w14:paraId="48B73620" w14:textId="77777777" w:rsidTr="005038EA">
        <w:trPr>
          <w:cantSplit/>
        </w:trPr>
        <w:tc>
          <w:tcPr>
            <w:tcW w:w="2705" w:type="dxa"/>
          </w:tcPr>
          <w:p w14:paraId="288B6674" w14:textId="77777777" w:rsidR="002D0BDA" w:rsidRPr="00A76411"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A76411">
              <w:rPr>
                <w:rFonts w:asciiTheme="majorHAnsi" w:eastAsia="Times New Roman" w:hAnsiTheme="majorHAnsi" w:cstheme="majorHAnsi"/>
                <w:b/>
                <w:bCs/>
                <w:iCs/>
                <w:sz w:val="18"/>
                <w:szCs w:val="20"/>
                <w:lang w:eastAsia="ar-SA"/>
              </w:rPr>
              <w:t>dotčení půdního fondu (ZPF, LPF)</w:t>
            </w:r>
          </w:p>
        </w:tc>
        <w:tc>
          <w:tcPr>
            <w:tcW w:w="6581" w:type="dxa"/>
          </w:tcPr>
          <w:p w14:paraId="06E63621" w14:textId="77777777" w:rsidR="002D0BDA" w:rsidRPr="00A76411"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A76411">
              <w:rPr>
                <w:rFonts w:asciiTheme="majorHAnsi" w:eastAsia="Times New Roman" w:hAnsiTheme="majorHAnsi" w:cstheme="majorHAnsi"/>
                <w:bCs/>
                <w:iCs/>
                <w:sz w:val="18"/>
                <w:szCs w:val="20"/>
                <w:lang w:eastAsia="ar-SA"/>
              </w:rPr>
              <w:t>ZPF IV. třídy ochrany</w:t>
            </w:r>
          </w:p>
        </w:tc>
      </w:tr>
      <w:tr w:rsidR="002D0BDA" w:rsidRPr="00A76411" w14:paraId="7F5848D3" w14:textId="77777777" w:rsidTr="005038EA">
        <w:trPr>
          <w:cantSplit/>
        </w:trPr>
        <w:tc>
          <w:tcPr>
            <w:tcW w:w="2705" w:type="dxa"/>
          </w:tcPr>
          <w:p w14:paraId="37A454EC" w14:textId="77777777" w:rsidR="002D0BDA" w:rsidRPr="00A76411"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A76411">
              <w:rPr>
                <w:rFonts w:asciiTheme="majorHAnsi" w:eastAsia="Times New Roman" w:hAnsiTheme="majorHAnsi" w:cstheme="majorHAnsi"/>
                <w:b/>
                <w:bCs/>
                <w:iCs/>
                <w:sz w:val="18"/>
                <w:szCs w:val="20"/>
                <w:lang w:eastAsia="ar-SA"/>
              </w:rPr>
              <w:t>hlavní důvody vymezení plochy</w:t>
            </w:r>
          </w:p>
        </w:tc>
        <w:tc>
          <w:tcPr>
            <w:tcW w:w="6581" w:type="dxa"/>
          </w:tcPr>
          <w:p w14:paraId="365ABFC5" w14:textId="1493E2FF" w:rsidR="002D0BDA" w:rsidRPr="00A76411"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A76411">
              <w:rPr>
                <w:rFonts w:asciiTheme="majorHAnsi" w:eastAsia="Times New Roman" w:hAnsiTheme="majorHAnsi" w:cstheme="majorHAnsi"/>
                <w:bCs/>
                <w:iCs/>
                <w:sz w:val="18"/>
                <w:szCs w:val="20"/>
                <w:lang w:eastAsia="ar-SA"/>
              </w:rPr>
              <w:t>Vytvoření podmínek pro rozvoj rezidenční funkce Kostomlat nad Labem podél ulice U</w:t>
            </w:r>
            <w:r w:rsidR="00ED0078" w:rsidRPr="00A76411">
              <w:rPr>
                <w:rFonts w:asciiTheme="majorHAnsi" w:eastAsia="Times New Roman" w:hAnsiTheme="majorHAnsi" w:cstheme="majorHAnsi"/>
                <w:bCs/>
                <w:iCs/>
                <w:sz w:val="18"/>
                <w:szCs w:val="20"/>
                <w:lang w:eastAsia="ar-SA"/>
              </w:rPr>
              <w:t> </w:t>
            </w:r>
            <w:r w:rsidRPr="00A76411">
              <w:rPr>
                <w:rFonts w:asciiTheme="majorHAnsi" w:eastAsia="Times New Roman" w:hAnsiTheme="majorHAnsi" w:cstheme="majorHAnsi"/>
                <w:bCs/>
                <w:iCs/>
                <w:sz w:val="18"/>
                <w:szCs w:val="20"/>
                <w:lang w:eastAsia="ar-SA"/>
              </w:rPr>
              <w:t xml:space="preserve">Křížku. Plocha dotváří jižní okraj zástavby podél silnice III. třídy a místních komunikací se stabilizovanou obytnou zástavbou. </w:t>
            </w:r>
          </w:p>
          <w:p w14:paraId="527BC0D5" w14:textId="66342344" w:rsidR="002D0BDA" w:rsidRPr="00A76411"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A76411">
              <w:rPr>
                <w:rFonts w:asciiTheme="majorHAnsi" w:eastAsia="Times New Roman" w:hAnsiTheme="majorHAnsi" w:cstheme="majorHAnsi"/>
                <w:bCs/>
                <w:iCs/>
                <w:sz w:val="18"/>
                <w:szCs w:val="20"/>
                <w:lang w:eastAsia="ar-SA"/>
              </w:rPr>
              <w:t>Ploch</w:t>
            </w:r>
            <w:r w:rsidR="007E10C4" w:rsidRPr="00A76411">
              <w:rPr>
                <w:rFonts w:asciiTheme="majorHAnsi" w:eastAsia="Times New Roman" w:hAnsiTheme="majorHAnsi" w:cstheme="majorHAnsi"/>
                <w:bCs/>
                <w:iCs/>
                <w:sz w:val="18"/>
                <w:szCs w:val="20"/>
                <w:lang w:eastAsia="ar-SA"/>
              </w:rPr>
              <w:t>y</w:t>
            </w:r>
            <w:r w:rsidRPr="00A76411">
              <w:rPr>
                <w:rFonts w:asciiTheme="majorHAnsi" w:eastAsia="Times New Roman" w:hAnsiTheme="majorHAnsi" w:cstheme="majorHAnsi"/>
                <w:bCs/>
                <w:iCs/>
                <w:sz w:val="18"/>
                <w:szCs w:val="20"/>
                <w:lang w:eastAsia="ar-SA"/>
              </w:rPr>
              <w:t xml:space="preserve"> j</w:t>
            </w:r>
            <w:r w:rsidR="007E10C4" w:rsidRPr="00A76411">
              <w:rPr>
                <w:rFonts w:asciiTheme="majorHAnsi" w:eastAsia="Times New Roman" w:hAnsiTheme="majorHAnsi" w:cstheme="majorHAnsi"/>
                <w:bCs/>
                <w:iCs/>
                <w:sz w:val="18"/>
                <w:szCs w:val="20"/>
                <w:lang w:eastAsia="ar-SA"/>
              </w:rPr>
              <w:t>sou</w:t>
            </w:r>
            <w:r w:rsidRPr="00A76411">
              <w:rPr>
                <w:rFonts w:asciiTheme="majorHAnsi" w:eastAsia="Times New Roman" w:hAnsiTheme="majorHAnsi" w:cstheme="majorHAnsi"/>
                <w:bCs/>
                <w:iCs/>
                <w:sz w:val="18"/>
                <w:szCs w:val="20"/>
                <w:lang w:eastAsia="ar-SA"/>
              </w:rPr>
              <w:t xml:space="preserve"> vymezen</w:t>
            </w:r>
            <w:r w:rsidR="007E10C4" w:rsidRPr="00A76411">
              <w:rPr>
                <w:rFonts w:asciiTheme="majorHAnsi" w:eastAsia="Times New Roman" w:hAnsiTheme="majorHAnsi" w:cstheme="majorHAnsi"/>
                <w:bCs/>
                <w:iCs/>
                <w:sz w:val="18"/>
                <w:szCs w:val="20"/>
                <w:lang w:eastAsia="ar-SA"/>
              </w:rPr>
              <w:t>y</w:t>
            </w:r>
            <w:r w:rsidRPr="00A76411">
              <w:rPr>
                <w:rFonts w:asciiTheme="majorHAnsi" w:eastAsia="Times New Roman" w:hAnsiTheme="majorHAnsi" w:cstheme="majorHAnsi"/>
                <w:bCs/>
                <w:iCs/>
                <w:sz w:val="18"/>
                <w:szCs w:val="20"/>
                <w:lang w:eastAsia="ar-SA"/>
              </w:rPr>
              <w:t xml:space="preserve"> na základě potřebnosti rozvoje obytné funkce obce dle podrobné analýzy potřeby vymezení zastavitelných ploch pro bydlení (viz kapitola 10) a v souladu se základní koncepcí rozvoje území, která vychází z původního řešení ÚPO. </w:t>
            </w:r>
          </w:p>
          <w:p w14:paraId="349BC041" w14:textId="77777777" w:rsidR="002D0BDA" w:rsidRPr="00A76411"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A76411">
              <w:rPr>
                <w:rFonts w:asciiTheme="majorHAnsi" w:eastAsia="Times New Roman" w:hAnsiTheme="majorHAnsi" w:cstheme="majorHAnsi"/>
                <w:bCs/>
                <w:iCs/>
                <w:sz w:val="18"/>
                <w:szCs w:val="20"/>
                <w:lang w:eastAsia="ar-SA"/>
              </w:rPr>
              <w:t>Při vymezení plochy byl rovněž prověřen požadavek na umožnění výstavby RD na p.</w:t>
            </w:r>
            <w:r w:rsidR="00B50542" w:rsidRPr="00A76411">
              <w:rPr>
                <w:rFonts w:asciiTheme="majorHAnsi" w:eastAsia="Times New Roman" w:hAnsiTheme="majorHAnsi" w:cstheme="majorHAnsi"/>
                <w:bCs/>
                <w:iCs/>
                <w:sz w:val="18"/>
                <w:szCs w:val="20"/>
                <w:lang w:eastAsia="ar-SA"/>
              </w:rPr>
              <w:t> </w:t>
            </w:r>
            <w:r w:rsidRPr="00A76411">
              <w:rPr>
                <w:rFonts w:asciiTheme="majorHAnsi" w:eastAsia="Times New Roman" w:hAnsiTheme="majorHAnsi" w:cstheme="majorHAnsi"/>
                <w:bCs/>
                <w:iCs/>
                <w:sz w:val="18"/>
                <w:szCs w:val="20"/>
                <w:lang w:eastAsia="ar-SA"/>
              </w:rPr>
              <w:t>č.</w:t>
            </w:r>
            <w:r w:rsidR="00B50542" w:rsidRPr="00A76411">
              <w:rPr>
                <w:rFonts w:asciiTheme="majorHAnsi" w:eastAsia="Times New Roman" w:hAnsiTheme="majorHAnsi" w:cstheme="majorHAnsi"/>
                <w:bCs/>
                <w:iCs/>
                <w:sz w:val="18"/>
                <w:szCs w:val="20"/>
                <w:lang w:eastAsia="ar-SA"/>
              </w:rPr>
              <w:t> </w:t>
            </w:r>
            <w:r w:rsidRPr="00A76411">
              <w:rPr>
                <w:rFonts w:asciiTheme="majorHAnsi" w:eastAsia="Times New Roman" w:hAnsiTheme="majorHAnsi" w:cstheme="majorHAnsi"/>
                <w:bCs/>
                <w:iCs/>
                <w:sz w:val="18"/>
                <w:szCs w:val="20"/>
                <w:lang w:eastAsia="ar-SA"/>
              </w:rPr>
              <w:t>856/19 a p.č. 855/9 v k.</w:t>
            </w:r>
            <w:r w:rsidR="00ED0078" w:rsidRPr="00A76411">
              <w:rPr>
                <w:rFonts w:asciiTheme="majorHAnsi" w:eastAsia="Times New Roman" w:hAnsiTheme="majorHAnsi" w:cstheme="majorHAnsi"/>
                <w:bCs/>
                <w:iCs/>
                <w:sz w:val="18"/>
                <w:szCs w:val="20"/>
                <w:lang w:eastAsia="ar-SA"/>
              </w:rPr>
              <w:t xml:space="preserve"> </w:t>
            </w:r>
            <w:r w:rsidRPr="00A76411">
              <w:rPr>
                <w:rFonts w:asciiTheme="majorHAnsi" w:eastAsia="Times New Roman" w:hAnsiTheme="majorHAnsi" w:cstheme="majorHAnsi"/>
                <w:bCs/>
                <w:iCs/>
                <w:sz w:val="18"/>
                <w:szCs w:val="20"/>
                <w:lang w:eastAsia="ar-SA"/>
              </w:rPr>
              <w:t>ú. Kostomlaty nad Labem.</w:t>
            </w:r>
          </w:p>
          <w:p w14:paraId="70A1842B" w14:textId="745FEE74" w:rsidR="00F9136D" w:rsidRPr="00A76411" w:rsidRDefault="00F9136D"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A76411">
              <w:rPr>
                <w:rFonts w:asciiTheme="majorHAnsi" w:eastAsia="Times New Roman" w:hAnsiTheme="majorHAnsi" w:cstheme="majorHAnsi"/>
                <w:bCs/>
                <w:iCs/>
                <w:sz w:val="18"/>
                <w:szCs w:val="20"/>
                <w:lang w:eastAsia="ar-SA"/>
              </w:rPr>
              <w:t xml:space="preserve">Pozn.: Původní plocha Z.06 byla rozdělena na plochy Z.06A a Z.06B po veřejném projednání návrhu ÚP Kostomlaty nad Labem v důsledku realizace rodinného domu v části plochy Z.06 a související aktualizaci zastavěného území. </w:t>
            </w:r>
          </w:p>
        </w:tc>
      </w:tr>
      <w:tr w:rsidR="002D0BDA" w:rsidRPr="006070EA" w14:paraId="3702B232" w14:textId="77777777" w:rsidTr="005038EA">
        <w:trPr>
          <w:cantSplit/>
        </w:trPr>
        <w:tc>
          <w:tcPr>
            <w:tcW w:w="2705" w:type="dxa"/>
          </w:tcPr>
          <w:p w14:paraId="78EEB35F" w14:textId="77777777" w:rsidR="002D0BDA" w:rsidRPr="00A76411"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A76411">
              <w:rPr>
                <w:rFonts w:asciiTheme="majorHAnsi" w:eastAsia="Times New Roman" w:hAnsiTheme="majorHAnsi" w:cstheme="majorHAnsi"/>
                <w:b/>
                <w:bCs/>
                <w:iCs/>
                <w:sz w:val="18"/>
                <w:szCs w:val="20"/>
                <w:lang w:eastAsia="ar-SA"/>
              </w:rPr>
              <w:t>související podmínky využití</w:t>
            </w:r>
          </w:p>
        </w:tc>
        <w:tc>
          <w:tcPr>
            <w:tcW w:w="6581" w:type="dxa"/>
          </w:tcPr>
          <w:p w14:paraId="06467CE9" w14:textId="6B2A0198" w:rsidR="002D0BDA" w:rsidRPr="00A76411"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A76411">
              <w:rPr>
                <w:rFonts w:asciiTheme="majorHAnsi" w:eastAsia="Times New Roman" w:hAnsiTheme="majorHAnsi" w:cstheme="majorHAnsi"/>
                <w:bCs/>
                <w:iCs/>
                <w:sz w:val="18"/>
                <w:szCs w:val="20"/>
                <w:lang w:eastAsia="ar-SA"/>
              </w:rPr>
              <w:t xml:space="preserve">Respektovat podmínky stanovené v koridoru </w:t>
            </w:r>
            <w:r w:rsidR="00B50542" w:rsidRPr="00A76411">
              <w:rPr>
                <w:rFonts w:asciiTheme="majorHAnsi" w:eastAsia="Times New Roman" w:hAnsiTheme="majorHAnsi" w:cstheme="majorHAnsi"/>
                <w:bCs/>
                <w:iCs/>
                <w:sz w:val="18"/>
                <w:szCs w:val="20"/>
                <w:lang w:eastAsia="ar-SA"/>
              </w:rPr>
              <w:t>CNU.</w:t>
            </w:r>
            <w:r w:rsidRPr="00A76411">
              <w:rPr>
                <w:rFonts w:asciiTheme="majorHAnsi" w:eastAsia="Times New Roman" w:hAnsiTheme="majorHAnsi" w:cstheme="majorHAnsi"/>
                <w:bCs/>
                <w:iCs/>
                <w:sz w:val="18"/>
                <w:szCs w:val="20"/>
                <w:lang w:eastAsia="ar-SA"/>
              </w:rPr>
              <w:t>KD</w:t>
            </w:r>
            <w:r w:rsidR="0097451F" w:rsidRPr="00A76411">
              <w:rPr>
                <w:rFonts w:asciiTheme="majorHAnsi" w:eastAsia="Times New Roman" w:hAnsiTheme="majorHAnsi" w:cstheme="majorHAnsi"/>
                <w:bCs/>
                <w:iCs/>
                <w:sz w:val="18"/>
                <w:szCs w:val="20"/>
                <w:lang w:eastAsia="ar-SA"/>
              </w:rPr>
              <w:t>2</w:t>
            </w:r>
            <w:r w:rsidRPr="00A76411">
              <w:rPr>
                <w:rFonts w:asciiTheme="majorHAnsi" w:eastAsia="Times New Roman" w:hAnsiTheme="majorHAnsi" w:cstheme="majorHAnsi"/>
                <w:bCs/>
                <w:iCs/>
                <w:sz w:val="18"/>
                <w:szCs w:val="20"/>
                <w:lang w:eastAsia="ar-SA"/>
              </w:rPr>
              <w:t>.</w:t>
            </w:r>
          </w:p>
          <w:p w14:paraId="786432ED" w14:textId="21BB5279" w:rsidR="00C13B55" w:rsidRPr="006070EA" w:rsidRDefault="00C13B55"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A76411">
              <w:rPr>
                <w:rFonts w:asciiTheme="majorHAnsi" w:eastAsia="Times New Roman" w:hAnsiTheme="majorHAnsi" w:cstheme="majorHAnsi"/>
                <w:bCs/>
                <w:iCs/>
                <w:sz w:val="18"/>
                <w:szCs w:val="20"/>
                <w:lang w:eastAsia="ar-SA"/>
              </w:rPr>
              <w:t>Obytné objekty umisťovat mimo aktivní zónu záplavového území (požadavek Povodí Labe, s.p. uplatněný při společném jednání).</w:t>
            </w:r>
          </w:p>
        </w:tc>
      </w:tr>
    </w:tbl>
    <w:p w14:paraId="7D7B0AFE" w14:textId="77777777" w:rsidR="002D0BDA" w:rsidRPr="006070EA" w:rsidRDefault="002D0BDA" w:rsidP="002D0BDA">
      <w:pPr>
        <w:pStyle w:val="Atext"/>
        <w:rPr>
          <w:rFonts w:asciiTheme="majorHAnsi" w:hAnsiTheme="majorHAnsi" w:cstheme="majorHAnsi"/>
          <w:i/>
          <w:snapToGrid w:val="0"/>
          <w:color w:val="FF0000"/>
          <w:u w:val="single"/>
        </w:rPr>
      </w:pPr>
    </w:p>
    <w:tbl>
      <w:tblPr>
        <w:tblStyle w:val="Mkatabulky2"/>
        <w:tblW w:w="0" w:type="auto"/>
        <w:tblBorders>
          <w:left w:val="none" w:sz="0" w:space="0" w:color="auto"/>
          <w:right w:val="none" w:sz="0" w:space="0" w:color="auto"/>
          <w:insideV w:val="single" w:sz="12" w:space="0" w:color="auto"/>
        </w:tblBorders>
        <w:tblLook w:val="04A0" w:firstRow="1" w:lastRow="0" w:firstColumn="1" w:lastColumn="0" w:noHBand="0" w:noVBand="1"/>
      </w:tblPr>
      <w:tblGrid>
        <w:gridCol w:w="2660"/>
        <w:gridCol w:w="6410"/>
      </w:tblGrid>
      <w:tr w:rsidR="002D0BDA" w:rsidRPr="006070EA" w14:paraId="21C365C5" w14:textId="77777777" w:rsidTr="005038EA">
        <w:trPr>
          <w:cantSplit/>
          <w:tblHeader/>
        </w:trPr>
        <w:tc>
          <w:tcPr>
            <w:tcW w:w="2705" w:type="dxa"/>
            <w:shd w:val="clear" w:color="auto" w:fill="F2F2F2" w:themeFill="background1" w:themeFillShade="F2"/>
          </w:tcPr>
          <w:p w14:paraId="7461A283" w14:textId="77777777" w:rsidR="002D0BDA" w:rsidRPr="006070EA" w:rsidRDefault="002D0BDA" w:rsidP="005038EA">
            <w:pPr>
              <w:keepNext/>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Zastavitelná plocha</w:t>
            </w:r>
          </w:p>
        </w:tc>
        <w:tc>
          <w:tcPr>
            <w:tcW w:w="6581" w:type="dxa"/>
            <w:shd w:val="clear" w:color="auto" w:fill="F2F2F2" w:themeFill="background1" w:themeFillShade="F2"/>
          </w:tcPr>
          <w:p w14:paraId="60A47FB0" w14:textId="44ACDD5B" w:rsidR="002D0BDA" w:rsidRPr="006070EA" w:rsidRDefault="002D0BDA" w:rsidP="005038EA">
            <w:pPr>
              <w:keepNext/>
              <w:tabs>
                <w:tab w:val="center" w:pos="4536"/>
                <w:tab w:val="right" w:pos="9072"/>
              </w:tabs>
              <w:suppressAutoHyphens/>
              <w:spacing w:before="40" w:after="40"/>
              <w:jc w:val="both"/>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w:t>
            </w:r>
            <w:r w:rsidR="00961C8B" w:rsidRPr="006070EA">
              <w:rPr>
                <w:rFonts w:asciiTheme="majorHAnsi" w:eastAsia="Times New Roman" w:hAnsiTheme="majorHAnsi" w:cstheme="majorHAnsi"/>
                <w:b/>
                <w:bCs/>
                <w:iCs/>
                <w:sz w:val="18"/>
                <w:szCs w:val="20"/>
                <w:lang w:eastAsia="ar-SA"/>
              </w:rPr>
              <w:t>.</w:t>
            </w:r>
            <w:r w:rsidRPr="006070EA">
              <w:rPr>
                <w:rFonts w:asciiTheme="majorHAnsi" w:eastAsia="Times New Roman" w:hAnsiTheme="majorHAnsi" w:cstheme="majorHAnsi"/>
                <w:b/>
                <w:bCs/>
                <w:iCs/>
                <w:sz w:val="18"/>
                <w:szCs w:val="20"/>
                <w:lang w:eastAsia="ar-SA"/>
              </w:rPr>
              <w:t>07</w:t>
            </w:r>
          </w:p>
        </w:tc>
      </w:tr>
      <w:tr w:rsidR="002D0BDA" w:rsidRPr="006070EA" w14:paraId="77441BD1" w14:textId="77777777" w:rsidTr="005038EA">
        <w:trPr>
          <w:cantSplit/>
        </w:trPr>
        <w:tc>
          <w:tcPr>
            <w:tcW w:w="2705" w:type="dxa"/>
          </w:tcPr>
          <w:p w14:paraId="60240072"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způsob využití</w:t>
            </w:r>
          </w:p>
        </w:tc>
        <w:tc>
          <w:tcPr>
            <w:tcW w:w="6581" w:type="dxa"/>
            <w:vAlign w:val="center"/>
          </w:tcPr>
          <w:p w14:paraId="6031F2FF" w14:textId="70CACC83"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sz w:val="18"/>
                <w:szCs w:val="18"/>
                <w:lang w:eastAsia="cs-CZ"/>
              </w:rPr>
              <w:t xml:space="preserve">BI – bydlení </w:t>
            </w:r>
            <w:r w:rsidR="00961C8B" w:rsidRPr="006070EA">
              <w:rPr>
                <w:rFonts w:asciiTheme="majorHAnsi" w:eastAsia="Times New Roman" w:hAnsiTheme="majorHAnsi" w:cstheme="majorHAnsi"/>
                <w:sz w:val="18"/>
                <w:szCs w:val="18"/>
                <w:lang w:eastAsia="cs-CZ"/>
              </w:rPr>
              <w:t>individuální</w:t>
            </w:r>
            <w:r w:rsidRPr="006070EA">
              <w:rPr>
                <w:rFonts w:asciiTheme="majorHAnsi" w:eastAsia="Times New Roman" w:hAnsiTheme="majorHAnsi" w:cstheme="majorHAnsi"/>
                <w:sz w:val="18"/>
                <w:szCs w:val="18"/>
                <w:lang w:eastAsia="cs-CZ"/>
              </w:rPr>
              <w:t xml:space="preserve"> </w:t>
            </w:r>
          </w:p>
        </w:tc>
      </w:tr>
      <w:tr w:rsidR="002D0BDA" w:rsidRPr="006070EA" w14:paraId="2C68BA16" w14:textId="77777777" w:rsidTr="005038EA">
        <w:trPr>
          <w:cantSplit/>
        </w:trPr>
        <w:tc>
          <w:tcPr>
            <w:tcW w:w="2705" w:type="dxa"/>
          </w:tcPr>
          <w:p w14:paraId="0AEC1272"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limity využití území</w:t>
            </w:r>
          </w:p>
        </w:tc>
        <w:tc>
          <w:tcPr>
            <w:tcW w:w="6581" w:type="dxa"/>
          </w:tcPr>
          <w:p w14:paraId="1D8C5A16" w14:textId="47B99DFA"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ÚAN; plošná investice do půdy (odvodnění); elektrické vedení vn 22kV vč. OP; OP</w:t>
            </w:r>
            <w:r w:rsidR="00961C8B" w:rsidRPr="006070EA">
              <w:rPr>
                <w:rFonts w:asciiTheme="majorHAnsi" w:eastAsia="Times New Roman" w:hAnsiTheme="majorHAnsi" w:cstheme="majorHAnsi"/>
                <w:bCs/>
                <w:iCs/>
                <w:sz w:val="18"/>
                <w:szCs w:val="20"/>
                <w:lang w:eastAsia="ar-SA"/>
              </w:rPr>
              <w:t> </w:t>
            </w:r>
            <w:r w:rsidRPr="006070EA">
              <w:rPr>
                <w:rFonts w:asciiTheme="majorHAnsi" w:eastAsia="Times New Roman" w:hAnsiTheme="majorHAnsi" w:cstheme="majorHAnsi"/>
                <w:bCs/>
                <w:iCs/>
                <w:sz w:val="18"/>
                <w:szCs w:val="20"/>
                <w:lang w:eastAsia="ar-SA"/>
              </w:rPr>
              <w:t>stavby zajišťující letecký provoz (radar Kbely); OP hřbitova</w:t>
            </w:r>
          </w:p>
        </w:tc>
      </w:tr>
      <w:tr w:rsidR="002D0BDA" w:rsidRPr="006070EA" w14:paraId="600E7A43" w14:textId="77777777" w:rsidTr="005038EA">
        <w:trPr>
          <w:cantSplit/>
        </w:trPr>
        <w:tc>
          <w:tcPr>
            <w:tcW w:w="2705" w:type="dxa"/>
          </w:tcPr>
          <w:p w14:paraId="48B7AB65"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vztah k platné ÚPD (ZÚR, ÚPO)</w:t>
            </w:r>
          </w:p>
        </w:tc>
        <w:tc>
          <w:tcPr>
            <w:tcW w:w="6581" w:type="dxa"/>
          </w:tcPr>
          <w:p w14:paraId="49370D85"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vymezeno částečně na místě územní rezervy bydlení – rodinných domů v ÚPO</w:t>
            </w:r>
          </w:p>
        </w:tc>
      </w:tr>
      <w:tr w:rsidR="002D0BDA" w:rsidRPr="006070EA" w14:paraId="79557267" w14:textId="77777777" w:rsidTr="005038EA">
        <w:trPr>
          <w:cantSplit/>
        </w:trPr>
        <w:tc>
          <w:tcPr>
            <w:tcW w:w="2705" w:type="dxa"/>
          </w:tcPr>
          <w:p w14:paraId="2675391A"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vazba na veřejnou infrastrukturu (DI, TI)</w:t>
            </w:r>
          </w:p>
        </w:tc>
        <w:tc>
          <w:tcPr>
            <w:tcW w:w="6581" w:type="dxa"/>
          </w:tcPr>
          <w:p w14:paraId="7A1C6F56"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Přímá vazba na místní komunikace</w:t>
            </w:r>
          </w:p>
          <w:p w14:paraId="2FE82EBA"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Technická infrastruktura v dosahu (vodovod, plynovod, kanalizace)</w:t>
            </w:r>
          </w:p>
        </w:tc>
      </w:tr>
      <w:tr w:rsidR="002D0BDA" w:rsidRPr="006070EA" w14:paraId="375FB881" w14:textId="77777777" w:rsidTr="005038EA">
        <w:trPr>
          <w:cantSplit/>
        </w:trPr>
        <w:tc>
          <w:tcPr>
            <w:tcW w:w="2705" w:type="dxa"/>
          </w:tcPr>
          <w:p w14:paraId="5E12DBA4"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vztah k zastavěnému území</w:t>
            </w:r>
          </w:p>
        </w:tc>
        <w:tc>
          <w:tcPr>
            <w:tcW w:w="6581" w:type="dxa"/>
          </w:tcPr>
          <w:p w14:paraId="14811718"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Plocha v přímé návaznosti na zastavěné území</w:t>
            </w:r>
          </w:p>
        </w:tc>
      </w:tr>
      <w:tr w:rsidR="002D0BDA" w:rsidRPr="006070EA" w14:paraId="45BCEE6A" w14:textId="77777777" w:rsidTr="005038EA">
        <w:trPr>
          <w:cantSplit/>
        </w:trPr>
        <w:tc>
          <w:tcPr>
            <w:tcW w:w="2705" w:type="dxa"/>
          </w:tcPr>
          <w:p w14:paraId="6E35FCF6"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dotčení půdního fondu (ZPF, LPF)</w:t>
            </w:r>
          </w:p>
        </w:tc>
        <w:tc>
          <w:tcPr>
            <w:tcW w:w="6581" w:type="dxa"/>
          </w:tcPr>
          <w:p w14:paraId="283649E0"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ZPF I. a IV. třídy ochrany</w:t>
            </w:r>
          </w:p>
        </w:tc>
      </w:tr>
      <w:tr w:rsidR="002D0BDA" w:rsidRPr="006070EA" w14:paraId="0EC0E010" w14:textId="77777777" w:rsidTr="005038EA">
        <w:trPr>
          <w:cantSplit/>
        </w:trPr>
        <w:tc>
          <w:tcPr>
            <w:tcW w:w="2705" w:type="dxa"/>
          </w:tcPr>
          <w:p w14:paraId="7C1342C1"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lastRenderedPageBreak/>
              <w:t>hlavní důvody vymezení plochy</w:t>
            </w:r>
          </w:p>
        </w:tc>
        <w:tc>
          <w:tcPr>
            <w:tcW w:w="6581" w:type="dxa"/>
          </w:tcPr>
          <w:p w14:paraId="09F4D5AF"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Vytvoření podmínek pro rozvoj rezidenční funkce Kostomlat nad Labem. Plocha dotváří západní okraj zástavby podél ulice K Cihelně mezi stabilizovanou historickou zástavbou centrální části Kostomlat nad Labem (SM) a tokem Hlubokého příkopu na jihu, resp. novou rezidenční zástavbou s dopravní návazností na ulici Kolmá.</w:t>
            </w:r>
          </w:p>
          <w:p w14:paraId="10B65FE3"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Plocha je vymezena na základě potřebnosti rozvoje obytné funkce obce dle podrobné analýzy potřeby vymezení zastavitelných ploch pro bydlení (viz kapitola 10) a v souladu se základní koncepcí rozvoje území, která vychází z původního řešení ÚPO. </w:t>
            </w:r>
          </w:p>
          <w:p w14:paraId="3F893B9E" w14:textId="297B130E"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Při vymezení plochy byl rovněž prověřen požadavek na umožnění výstavby RD na p.</w:t>
            </w:r>
            <w:r w:rsidR="00ED0078" w:rsidRPr="006070EA">
              <w:rPr>
                <w:rFonts w:asciiTheme="majorHAnsi" w:eastAsia="Times New Roman" w:hAnsiTheme="majorHAnsi" w:cstheme="majorHAnsi"/>
                <w:bCs/>
                <w:iCs/>
                <w:sz w:val="18"/>
                <w:szCs w:val="20"/>
                <w:lang w:eastAsia="ar-SA"/>
              </w:rPr>
              <w:t xml:space="preserve"> </w:t>
            </w:r>
            <w:r w:rsidRPr="006070EA">
              <w:rPr>
                <w:rFonts w:asciiTheme="majorHAnsi" w:eastAsia="Times New Roman" w:hAnsiTheme="majorHAnsi" w:cstheme="majorHAnsi"/>
                <w:bCs/>
                <w:iCs/>
                <w:sz w:val="18"/>
                <w:szCs w:val="20"/>
                <w:lang w:eastAsia="ar-SA"/>
              </w:rPr>
              <w:t>č. 839/24 v k.</w:t>
            </w:r>
            <w:r w:rsidR="00ED0078" w:rsidRPr="006070EA">
              <w:rPr>
                <w:rFonts w:asciiTheme="majorHAnsi" w:eastAsia="Times New Roman" w:hAnsiTheme="majorHAnsi" w:cstheme="majorHAnsi"/>
                <w:bCs/>
                <w:iCs/>
                <w:sz w:val="18"/>
                <w:szCs w:val="20"/>
                <w:lang w:eastAsia="ar-SA"/>
              </w:rPr>
              <w:t xml:space="preserve"> </w:t>
            </w:r>
            <w:r w:rsidRPr="006070EA">
              <w:rPr>
                <w:rFonts w:asciiTheme="majorHAnsi" w:eastAsia="Times New Roman" w:hAnsiTheme="majorHAnsi" w:cstheme="majorHAnsi"/>
                <w:bCs/>
                <w:iCs/>
                <w:sz w:val="18"/>
                <w:szCs w:val="20"/>
                <w:lang w:eastAsia="ar-SA"/>
              </w:rPr>
              <w:t>ú. Kostomlaty nad Labem.</w:t>
            </w:r>
          </w:p>
        </w:tc>
      </w:tr>
      <w:tr w:rsidR="002D0BDA" w:rsidRPr="006070EA" w14:paraId="605BF6C5" w14:textId="77777777" w:rsidTr="005038EA">
        <w:trPr>
          <w:cantSplit/>
        </w:trPr>
        <w:tc>
          <w:tcPr>
            <w:tcW w:w="2705" w:type="dxa"/>
          </w:tcPr>
          <w:p w14:paraId="18607A1D"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související podmínky využití</w:t>
            </w:r>
          </w:p>
        </w:tc>
        <w:tc>
          <w:tcPr>
            <w:tcW w:w="6581" w:type="dxa"/>
          </w:tcPr>
          <w:p w14:paraId="48397C22" w14:textId="36EE51CB" w:rsidR="002D0BDA" w:rsidRPr="006070EA" w:rsidRDefault="00C13B55"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Vydání regulačního plánu RP</w:t>
            </w:r>
            <w:r w:rsidR="00961C8B" w:rsidRPr="006070EA">
              <w:rPr>
                <w:rFonts w:asciiTheme="majorHAnsi" w:eastAsia="Times New Roman" w:hAnsiTheme="majorHAnsi" w:cstheme="majorHAnsi"/>
                <w:bCs/>
                <w:iCs/>
                <w:sz w:val="18"/>
                <w:szCs w:val="20"/>
                <w:lang w:eastAsia="ar-SA"/>
              </w:rPr>
              <w:t>.</w:t>
            </w:r>
            <w:r w:rsidRPr="006070EA">
              <w:rPr>
                <w:rFonts w:asciiTheme="majorHAnsi" w:eastAsia="Times New Roman" w:hAnsiTheme="majorHAnsi" w:cstheme="majorHAnsi"/>
                <w:bCs/>
                <w:iCs/>
                <w:sz w:val="18"/>
                <w:szCs w:val="20"/>
                <w:lang w:eastAsia="ar-SA"/>
              </w:rPr>
              <w:t>1.</w:t>
            </w:r>
          </w:p>
        </w:tc>
      </w:tr>
    </w:tbl>
    <w:p w14:paraId="4316DC47" w14:textId="77777777" w:rsidR="002D0BDA" w:rsidRPr="006070EA" w:rsidRDefault="002D0BDA" w:rsidP="002D0BDA">
      <w:pPr>
        <w:pStyle w:val="Atext"/>
        <w:rPr>
          <w:rFonts w:asciiTheme="majorHAnsi" w:hAnsiTheme="majorHAnsi" w:cstheme="majorHAnsi"/>
          <w:i/>
          <w:snapToGrid w:val="0"/>
          <w:color w:val="FF0000"/>
          <w:u w:val="single"/>
        </w:rPr>
      </w:pPr>
    </w:p>
    <w:tbl>
      <w:tblPr>
        <w:tblStyle w:val="Mkatabulky2"/>
        <w:tblW w:w="0" w:type="auto"/>
        <w:tblBorders>
          <w:left w:val="none" w:sz="0" w:space="0" w:color="auto"/>
          <w:right w:val="none" w:sz="0" w:space="0" w:color="auto"/>
          <w:insideV w:val="single" w:sz="12" w:space="0" w:color="auto"/>
        </w:tblBorders>
        <w:tblLook w:val="04A0" w:firstRow="1" w:lastRow="0" w:firstColumn="1" w:lastColumn="0" w:noHBand="0" w:noVBand="1"/>
      </w:tblPr>
      <w:tblGrid>
        <w:gridCol w:w="2660"/>
        <w:gridCol w:w="6410"/>
      </w:tblGrid>
      <w:tr w:rsidR="002D0BDA" w:rsidRPr="006070EA" w14:paraId="3521422C" w14:textId="77777777" w:rsidTr="005038EA">
        <w:trPr>
          <w:cantSplit/>
          <w:tblHeader/>
        </w:trPr>
        <w:tc>
          <w:tcPr>
            <w:tcW w:w="2705" w:type="dxa"/>
            <w:shd w:val="clear" w:color="auto" w:fill="F2F2F2" w:themeFill="background1" w:themeFillShade="F2"/>
          </w:tcPr>
          <w:p w14:paraId="5F0D5B2B" w14:textId="77777777" w:rsidR="002D0BDA" w:rsidRPr="006070EA" w:rsidRDefault="002D0BDA" w:rsidP="005038EA">
            <w:pPr>
              <w:keepNext/>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Zastavitelná plocha</w:t>
            </w:r>
          </w:p>
        </w:tc>
        <w:tc>
          <w:tcPr>
            <w:tcW w:w="6581" w:type="dxa"/>
            <w:shd w:val="clear" w:color="auto" w:fill="F2F2F2" w:themeFill="background1" w:themeFillShade="F2"/>
          </w:tcPr>
          <w:p w14:paraId="1E6F767C" w14:textId="6FC4A7A5" w:rsidR="002D0BDA" w:rsidRPr="006070EA" w:rsidRDefault="002D0BDA" w:rsidP="005038EA">
            <w:pPr>
              <w:keepNext/>
              <w:tabs>
                <w:tab w:val="center" w:pos="4536"/>
                <w:tab w:val="right" w:pos="9072"/>
              </w:tabs>
              <w:suppressAutoHyphens/>
              <w:spacing w:before="40" w:after="40"/>
              <w:jc w:val="both"/>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w:t>
            </w:r>
            <w:r w:rsidR="00961C8B" w:rsidRPr="006070EA">
              <w:rPr>
                <w:rFonts w:asciiTheme="majorHAnsi" w:eastAsia="Times New Roman" w:hAnsiTheme="majorHAnsi" w:cstheme="majorHAnsi"/>
                <w:b/>
                <w:bCs/>
                <w:iCs/>
                <w:sz w:val="18"/>
                <w:szCs w:val="20"/>
                <w:lang w:eastAsia="ar-SA"/>
              </w:rPr>
              <w:t>.</w:t>
            </w:r>
            <w:r w:rsidRPr="006070EA">
              <w:rPr>
                <w:rFonts w:asciiTheme="majorHAnsi" w:eastAsia="Times New Roman" w:hAnsiTheme="majorHAnsi" w:cstheme="majorHAnsi"/>
                <w:b/>
                <w:bCs/>
                <w:iCs/>
                <w:sz w:val="18"/>
                <w:szCs w:val="20"/>
                <w:lang w:eastAsia="ar-SA"/>
              </w:rPr>
              <w:t>08</w:t>
            </w:r>
          </w:p>
        </w:tc>
      </w:tr>
      <w:tr w:rsidR="002D0BDA" w:rsidRPr="006070EA" w14:paraId="0F5D470B" w14:textId="77777777" w:rsidTr="005038EA">
        <w:trPr>
          <w:cantSplit/>
        </w:trPr>
        <w:tc>
          <w:tcPr>
            <w:tcW w:w="2705" w:type="dxa"/>
          </w:tcPr>
          <w:p w14:paraId="57F464A1"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způsob využití</w:t>
            </w:r>
          </w:p>
        </w:tc>
        <w:tc>
          <w:tcPr>
            <w:tcW w:w="6581" w:type="dxa"/>
            <w:vAlign w:val="center"/>
          </w:tcPr>
          <w:p w14:paraId="55C55BBD" w14:textId="3B54771E" w:rsidR="002D0BDA" w:rsidRPr="006070EA" w:rsidRDefault="00961C8B"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sz w:val="18"/>
                <w:szCs w:val="18"/>
                <w:lang w:eastAsia="cs-CZ"/>
              </w:rPr>
              <w:t>ZP – zeleň – parky a parkově upravené plochy</w:t>
            </w:r>
            <w:r w:rsidR="002D0BDA" w:rsidRPr="006070EA">
              <w:rPr>
                <w:rFonts w:asciiTheme="majorHAnsi" w:eastAsia="Times New Roman" w:hAnsiTheme="majorHAnsi" w:cstheme="majorHAnsi"/>
                <w:sz w:val="18"/>
                <w:szCs w:val="18"/>
                <w:lang w:eastAsia="cs-CZ"/>
              </w:rPr>
              <w:t xml:space="preserve"> </w:t>
            </w:r>
          </w:p>
        </w:tc>
      </w:tr>
      <w:tr w:rsidR="002D0BDA" w:rsidRPr="006070EA" w14:paraId="7FE3A453" w14:textId="77777777" w:rsidTr="005038EA">
        <w:trPr>
          <w:cantSplit/>
        </w:trPr>
        <w:tc>
          <w:tcPr>
            <w:tcW w:w="2705" w:type="dxa"/>
          </w:tcPr>
          <w:p w14:paraId="087B1B42"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limity využití území</w:t>
            </w:r>
          </w:p>
        </w:tc>
        <w:tc>
          <w:tcPr>
            <w:tcW w:w="6581" w:type="dxa"/>
          </w:tcPr>
          <w:p w14:paraId="75D17788"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ÚSES; elektrické vedení vn 22kV vč. OP; OP stavby zajišťující letecký provoz (radar Kbely); </w:t>
            </w:r>
          </w:p>
        </w:tc>
      </w:tr>
      <w:tr w:rsidR="002D0BDA" w:rsidRPr="006070EA" w14:paraId="3CD1232F" w14:textId="77777777" w:rsidTr="005038EA">
        <w:trPr>
          <w:cantSplit/>
        </w:trPr>
        <w:tc>
          <w:tcPr>
            <w:tcW w:w="2705" w:type="dxa"/>
          </w:tcPr>
          <w:p w14:paraId="5B23F12C"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vztah k platné ÚPD (ZÚR, ÚPO)</w:t>
            </w:r>
          </w:p>
        </w:tc>
        <w:tc>
          <w:tcPr>
            <w:tcW w:w="6581" w:type="dxa"/>
          </w:tcPr>
          <w:p w14:paraId="0CE809EB"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 </w:t>
            </w:r>
          </w:p>
        </w:tc>
      </w:tr>
      <w:tr w:rsidR="002D0BDA" w:rsidRPr="006070EA" w14:paraId="50CE807F" w14:textId="77777777" w:rsidTr="005038EA">
        <w:trPr>
          <w:cantSplit/>
        </w:trPr>
        <w:tc>
          <w:tcPr>
            <w:tcW w:w="2705" w:type="dxa"/>
          </w:tcPr>
          <w:p w14:paraId="3E3F9F5C"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vazba na veřejnou infrastrukturu (DI, TI)</w:t>
            </w:r>
          </w:p>
        </w:tc>
        <w:tc>
          <w:tcPr>
            <w:tcW w:w="6581" w:type="dxa"/>
          </w:tcPr>
          <w:p w14:paraId="29D16BBB"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Přímá vazba na místní komunikace</w:t>
            </w:r>
          </w:p>
          <w:p w14:paraId="621EC092"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Technická infrastruktura v dosahu (vodovod, plynovod, kanalizace)</w:t>
            </w:r>
          </w:p>
        </w:tc>
      </w:tr>
      <w:tr w:rsidR="002D0BDA" w:rsidRPr="006070EA" w14:paraId="0503E935" w14:textId="77777777" w:rsidTr="005038EA">
        <w:trPr>
          <w:cantSplit/>
        </w:trPr>
        <w:tc>
          <w:tcPr>
            <w:tcW w:w="2705" w:type="dxa"/>
          </w:tcPr>
          <w:p w14:paraId="1D2471B7"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vztah k zastavěnému území</w:t>
            </w:r>
          </w:p>
        </w:tc>
        <w:tc>
          <w:tcPr>
            <w:tcW w:w="6581" w:type="dxa"/>
          </w:tcPr>
          <w:p w14:paraId="1A2B2A56"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Plocha v přímé návaznosti na zastavěné území</w:t>
            </w:r>
          </w:p>
        </w:tc>
      </w:tr>
      <w:tr w:rsidR="002D0BDA" w:rsidRPr="006070EA" w14:paraId="05CD23CF" w14:textId="77777777" w:rsidTr="005038EA">
        <w:trPr>
          <w:cantSplit/>
        </w:trPr>
        <w:tc>
          <w:tcPr>
            <w:tcW w:w="2705" w:type="dxa"/>
          </w:tcPr>
          <w:p w14:paraId="02164011"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dotčení půdního fondu (ZPF, LPF)</w:t>
            </w:r>
          </w:p>
        </w:tc>
        <w:tc>
          <w:tcPr>
            <w:tcW w:w="6581" w:type="dxa"/>
          </w:tcPr>
          <w:p w14:paraId="2AA48D4A"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ZPF I. třídy ochrany</w:t>
            </w:r>
          </w:p>
        </w:tc>
      </w:tr>
      <w:tr w:rsidR="002D0BDA" w:rsidRPr="006070EA" w14:paraId="570111F2" w14:textId="77777777" w:rsidTr="005038EA">
        <w:trPr>
          <w:cantSplit/>
        </w:trPr>
        <w:tc>
          <w:tcPr>
            <w:tcW w:w="2705" w:type="dxa"/>
          </w:tcPr>
          <w:p w14:paraId="29E3711A"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hlavní důvody vymezení plochy</w:t>
            </w:r>
          </w:p>
        </w:tc>
        <w:tc>
          <w:tcPr>
            <w:tcW w:w="6581" w:type="dxa"/>
          </w:tcPr>
          <w:p w14:paraId="1576AF11" w14:textId="1CB27C94"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Plocha veřejné zeleně zajišťující odstup zástavby trvalého bydlení v zastavitelné ploše Z</w:t>
            </w:r>
            <w:r w:rsidR="00961C8B" w:rsidRPr="006070EA">
              <w:rPr>
                <w:rFonts w:asciiTheme="majorHAnsi" w:eastAsia="Times New Roman" w:hAnsiTheme="majorHAnsi" w:cstheme="majorHAnsi"/>
                <w:bCs/>
                <w:iCs/>
                <w:sz w:val="18"/>
                <w:szCs w:val="20"/>
                <w:lang w:eastAsia="ar-SA"/>
              </w:rPr>
              <w:t>.</w:t>
            </w:r>
            <w:r w:rsidRPr="006070EA">
              <w:rPr>
                <w:rFonts w:asciiTheme="majorHAnsi" w:eastAsia="Times New Roman" w:hAnsiTheme="majorHAnsi" w:cstheme="majorHAnsi"/>
                <w:bCs/>
                <w:iCs/>
                <w:sz w:val="18"/>
                <w:szCs w:val="20"/>
                <w:lang w:eastAsia="ar-SA"/>
              </w:rPr>
              <w:t>07 od toku Hlubokého příkopu a zajišťující funkčnost lokálního biokoridoru ÚSES (L</w:t>
            </w:r>
            <w:r w:rsidR="00961C8B" w:rsidRPr="006070EA">
              <w:rPr>
                <w:rFonts w:asciiTheme="majorHAnsi" w:eastAsia="Times New Roman" w:hAnsiTheme="majorHAnsi" w:cstheme="majorHAnsi"/>
                <w:bCs/>
                <w:iCs/>
                <w:sz w:val="18"/>
                <w:szCs w:val="20"/>
                <w:lang w:eastAsia="ar-SA"/>
              </w:rPr>
              <w:t>B</w:t>
            </w:r>
            <w:r w:rsidRPr="006070EA">
              <w:rPr>
                <w:rFonts w:asciiTheme="majorHAnsi" w:eastAsia="Times New Roman" w:hAnsiTheme="majorHAnsi" w:cstheme="majorHAnsi"/>
                <w:bCs/>
                <w:iCs/>
                <w:sz w:val="18"/>
                <w:szCs w:val="20"/>
                <w:lang w:eastAsia="ar-SA"/>
              </w:rPr>
              <w:t>K</w:t>
            </w:r>
            <w:r w:rsidR="00961C8B" w:rsidRPr="006070EA">
              <w:rPr>
                <w:rFonts w:asciiTheme="majorHAnsi" w:eastAsia="Times New Roman" w:hAnsiTheme="majorHAnsi" w:cstheme="majorHAnsi"/>
                <w:bCs/>
                <w:iCs/>
                <w:sz w:val="18"/>
                <w:szCs w:val="20"/>
                <w:lang w:eastAsia="ar-SA"/>
              </w:rPr>
              <w:t>.</w:t>
            </w:r>
            <w:r w:rsidRPr="006070EA">
              <w:rPr>
                <w:rFonts w:asciiTheme="majorHAnsi" w:eastAsia="Times New Roman" w:hAnsiTheme="majorHAnsi" w:cstheme="majorHAnsi"/>
                <w:bCs/>
                <w:iCs/>
                <w:sz w:val="18"/>
                <w:szCs w:val="20"/>
                <w:lang w:eastAsia="ar-SA"/>
              </w:rPr>
              <w:t>1). Plocha urbanisticky dotváří západní okraj zástavby Kostomlat nad Labem a navazuje na jižní hranici vymezené zastavitelné plochy Z</w:t>
            </w:r>
            <w:r w:rsidR="00961C8B" w:rsidRPr="006070EA">
              <w:rPr>
                <w:rFonts w:asciiTheme="majorHAnsi" w:eastAsia="Times New Roman" w:hAnsiTheme="majorHAnsi" w:cstheme="majorHAnsi"/>
                <w:bCs/>
                <w:iCs/>
                <w:sz w:val="18"/>
                <w:szCs w:val="20"/>
                <w:lang w:eastAsia="ar-SA"/>
              </w:rPr>
              <w:t>.</w:t>
            </w:r>
            <w:r w:rsidRPr="006070EA">
              <w:rPr>
                <w:rFonts w:asciiTheme="majorHAnsi" w:eastAsia="Times New Roman" w:hAnsiTheme="majorHAnsi" w:cstheme="majorHAnsi"/>
                <w:bCs/>
                <w:iCs/>
                <w:sz w:val="18"/>
                <w:szCs w:val="20"/>
                <w:lang w:eastAsia="ar-SA"/>
              </w:rPr>
              <w:t>07 trvalého bydlení.</w:t>
            </w:r>
          </w:p>
          <w:p w14:paraId="0526D0A2"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Plocha je vymezena ve veřejném zájmu na zajištění dostatečných ploch veřejně přístupné zeleně, která je součástí veřejné infrastruktury.</w:t>
            </w:r>
          </w:p>
          <w:p w14:paraId="3D1E85D5" w14:textId="2BA30ECA"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Při vymezení plochy byl rovněž prověřen požadavek na umožnění výstavby RD na p.</w:t>
            </w:r>
            <w:r w:rsidR="00ED0078" w:rsidRPr="006070EA">
              <w:rPr>
                <w:rFonts w:asciiTheme="majorHAnsi" w:eastAsia="Times New Roman" w:hAnsiTheme="majorHAnsi" w:cstheme="majorHAnsi"/>
                <w:bCs/>
                <w:iCs/>
                <w:sz w:val="18"/>
                <w:szCs w:val="20"/>
                <w:lang w:eastAsia="ar-SA"/>
              </w:rPr>
              <w:t xml:space="preserve"> </w:t>
            </w:r>
            <w:r w:rsidRPr="006070EA">
              <w:rPr>
                <w:rFonts w:asciiTheme="majorHAnsi" w:eastAsia="Times New Roman" w:hAnsiTheme="majorHAnsi" w:cstheme="majorHAnsi"/>
                <w:bCs/>
                <w:iCs/>
                <w:sz w:val="18"/>
                <w:szCs w:val="20"/>
                <w:lang w:eastAsia="ar-SA"/>
              </w:rPr>
              <w:t>č. 839/24 v k.</w:t>
            </w:r>
            <w:r w:rsidR="00ED0078" w:rsidRPr="006070EA">
              <w:rPr>
                <w:rFonts w:asciiTheme="majorHAnsi" w:eastAsia="Times New Roman" w:hAnsiTheme="majorHAnsi" w:cstheme="majorHAnsi"/>
                <w:bCs/>
                <w:iCs/>
                <w:sz w:val="18"/>
                <w:szCs w:val="20"/>
                <w:lang w:eastAsia="ar-SA"/>
              </w:rPr>
              <w:t xml:space="preserve"> </w:t>
            </w:r>
            <w:r w:rsidRPr="006070EA">
              <w:rPr>
                <w:rFonts w:asciiTheme="majorHAnsi" w:eastAsia="Times New Roman" w:hAnsiTheme="majorHAnsi" w:cstheme="majorHAnsi"/>
                <w:bCs/>
                <w:iCs/>
                <w:sz w:val="18"/>
                <w:szCs w:val="20"/>
                <w:lang w:eastAsia="ar-SA"/>
              </w:rPr>
              <w:t>ú. Kostomlaty nad Labem.</w:t>
            </w:r>
          </w:p>
        </w:tc>
      </w:tr>
      <w:tr w:rsidR="002D0BDA" w:rsidRPr="006070EA" w14:paraId="16B88F24" w14:textId="77777777" w:rsidTr="005038EA">
        <w:trPr>
          <w:cantSplit/>
        </w:trPr>
        <w:tc>
          <w:tcPr>
            <w:tcW w:w="2705" w:type="dxa"/>
          </w:tcPr>
          <w:p w14:paraId="5F1A5B63"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související podmínky využití</w:t>
            </w:r>
          </w:p>
        </w:tc>
        <w:tc>
          <w:tcPr>
            <w:tcW w:w="6581" w:type="dxa"/>
          </w:tcPr>
          <w:p w14:paraId="1130C314" w14:textId="06620B71" w:rsidR="002D0BDA" w:rsidRPr="006070EA" w:rsidRDefault="00C13B55"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Vydání regulačního plánu RP</w:t>
            </w:r>
            <w:r w:rsidR="00961C8B" w:rsidRPr="006070EA">
              <w:rPr>
                <w:rFonts w:asciiTheme="majorHAnsi" w:eastAsia="Times New Roman" w:hAnsiTheme="majorHAnsi" w:cstheme="majorHAnsi"/>
                <w:bCs/>
                <w:iCs/>
                <w:sz w:val="18"/>
                <w:szCs w:val="20"/>
                <w:lang w:eastAsia="ar-SA"/>
              </w:rPr>
              <w:t>.</w:t>
            </w:r>
            <w:r w:rsidRPr="006070EA">
              <w:rPr>
                <w:rFonts w:asciiTheme="majorHAnsi" w:eastAsia="Times New Roman" w:hAnsiTheme="majorHAnsi" w:cstheme="majorHAnsi"/>
                <w:bCs/>
                <w:iCs/>
                <w:sz w:val="18"/>
                <w:szCs w:val="20"/>
                <w:lang w:eastAsia="ar-SA"/>
              </w:rPr>
              <w:t>1.</w:t>
            </w:r>
          </w:p>
        </w:tc>
      </w:tr>
    </w:tbl>
    <w:p w14:paraId="41580662" w14:textId="77777777" w:rsidR="002D0BDA" w:rsidRPr="006070EA" w:rsidRDefault="002D0BDA" w:rsidP="002D0BDA">
      <w:pPr>
        <w:pStyle w:val="Atext"/>
        <w:rPr>
          <w:rFonts w:asciiTheme="majorHAnsi" w:hAnsiTheme="majorHAnsi" w:cstheme="majorHAnsi"/>
          <w:i/>
          <w:snapToGrid w:val="0"/>
          <w:color w:val="FF0000"/>
          <w:u w:val="single"/>
        </w:rPr>
      </w:pPr>
    </w:p>
    <w:tbl>
      <w:tblPr>
        <w:tblStyle w:val="Mkatabulky2"/>
        <w:tblW w:w="0" w:type="auto"/>
        <w:tblBorders>
          <w:left w:val="none" w:sz="0" w:space="0" w:color="auto"/>
          <w:right w:val="none" w:sz="0" w:space="0" w:color="auto"/>
          <w:insideV w:val="single" w:sz="12" w:space="0" w:color="auto"/>
        </w:tblBorders>
        <w:tblLook w:val="04A0" w:firstRow="1" w:lastRow="0" w:firstColumn="1" w:lastColumn="0" w:noHBand="0" w:noVBand="1"/>
      </w:tblPr>
      <w:tblGrid>
        <w:gridCol w:w="2660"/>
        <w:gridCol w:w="6410"/>
      </w:tblGrid>
      <w:tr w:rsidR="002D0BDA" w:rsidRPr="006070EA" w14:paraId="3064C762" w14:textId="77777777" w:rsidTr="005038EA">
        <w:trPr>
          <w:cantSplit/>
          <w:tblHeader/>
        </w:trPr>
        <w:tc>
          <w:tcPr>
            <w:tcW w:w="2705" w:type="dxa"/>
            <w:shd w:val="clear" w:color="auto" w:fill="F2F2F2" w:themeFill="background1" w:themeFillShade="F2"/>
          </w:tcPr>
          <w:p w14:paraId="68F9C12E" w14:textId="77777777" w:rsidR="002D0BDA" w:rsidRPr="006070EA" w:rsidRDefault="002D0BDA" w:rsidP="005038EA">
            <w:pPr>
              <w:keepNext/>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Zastavitelná plocha</w:t>
            </w:r>
          </w:p>
        </w:tc>
        <w:tc>
          <w:tcPr>
            <w:tcW w:w="6581" w:type="dxa"/>
            <w:shd w:val="clear" w:color="auto" w:fill="F2F2F2" w:themeFill="background1" w:themeFillShade="F2"/>
          </w:tcPr>
          <w:p w14:paraId="5074EAE9" w14:textId="0409C225" w:rsidR="002D0BDA" w:rsidRPr="006070EA" w:rsidRDefault="002D0BDA" w:rsidP="005038EA">
            <w:pPr>
              <w:keepNext/>
              <w:tabs>
                <w:tab w:val="center" w:pos="4536"/>
                <w:tab w:val="right" w:pos="9072"/>
              </w:tabs>
              <w:suppressAutoHyphens/>
              <w:spacing w:before="40" w:after="40"/>
              <w:jc w:val="both"/>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w:t>
            </w:r>
            <w:r w:rsidR="00961C8B" w:rsidRPr="006070EA">
              <w:rPr>
                <w:rFonts w:asciiTheme="majorHAnsi" w:eastAsia="Times New Roman" w:hAnsiTheme="majorHAnsi" w:cstheme="majorHAnsi"/>
                <w:b/>
                <w:bCs/>
                <w:iCs/>
                <w:sz w:val="18"/>
                <w:szCs w:val="20"/>
                <w:lang w:eastAsia="ar-SA"/>
              </w:rPr>
              <w:t>.</w:t>
            </w:r>
            <w:r w:rsidRPr="006070EA">
              <w:rPr>
                <w:rFonts w:asciiTheme="majorHAnsi" w:eastAsia="Times New Roman" w:hAnsiTheme="majorHAnsi" w:cstheme="majorHAnsi"/>
                <w:b/>
                <w:bCs/>
                <w:iCs/>
                <w:sz w:val="18"/>
                <w:szCs w:val="20"/>
                <w:lang w:eastAsia="ar-SA"/>
              </w:rPr>
              <w:t>09</w:t>
            </w:r>
          </w:p>
        </w:tc>
      </w:tr>
      <w:tr w:rsidR="002D0BDA" w:rsidRPr="006070EA" w14:paraId="12FDBE75" w14:textId="77777777" w:rsidTr="005038EA">
        <w:trPr>
          <w:cantSplit/>
        </w:trPr>
        <w:tc>
          <w:tcPr>
            <w:tcW w:w="2705" w:type="dxa"/>
          </w:tcPr>
          <w:p w14:paraId="2541D32B"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způsob využití</w:t>
            </w:r>
          </w:p>
        </w:tc>
        <w:tc>
          <w:tcPr>
            <w:tcW w:w="6581" w:type="dxa"/>
            <w:vAlign w:val="center"/>
          </w:tcPr>
          <w:p w14:paraId="694EE6EB" w14:textId="649A06F5"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sz w:val="18"/>
                <w:szCs w:val="18"/>
                <w:lang w:eastAsia="cs-CZ"/>
              </w:rPr>
              <w:t xml:space="preserve">BI – bydlení </w:t>
            </w:r>
            <w:r w:rsidR="00961C8B" w:rsidRPr="006070EA">
              <w:rPr>
                <w:rFonts w:asciiTheme="majorHAnsi" w:eastAsia="Times New Roman" w:hAnsiTheme="majorHAnsi" w:cstheme="majorHAnsi"/>
                <w:sz w:val="18"/>
                <w:szCs w:val="18"/>
                <w:lang w:eastAsia="cs-CZ"/>
              </w:rPr>
              <w:t>individuální</w:t>
            </w:r>
            <w:r w:rsidRPr="006070EA">
              <w:rPr>
                <w:rFonts w:asciiTheme="majorHAnsi" w:eastAsia="Times New Roman" w:hAnsiTheme="majorHAnsi" w:cstheme="majorHAnsi"/>
                <w:sz w:val="18"/>
                <w:szCs w:val="18"/>
                <w:lang w:eastAsia="cs-CZ"/>
              </w:rPr>
              <w:t xml:space="preserve"> </w:t>
            </w:r>
          </w:p>
        </w:tc>
      </w:tr>
      <w:tr w:rsidR="002D0BDA" w:rsidRPr="006070EA" w14:paraId="7A542C35" w14:textId="77777777" w:rsidTr="005038EA">
        <w:trPr>
          <w:cantSplit/>
        </w:trPr>
        <w:tc>
          <w:tcPr>
            <w:tcW w:w="2705" w:type="dxa"/>
          </w:tcPr>
          <w:p w14:paraId="2B80565D"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limity využití území</w:t>
            </w:r>
          </w:p>
        </w:tc>
        <w:tc>
          <w:tcPr>
            <w:tcW w:w="6581" w:type="dxa"/>
          </w:tcPr>
          <w:p w14:paraId="757DE8AD" w14:textId="1B77DC04"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OP železniční trati; OP silnice III. třídy (III/2725); OP stavby zajišťující letecký provoz (radar Kbely); koridor </w:t>
            </w:r>
            <w:r w:rsidR="00961C8B" w:rsidRPr="006070EA">
              <w:rPr>
                <w:rFonts w:asciiTheme="majorHAnsi" w:eastAsia="Times New Roman" w:hAnsiTheme="majorHAnsi" w:cstheme="majorHAnsi"/>
                <w:bCs/>
                <w:iCs/>
                <w:sz w:val="18"/>
                <w:szCs w:val="20"/>
                <w:lang w:eastAsia="ar-SA"/>
              </w:rPr>
              <w:t>CNU.</w:t>
            </w:r>
            <w:r w:rsidRPr="006070EA">
              <w:rPr>
                <w:rFonts w:asciiTheme="majorHAnsi" w:eastAsia="Times New Roman" w:hAnsiTheme="majorHAnsi" w:cstheme="majorHAnsi"/>
                <w:bCs/>
                <w:iCs/>
                <w:sz w:val="18"/>
                <w:szCs w:val="20"/>
                <w:lang w:eastAsia="ar-SA"/>
              </w:rPr>
              <w:t>KD</w:t>
            </w:r>
            <w:r w:rsidR="0097451F">
              <w:rPr>
                <w:rFonts w:asciiTheme="majorHAnsi" w:eastAsia="Times New Roman" w:hAnsiTheme="majorHAnsi" w:cstheme="majorHAnsi"/>
                <w:bCs/>
                <w:iCs/>
                <w:sz w:val="18"/>
                <w:szCs w:val="20"/>
                <w:lang w:eastAsia="ar-SA"/>
              </w:rPr>
              <w:t>2</w:t>
            </w:r>
          </w:p>
        </w:tc>
      </w:tr>
      <w:tr w:rsidR="002D0BDA" w:rsidRPr="006070EA" w14:paraId="4217BEB0" w14:textId="77777777" w:rsidTr="005038EA">
        <w:trPr>
          <w:cantSplit/>
        </w:trPr>
        <w:tc>
          <w:tcPr>
            <w:tcW w:w="2705" w:type="dxa"/>
          </w:tcPr>
          <w:p w14:paraId="0A30D4BC"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vztah k platné ÚPD (ZÚR, ÚPO)</w:t>
            </w:r>
          </w:p>
        </w:tc>
        <w:tc>
          <w:tcPr>
            <w:tcW w:w="6581" w:type="dxa"/>
          </w:tcPr>
          <w:p w14:paraId="0E5DDDEE"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w:t>
            </w:r>
          </w:p>
        </w:tc>
      </w:tr>
      <w:tr w:rsidR="002D0BDA" w:rsidRPr="006070EA" w14:paraId="24F8D8AF" w14:textId="77777777" w:rsidTr="005038EA">
        <w:trPr>
          <w:cantSplit/>
        </w:trPr>
        <w:tc>
          <w:tcPr>
            <w:tcW w:w="2705" w:type="dxa"/>
          </w:tcPr>
          <w:p w14:paraId="23FB4DDD"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vazba na veřejnou infrastrukturu (DI, TI)</w:t>
            </w:r>
          </w:p>
        </w:tc>
        <w:tc>
          <w:tcPr>
            <w:tcW w:w="6581" w:type="dxa"/>
          </w:tcPr>
          <w:p w14:paraId="7AE6EEA6"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Přímá vazba na místní komunikace</w:t>
            </w:r>
          </w:p>
          <w:p w14:paraId="085E4E91" w14:textId="65B401AB"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Přímá vazba na technickou infrastrukturu (vodovod, plynovod, kanalizace, koridor </w:t>
            </w:r>
            <w:r w:rsidR="00961C8B" w:rsidRPr="006070EA">
              <w:rPr>
                <w:rFonts w:asciiTheme="majorHAnsi" w:eastAsia="Times New Roman" w:hAnsiTheme="majorHAnsi" w:cstheme="majorHAnsi"/>
                <w:bCs/>
                <w:iCs/>
                <w:sz w:val="18"/>
                <w:szCs w:val="20"/>
                <w:lang w:eastAsia="ar-SA"/>
              </w:rPr>
              <w:t>CNU.</w:t>
            </w:r>
            <w:r w:rsidRPr="006070EA">
              <w:rPr>
                <w:rFonts w:asciiTheme="majorHAnsi" w:eastAsia="Times New Roman" w:hAnsiTheme="majorHAnsi" w:cstheme="majorHAnsi"/>
                <w:bCs/>
                <w:iCs/>
                <w:sz w:val="18"/>
                <w:szCs w:val="20"/>
                <w:lang w:eastAsia="ar-SA"/>
              </w:rPr>
              <w:t>KTI1)</w:t>
            </w:r>
          </w:p>
        </w:tc>
      </w:tr>
      <w:tr w:rsidR="002D0BDA" w:rsidRPr="006070EA" w14:paraId="701A5FFE" w14:textId="77777777" w:rsidTr="005038EA">
        <w:trPr>
          <w:cantSplit/>
        </w:trPr>
        <w:tc>
          <w:tcPr>
            <w:tcW w:w="2705" w:type="dxa"/>
          </w:tcPr>
          <w:p w14:paraId="799D7A67"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vztah k zastavěnému území</w:t>
            </w:r>
          </w:p>
        </w:tc>
        <w:tc>
          <w:tcPr>
            <w:tcW w:w="6581" w:type="dxa"/>
          </w:tcPr>
          <w:p w14:paraId="296DB08A"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Plocha v přímé návaznosti na zastavěné území</w:t>
            </w:r>
          </w:p>
        </w:tc>
      </w:tr>
      <w:tr w:rsidR="002D0BDA" w:rsidRPr="006070EA" w14:paraId="23489A52" w14:textId="77777777" w:rsidTr="005038EA">
        <w:trPr>
          <w:cantSplit/>
        </w:trPr>
        <w:tc>
          <w:tcPr>
            <w:tcW w:w="2705" w:type="dxa"/>
          </w:tcPr>
          <w:p w14:paraId="3EE18683"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dotčení půdního fondu (ZPF, LPF)</w:t>
            </w:r>
          </w:p>
        </w:tc>
        <w:tc>
          <w:tcPr>
            <w:tcW w:w="6581" w:type="dxa"/>
          </w:tcPr>
          <w:p w14:paraId="6CF23783"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ZPF I. a IV. třídy ochrany</w:t>
            </w:r>
          </w:p>
        </w:tc>
      </w:tr>
      <w:tr w:rsidR="002D0BDA" w:rsidRPr="006070EA" w14:paraId="2FC73FC4" w14:textId="77777777" w:rsidTr="005038EA">
        <w:trPr>
          <w:cantSplit/>
        </w:trPr>
        <w:tc>
          <w:tcPr>
            <w:tcW w:w="2705" w:type="dxa"/>
          </w:tcPr>
          <w:p w14:paraId="33550DD6"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hlavní důvody vymezení plochy</w:t>
            </w:r>
          </w:p>
        </w:tc>
        <w:tc>
          <w:tcPr>
            <w:tcW w:w="6581" w:type="dxa"/>
          </w:tcPr>
          <w:p w14:paraId="6100A09C"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Vytvoření podmínek pro rozvoj rezidenční funkce Kostomlat nad Labem. Plocha dotváří západní okraj zástavby podél ulice 9. května (silnice III/2725) ve směru na sídlo Rozkoš.</w:t>
            </w:r>
          </w:p>
          <w:p w14:paraId="701E60A7"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Plocha je vymezena na základě potřebnosti rozvoje obytné funkce obce dle podrobné analýzy potřeby vymezení zastavitelných ploch pro bydlení (viz kapitola 10) a v souladu se základní koncepcí rozvoje území, která vychází z původního řešení ÚPO. </w:t>
            </w:r>
          </w:p>
          <w:p w14:paraId="586EDAA8" w14:textId="6DDBFDC3"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Plocha byla vymezena rovněž na základě prověření požadavku na výstavbu RD na p.</w:t>
            </w:r>
            <w:r w:rsidR="00ED0078" w:rsidRPr="006070EA">
              <w:rPr>
                <w:rFonts w:asciiTheme="majorHAnsi" w:eastAsia="Times New Roman" w:hAnsiTheme="majorHAnsi" w:cstheme="majorHAnsi"/>
                <w:bCs/>
                <w:iCs/>
                <w:sz w:val="18"/>
                <w:szCs w:val="20"/>
                <w:lang w:eastAsia="ar-SA"/>
              </w:rPr>
              <w:t xml:space="preserve"> </w:t>
            </w:r>
            <w:r w:rsidRPr="006070EA">
              <w:rPr>
                <w:rFonts w:asciiTheme="majorHAnsi" w:eastAsia="Times New Roman" w:hAnsiTheme="majorHAnsi" w:cstheme="majorHAnsi"/>
                <w:bCs/>
                <w:iCs/>
                <w:sz w:val="18"/>
                <w:szCs w:val="20"/>
                <w:lang w:eastAsia="ar-SA"/>
              </w:rPr>
              <w:t>č. 894/39 v k.</w:t>
            </w:r>
            <w:r w:rsidR="00ED0078" w:rsidRPr="006070EA">
              <w:rPr>
                <w:rFonts w:asciiTheme="majorHAnsi" w:eastAsia="Times New Roman" w:hAnsiTheme="majorHAnsi" w:cstheme="majorHAnsi"/>
                <w:bCs/>
                <w:iCs/>
                <w:sz w:val="18"/>
                <w:szCs w:val="20"/>
                <w:lang w:eastAsia="ar-SA"/>
              </w:rPr>
              <w:t xml:space="preserve"> </w:t>
            </w:r>
            <w:r w:rsidRPr="006070EA">
              <w:rPr>
                <w:rFonts w:asciiTheme="majorHAnsi" w:eastAsia="Times New Roman" w:hAnsiTheme="majorHAnsi" w:cstheme="majorHAnsi"/>
                <w:bCs/>
                <w:iCs/>
                <w:sz w:val="18"/>
                <w:szCs w:val="20"/>
                <w:lang w:eastAsia="ar-SA"/>
              </w:rPr>
              <w:t>ú. Kostomlaty nad Labem.</w:t>
            </w:r>
          </w:p>
        </w:tc>
      </w:tr>
      <w:tr w:rsidR="002D0BDA" w:rsidRPr="006070EA" w14:paraId="6CB9629C" w14:textId="77777777" w:rsidTr="005038EA">
        <w:trPr>
          <w:cantSplit/>
        </w:trPr>
        <w:tc>
          <w:tcPr>
            <w:tcW w:w="2705" w:type="dxa"/>
          </w:tcPr>
          <w:p w14:paraId="09E608CA"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související podmínky využití</w:t>
            </w:r>
          </w:p>
        </w:tc>
        <w:tc>
          <w:tcPr>
            <w:tcW w:w="6581" w:type="dxa"/>
          </w:tcPr>
          <w:p w14:paraId="58EBE4E7" w14:textId="3E75FA5F"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Respektovat podmínky stanovené v koridoru </w:t>
            </w:r>
            <w:r w:rsidR="00961C8B" w:rsidRPr="006070EA">
              <w:rPr>
                <w:rFonts w:asciiTheme="majorHAnsi" w:eastAsia="Times New Roman" w:hAnsiTheme="majorHAnsi" w:cstheme="majorHAnsi"/>
                <w:bCs/>
                <w:iCs/>
                <w:sz w:val="18"/>
                <w:szCs w:val="20"/>
                <w:lang w:eastAsia="ar-SA"/>
              </w:rPr>
              <w:t>CNU.</w:t>
            </w:r>
            <w:r w:rsidRPr="006070EA">
              <w:rPr>
                <w:rFonts w:asciiTheme="majorHAnsi" w:eastAsia="Times New Roman" w:hAnsiTheme="majorHAnsi" w:cstheme="majorHAnsi"/>
                <w:bCs/>
                <w:iCs/>
                <w:sz w:val="18"/>
                <w:szCs w:val="20"/>
                <w:lang w:eastAsia="ar-SA"/>
              </w:rPr>
              <w:t>KD</w:t>
            </w:r>
            <w:r w:rsidR="0097451F">
              <w:rPr>
                <w:rFonts w:asciiTheme="majorHAnsi" w:eastAsia="Times New Roman" w:hAnsiTheme="majorHAnsi" w:cstheme="majorHAnsi"/>
                <w:bCs/>
                <w:iCs/>
                <w:sz w:val="18"/>
                <w:szCs w:val="20"/>
                <w:lang w:eastAsia="ar-SA"/>
              </w:rPr>
              <w:t>2</w:t>
            </w:r>
            <w:r w:rsidRPr="006070EA">
              <w:rPr>
                <w:rFonts w:asciiTheme="majorHAnsi" w:eastAsia="Times New Roman" w:hAnsiTheme="majorHAnsi" w:cstheme="majorHAnsi"/>
                <w:bCs/>
                <w:iCs/>
                <w:sz w:val="18"/>
                <w:szCs w:val="20"/>
                <w:lang w:eastAsia="ar-SA"/>
              </w:rPr>
              <w:t>.</w:t>
            </w:r>
          </w:p>
        </w:tc>
      </w:tr>
    </w:tbl>
    <w:p w14:paraId="1F08DBB5" w14:textId="77777777" w:rsidR="002D0BDA" w:rsidRPr="006070EA" w:rsidRDefault="002D0BDA" w:rsidP="002D0BDA">
      <w:pPr>
        <w:pStyle w:val="Atext"/>
        <w:rPr>
          <w:rFonts w:asciiTheme="majorHAnsi" w:hAnsiTheme="majorHAnsi" w:cstheme="majorHAnsi"/>
          <w:i/>
          <w:snapToGrid w:val="0"/>
          <w:color w:val="FF0000"/>
          <w:u w:val="single"/>
        </w:rPr>
      </w:pPr>
    </w:p>
    <w:tbl>
      <w:tblPr>
        <w:tblStyle w:val="Mkatabulky2"/>
        <w:tblW w:w="0" w:type="auto"/>
        <w:tblBorders>
          <w:left w:val="none" w:sz="0" w:space="0" w:color="auto"/>
          <w:right w:val="none" w:sz="0" w:space="0" w:color="auto"/>
          <w:insideV w:val="single" w:sz="12" w:space="0" w:color="auto"/>
        </w:tblBorders>
        <w:tblLook w:val="04A0" w:firstRow="1" w:lastRow="0" w:firstColumn="1" w:lastColumn="0" w:noHBand="0" w:noVBand="1"/>
      </w:tblPr>
      <w:tblGrid>
        <w:gridCol w:w="2660"/>
        <w:gridCol w:w="6410"/>
      </w:tblGrid>
      <w:tr w:rsidR="002D0BDA" w:rsidRPr="006070EA" w14:paraId="4E3D3784" w14:textId="77777777" w:rsidTr="00A13D9A">
        <w:trPr>
          <w:cantSplit/>
          <w:tblHeader/>
        </w:trPr>
        <w:tc>
          <w:tcPr>
            <w:tcW w:w="2660" w:type="dxa"/>
            <w:shd w:val="clear" w:color="auto" w:fill="F2F2F2" w:themeFill="background1" w:themeFillShade="F2"/>
          </w:tcPr>
          <w:p w14:paraId="31E16AEC" w14:textId="77777777" w:rsidR="002D0BDA" w:rsidRPr="006070EA" w:rsidRDefault="002D0BDA" w:rsidP="005038EA">
            <w:pPr>
              <w:keepNext/>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lastRenderedPageBreak/>
              <w:t>Zastavitelná plocha</w:t>
            </w:r>
          </w:p>
        </w:tc>
        <w:tc>
          <w:tcPr>
            <w:tcW w:w="6410" w:type="dxa"/>
            <w:shd w:val="clear" w:color="auto" w:fill="F2F2F2" w:themeFill="background1" w:themeFillShade="F2"/>
          </w:tcPr>
          <w:p w14:paraId="2FCFB41B" w14:textId="1BD3FD1F" w:rsidR="002D0BDA" w:rsidRPr="006070EA" w:rsidRDefault="002D0BDA" w:rsidP="005038EA">
            <w:pPr>
              <w:keepNext/>
              <w:tabs>
                <w:tab w:val="center" w:pos="4536"/>
                <w:tab w:val="right" w:pos="9072"/>
              </w:tabs>
              <w:suppressAutoHyphens/>
              <w:spacing w:before="40" w:after="40"/>
              <w:jc w:val="both"/>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w:t>
            </w:r>
            <w:r w:rsidR="00961C8B" w:rsidRPr="006070EA">
              <w:rPr>
                <w:rFonts w:asciiTheme="majorHAnsi" w:eastAsia="Times New Roman" w:hAnsiTheme="majorHAnsi" w:cstheme="majorHAnsi"/>
                <w:b/>
                <w:bCs/>
                <w:iCs/>
                <w:sz w:val="18"/>
                <w:szCs w:val="20"/>
                <w:lang w:eastAsia="ar-SA"/>
              </w:rPr>
              <w:t>.</w:t>
            </w:r>
            <w:r w:rsidRPr="006070EA">
              <w:rPr>
                <w:rFonts w:asciiTheme="majorHAnsi" w:eastAsia="Times New Roman" w:hAnsiTheme="majorHAnsi" w:cstheme="majorHAnsi"/>
                <w:b/>
                <w:bCs/>
                <w:iCs/>
                <w:sz w:val="18"/>
                <w:szCs w:val="20"/>
                <w:lang w:eastAsia="ar-SA"/>
              </w:rPr>
              <w:t>10</w:t>
            </w:r>
          </w:p>
        </w:tc>
      </w:tr>
      <w:tr w:rsidR="00A13D9A" w:rsidRPr="006070EA" w14:paraId="1C978AC6" w14:textId="77777777" w:rsidTr="00FC1E99">
        <w:trPr>
          <w:cantSplit/>
          <w:trHeight w:val="227"/>
        </w:trPr>
        <w:tc>
          <w:tcPr>
            <w:tcW w:w="9070" w:type="dxa"/>
            <w:gridSpan w:val="2"/>
          </w:tcPr>
          <w:p w14:paraId="759CD4AB" w14:textId="24EC9C93" w:rsidR="00A13D9A" w:rsidRPr="006070EA" w:rsidRDefault="00A13D9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plocha vypuštěna v rámci úprav po společném jednání (požadavek obce)</w:t>
            </w:r>
          </w:p>
        </w:tc>
      </w:tr>
    </w:tbl>
    <w:p w14:paraId="42E3BCC0" w14:textId="77777777" w:rsidR="002D0BDA" w:rsidRPr="006070EA" w:rsidRDefault="002D0BDA" w:rsidP="002D0BDA">
      <w:pPr>
        <w:pStyle w:val="Atext"/>
        <w:rPr>
          <w:rFonts w:asciiTheme="majorHAnsi" w:hAnsiTheme="majorHAnsi" w:cstheme="majorHAnsi"/>
          <w:i/>
          <w:snapToGrid w:val="0"/>
          <w:color w:val="FF0000"/>
          <w:u w:val="single"/>
        </w:rPr>
      </w:pPr>
    </w:p>
    <w:tbl>
      <w:tblPr>
        <w:tblStyle w:val="Mkatabulky2"/>
        <w:tblW w:w="0" w:type="auto"/>
        <w:tblBorders>
          <w:left w:val="none" w:sz="0" w:space="0" w:color="auto"/>
          <w:right w:val="none" w:sz="0" w:space="0" w:color="auto"/>
          <w:insideV w:val="single" w:sz="12" w:space="0" w:color="auto"/>
        </w:tblBorders>
        <w:tblLook w:val="04A0" w:firstRow="1" w:lastRow="0" w:firstColumn="1" w:lastColumn="0" w:noHBand="0" w:noVBand="1"/>
      </w:tblPr>
      <w:tblGrid>
        <w:gridCol w:w="2659"/>
        <w:gridCol w:w="6411"/>
      </w:tblGrid>
      <w:tr w:rsidR="002D0BDA" w:rsidRPr="006070EA" w14:paraId="53B4E58D" w14:textId="77777777" w:rsidTr="005038EA">
        <w:trPr>
          <w:cantSplit/>
          <w:tblHeader/>
        </w:trPr>
        <w:tc>
          <w:tcPr>
            <w:tcW w:w="2705" w:type="dxa"/>
            <w:shd w:val="clear" w:color="auto" w:fill="F2F2F2" w:themeFill="background1" w:themeFillShade="F2"/>
          </w:tcPr>
          <w:p w14:paraId="35CCDDCE" w14:textId="77777777" w:rsidR="002D0BDA" w:rsidRPr="006070EA" w:rsidRDefault="002D0BDA" w:rsidP="005038EA">
            <w:pPr>
              <w:keepNext/>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Zastavitelná plocha</w:t>
            </w:r>
          </w:p>
        </w:tc>
        <w:tc>
          <w:tcPr>
            <w:tcW w:w="6581" w:type="dxa"/>
            <w:shd w:val="clear" w:color="auto" w:fill="F2F2F2" w:themeFill="background1" w:themeFillShade="F2"/>
          </w:tcPr>
          <w:p w14:paraId="0F65E954" w14:textId="2EA25299" w:rsidR="002D0BDA" w:rsidRPr="006070EA" w:rsidRDefault="002D0BDA" w:rsidP="005038EA">
            <w:pPr>
              <w:keepNext/>
              <w:tabs>
                <w:tab w:val="center" w:pos="4536"/>
                <w:tab w:val="right" w:pos="9072"/>
              </w:tabs>
              <w:suppressAutoHyphens/>
              <w:spacing w:before="40" w:after="40"/>
              <w:jc w:val="both"/>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w:t>
            </w:r>
            <w:r w:rsidR="00961C8B" w:rsidRPr="006070EA">
              <w:rPr>
                <w:rFonts w:asciiTheme="majorHAnsi" w:eastAsia="Times New Roman" w:hAnsiTheme="majorHAnsi" w:cstheme="majorHAnsi"/>
                <w:b/>
                <w:bCs/>
                <w:iCs/>
                <w:sz w:val="18"/>
                <w:szCs w:val="20"/>
                <w:lang w:eastAsia="ar-SA"/>
              </w:rPr>
              <w:t>.</w:t>
            </w:r>
            <w:r w:rsidRPr="006070EA">
              <w:rPr>
                <w:rFonts w:asciiTheme="majorHAnsi" w:eastAsia="Times New Roman" w:hAnsiTheme="majorHAnsi" w:cstheme="majorHAnsi"/>
                <w:b/>
                <w:bCs/>
                <w:iCs/>
                <w:sz w:val="18"/>
                <w:szCs w:val="20"/>
                <w:lang w:eastAsia="ar-SA"/>
              </w:rPr>
              <w:t>11</w:t>
            </w:r>
          </w:p>
        </w:tc>
      </w:tr>
      <w:tr w:rsidR="002D0BDA" w:rsidRPr="006070EA" w14:paraId="1736DD04" w14:textId="77777777" w:rsidTr="005038EA">
        <w:trPr>
          <w:cantSplit/>
        </w:trPr>
        <w:tc>
          <w:tcPr>
            <w:tcW w:w="2705" w:type="dxa"/>
          </w:tcPr>
          <w:p w14:paraId="5DD7283D"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způsob využití</w:t>
            </w:r>
          </w:p>
        </w:tc>
        <w:tc>
          <w:tcPr>
            <w:tcW w:w="6581" w:type="dxa"/>
            <w:vAlign w:val="center"/>
          </w:tcPr>
          <w:p w14:paraId="222F9A15" w14:textId="530C8288"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sz w:val="18"/>
                <w:szCs w:val="18"/>
                <w:lang w:eastAsia="cs-CZ"/>
              </w:rPr>
              <w:t xml:space="preserve">BI – bydlení </w:t>
            </w:r>
            <w:r w:rsidR="00961C8B" w:rsidRPr="006070EA">
              <w:rPr>
                <w:rFonts w:asciiTheme="majorHAnsi" w:eastAsia="Times New Roman" w:hAnsiTheme="majorHAnsi" w:cstheme="majorHAnsi"/>
                <w:sz w:val="18"/>
                <w:szCs w:val="18"/>
                <w:lang w:eastAsia="cs-CZ"/>
              </w:rPr>
              <w:t>individuální</w:t>
            </w:r>
            <w:r w:rsidRPr="006070EA">
              <w:rPr>
                <w:rFonts w:asciiTheme="majorHAnsi" w:eastAsia="Times New Roman" w:hAnsiTheme="majorHAnsi" w:cstheme="majorHAnsi"/>
                <w:sz w:val="18"/>
                <w:szCs w:val="18"/>
                <w:lang w:eastAsia="cs-CZ"/>
              </w:rPr>
              <w:t xml:space="preserve"> </w:t>
            </w:r>
          </w:p>
        </w:tc>
      </w:tr>
      <w:tr w:rsidR="002D0BDA" w:rsidRPr="006070EA" w14:paraId="586C2B96" w14:textId="77777777" w:rsidTr="005038EA">
        <w:trPr>
          <w:cantSplit/>
        </w:trPr>
        <w:tc>
          <w:tcPr>
            <w:tcW w:w="2705" w:type="dxa"/>
          </w:tcPr>
          <w:p w14:paraId="2EC99D93"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limity využití území</w:t>
            </w:r>
          </w:p>
        </w:tc>
        <w:tc>
          <w:tcPr>
            <w:tcW w:w="6581" w:type="dxa"/>
          </w:tcPr>
          <w:p w14:paraId="07AECFF2" w14:textId="4F12DD56"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OP železniční trati, OP komunikačního vedení</w:t>
            </w:r>
          </w:p>
        </w:tc>
      </w:tr>
      <w:tr w:rsidR="002D0BDA" w:rsidRPr="006070EA" w14:paraId="669932CC" w14:textId="77777777" w:rsidTr="005038EA">
        <w:trPr>
          <w:cantSplit/>
        </w:trPr>
        <w:tc>
          <w:tcPr>
            <w:tcW w:w="2705" w:type="dxa"/>
          </w:tcPr>
          <w:p w14:paraId="48D10DEE"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vztah k platné ÚPD (ZÚR, ÚPO)</w:t>
            </w:r>
          </w:p>
        </w:tc>
        <w:tc>
          <w:tcPr>
            <w:tcW w:w="6581" w:type="dxa"/>
          </w:tcPr>
          <w:p w14:paraId="171047A5"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w:t>
            </w:r>
          </w:p>
        </w:tc>
      </w:tr>
      <w:tr w:rsidR="002D0BDA" w:rsidRPr="006070EA" w14:paraId="62DF5260" w14:textId="77777777" w:rsidTr="005038EA">
        <w:trPr>
          <w:cantSplit/>
        </w:trPr>
        <w:tc>
          <w:tcPr>
            <w:tcW w:w="2705" w:type="dxa"/>
          </w:tcPr>
          <w:p w14:paraId="1E3E9C3F"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vazba na veřejnou infrastrukturu (DI, TI)</w:t>
            </w:r>
          </w:p>
        </w:tc>
        <w:tc>
          <w:tcPr>
            <w:tcW w:w="6581" w:type="dxa"/>
          </w:tcPr>
          <w:p w14:paraId="62FCD216"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Přímá vazba na místní komunikace</w:t>
            </w:r>
          </w:p>
          <w:p w14:paraId="18146E7C"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Technická infrastruktura v dosahu (vodovod, plynovod, kanalizace)</w:t>
            </w:r>
          </w:p>
        </w:tc>
      </w:tr>
      <w:tr w:rsidR="002D0BDA" w:rsidRPr="006070EA" w14:paraId="67D329F3" w14:textId="77777777" w:rsidTr="005038EA">
        <w:trPr>
          <w:cantSplit/>
        </w:trPr>
        <w:tc>
          <w:tcPr>
            <w:tcW w:w="2705" w:type="dxa"/>
          </w:tcPr>
          <w:p w14:paraId="2C682A15"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vztah k zastavěnému území</w:t>
            </w:r>
          </w:p>
        </w:tc>
        <w:tc>
          <w:tcPr>
            <w:tcW w:w="6581" w:type="dxa"/>
          </w:tcPr>
          <w:p w14:paraId="33232F1D"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Plocha v přímé návaznosti na zastavěné území</w:t>
            </w:r>
          </w:p>
        </w:tc>
      </w:tr>
      <w:tr w:rsidR="002D0BDA" w:rsidRPr="006070EA" w14:paraId="6285EC43" w14:textId="77777777" w:rsidTr="005038EA">
        <w:trPr>
          <w:cantSplit/>
        </w:trPr>
        <w:tc>
          <w:tcPr>
            <w:tcW w:w="2705" w:type="dxa"/>
          </w:tcPr>
          <w:p w14:paraId="2AFD34E2"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dotčení půdního fondu (ZPF, LPF)</w:t>
            </w:r>
          </w:p>
        </w:tc>
        <w:tc>
          <w:tcPr>
            <w:tcW w:w="6581" w:type="dxa"/>
          </w:tcPr>
          <w:p w14:paraId="4EE28144"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ZPF III. třídy ochrany</w:t>
            </w:r>
          </w:p>
        </w:tc>
      </w:tr>
      <w:tr w:rsidR="002D0BDA" w:rsidRPr="006070EA" w14:paraId="6601DBCB" w14:textId="77777777" w:rsidTr="005038EA">
        <w:trPr>
          <w:cantSplit/>
        </w:trPr>
        <w:tc>
          <w:tcPr>
            <w:tcW w:w="2705" w:type="dxa"/>
          </w:tcPr>
          <w:p w14:paraId="46C5A905"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hlavní důvody vymezení plochy</w:t>
            </w:r>
          </w:p>
        </w:tc>
        <w:tc>
          <w:tcPr>
            <w:tcW w:w="6581" w:type="dxa"/>
          </w:tcPr>
          <w:p w14:paraId="27F20720" w14:textId="39527DB8"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Vytvoření podmínek pro rozvoj rezidenční funkce Kostomlat nad Labem. Plocha částečně vyplňuje prostor mezi železniční tratí a stávající zástavbou při ulici K Přejezdu. Plochou je doplňována urbanistická linie jižně od železniční trati, při zachování fyzického i vizuálního odstupu plochy trvalého bydlení od železnice vymezením navazující plochy veřejné zeleně Z</w:t>
            </w:r>
            <w:r w:rsidR="00961C8B" w:rsidRPr="006070EA">
              <w:rPr>
                <w:rFonts w:asciiTheme="majorHAnsi" w:eastAsia="Times New Roman" w:hAnsiTheme="majorHAnsi" w:cstheme="majorHAnsi"/>
                <w:bCs/>
                <w:iCs/>
                <w:sz w:val="18"/>
                <w:szCs w:val="20"/>
                <w:lang w:eastAsia="ar-SA"/>
              </w:rPr>
              <w:t>.</w:t>
            </w:r>
            <w:r w:rsidRPr="006070EA">
              <w:rPr>
                <w:rFonts w:asciiTheme="majorHAnsi" w:eastAsia="Times New Roman" w:hAnsiTheme="majorHAnsi" w:cstheme="majorHAnsi"/>
                <w:bCs/>
                <w:iCs/>
                <w:sz w:val="18"/>
                <w:szCs w:val="20"/>
                <w:lang w:eastAsia="ar-SA"/>
              </w:rPr>
              <w:t>12. Rozsah plochy Z</w:t>
            </w:r>
            <w:r w:rsidR="00961C8B" w:rsidRPr="006070EA">
              <w:rPr>
                <w:rFonts w:asciiTheme="majorHAnsi" w:eastAsia="Times New Roman" w:hAnsiTheme="majorHAnsi" w:cstheme="majorHAnsi"/>
                <w:bCs/>
                <w:iCs/>
                <w:sz w:val="18"/>
                <w:szCs w:val="20"/>
                <w:lang w:eastAsia="ar-SA"/>
              </w:rPr>
              <w:t>.</w:t>
            </w:r>
            <w:r w:rsidRPr="006070EA">
              <w:rPr>
                <w:rFonts w:asciiTheme="majorHAnsi" w:eastAsia="Times New Roman" w:hAnsiTheme="majorHAnsi" w:cstheme="majorHAnsi"/>
                <w:bCs/>
                <w:iCs/>
                <w:sz w:val="18"/>
                <w:szCs w:val="20"/>
                <w:lang w:eastAsia="ar-SA"/>
              </w:rPr>
              <w:t>11 byl stanoven i s ohledem na ochranu ZPF vysokých tříd ochrany v bezprostřední blízkosti při toku Hlubokého příkopu.</w:t>
            </w:r>
          </w:p>
          <w:p w14:paraId="0B081618"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Plocha je vymezena na základě potřebnosti rozvoje obytné funkce obce dle podrobné analýzy potřeby vymezení zastavitelných ploch pro bydlení (viz kapitola 10) a v souladu se základní koncepcí rozvoje území, která vychází z původního řešení ÚPO. </w:t>
            </w:r>
          </w:p>
          <w:p w14:paraId="5044446D" w14:textId="5F6B6BD5"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Při vymezení plochy byl rovněž prověřen požadavek na výstavbu RD v rámci p.</w:t>
            </w:r>
            <w:r w:rsidR="00ED0078" w:rsidRPr="006070EA">
              <w:rPr>
                <w:rFonts w:asciiTheme="majorHAnsi" w:eastAsia="Times New Roman" w:hAnsiTheme="majorHAnsi" w:cstheme="majorHAnsi"/>
                <w:bCs/>
                <w:iCs/>
                <w:sz w:val="18"/>
                <w:szCs w:val="20"/>
                <w:lang w:eastAsia="ar-SA"/>
              </w:rPr>
              <w:t xml:space="preserve"> </w:t>
            </w:r>
            <w:r w:rsidRPr="006070EA">
              <w:rPr>
                <w:rFonts w:asciiTheme="majorHAnsi" w:eastAsia="Times New Roman" w:hAnsiTheme="majorHAnsi" w:cstheme="majorHAnsi"/>
                <w:bCs/>
                <w:iCs/>
                <w:sz w:val="18"/>
                <w:szCs w:val="20"/>
                <w:lang w:eastAsia="ar-SA"/>
              </w:rPr>
              <w:t>č. 781/2 v k.</w:t>
            </w:r>
            <w:r w:rsidR="00ED0078" w:rsidRPr="006070EA">
              <w:rPr>
                <w:rFonts w:asciiTheme="majorHAnsi" w:eastAsia="Times New Roman" w:hAnsiTheme="majorHAnsi" w:cstheme="majorHAnsi"/>
                <w:bCs/>
                <w:iCs/>
                <w:sz w:val="18"/>
                <w:szCs w:val="20"/>
                <w:lang w:eastAsia="ar-SA"/>
              </w:rPr>
              <w:t xml:space="preserve"> </w:t>
            </w:r>
            <w:r w:rsidRPr="006070EA">
              <w:rPr>
                <w:rFonts w:asciiTheme="majorHAnsi" w:eastAsia="Times New Roman" w:hAnsiTheme="majorHAnsi" w:cstheme="majorHAnsi"/>
                <w:bCs/>
                <w:iCs/>
                <w:sz w:val="18"/>
                <w:szCs w:val="20"/>
                <w:lang w:eastAsia="ar-SA"/>
              </w:rPr>
              <w:t>ú. Kostomlaty nad Labem.</w:t>
            </w:r>
          </w:p>
        </w:tc>
      </w:tr>
      <w:tr w:rsidR="002D0BDA" w:rsidRPr="006070EA" w14:paraId="32CE382E" w14:textId="77777777" w:rsidTr="005038EA">
        <w:trPr>
          <w:cantSplit/>
        </w:trPr>
        <w:tc>
          <w:tcPr>
            <w:tcW w:w="2705" w:type="dxa"/>
          </w:tcPr>
          <w:p w14:paraId="7059DE8C" w14:textId="77777777" w:rsidR="002D0BDA" w:rsidRPr="00F46326"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F46326">
              <w:rPr>
                <w:rFonts w:asciiTheme="majorHAnsi" w:eastAsia="Times New Roman" w:hAnsiTheme="majorHAnsi" w:cstheme="majorHAnsi"/>
                <w:b/>
                <w:bCs/>
                <w:iCs/>
                <w:sz w:val="18"/>
                <w:szCs w:val="20"/>
                <w:lang w:eastAsia="ar-SA"/>
              </w:rPr>
              <w:t>související podmínky využití</w:t>
            </w:r>
          </w:p>
        </w:tc>
        <w:tc>
          <w:tcPr>
            <w:tcW w:w="6581" w:type="dxa"/>
          </w:tcPr>
          <w:p w14:paraId="42BB9EF7" w14:textId="2BEE9F9D" w:rsidR="002D0BDA" w:rsidRPr="00F46326" w:rsidRDefault="0097451F"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F46326">
              <w:rPr>
                <w:rFonts w:asciiTheme="majorHAnsi" w:eastAsia="Times New Roman" w:hAnsiTheme="majorHAnsi" w:cstheme="majorHAnsi"/>
                <w:bCs/>
                <w:iCs/>
                <w:sz w:val="18"/>
                <w:szCs w:val="20"/>
                <w:lang w:eastAsia="ar-SA"/>
              </w:rPr>
              <w:t>-</w:t>
            </w:r>
          </w:p>
        </w:tc>
      </w:tr>
    </w:tbl>
    <w:p w14:paraId="2C4E1D5F" w14:textId="77777777" w:rsidR="002D0BDA" w:rsidRPr="006070EA" w:rsidRDefault="002D0BDA" w:rsidP="002D0BDA">
      <w:pPr>
        <w:pStyle w:val="Atext"/>
        <w:rPr>
          <w:rFonts w:asciiTheme="majorHAnsi" w:hAnsiTheme="majorHAnsi" w:cstheme="majorHAnsi"/>
          <w:i/>
          <w:snapToGrid w:val="0"/>
          <w:color w:val="FF0000"/>
          <w:u w:val="single"/>
        </w:rPr>
      </w:pPr>
    </w:p>
    <w:tbl>
      <w:tblPr>
        <w:tblStyle w:val="Mkatabulky2"/>
        <w:tblW w:w="0" w:type="auto"/>
        <w:tblBorders>
          <w:left w:val="none" w:sz="0" w:space="0" w:color="auto"/>
          <w:right w:val="none" w:sz="0" w:space="0" w:color="auto"/>
          <w:insideV w:val="single" w:sz="12" w:space="0" w:color="auto"/>
        </w:tblBorders>
        <w:tblLook w:val="04A0" w:firstRow="1" w:lastRow="0" w:firstColumn="1" w:lastColumn="0" w:noHBand="0" w:noVBand="1"/>
      </w:tblPr>
      <w:tblGrid>
        <w:gridCol w:w="2658"/>
        <w:gridCol w:w="6412"/>
      </w:tblGrid>
      <w:tr w:rsidR="002D0BDA" w:rsidRPr="006070EA" w14:paraId="13A956CF" w14:textId="77777777" w:rsidTr="005038EA">
        <w:trPr>
          <w:cantSplit/>
          <w:tblHeader/>
        </w:trPr>
        <w:tc>
          <w:tcPr>
            <w:tcW w:w="2705" w:type="dxa"/>
            <w:shd w:val="clear" w:color="auto" w:fill="F2F2F2" w:themeFill="background1" w:themeFillShade="F2"/>
          </w:tcPr>
          <w:p w14:paraId="4BC98520" w14:textId="77777777" w:rsidR="002D0BDA" w:rsidRPr="006070EA" w:rsidRDefault="002D0BDA" w:rsidP="005038EA">
            <w:pPr>
              <w:keepNext/>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Zastavitelná plocha</w:t>
            </w:r>
          </w:p>
        </w:tc>
        <w:tc>
          <w:tcPr>
            <w:tcW w:w="6581" w:type="dxa"/>
            <w:shd w:val="clear" w:color="auto" w:fill="F2F2F2" w:themeFill="background1" w:themeFillShade="F2"/>
          </w:tcPr>
          <w:p w14:paraId="0D04FEA2" w14:textId="440A6A9F" w:rsidR="002D0BDA" w:rsidRPr="006070EA" w:rsidRDefault="002D0BDA" w:rsidP="005038EA">
            <w:pPr>
              <w:keepNext/>
              <w:tabs>
                <w:tab w:val="center" w:pos="4536"/>
                <w:tab w:val="right" w:pos="9072"/>
              </w:tabs>
              <w:suppressAutoHyphens/>
              <w:spacing w:before="40" w:after="40"/>
              <w:jc w:val="both"/>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w:t>
            </w:r>
            <w:r w:rsidR="00961C8B" w:rsidRPr="006070EA">
              <w:rPr>
                <w:rFonts w:asciiTheme="majorHAnsi" w:eastAsia="Times New Roman" w:hAnsiTheme="majorHAnsi" w:cstheme="majorHAnsi"/>
                <w:b/>
                <w:bCs/>
                <w:iCs/>
                <w:sz w:val="18"/>
                <w:szCs w:val="20"/>
                <w:lang w:eastAsia="ar-SA"/>
              </w:rPr>
              <w:t>.</w:t>
            </w:r>
            <w:r w:rsidRPr="006070EA">
              <w:rPr>
                <w:rFonts w:asciiTheme="majorHAnsi" w:eastAsia="Times New Roman" w:hAnsiTheme="majorHAnsi" w:cstheme="majorHAnsi"/>
                <w:b/>
                <w:bCs/>
                <w:iCs/>
                <w:sz w:val="18"/>
                <w:szCs w:val="20"/>
                <w:lang w:eastAsia="ar-SA"/>
              </w:rPr>
              <w:t>12</w:t>
            </w:r>
          </w:p>
        </w:tc>
      </w:tr>
      <w:tr w:rsidR="002D0BDA" w:rsidRPr="006070EA" w14:paraId="45671A12" w14:textId="77777777" w:rsidTr="005038EA">
        <w:trPr>
          <w:cantSplit/>
        </w:trPr>
        <w:tc>
          <w:tcPr>
            <w:tcW w:w="2705" w:type="dxa"/>
          </w:tcPr>
          <w:p w14:paraId="62740163"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způsob využití</w:t>
            </w:r>
          </w:p>
        </w:tc>
        <w:tc>
          <w:tcPr>
            <w:tcW w:w="6581" w:type="dxa"/>
            <w:vAlign w:val="center"/>
          </w:tcPr>
          <w:p w14:paraId="17662A07" w14:textId="61B6324D" w:rsidR="002D0BDA" w:rsidRPr="006070EA" w:rsidRDefault="00961C8B" w:rsidP="005038EA">
            <w:pPr>
              <w:tabs>
                <w:tab w:val="center" w:pos="4536"/>
                <w:tab w:val="right" w:pos="9072"/>
              </w:tabs>
              <w:suppressAutoHyphens/>
              <w:spacing w:before="40" w:after="40"/>
              <w:jc w:val="both"/>
              <w:rPr>
                <w:rFonts w:asciiTheme="majorHAnsi" w:eastAsia="Times New Roman" w:hAnsiTheme="majorHAnsi" w:cstheme="majorHAnsi"/>
                <w:sz w:val="18"/>
                <w:szCs w:val="18"/>
                <w:lang w:eastAsia="cs-CZ"/>
              </w:rPr>
            </w:pPr>
            <w:r w:rsidRPr="006070EA">
              <w:rPr>
                <w:rFonts w:asciiTheme="majorHAnsi" w:eastAsia="Times New Roman" w:hAnsiTheme="majorHAnsi" w:cstheme="majorHAnsi"/>
                <w:sz w:val="18"/>
                <w:szCs w:val="18"/>
                <w:lang w:eastAsia="cs-CZ"/>
              </w:rPr>
              <w:t>ZP – zeleň – parky a parkově upravené plochy</w:t>
            </w:r>
            <w:r w:rsidR="002D0BDA" w:rsidRPr="006070EA">
              <w:rPr>
                <w:rFonts w:asciiTheme="majorHAnsi" w:eastAsia="Times New Roman" w:hAnsiTheme="majorHAnsi" w:cstheme="majorHAnsi"/>
                <w:sz w:val="18"/>
                <w:szCs w:val="18"/>
                <w:lang w:eastAsia="cs-CZ"/>
              </w:rPr>
              <w:t xml:space="preserve"> </w:t>
            </w:r>
          </w:p>
        </w:tc>
      </w:tr>
      <w:tr w:rsidR="002D0BDA" w:rsidRPr="006070EA" w14:paraId="3393BEC9" w14:textId="77777777" w:rsidTr="005038EA">
        <w:trPr>
          <w:cantSplit/>
        </w:trPr>
        <w:tc>
          <w:tcPr>
            <w:tcW w:w="2705" w:type="dxa"/>
          </w:tcPr>
          <w:p w14:paraId="1F6001FA"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limity využití území</w:t>
            </w:r>
          </w:p>
        </w:tc>
        <w:tc>
          <w:tcPr>
            <w:tcW w:w="6581" w:type="dxa"/>
          </w:tcPr>
          <w:p w14:paraId="41389AB4" w14:textId="0ED9F08C"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OP železniční trati, koridor </w:t>
            </w:r>
            <w:r w:rsidR="00961C8B" w:rsidRPr="006070EA">
              <w:rPr>
                <w:rFonts w:asciiTheme="majorHAnsi" w:eastAsia="Times New Roman" w:hAnsiTheme="majorHAnsi" w:cstheme="majorHAnsi"/>
                <w:bCs/>
                <w:iCs/>
                <w:sz w:val="18"/>
                <w:szCs w:val="20"/>
                <w:lang w:eastAsia="ar-SA"/>
              </w:rPr>
              <w:t>CN</w:t>
            </w:r>
            <w:r w:rsidR="0097451F">
              <w:rPr>
                <w:rFonts w:asciiTheme="majorHAnsi" w:eastAsia="Times New Roman" w:hAnsiTheme="majorHAnsi" w:cstheme="majorHAnsi"/>
                <w:bCs/>
                <w:iCs/>
                <w:sz w:val="18"/>
                <w:szCs w:val="20"/>
                <w:lang w:eastAsia="ar-SA"/>
              </w:rPr>
              <w:t>Z.D322</w:t>
            </w:r>
            <w:r w:rsidRPr="006070EA">
              <w:rPr>
                <w:rFonts w:asciiTheme="majorHAnsi" w:eastAsia="Times New Roman" w:hAnsiTheme="majorHAnsi" w:cstheme="majorHAnsi"/>
                <w:bCs/>
                <w:iCs/>
                <w:sz w:val="18"/>
                <w:szCs w:val="20"/>
                <w:lang w:eastAsia="ar-SA"/>
              </w:rPr>
              <w:t>, OP komunikačního vedení, ÚSES</w:t>
            </w:r>
          </w:p>
        </w:tc>
      </w:tr>
      <w:tr w:rsidR="002D0BDA" w:rsidRPr="006070EA" w14:paraId="02243C52" w14:textId="77777777" w:rsidTr="005038EA">
        <w:trPr>
          <w:cantSplit/>
        </w:trPr>
        <w:tc>
          <w:tcPr>
            <w:tcW w:w="2705" w:type="dxa"/>
          </w:tcPr>
          <w:p w14:paraId="460B053A"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vztah k platné ÚPD (ZÚR, ÚPO)</w:t>
            </w:r>
          </w:p>
        </w:tc>
        <w:tc>
          <w:tcPr>
            <w:tcW w:w="6581" w:type="dxa"/>
          </w:tcPr>
          <w:p w14:paraId="2FD4649A"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w:t>
            </w:r>
          </w:p>
        </w:tc>
      </w:tr>
      <w:tr w:rsidR="002D0BDA" w:rsidRPr="006070EA" w14:paraId="0B9AF129" w14:textId="77777777" w:rsidTr="005038EA">
        <w:trPr>
          <w:cantSplit/>
        </w:trPr>
        <w:tc>
          <w:tcPr>
            <w:tcW w:w="2705" w:type="dxa"/>
          </w:tcPr>
          <w:p w14:paraId="432AB722"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vazba na veřejnou infrastrukturu (DI, TI)</w:t>
            </w:r>
          </w:p>
        </w:tc>
        <w:tc>
          <w:tcPr>
            <w:tcW w:w="6581" w:type="dxa"/>
          </w:tcPr>
          <w:p w14:paraId="58C066AC"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Přímá vazba na místní komunikace</w:t>
            </w:r>
          </w:p>
          <w:p w14:paraId="682FC4BA"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Technická infrastruktura v dosahu (vodovod, plynovod, kanalizace)</w:t>
            </w:r>
          </w:p>
        </w:tc>
      </w:tr>
      <w:tr w:rsidR="002D0BDA" w:rsidRPr="006070EA" w14:paraId="582090CA" w14:textId="77777777" w:rsidTr="005038EA">
        <w:trPr>
          <w:cantSplit/>
        </w:trPr>
        <w:tc>
          <w:tcPr>
            <w:tcW w:w="2705" w:type="dxa"/>
          </w:tcPr>
          <w:p w14:paraId="52226059"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vztah k zastavěnému území</w:t>
            </w:r>
          </w:p>
        </w:tc>
        <w:tc>
          <w:tcPr>
            <w:tcW w:w="6581" w:type="dxa"/>
          </w:tcPr>
          <w:p w14:paraId="0BD727DA"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Plocha v přímé návaznosti na zastavěné území</w:t>
            </w:r>
          </w:p>
        </w:tc>
      </w:tr>
      <w:tr w:rsidR="002D0BDA" w:rsidRPr="006070EA" w14:paraId="3C740F39" w14:textId="77777777" w:rsidTr="005038EA">
        <w:trPr>
          <w:cantSplit/>
        </w:trPr>
        <w:tc>
          <w:tcPr>
            <w:tcW w:w="2705" w:type="dxa"/>
          </w:tcPr>
          <w:p w14:paraId="745F70DE"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dotčení půdního fondu (ZPF, LPF)</w:t>
            </w:r>
          </w:p>
        </w:tc>
        <w:tc>
          <w:tcPr>
            <w:tcW w:w="6581" w:type="dxa"/>
          </w:tcPr>
          <w:p w14:paraId="0C79EC8A"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ZPF I. a III. třídy ochrany</w:t>
            </w:r>
          </w:p>
        </w:tc>
      </w:tr>
      <w:tr w:rsidR="002D0BDA" w:rsidRPr="006070EA" w14:paraId="5BE8B835" w14:textId="77777777" w:rsidTr="005038EA">
        <w:trPr>
          <w:cantSplit/>
        </w:trPr>
        <w:tc>
          <w:tcPr>
            <w:tcW w:w="2705" w:type="dxa"/>
          </w:tcPr>
          <w:p w14:paraId="4B78D42D"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hlavní důvody vymezení plochy</w:t>
            </w:r>
          </w:p>
        </w:tc>
        <w:tc>
          <w:tcPr>
            <w:tcW w:w="6581" w:type="dxa"/>
          </w:tcPr>
          <w:p w14:paraId="75708D59" w14:textId="48567A76"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Plocha veřejné zeleně byla vymezena v prostoru mezi železniční tratí, tokem Hlubokého příkopu a zastavitelnou plochou trvalého bydlení Z</w:t>
            </w:r>
            <w:r w:rsidR="00961C8B" w:rsidRPr="006070EA">
              <w:rPr>
                <w:rFonts w:asciiTheme="majorHAnsi" w:eastAsia="Times New Roman" w:hAnsiTheme="majorHAnsi" w:cstheme="majorHAnsi"/>
                <w:bCs/>
                <w:iCs/>
                <w:sz w:val="18"/>
                <w:szCs w:val="20"/>
                <w:lang w:eastAsia="ar-SA"/>
              </w:rPr>
              <w:t>.</w:t>
            </w:r>
            <w:r w:rsidRPr="006070EA">
              <w:rPr>
                <w:rFonts w:asciiTheme="majorHAnsi" w:eastAsia="Times New Roman" w:hAnsiTheme="majorHAnsi" w:cstheme="majorHAnsi"/>
                <w:bCs/>
                <w:iCs/>
                <w:sz w:val="18"/>
                <w:szCs w:val="20"/>
                <w:lang w:eastAsia="ar-SA"/>
              </w:rPr>
              <w:t>11. Vymezením je zachována prostupnost územím západovýchodním směrem mimo jiné i pro navrhovanou cyklotrasu a zároveň je fyzicky i vizuálně oddělena plocha trvalého bydlení od železniční trati pro zajištění dobré kvality bydlení v ploše Z</w:t>
            </w:r>
            <w:r w:rsidR="00961C8B" w:rsidRPr="006070EA">
              <w:rPr>
                <w:rFonts w:asciiTheme="majorHAnsi" w:eastAsia="Times New Roman" w:hAnsiTheme="majorHAnsi" w:cstheme="majorHAnsi"/>
                <w:bCs/>
                <w:iCs/>
                <w:sz w:val="18"/>
                <w:szCs w:val="20"/>
                <w:lang w:eastAsia="ar-SA"/>
              </w:rPr>
              <w:t>.</w:t>
            </w:r>
            <w:r w:rsidRPr="006070EA">
              <w:rPr>
                <w:rFonts w:asciiTheme="majorHAnsi" w:eastAsia="Times New Roman" w:hAnsiTheme="majorHAnsi" w:cstheme="majorHAnsi"/>
                <w:bCs/>
                <w:iCs/>
                <w:sz w:val="18"/>
                <w:szCs w:val="20"/>
                <w:lang w:eastAsia="ar-SA"/>
              </w:rPr>
              <w:t>11. Plochou je oddělena plocha Z</w:t>
            </w:r>
            <w:r w:rsidR="00961C8B" w:rsidRPr="006070EA">
              <w:rPr>
                <w:rFonts w:asciiTheme="majorHAnsi" w:eastAsia="Times New Roman" w:hAnsiTheme="majorHAnsi" w:cstheme="majorHAnsi"/>
                <w:bCs/>
                <w:iCs/>
                <w:sz w:val="18"/>
                <w:szCs w:val="20"/>
                <w:lang w:eastAsia="ar-SA"/>
              </w:rPr>
              <w:t>.</w:t>
            </w:r>
            <w:r w:rsidRPr="006070EA">
              <w:rPr>
                <w:rFonts w:asciiTheme="majorHAnsi" w:eastAsia="Times New Roman" w:hAnsiTheme="majorHAnsi" w:cstheme="majorHAnsi"/>
                <w:bCs/>
                <w:iCs/>
                <w:sz w:val="18"/>
                <w:szCs w:val="20"/>
                <w:lang w:eastAsia="ar-SA"/>
              </w:rPr>
              <w:t>11 od vodního toku pro zajištění funkcí lokálního biokoridoru L</w:t>
            </w:r>
            <w:r w:rsidR="00961C8B" w:rsidRPr="006070EA">
              <w:rPr>
                <w:rFonts w:asciiTheme="majorHAnsi" w:eastAsia="Times New Roman" w:hAnsiTheme="majorHAnsi" w:cstheme="majorHAnsi"/>
                <w:bCs/>
                <w:iCs/>
                <w:sz w:val="18"/>
                <w:szCs w:val="20"/>
                <w:lang w:eastAsia="ar-SA"/>
              </w:rPr>
              <w:t>B</w:t>
            </w:r>
            <w:r w:rsidRPr="006070EA">
              <w:rPr>
                <w:rFonts w:asciiTheme="majorHAnsi" w:eastAsia="Times New Roman" w:hAnsiTheme="majorHAnsi" w:cstheme="majorHAnsi"/>
                <w:bCs/>
                <w:iCs/>
                <w:sz w:val="18"/>
                <w:szCs w:val="20"/>
                <w:lang w:eastAsia="ar-SA"/>
              </w:rPr>
              <w:t>K</w:t>
            </w:r>
            <w:r w:rsidR="00961C8B" w:rsidRPr="006070EA">
              <w:rPr>
                <w:rFonts w:asciiTheme="majorHAnsi" w:eastAsia="Times New Roman" w:hAnsiTheme="majorHAnsi" w:cstheme="majorHAnsi"/>
                <w:bCs/>
                <w:iCs/>
                <w:sz w:val="18"/>
                <w:szCs w:val="20"/>
                <w:lang w:eastAsia="ar-SA"/>
              </w:rPr>
              <w:t>.</w:t>
            </w:r>
            <w:r w:rsidRPr="006070EA">
              <w:rPr>
                <w:rFonts w:asciiTheme="majorHAnsi" w:eastAsia="Times New Roman" w:hAnsiTheme="majorHAnsi" w:cstheme="majorHAnsi"/>
                <w:bCs/>
                <w:iCs/>
                <w:sz w:val="18"/>
                <w:szCs w:val="20"/>
                <w:lang w:eastAsia="ar-SA"/>
              </w:rPr>
              <w:t>1.</w:t>
            </w:r>
          </w:p>
          <w:p w14:paraId="79EB88B6" w14:textId="41D69052"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Při vymezení plochy byl rovněž prověřen požadavek na výstavbu RD v rámci p.</w:t>
            </w:r>
            <w:r w:rsidR="00ED0078" w:rsidRPr="006070EA">
              <w:rPr>
                <w:rFonts w:asciiTheme="majorHAnsi" w:eastAsia="Times New Roman" w:hAnsiTheme="majorHAnsi" w:cstheme="majorHAnsi"/>
                <w:bCs/>
                <w:iCs/>
                <w:sz w:val="18"/>
                <w:szCs w:val="20"/>
                <w:lang w:eastAsia="ar-SA"/>
              </w:rPr>
              <w:t xml:space="preserve"> </w:t>
            </w:r>
            <w:r w:rsidRPr="006070EA">
              <w:rPr>
                <w:rFonts w:asciiTheme="majorHAnsi" w:eastAsia="Times New Roman" w:hAnsiTheme="majorHAnsi" w:cstheme="majorHAnsi"/>
                <w:bCs/>
                <w:iCs/>
                <w:sz w:val="18"/>
                <w:szCs w:val="20"/>
                <w:lang w:eastAsia="ar-SA"/>
              </w:rPr>
              <w:t>č. 781/2 v k.</w:t>
            </w:r>
            <w:r w:rsidR="00ED0078" w:rsidRPr="006070EA">
              <w:rPr>
                <w:rFonts w:asciiTheme="majorHAnsi" w:eastAsia="Times New Roman" w:hAnsiTheme="majorHAnsi" w:cstheme="majorHAnsi"/>
                <w:bCs/>
                <w:iCs/>
                <w:sz w:val="18"/>
                <w:szCs w:val="20"/>
                <w:lang w:eastAsia="ar-SA"/>
              </w:rPr>
              <w:t xml:space="preserve"> </w:t>
            </w:r>
            <w:r w:rsidRPr="006070EA">
              <w:rPr>
                <w:rFonts w:asciiTheme="majorHAnsi" w:eastAsia="Times New Roman" w:hAnsiTheme="majorHAnsi" w:cstheme="majorHAnsi"/>
                <w:bCs/>
                <w:iCs/>
                <w:sz w:val="18"/>
                <w:szCs w:val="20"/>
                <w:lang w:eastAsia="ar-SA"/>
              </w:rPr>
              <w:t>ú. Kostomlaty nad Labem.</w:t>
            </w:r>
          </w:p>
        </w:tc>
      </w:tr>
      <w:tr w:rsidR="002D0BDA" w:rsidRPr="006070EA" w14:paraId="111E77DC" w14:textId="77777777" w:rsidTr="005038EA">
        <w:trPr>
          <w:cantSplit/>
        </w:trPr>
        <w:tc>
          <w:tcPr>
            <w:tcW w:w="2705" w:type="dxa"/>
          </w:tcPr>
          <w:p w14:paraId="09EFC078"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související podmínky využití</w:t>
            </w:r>
          </w:p>
        </w:tc>
        <w:tc>
          <w:tcPr>
            <w:tcW w:w="6581" w:type="dxa"/>
          </w:tcPr>
          <w:p w14:paraId="4DB76EB2" w14:textId="60B79142"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Respektovat podmínky stanovené v koridoru </w:t>
            </w:r>
            <w:r w:rsidR="0097451F" w:rsidRPr="0097451F">
              <w:rPr>
                <w:rFonts w:asciiTheme="majorHAnsi" w:eastAsia="Times New Roman" w:hAnsiTheme="majorHAnsi" w:cstheme="majorHAnsi"/>
                <w:bCs/>
                <w:iCs/>
                <w:sz w:val="18"/>
                <w:szCs w:val="20"/>
                <w:lang w:eastAsia="ar-SA"/>
              </w:rPr>
              <w:t>CNZ.D322</w:t>
            </w:r>
            <w:r w:rsidRPr="006070EA">
              <w:rPr>
                <w:rFonts w:asciiTheme="majorHAnsi" w:eastAsia="Times New Roman" w:hAnsiTheme="majorHAnsi" w:cstheme="majorHAnsi"/>
                <w:bCs/>
                <w:iCs/>
                <w:sz w:val="18"/>
                <w:szCs w:val="20"/>
                <w:lang w:eastAsia="ar-SA"/>
              </w:rPr>
              <w:t>.</w:t>
            </w:r>
          </w:p>
        </w:tc>
      </w:tr>
    </w:tbl>
    <w:p w14:paraId="58E8FA8D" w14:textId="77777777" w:rsidR="002D0BDA" w:rsidRPr="006070EA" w:rsidRDefault="002D0BDA" w:rsidP="002D0BDA">
      <w:pPr>
        <w:pStyle w:val="Atext"/>
        <w:rPr>
          <w:rFonts w:asciiTheme="majorHAnsi" w:hAnsiTheme="majorHAnsi" w:cstheme="majorHAnsi"/>
          <w:i/>
          <w:snapToGrid w:val="0"/>
          <w:color w:val="FF0000"/>
          <w:u w:val="single"/>
        </w:rPr>
      </w:pPr>
    </w:p>
    <w:tbl>
      <w:tblPr>
        <w:tblStyle w:val="Mkatabulky2"/>
        <w:tblW w:w="0" w:type="auto"/>
        <w:tblBorders>
          <w:left w:val="none" w:sz="0" w:space="0" w:color="auto"/>
          <w:right w:val="none" w:sz="0" w:space="0" w:color="auto"/>
          <w:insideV w:val="single" w:sz="12" w:space="0" w:color="auto"/>
        </w:tblBorders>
        <w:tblLook w:val="04A0" w:firstRow="1" w:lastRow="0" w:firstColumn="1" w:lastColumn="0" w:noHBand="0" w:noVBand="1"/>
      </w:tblPr>
      <w:tblGrid>
        <w:gridCol w:w="2659"/>
        <w:gridCol w:w="6411"/>
      </w:tblGrid>
      <w:tr w:rsidR="002D0BDA" w:rsidRPr="006070EA" w14:paraId="2BFBB24A" w14:textId="77777777" w:rsidTr="005038EA">
        <w:trPr>
          <w:cantSplit/>
          <w:tblHeader/>
        </w:trPr>
        <w:tc>
          <w:tcPr>
            <w:tcW w:w="2705" w:type="dxa"/>
            <w:shd w:val="clear" w:color="auto" w:fill="F2F2F2" w:themeFill="background1" w:themeFillShade="F2"/>
          </w:tcPr>
          <w:p w14:paraId="7CE0E5EF" w14:textId="77777777" w:rsidR="002D0BDA" w:rsidRPr="006070EA" w:rsidRDefault="002D0BDA" w:rsidP="005038EA">
            <w:pPr>
              <w:keepNext/>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Zastavitelná plocha</w:t>
            </w:r>
          </w:p>
        </w:tc>
        <w:tc>
          <w:tcPr>
            <w:tcW w:w="6581" w:type="dxa"/>
            <w:shd w:val="clear" w:color="auto" w:fill="F2F2F2" w:themeFill="background1" w:themeFillShade="F2"/>
          </w:tcPr>
          <w:p w14:paraId="5AE2058C" w14:textId="4E7B2A6C" w:rsidR="002D0BDA" w:rsidRPr="006070EA" w:rsidRDefault="002D0BDA" w:rsidP="005038EA">
            <w:pPr>
              <w:keepNext/>
              <w:tabs>
                <w:tab w:val="center" w:pos="4536"/>
                <w:tab w:val="right" w:pos="9072"/>
              </w:tabs>
              <w:suppressAutoHyphens/>
              <w:spacing w:before="40" w:after="40"/>
              <w:jc w:val="both"/>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w:t>
            </w:r>
            <w:r w:rsidR="00961C8B" w:rsidRPr="006070EA">
              <w:rPr>
                <w:rFonts w:asciiTheme="majorHAnsi" w:eastAsia="Times New Roman" w:hAnsiTheme="majorHAnsi" w:cstheme="majorHAnsi"/>
                <w:b/>
                <w:bCs/>
                <w:iCs/>
                <w:sz w:val="18"/>
                <w:szCs w:val="20"/>
                <w:lang w:eastAsia="ar-SA"/>
              </w:rPr>
              <w:t>.</w:t>
            </w:r>
            <w:r w:rsidRPr="006070EA">
              <w:rPr>
                <w:rFonts w:asciiTheme="majorHAnsi" w:eastAsia="Times New Roman" w:hAnsiTheme="majorHAnsi" w:cstheme="majorHAnsi"/>
                <w:b/>
                <w:bCs/>
                <w:iCs/>
                <w:sz w:val="18"/>
                <w:szCs w:val="20"/>
                <w:lang w:eastAsia="ar-SA"/>
              </w:rPr>
              <w:t>13</w:t>
            </w:r>
          </w:p>
        </w:tc>
      </w:tr>
      <w:tr w:rsidR="002D0BDA" w:rsidRPr="006070EA" w14:paraId="6C28F23C" w14:textId="77777777" w:rsidTr="005038EA">
        <w:trPr>
          <w:cantSplit/>
        </w:trPr>
        <w:tc>
          <w:tcPr>
            <w:tcW w:w="2705" w:type="dxa"/>
          </w:tcPr>
          <w:p w14:paraId="71F37FF8"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způsob využití</w:t>
            </w:r>
          </w:p>
        </w:tc>
        <w:tc>
          <w:tcPr>
            <w:tcW w:w="6581" w:type="dxa"/>
            <w:vAlign w:val="center"/>
          </w:tcPr>
          <w:p w14:paraId="25814B0D" w14:textId="6E5920C2"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sz w:val="18"/>
                <w:szCs w:val="18"/>
                <w:lang w:eastAsia="cs-CZ"/>
              </w:rPr>
              <w:t>VL –</w:t>
            </w:r>
            <w:r w:rsidR="000C479F" w:rsidRPr="006070EA">
              <w:rPr>
                <w:rFonts w:asciiTheme="majorHAnsi" w:eastAsia="Times New Roman" w:hAnsiTheme="majorHAnsi" w:cstheme="majorHAnsi"/>
                <w:sz w:val="18"/>
                <w:szCs w:val="18"/>
                <w:lang w:eastAsia="cs-CZ"/>
              </w:rPr>
              <w:t xml:space="preserve"> </w:t>
            </w:r>
            <w:r w:rsidRPr="006070EA">
              <w:rPr>
                <w:rFonts w:asciiTheme="majorHAnsi" w:eastAsia="Times New Roman" w:hAnsiTheme="majorHAnsi" w:cstheme="majorHAnsi"/>
                <w:sz w:val="18"/>
                <w:szCs w:val="18"/>
                <w:lang w:eastAsia="cs-CZ"/>
              </w:rPr>
              <w:t xml:space="preserve">výroba </w:t>
            </w:r>
            <w:r w:rsidR="00961C8B" w:rsidRPr="006070EA">
              <w:rPr>
                <w:rFonts w:asciiTheme="majorHAnsi" w:eastAsia="Times New Roman" w:hAnsiTheme="majorHAnsi" w:cstheme="majorHAnsi"/>
                <w:sz w:val="18"/>
                <w:szCs w:val="18"/>
                <w:lang w:eastAsia="cs-CZ"/>
              </w:rPr>
              <w:t>lehká</w:t>
            </w:r>
            <w:r w:rsidRPr="006070EA">
              <w:rPr>
                <w:rFonts w:asciiTheme="majorHAnsi" w:eastAsia="Times New Roman" w:hAnsiTheme="majorHAnsi" w:cstheme="majorHAnsi"/>
                <w:sz w:val="18"/>
                <w:szCs w:val="18"/>
                <w:lang w:eastAsia="cs-CZ"/>
              </w:rPr>
              <w:t xml:space="preserve"> </w:t>
            </w:r>
          </w:p>
        </w:tc>
      </w:tr>
      <w:tr w:rsidR="002D0BDA" w:rsidRPr="006070EA" w14:paraId="70F110F3" w14:textId="77777777" w:rsidTr="005038EA">
        <w:trPr>
          <w:cantSplit/>
        </w:trPr>
        <w:tc>
          <w:tcPr>
            <w:tcW w:w="2705" w:type="dxa"/>
          </w:tcPr>
          <w:p w14:paraId="79E1D0B1"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limity využití území</w:t>
            </w:r>
          </w:p>
        </w:tc>
        <w:tc>
          <w:tcPr>
            <w:tcW w:w="6581" w:type="dxa"/>
          </w:tcPr>
          <w:p w14:paraId="671021E4" w14:textId="4F8536D3"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OP silnice II. třídy (II/331); OP železniční trati, koridor </w:t>
            </w:r>
            <w:r w:rsidR="0097451F" w:rsidRPr="0097451F">
              <w:rPr>
                <w:rFonts w:asciiTheme="majorHAnsi" w:eastAsia="Times New Roman" w:hAnsiTheme="majorHAnsi" w:cstheme="majorHAnsi"/>
                <w:bCs/>
                <w:iCs/>
                <w:sz w:val="18"/>
                <w:szCs w:val="20"/>
                <w:lang w:eastAsia="ar-SA"/>
              </w:rPr>
              <w:t>CNZ.D322</w:t>
            </w:r>
            <w:r w:rsidRPr="006070EA">
              <w:rPr>
                <w:rFonts w:asciiTheme="majorHAnsi" w:eastAsia="Times New Roman" w:hAnsiTheme="majorHAnsi" w:cstheme="majorHAnsi"/>
                <w:bCs/>
                <w:iCs/>
                <w:sz w:val="18"/>
                <w:szCs w:val="20"/>
                <w:lang w:eastAsia="ar-SA"/>
              </w:rPr>
              <w:t>, OP komunikačního vedení, radioreléová trasa</w:t>
            </w:r>
            <w:r w:rsidR="00C208DE">
              <w:rPr>
                <w:rFonts w:asciiTheme="majorHAnsi" w:eastAsia="Times New Roman" w:hAnsiTheme="majorHAnsi" w:cstheme="majorHAnsi"/>
                <w:bCs/>
                <w:iCs/>
                <w:sz w:val="18"/>
                <w:szCs w:val="20"/>
                <w:lang w:eastAsia="ar-SA"/>
              </w:rPr>
              <w:t xml:space="preserve">, </w:t>
            </w:r>
            <w:r w:rsidR="00C208DE" w:rsidRPr="006070EA">
              <w:rPr>
                <w:rFonts w:asciiTheme="majorHAnsi" w:eastAsia="Times New Roman" w:hAnsiTheme="majorHAnsi" w:cstheme="majorHAnsi"/>
                <w:bCs/>
                <w:iCs/>
                <w:sz w:val="18"/>
                <w:szCs w:val="20"/>
                <w:lang w:eastAsia="ar-SA"/>
              </w:rPr>
              <w:t>koridor CNU.KD</w:t>
            </w:r>
            <w:r w:rsidR="00C208DE">
              <w:rPr>
                <w:rFonts w:asciiTheme="majorHAnsi" w:eastAsia="Times New Roman" w:hAnsiTheme="majorHAnsi" w:cstheme="majorHAnsi"/>
                <w:bCs/>
                <w:iCs/>
                <w:sz w:val="18"/>
                <w:szCs w:val="20"/>
                <w:lang w:eastAsia="ar-SA"/>
              </w:rPr>
              <w:t>3</w:t>
            </w:r>
          </w:p>
        </w:tc>
      </w:tr>
      <w:tr w:rsidR="002D0BDA" w:rsidRPr="006070EA" w14:paraId="58F6851F" w14:textId="77777777" w:rsidTr="005038EA">
        <w:trPr>
          <w:cantSplit/>
        </w:trPr>
        <w:tc>
          <w:tcPr>
            <w:tcW w:w="2705" w:type="dxa"/>
          </w:tcPr>
          <w:p w14:paraId="6B243468"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vztah k platné ÚPD (ZÚR, ÚPO)</w:t>
            </w:r>
          </w:p>
        </w:tc>
        <w:tc>
          <w:tcPr>
            <w:tcW w:w="6581" w:type="dxa"/>
          </w:tcPr>
          <w:p w14:paraId="66FB7CFB"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částečně převzato z ÚPO</w:t>
            </w:r>
          </w:p>
        </w:tc>
      </w:tr>
      <w:tr w:rsidR="002D0BDA" w:rsidRPr="006070EA" w14:paraId="1DA43EEE" w14:textId="77777777" w:rsidTr="005038EA">
        <w:trPr>
          <w:cantSplit/>
        </w:trPr>
        <w:tc>
          <w:tcPr>
            <w:tcW w:w="2705" w:type="dxa"/>
          </w:tcPr>
          <w:p w14:paraId="045DCB3C"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lastRenderedPageBreak/>
              <w:t>vazba na veřejnou infrastrukturu (DI, TI)</w:t>
            </w:r>
          </w:p>
        </w:tc>
        <w:tc>
          <w:tcPr>
            <w:tcW w:w="6581" w:type="dxa"/>
          </w:tcPr>
          <w:p w14:paraId="1D4A6F87"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Přímá vazba na místní komunikace</w:t>
            </w:r>
          </w:p>
          <w:p w14:paraId="4BA54065"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Technická infrastruktura v dosahu (vodovod, plynovod, kanalizace)</w:t>
            </w:r>
          </w:p>
        </w:tc>
      </w:tr>
      <w:tr w:rsidR="002D0BDA" w:rsidRPr="006070EA" w14:paraId="674EB0BE" w14:textId="77777777" w:rsidTr="005038EA">
        <w:trPr>
          <w:cantSplit/>
        </w:trPr>
        <w:tc>
          <w:tcPr>
            <w:tcW w:w="2705" w:type="dxa"/>
          </w:tcPr>
          <w:p w14:paraId="410EFAF1"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vztah k zastavěnému území</w:t>
            </w:r>
          </w:p>
        </w:tc>
        <w:tc>
          <w:tcPr>
            <w:tcW w:w="6581" w:type="dxa"/>
          </w:tcPr>
          <w:p w14:paraId="76BDB827"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Plocha v přímé návaznosti na zastavěné území</w:t>
            </w:r>
          </w:p>
        </w:tc>
      </w:tr>
      <w:tr w:rsidR="002D0BDA" w:rsidRPr="006070EA" w14:paraId="374B7678" w14:textId="77777777" w:rsidTr="005038EA">
        <w:trPr>
          <w:cantSplit/>
        </w:trPr>
        <w:tc>
          <w:tcPr>
            <w:tcW w:w="2705" w:type="dxa"/>
          </w:tcPr>
          <w:p w14:paraId="50DF5D89"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dotčení půdního fondu (ZPF, LPF)</w:t>
            </w:r>
          </w:p>
        </w:tc>
        <w:tc>
          <w:tcPr>
            <w:tcW w:w="6581" w:type="dxa"/>
          </w:tcPr>
          <w:p w14:paraId="24143BEB"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ZPF I., III. a IV. třídy ochrany</w:t>
            </w:r>
          </w:p>
        </w:tc>
      </w:tr>
      <w:tr w:rsidR="002D0BDA" w:rsidRPr="006070EA" w14:paraId="172F553D" w14:textId="77777777" w:rsidTr="005038EA">
        <w:trPr>
          <w:cantSplit/>
        </w:trPr>
        <w:tc>
          <w:tcPr>
            <w:tcW w:w="2705" w:type="dxa"/>
          </w:tcPr>
          <w:p w14:paraId="650CBA19"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hlavní důvody vymezení plochy</w:t>
            </w:r>
          </w:p>
        </w:tc>
        <w:tc>
          <w:tcPr>
            <w:tcW w:w="6581" w:type="dxa"/>
          </w:tcPr>
          <w:p w14:paraId="344C4F7D"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Vymezení lokality pro zajištění kontinuity ekonomického rozvoje území a podpory malého a středního podnikání v území.</w:t>
            </w:r>
          </w:p>
          <w:p w14:paraId="6E92324B"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Plocha je vymezena na základě potřebnosti zajištění minimálního rozsahu ploch pro výrobní aktivity na území města (mimo jeho obytné části) a v souladu se základní koncepcí rozvoje území, která vychází z původního řešení ÚPO. </w:t>
            </w:r>
          </w:p>
          <w:p w14:paraId="79A056D0" w14:textId="2FBA6A4B"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Plocha je vymezena v rozsahu stávajících manipulačních ploch pro případný rozvoj stávajícího výrobního areálu na východním okraji Kostomlat nad Labem. Vzhledem k lokalizaci plochy mimo kontakt s obytnou zástavbou nedojde k narušení pohody bydlení v sídle Kostomlaty nad Labem. </w:t>
            </w:r>
          </w:p>
        </w:tc>
      </w:tr>
      <w:tr w:rsidR="002D0BDA" w:rsidRPr="006070EA" w14:paraId="17DFFEC4" w14:textId="77777777" w:rsidTr="005038EA">
        <w:trPr>
          <w:cantSplit/>
        </w:trPr>
        <w:tc>
          <w:tcPr>
            <w:tcW w:w="2705" w:type="dxa"/>
          </w:tcPr>
          <w:p w14:paraId="0DE5B963"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související podmínky využití</w:t>
            </w:r>
          </w:p>
        </w:tc>
        <w:tc>
          <w:tcPr>
            <w:tcW w:w="6581" w:type="dxa"/>
          </w:tcPr>
          <w:p w14:paraId="4105D598"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w:t>
            </w:r>
          </w:p>
        </w:tc>
      </w:tr>
    </w:tbl>
    <w:p w14:paraId="073D50D1" w14:textId="77777777" w:rsidR="002D0BDA" w:rsidRPr="006070EA" w:rsidRDefault="002D0BDA" w:rsidP="002D0BDA">
      <w:pPr>
        <w:pStyle w:val="Atext"/>
        <w:rPr>
          <w:rFonts w:asciiTheme="majorHAnsi" w:hAnsiTheme="majorHAnsi" w:cstheme="majorHAnsi"/>
          <w:i/>
          <w:snapToGrid w:val="0"/>
          <w:color w:val="FF0000"/>
          <w:u w:val="single"/>
        </w:rPr>
      </w:pPr>
    </w:p>
    <w:tbl>
      <w:tblPr>
        <w:tblStyle w:val="Mkatabulky2"/>
        <w:tblW w:w="0" w:type="auto"/>
        <w:tblBorders>
          <w:left w:val="none" w:sz="0" w:space="0" w:color="auto"/>
          <w:right w:val="none" w:sz="0" w:space="0" w:color="auto"/>
          <w:insideV w:val="single" w:sz="12" w:space="0" w:color="auto"/>
        </w:tblBorders>
        <w:tblLook w:val="04A0" w:firstRow="1" w:lastRow="0" w:firstColumn="1" w:lastColumn="0" w:noHBand="0" w:noVBand="1"/>
      </w:tblPr>
      <w:tblGrid>
        <w:gridCol w:w="2658"/>
        <w:gridCol w:w="6412"/>
      </w:tblGrid>
      <w:tr w:rsidR="002D0BDA" w:rsidRPr="006070EA" w14:paraId="4CC501B5" w14:textId="77777777" w:rsidTr="005038EA">
        <w:trPr>
          <w:cantSplit/>
          <w:tblHeader/>
        </w:trPr>
        <w:tc>
          <w:tcPr>
            <w:tcW w:w="2705" w:type="dxa"/>
            <w:shd w:val="clear" w:color="auto" w:fill="F2F2F2" w:themeFill="background1" w:themeFillShade="F2"/>
          </w:tcPr>
          <w:p w14:paraId="56520A76" w14:textId="77777777" w:rsidR="002D0BDA" w:rsidRPr="006070EA" w:rsidRDefault="002D0BDA" w:rsidP="005038EA">
            <w:pPr>
              <w:keepNext/>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Zastavitelná plocha</w:t>
            </w:r>
          </w:p>
        </w:tc>
        <w:tc>
          <w:tcPr>
            <w:tcW w:w="6581" w:type="dxa"/>
            <w:shd w:val="clear" w:color="auto" w:fill="F2F2F2" w:themeFill="background1" w:themeFillShade="F2"/>
          </w:tcPr>
          <w:p w14:paraId="246834F9" w14:textId="3CD46A2E" w:rsidR="002D0BDA" w:rsidRPr="006070EA" w:rsidRDefault="002D0BDA" w:rsidP="005038EA">
            <w:pPr>
              <w:keepNext/>
              <w:tabs>
                <w:tab w:val="center" w:pos="4536"/>
                <w:tab w:val="right" w:pos="9072"/>
              </w:tabs>
              <w:suppressAutoHyphens/>
              <w:spacing w:before="40" w:after="40"/>
              <w:jc w:val="both"/>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w:t>
            </w:r>
            <w:r w:rsidR="00961C8B" w:rsidRPr="006070EA">
              <w:rPr>
                <w:rFonts w:asciiTheme="majorHAnsi" w:eastAsia="Times New Roman" w:hAnsiTheme="majorHAnsi" w:cstheme="majorHAnsi"/>
                <w:b/>
                <w:bCs/>
                <w:iCs/>
                <w:sz w:val="18"/>
                <w:szCs w:val="20"/>
                <w:lang w:eastAsia="ar-SA"/>
              </w:rPr>
              <w:t>.</w:t>
            </w:r>
            <w:r w:rsidRPr="006070EA">
              <w:rPr>
                <w:rFonts w:asciiTheme="majorHAnsi" w:eastAsia="Times New Roman" w:hAnsiTheme="majorHAnsi" w:cstheme="majorHAnsi"/>
                <w:b/>
                <w:bCs/>
                <w:iCs/>
                <w:sz w:val="18"/>
                <w:szCs w:val="20"/>
                <w:lang w:eastAsia="ar-SA"/>
              </w:rPr>
              <w:t>14</w:t>
            </w:r>
          </w:p>
        </w:tc>
      </w:tr>
      <w:tr w:rsidR="002D0BDA" w:rsidRPr="006070EA" w14:paraId="77C14104" w14:textId="77777777" w:rsidTr="005038EA">
        <w:trPr>
          <w:cantSplit/>
        </w:trPr>
        <w:tc>
          <w:tcPr>
            <w:tcW w:w="2705" w:type="dxa"/>
          </w:tcPr>
          <w:p w14:paraId="3CDF6102"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způsob využití</w:t>
            </w:r>
          </w:p>
        </w:tc>
        <w:tc>
          <w:tcPr>
            <w:tcW w:w="6581" w:type="dxa"/>
            <w:vAlign w:val="center"/>
          </w:tcPr>
          <w:p w14:paraId="609964EA" w14:textId="39CAEBE3"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sz w:val="18"/>
                <w:szCs w:val="18"/>
                <w:lang w:eastAsia="cs-CZ"/>
              </w:rPr>
              <w:t xml:space="preserve">BI – bydlení </w:t>
            </w:r>
            <w:r w:rsidR="00961C8B" w:rsidRPr="006070EA">
              <w:rPr>
                <w:rFonts w:asciiTheme="majorHAnsi" w:eastAsia="Times New Roman" w:hAnsiTheme="majorHAnsi" w:cstheme="majorHAnsi"/>
                <w:sz w:val="18"/>
                <w:szCs w:val="18"/>
                <w:lang w:eastAsia="cs-CZ"/>
              </w:rPr>
              <w:t>individuální</w:t>
            </w:r>
            <w:r w:rsidRPr="006070EA">
              <w:rPr>
                <w:rFonts w:asciiTheme="majorHAnsi" w:eastAsia="Times New Roman" w:hAnsiTheme="majorHAnsi" w:cstheme="majorHAnsi"/>
                <w:sz w:val="18"/>
                <w:szCs w:val="18"/>
                <w:lang w:eastAsia="cs-CZ"/>
              </w:rPr>
              <w:t xml:space="preserve"> </w:t>
            </w:r>
          </w:p>
        </w:tc>
      </w:tr>
      <w:tr w:rsidR="002D0BDA" w:rsidRPr="006070EA" w14:paraId="7E8FF396" w14:textId="77777777" w:rsidTr="005038EA">
        <w:trPr>
          <w:cantSplit/>
        </w:trPr>
        <w:tc>
          <w:tcPr>
            <w:tcW w:w="2705" w:type="dxa"/>
          </w:tcPr>
          <w:p w14:paraId="4BE838C1"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limity využití území</w:t>
            </w:r>
          </w:p>
        </w:tc>
        <w:tc>
          <w:tcPr>
            <w:tcW w:w="6581" w:type="dxa"/>
          </w:tcPr>
          <w:p w14:paraId="26D61929"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OP silnice II. třídy (III/3319); pásmo 50m od hranice PUPFL; elektrické vedení vn 22kV vč. OP</w:t>
            </w:r>
          </w:p>
        </w:tc>
      </w:tr>
      <w:tr w:rsidR="002D0BDA" w:rsidRPr="006070EA" w14:paraId="6B7CF73A" w14:textId="77777777" w:rsidTr="005038EA">
        <w:trPr>
          <w:cantSplit/>
        </w:trPr>
        <w:tc>
          <w:tcPr>
            <w:tcW w:w="2705" w:type="dxa"/>
          </w:tcPr>
          <w:p w14:paraId="7380BC72"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vztah k platné ÚPD (ZÚR, ÚPO)</w:t>
            </w:r>
          </w:p>
        </w:tc>
        <w:tc>
          <w:tcPr>
            <w:tcW w:w="6581" w:type="dxa"/>
          </w:tcPr>
          <w:p w14:paraId="2CCA6477"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převzato z ÚPO</w:t>
            </w:r>
          </w:p>
        </w:tc>
      </w:tr>
      <w:tr w:rsidR="002D0BDA" w:rsidRPr="006070EA" w14:paraId="319B2218" w14:textId="77777777" w:rsidTr="005038EA">
        <w:trPr>
          <w:cantSplit/>
        </w:trPr>
        <w:tc>
          <w:tcPr>
            <w:tcW w:w="2705" w:type="dxa"/>
          </w:tcPr>
          <w:p w14:paraId="34256FA5"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vazba na veřejnou infrastrukturu (DI, TI)</w:t>
            </w:r>
          </w:p>
        </w:tc>
        <w:tc>
          <w:tcPr>
            <w:tcW w:w="6581" w:type="dxa"/>
          </w:tcPr>
          <w:p w14:paraId="1B38E549"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Přímá vazba na silnici III/3319</w:t>
            </w:r>
          </w:p>
          <w:p w14:paraId="70C0DAE9"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Přímá vazba na technickou infrastrukturu (vodovod, plynovod)</w:t>
            </w:r>
          </w:p>
        </w:tc>
      </w:tr>
      <w:tr w:rsidR="002D0BDA" w:rsidRPr="006070EA" w14:paraId="44BDABEC" w14:textId="77777777" w:rsidTr="005038EA">
        <w:trPr>
          <w:cantSplit/>
        </w:trPr>
        <w:tc>
          <w:tcPr>
            <w:tcW w:w="2705" w:type="dxa"/>
          </w:tcPr>
          <w:p w14:paraId="2777B987"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vztah k zastavěnému území</w:t>
            </w:r>
          </w:p>
        </w:tc>
        <w:tc>
          <w:tcPr>
            <w:tcW w:w="6581" w:type="dxa"/>
          </w:tcPr>
          <w:p w14:paraId="37153C78"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Plocha v nepřímé návaznosti na zastavěné území oddělená od ZÚ vodním tokem</w:t>
            </w:r>
          </w:p>
        </w:tc>
      </w:tr>
      <w:tr w:rsidR="002D0BDA" w:rsidRPr="006070EA" w14:paraId="6438F727" w14:textId="77777777" w:rsidTr="005038EA">
        <w:trPr>
          <w:cantSplit/>
        </w:trPr>
        <w:tc>
          <w:tcPr>
            <w:tcW w:w="2705" w:type="dxa"/>
          </w:tcPr>
          <w:p w14:paraId="3B795EE4"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dotčení půdního fondu (ZPF, LPF)</w:t>
            </w:r>
          </w:p>
        </w:tc>
        <w:tc>
          <w:tcPr>
            <w:tcW w:w="6581" w:type="dxa"/>
          </w:tcPr>
          <w:p w14:paraId="3A3A28B8"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ZPF I. třídy ochrany</w:t>
            </w:r>
          </w:p>
        </w:tc>
      </w:tr>
      <w:tr w:rsidR="002D0BDA" w:rsidRPr="006070EA" w14:paraId="697472B5" w14:textId="77777777" w:rsidTr="005038EA">
        <w:trPr>
          <w:cantSplit/>
        </w:trPr>
        <w:tc>
          <w:tcPr>
            <w:tcW w:w="2705" w:type="dxa"/>
          </w:tcPr>
          <w:p w14:paraId="786E8AFA"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hlavní důvody vymezení plochy</w:t>
            </w:r>
          </w:p>
        </w:tc>
        <w:tc>
          <w:tcPr>
            <w:tcW w:w="6581" w:type="dxa"/>
          </w:tcPr>
          <w:p w14:paraId="43D683AB"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Vytvoření podmínek pro rozvoj rezidenční funkce Kostomlat nad Labem. Plochou je urbanisticky dotvářena jižní část prstence obytné zástavby kolem centrální části Kostomlat nad Labem a vytvářen kompaktní tvar zástavby tak, aby byl minimalizován plošný zábor volné krajiny.</w:t>
            </w:r>
          </w:p>
          <w:p w14:paraId="178611DD"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Vymezením plochy je zachovávána koncepce rozvoje území z původní ÚPO. Přímou návazností na komunikaci III/3319 je zajišťována dopravní i pěší dostupnost centra obce s veřejnou občanskou vybaveností. </w:t>
            </w:r>
          </w:p>
          <w:p w14:paraId="0D67FD7E" w14:textId="294EFA6B" w:rsidR="00ED0078"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Plocha je vymezena na základě potřebnosti rozvoje obytné funkce obce dle podrobné analýzy potřeby vymezení zastavitelných ploch pro bydlení (viz kapitola 10) a v souladu se základní koncepcí rozvoje území, která vychází z původního řešení ÚPO. </w:t>
            </w:r>
          </w:p>
        </w:tc>
      </w:tr>
      <w:tr w:rsidR="002D0BDA" w:rsidRPr="006070EA" w14:paraId="7AED739F" w14:textId="77777777" w:rsidTr="005038EA">
        <w:trPr>
          <w:cantSplit/>
        </w:trPr>
        <w:tc>
          <w:tcPr>
            <w:tcW w:w="2705" w:type="dxa"/>
          </w:tcPr>
          <w:p w14:paraId="336182D7"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související podmínky využití</w:t>
            </w:r>
          </w:p>
        </w:tc>
        <w:tc>
          <w:tcPr>
            <w:tcW w:w="6581" w:type="dxa"/>
          </w:tcPr>
          <w:p w14:paraId="3EE539F6" w14:textId="38C8276D" w:rsidR="002D0BDA" w:rsidRPr="006070EA" w:rsidRDefault="00C13B55"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Vydání regulačního plánu RP</w:t>
            </w:r>
            <w:r w:rsidR="00961C8B" w:rsidRPr="006070EA">
              <w:rPr>
                <w:rFonts w:asciiTheme="majorHAnsi" w:eastAsia="Times New Roman" w:hAnsiTheme="majorHAnsi" w:cstheme="majorHAnsi"/>
                <w:bCs/>
                <w:iCs/>
                <w:sz w:val="18"/>
                <w:szCs w:val="20"/>
                <w:lang w:eastAsia="ar-SA"/>
              </w:rPr>
              <w:t>.</w:t>
            </w:r>
            <w:r w:rsidRPr="006070EA">
              <w:rPr>
                <w:rFonts w:asciiTheme="majorHAnsi" w:eastAsia="Times New Roman" w:hAnsiTheme="majorHAnsi" w:cstheme="majorHAnsi"/>
                <w:bCs/>
                <w:iCs/>
                <w:sz w:val="18"/>
                <w:szCs w:val="20"/>
                <w:lang w:eastAsia="ar-SA"/>
              </w:rPr>
              <w:t>2.</w:t>
            </w:r>
          </w:p>
        </w:tc>
      </w:tr>
    </w:tbl>
    <w:p w14:paraId="02799220" w14:textId="77777777" w:rsidR="002D0BDA" w:rsidRPr="006070EA" w:rsidRDefault="002D0BDA" w:rsidP="002D0BDA">
      <w:pPr>
        <w:pStyle w:val="Atext"/>
        <w:rPr>
          <w:rFonts w:asciiTheme="majorHAnsi" w:hAnsiTheme="majorHAnsi" w:cstheme="majorHAnsi"/>
          <w:i/>
          <w:snapToGrid w:val="0"/>
          <w:color w:val="FF0000"/>
          <w:u w:val="single"/>
        </w:rPr>
      </w:pPr>
    </w:p>
    <w:tbl>
      <w:tblPr>
        <w:tblStyle w:val="Mkatabulky2"/>
        <w:tblW w:w="0" w:type="auto"/>
        <w:tblBorders>
          <w:left w:val="none" w:sz="0" w:space="0" w:color="auto"/>
          <w:right w:val="none" w:sz="0" w:space="0" w:color="auto"/>
          <w:insideV w:val="single" w:sz="12" w:space="0" w:color="auto"/>
        </w:tblBorders>
        <w:tblLook w:val="04A0" w:firstRow="1" w:lastRow="0" w:firstColumn="1" w:lastColumn="0" w:noHBand="0" w:noVBand="1"/>
      </w:tblPr>
      <w:tblGrid>
        <w:gridCol w:w="2659"/>
        <w:gridCol w:w="6411"/>
      </w:tblGrid>
      <w:tr w:rsidR="002D0BDA" w:rsidRPr="006070EA" w14:paraId="1A4CC363" w14:textId="77777777" w:rsidTr="005038EA">
        <w:trPr>
          <w:cantSplit/>
          <w:tblHeader/>
        </w:trPr>
        <w:tc>
          <w:tcPr>
            <w:tcW w:w="2705" w:type="dxa"/>
            <w:shd w:val="clear" w:color="auto" w:fill="F2F2F2" w:themeFill="background1" w:themeFillShade="F2"/>
          </w:tcPr>
          <w:p w14:paraId="0CE796BE" w14:textId="77777777" w:rsidR="002D0BDA" w:rsidRPr="006070EA" w:rsidRDefault="002D0BDA" w:rsidP="005038EA">
            <w:pPr>
              <w:keepNext/>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Zastavitelná plocha</w:t>
            </w:r>
          </w:p>
        </w:tc>
        <w:tc>
          <w:tcPr>
            <w:tcW w:w="6581" w:type="dxa"/>
            <w:shd w:val="clear" w:color="auto" w:fill="F2F2F2" w:themeFill="background1" w:themeFillShade="F2"/>
          </w:tcPr>
          <w:p w14:paraId="2B8EA495" w14:textId="719D50C5" w:rsidR="002D0BDA" w:rsidRPr="006070EA" w:rsidRDefault="002D0BDA" w:rsidP="005038EA">
            <w:pPr>
              <w:keepNext/>
              <w:tabs>
                <w:tab w:val="center" w:pos="4536"/>
                <w:tab w:val="right" w:pos="9072"/>
              </w:tabs>
              <w:suppressAutoHyphens/>
              <w:spacing w:before="40" w:after="40"/>
              <w:jc w:val="both"/>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w:t>
            </w:r>
            <w:r w:rsidR="00961C8B" w:rsidRPr="006070EA">
              <w:rPr>
                <w:rFonts w:asciiTheme="majorHAnsi" w:eastAsia="Times New Roman" w:hAnsiTheme="majorHAnsi" w:cstheme="majorHAnsi"/>
                <w:b/>
                <w:bCs/>
                <w:iCs/>
                <w:sz w:val="18"/>
                <w:szCs w:val="20"/>
                <w:lang w:eastAsia="ar-SA"/>
              </w:rPr>
              <w:t>.</w:t>
            </w:r>
            <w:r w:rsidRPr="006070EA">
              <w:rPr>
                <w:rFonts w:asciiTheme="majorHAnsi" w:eastAsia="Times New Roman" w:hAnsiTheme="majorHAnsi" w:cstheme="majorHAnsi"/>
                <w:b/>
                <w:bCs/>
                <w:iCs/>
                <w:sz w:val="18"/>
                <w:szCs w:val="20"/>
                <w:lang w:eastAsia="ar-SA"/>
              </w:rPr>
              <w:t>15</w:t>
            </w:r>
          </w:p>
        </w:tc>
      </w:tr>
      <w:tr w:rsidR="002D0BDA" w:rsidRPr="006070EA" w14:paraId="4CA7FC82" w14:textId="77777777" w:rsidTr="005038EA">
        <w:trPr>
          <w:cantSplit/>
        </w:trPr>
        <w:tc>
          <w:tcPr>
            <w:tcW w:w="2705" w:type="dxa"/>
          </w:tcPr>
          <w:p w14:paraId="0DF05A56"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způsob využití</w:t>
            </w:r>
          </w:p>
        </w:tc>
        <w:tc>
          <w:tcPr>
            <w:tcW w:w="6581" w:type="dxa"/>
            <w:vAlign w:val="center"/>
          </w:tcPr>
          <w:p w14:paraId="58C65B43" w14:textId="4E39E2FD"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sz w:val="18"/>
                <w:szCs w:val="18"/>
                <w:lang w:eastAsia="cs-CZ"/>
              </w:rPr>
              <w:t xml:space="preserve">SV – smíšené obytné venkovské </w:t>
            </w:r>
          </w:p>
        </w:tc>
      </w:tr>
      <w:tr w:rsidR="002D0BDA" w:rsidRPr="006070EA" w14:paraId="45D4B7CC" w14:textId="77777777" w:rsidTr="005038EA">
        <w:trPr>
          <w:cantSplit/>
        </w:trPr>
        <w:tc>
          <w:tcPr>
            <w:tcW w:w="2705" w:type="dxa"/>
          </w:tcPr>
          <w:p w14:paraId="638EDD3E"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limity využití území</w:t>
            </w:r>
          </w:p>
        </w:tc>
        <w:tc>
          <w:tcPr>
            <w:tcW w:w="6581" w:type="dxa"/>
          </w:tcPr>
          <w:p w14:paraId="7ACA8171" w14:textId="73132126"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elektrické vedení vn 22kV vč. OP; koridor </w:t>
            </w:r>
            <w:r w:rsidR="00961C8B" w:rsidRPr="006070EA">
              <w:rPr>
                <w:rFonts w:asciiTheme="majorHAnsi" w:eastAsia="Times New Roman" w:hAnsiTheme="majorHAnsi" w:cstheme="majorHAnsi"/>
                <w:bCs/>
                <w:iCs/>
                <w:sz w:val="18"/>
                <w:szCs w:val="20"/>
                <w:lang w:eastAsia="ar-SA"/>
              </w:rPr>
              <w:t>CNU.</w:t>
            </w:r>
            <w:r w:rsidRPr="006070EA">
              <w:rPr>
                <w:rFonts w:asciiTheme="majorHAnsi" w:eastAsia="Times New Roman" w:hAnsiTheme="majorHAnsi" w:cstheme="majorHAnsi"/>
                <w:bCs/>
                <w:iCs/>
                <w:sz w:val="18"/>
                <w:szCs w:val="20"/>
                <w:lang w:eastAsia="ar-SA"/>
              </w:rPr>
              <w:t>KD1; plošná investice do půdy (odvodnění); OP komunikačního zařízení</w:t>
            </w:r>
          </w:p>
        </w:tc>
      </w:tr>
      <w:tr w:rsidR="002D0BDA" w:rsidRPr="006070EA" w14:paraId="30A64D4C" w14:textId="77777777" w:rsidTr="005038EA">
        <w:trPr>
          <w:cantSplit/>
        </w:trPr>
        <w:tc>
          <w:tcPr>
            <w:tcW w:w="2705" w:type="dxa"/>
          </w:tcPr>
          <w:p w14:paraId="0C9BEEBF"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vztah k platné ÚPD (ZÚR, ÚPO)</w:t>
            </w:r>
          </w:p>
        </w:tc>
        <w:tc>
          <w:tcPr>
            <w:tcW w:w="6581" w:type="dxa"/>
          </w:tcPr>
          <w:p w14:paraId="5522BC80"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w:t>
            </w:r>
          </w:p>
        </w:tc>
      </w:tr>
      <w:tr w:rsidR="002D0BDA" w:rsidRPr="006070EA" w14:paraId="5026A61A" w14:textId="77777777" w:rsidTr="005038EA">
        <w:trPr>
          <w:cantSplit/>
        </w:trPr>
        <w:tc>
          <w:tcPr>
            <w:tcW w:w="2705" w:type="dxa"/>
          </w:tcPr>
          <w:p w14:paraId="76F02B6E"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vazba na veřejnou infrastrukturu (DI, TI)</w:t>
            </w:r>
          </w:p>
        </w:tc>
        <w:tc>
          <w:tcPr>
            <w:tcW w:w="6581" w:type="dxa"/>
          </w:tcPr>
          <w:p w14:paraId="76BF1E75"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Přímá vazba na silnici III/3317</w:t>
            </w:r>
          </w:p>
          <w:p w14:paraId="1D006651"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Přímá vazba na technickou infrastrukturu (vodovod, plynovod, kanalizace)</w:t>
            </w:r>
          </w:p>
          <w:p w14:paraId="3361F5FC" w14:textId="6D02BEC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Přímá vazba na koridor </w:t>
            </w:r>
            <w:r w:rsidR="00961C8B" w:rsidRPr="006070EA">
              <w:rPr>
                <w:rFonts w:asciiTheme="majorHAnsi" w:eastAsia="Times New Roman" w:hAnsiTheme="majorHAnsi" w:cstheme="majorHAnsi"/>
                <w:bCs/>
                <w:iCs/>
                <w:sz w:val="18"/>
                <w:szCs w:val="20"/>
                <w:lang w:eastAsia="ar-SA"/>
              </w:rPr>
              <w:t>CNU.</w:t>
            </w:r>
            <w:r w:rsidRPr="006070EA">
              <w:rPr>
                <w:rFonts w:asciiTheme="majorHAnsi" w:eastAsia="Times New Roman" w:hAnsiTheme="majorHAnsi" w:cstheme="majorHAnsi"/>
                <w:bCs/>
                <w:iCs/>
                <w:sz w:val="18"/>
                <w:szCs w:val="20"/>
                <w:lang w:eastAsia="ar-SA"/>
              </w:rPr>
              <w:t>KTI1 (navržené sítě vodovodu a kanalizace)</w:t>
            </w:r>
          </w:p>
        </w:tc>
      </w:tr>
      <w:tr w:rsidR="002D0BDA" w:rsidRPr="006070EA" w14:paraId="15F8F06C" w14:textId="77777777" w:rsidTr="005038EA">
        <w:trPr>
          <w:cantSplit/>
        </w:trPr>
        <w:tc>
          <w:tcPr>
            <w:tcW w:w="2705" w:type="dxa"/>
          </w:tcPr>
          <w:p w14:paraId="75BF2050"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vztah k zastavěnému území</w:t>
            </w:r>
          </w:p>
        </w:tc>
        <w:tc>
          <w:tcPr>
            <w:tcW w:w="6581" w:type="dxa"/>
          </w:tcPr>
          <w:p w14:paraId="40479A58"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Plocha v přímé návaznosti na zastavěné území</w:t>
            </w:r>
          </w:p>
        </w:tc>
      </w:tr>
      <w:tr w:rsidR="002D0BDA" w:rsidRPr="006070EA" w14:paraId="13113FD3" w14:textId="77777777" w:rsidTr="005038EA">
        <w:trPr>
          <w:cantSplit/>
        </w:trPr>
        <w:tc>
          <w:tcPr>
            <w:tcW w:w="2705" w:type="dxa"/>
          </w:tcPr>
          <w:p w14:paraId="0A2C1988"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dotčení půdního fondu (ZPF, LPF)</w:t>
            </w:r>
          </w:p>
        </w:tc>
        <w:tc>
          <w:tcPr>
            <w:tcW w:w="6581" w:type="dxa"/>
          </w:tcPr>
          <w:p w14:paraId="58DC3605"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ZPF I. třídy ochrany</w:t>
            </w:r>
          </w:p>
        </w:tc>
      </w:tr>
      <w:tr w:rsidR="002D0BDA" w:rsidRPr="006070EA" w14:paraId="7A430A12" w14:textId="77777777" w:rsidTr="005038EA">
        <w:trPr>
          <w:cantSplit/>
        </w:trPr>
        <w:tc>
          <w:tcPr>
            <w:tcW w:w="2705" w:type="dxa"/>
          </w:tcPr>
          <w:p w14:paraId="17CA4B9C"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lastRenderedPageBreak/>
              <w:t>hlavní důvody vymezení plochy</w:t>
            </w:r>
          </w:p>
        </w:tc>
        <w:tc>
          <w:tcPr>
            <w:tcW w:w="6581" w:type="dxa"/>
          </w:tcPr>
          <w:p w14:paraId="46C35DDD" w14:textId="09960FAA"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Vytvoření podmínek pro rozvoj rezidenční funkce sídla Lány. Plocha je součástí koncepce urbanistického rozvoje sídla Lány v západní linii od silnice III/3317. Plochou je doplňována široká stavební proluka (mezi č.</w:t>
            </w:r>
            <w:r w:rsidR="005272E3" w:rsidRPr="006070EA">
              <w:rPr>
                <w:rFonts w:asciiTheme="majorHAnsi" w:eastAsia="Times New Roman" w:hAnsiTheme="majorHAnsi" w:cstheme="majorHAnsi"/>
                <w:bCs/>
                <w:iCs/>
                <w:sz w:val="18"/>
                <w:szCs w:val="20"/>
                <w:lang w:eastAsia="ar-SA"/>
              </w:rPr>
              <w:t xml:space="preserve"> </w:t>
            </w:r>
            <w:r w:rsidRPr="006070EA">
              <w:rPr>
                <w:rFonts w:asciiTheme="majorHAnsi" w:eastAsia="Times New Roman" w:hAnsiTheme="majorHAnsi" w:cstheme="majorHAnsi"/>
                <w:bCs/>
                <w:iCs/>
                <w:sz w:val="18"/>
                <w:szCs w:val="20"/>
                <w:lang w:eastAsia="ar-SA"/>
              </w:rPr>
              <w:t>p. 227 a č.</w:t>
            </w:r>
            <w:r w:rsidR="005272E3" w:rsidRPr="006070EA">
              <w:rPr>
                <w:rFonts w:asciiTheme="majorHAnsi" w:eastAsia="Times New Roman" w:hAnsiTheme="majorHAnsi" w:cstheme="majorHAnsi"/>
                <w:bCs/>
                <w:iCs/>
                <w:sz w:val="18"/>
                <w:szCs w:val="20"/>
                <w:lang w:eastAsia="ar-SA"/>
              </w:rPr>
              <w:t xml:space="preserve"> </w:t>
            </w:r>
            <w:r w:rsidRPr="006070EA">
              <w:rPr>
                <w:rFonts w:asciiTheme="majorHAnsi" w:eastAsia="Times New Roman" w:hAnsiTheme="majorHAnsi" w:cstheme="majorHAnsi"/>
                <w:bCs/>
                <w:iCs/>
                <w:sz w:val="18"/>
                <w:szCs w:val="20"/>
                <w:lang w:eastAsia="ar-SA"/>
              </w:rPr>
              <w:t>p. 35).</w:t>
            </w:r>
          </w:p>
          <w:p w14:paraId="4FF4B7FB"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Plocha je vymezena na základě potřebnosti rozvoje obytné funkce obce dle podrobné analýzy potřeby vymezení zastavitelných ploch pro bydlení (viz kapitola 10) a v souladu se základní koncepcí rozvoje území, která vychází z původního řešení ÚPO. </w:t>
            </w:r>
          </w:p>
        </w:tc>
      </w:tr>
      <w:tr w:rsidR="002D0BDA" w:rsidRPr="006070EA" w14:paraId="6C3616C0" w14:textId="77777777" w:rsidTr="005038EA">
        <w:trPr>
          <w:cantSplit/>
        </w:trPr>
        <w:tc>
          <w:tcPr>
            <w:tcW w:w="2705" w:type="dxa"/>
          </w:tcPr>
          <w:p w14:paraId="78E65856"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související podmínky využití</w:t>
            </w:r>
          </w:p>
        </w:tc>
        <w:tc>
          <w:tcPr>
            <w:tcW w:w="6581" w:type="dxa"/>
          </w:tcPr>
          <w:p w14:paraId="37D7C890" w14:textId="3FEBB303" w:rsidR="002D0BDA" w:rsidRPr="006070EA" w:rsidRDefault="00C13B55"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Rozhodování v částech zastavitelné plochy, zasahujících do koridoru </w:t>
            </w:r>
            <w:r w:rsidR="00961C8B" w:rsidRPr="006070EA">
              <w:rPr>
                <w:rFonts w:asciiTheme="majorHAnsi" w:eastAsia="Times New Roman" w:hAnsiTheme="majorHAnsi" w:cstheme="majorHAnsi"/>
                <w:bCs/>
                <w:iCs/>
                <w:sz w:val="18"/>
                <w:szCs w:val="20"/>
                <w:lang w:eastAsia="ar-SA"/>
              </w:rPr>
              <w:t>CNU.</w:t>
            </w:r>
            <w:r w:rsidRPr="006070EA">
              <w:rPr>
                <w:rFonts w:asciiTheme="majorHAnsi" w:eastAsia="Times New Roman" w:hAnsiTheme="majorHAnsi" w:cstheme="majorHAnsi"/>
                <w:bCs/>
                <w:iCs/>
                <w:sz w:val="18"/>
                <w:szCs w:val="20"/>
                <w:lang w:eastAsia="ar-SA"/>
              </w:rPr>
              <w:t>KD1, je podmíněno realizací záměru, pro který je koridor vymezen.</w:t>
            </w:r>
          </w:p>
        </w:tc>
      </w:tr>
    </w:tbl>
    <w:p w14:paraId="7213A6CD" w14:textId="77777777" w:rsidR="002D0BDA" w:rsidRPr="006070EA" w:rsidRDefault="002D0BDA" w:rsidP="002D0BDA">
      <w:pPr>
        <w:pStyle w:val="Atext"/>
        <w:rPr>
          <w:rFonts w:asciiTheme="majorHAnsi" w:hAnsiTheme="majorHAnsi" w:cstheme="majorHAnsi"/>
          <w:i/>
          <w:snapToGrid w:val="0"/>
          <w:color w:val="FF0000"/>
          <w:u w:val="single"/>
        </w:rPr>
      </w:pPr>
    </w:p>
    <w:tbl>
      <w:tblPr>
        <w:tblStyle w:val="Mkatabulky2"/>
        <w:tblW w:w="0" w:type="auto"/>
        <w:tblBorders>
          <w:left w:val="none" w:sz="0" w:space="0" w:color="auto"/>
          <w:right w:val="none" w:sz="0" w:space="0" w:color="auto"/>
          <w:insideV w:val="single" w:sz="12" w:space="0" w:color="auto"/>
        </w:tblBorders>
        <w:tblLook w:val="04A0" w:firstRow="1" w:lastRow="0" w:firstColumn="1" w:lastColumn="0" w:noHBand="0" w:noVBand="1"/>
      </w:tblPr>
      <w:tblGrid>
        <w:gridCol w:w="2659"/>
        <w:gridCol w:w="6411"/>
      </w:tblGrid>
      <w:tr w:rsidR="002D0BDA" w:rsidRPr="006070EA" w14:paraId="4D5C8437" w14:textId="77777777" w:rsidTr="00C13B55">
        <w:trPr>
          <w:cantSplit/>
          <w:tblHeader/>
        </w:trPr>
        <w:tc>
          <w:tcPr>
            <w:tcW w:w="2659" w:type="dxa"/>
            <w:shd w:val="clear" w:color="auto" w:fill="F2F2F2" w:themeFill="background1" w:themeFillShade="F2"/>
          </w:tcPr>
          <w:p w14:paraId="76F30BC4" w14:textId="77777777" w:rsidR="002D0BDA" w:rsidRPr="006070EA" w:rsidRDefault="002D0BDA" w:rsidP="005038EA">
            <w:pPr>
              <w:keepNext/>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Zastavitelná plocha</w:t>
            </w:r>
          </w:p>
        </w:tc>
        <w:tc>
          <w:tcPr>
            <w:tcW w:w="6411" w:type="dxa"/>
            <w:shd w:val="clear" w:color="auto" w:fill="F2F2F2" w:themeFill="background1" w:themeFillShade="F2"/>
          </w:tcPr>
          <w:p w14:paraId="651763CC" w14:textId="71C21124" w:rsidR="002D0BDA" w:rsidRPr="006070EA" w:rsidRDefault="002D0BDA" w:rsidP="005038EA">
            <w:pPr>
              <w:keepNext/>
              <w:tabs>
                <w:tab w:val="center" w:pos="4536"/>
                <w:tab w:val="right" w:pos="9072"/>
              </w:tabs>
              <w:suppressAutoHyphens/>
              <w:spacing w:before="40" w:after="40"/>
              <w:jc w:val="both"/>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w:t>
            </w:r>
            <w:r w:rsidR="00961C8B" w:rsidRPr="006070EA">
              <w:rPr>
                <w:rFonts w:asciiTheme="majorHAnsi" w:eastAsia="Times New Roman" w:hAnsiTheme="majorHAnsi" w:cstheme="majorHAnsi"/>
                <w:b/>
                <w:bCs/>
                <w:iCs/>
                <w:sz w:val="18"/>
                <w:szCs w:val="20"/>
                <w:lang w:eastAsia="ar-SA"/>
              </w:rPr>
              <w:t>.</w:t>
            </w:r>
            <w:r w:rsidRPr="006070EA">
              <w:rPr>
                <w:rFonts w:asciiTheme="majorHAnsi" w:eastAsia="Times New Roman" w:hAnsiTheme="majorHAnsi" w:cstheme="majorHAnsi"/>
                <w:b/>
                <w:bCs/>
                <w:iCs/>
                <w:sz w:val="18"/>
                <w:szCs w:val="20"/>
                <w:lang w:eastAsia="ar-SA"/>
              </w:rPr>
              <w:t>16</w:t>
            </w:r>
          </w:p>
        </w:tc>
      </w:tr>
      <w:tr w:rsidR="002D0BDA" w:rsidRPr="006070EA" w14:paraId="30ED1C73" w14:textId="77777777" w:rsidTr="00C13B55">
        <w:trPr>
          <w:cantSplit/>
        </w:trPr>
        <w:tc>
          <w:tcPr>
            <w:tcW w:w="2659" w:type="dxa"/>
          </w:tcPr>
          <w:p w14:paraId="71491C87"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způsob využití</w:t>
            </w:r>
          </w:p>
        </w:tc>
        <w:tc>
          <w:tcPr>
            <w:tcW w:w="6411" w:type="dxa"/>
            <w:vAlign w:val="center"/>
          </w:tcPr>
          <w:p w14:paraId="1CD84C20" w14:textId="7099FDF4"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sz w:val="18"/>
                <w:szCs w:val="18"/>
                <w:lang w:eastAsia="cs-CZ"/>
              </w:rPr>
              <w:t xml:space="preserve">SV – smíšené obytné venkovské </w:t>
            </w:r>
          </w:p>
        </w:tc>
      </w:tr>
      <w:tr w:rsidR="002D0BDA" w:rsidRPr="006070EA" w14:paraId="51C6B6C2" w14:textId="77777777" w:rsidTr="00C13B55">
        <w:trPr>
          <w:cantSplit/>
        </w:trPr>
        <w:tc>
          <w:tcPr>
            <w:tcW w:w="2659" w:type="dxa"/>
          </w:tcPr>
          <w:p w14:paraId="136943CB"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limity využití území</w:t>
            </w:r>
          </w:p>
        </w:tc>
        <w:tc>
          <w:tcPr>
            <w:tcW w:w="6411" w:type="dxa"/>
          </w:tcPr>
          <w:p w14:paraId="485A7852" w14:textId="2769EFCF"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koridor </w:t>
            </w:r>
            <w:r w:rsidR="00961C8B" w:rsidRPr="006070EA">
              <w:rPr>
                <w:rFonts w:asciiTheme="majorHAnsi" w:eastAsia="Times New Roman" w:hAnsiTheme="majorHAnsi" w:cstheme="majorHAnsi"/>
                <w:bCs/>
                <w:iCs/>
                <w:sz w:val="18"/>
                <w:szCs w:val="20"/>
                <w:lang w:eastAsia="ar-SA"/>
              </w:rPr>
              <w:t>CNU.</w:t>
            </w:r>
            <w:r w:rsidRPr="006070EA">
              <w:rPr>
                <w:rFonts w:asciiTheme="majorHAnsi" w:eastAsia="Times New Roman" w:hAnsiTheme="majorHAnsi" w:cstheme="majorHAnsi"/>
                <w:bCs/>
                <w:iCs/>
                <w:sz w:val="18"/>
                <w:szCs w:val="20"/>
                <w:lang w:eastAsia="ar-SA"/>
              </w:rPr>
              <w:t>KD1; plošná investice do půdy (odvodnění); radioreléová trasa; OP komunikačního zařízení</w:t>
            </w:r>
          </w:p>
        </w:tc>
      </w:tr>
      <w:tr w:rsidR="002D0BDA" w:rsidRPr="006070EA" w14:paraId="0CF75091" w14:textId="77777777" w:rsidTr="00C13B55">
        <w:trPr>
          <w:cantSplit/>
        </w:trPr>
        <w:tc>
          <w:tcPr>
            <w:tcW w:w="2659" w:type="dxa"/>
          </w:tcPr>
          <w:p w14:paraId="4F5E0991"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vztah k platné ÚPD (ZÚR, ÚPO)</w:t>
            </w:r>
          </w:p>
        </w:tc>
        <w:tc>
          <w:tcPr>
            <w:tcW w:w="6411" w:type="dxa"/>
          </w:tcPr>
          <w:p w14:paraId="65A1D864"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převzato z ÚPO</w:t>
            </w:r>
          </w:p>
        </w:tc>
      </w:tr>
      <w:tr w:rsidR="002D0BDA" w:rsidRPr="006070EA" w14:paraId="14B943D3" w14:textId="77777777" w:rsidTr="00C13B55">
        <w:trPr>
          <w:cantSplit/>
        </w:trPr>
        <w:tc>
          <w:tcPr>
            <w:tcW w:w="2659" w:type="dxa"/>
          </w:tcPr>
          <w:p w14:paraId="06DA9529"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vazba na veřejnou infrastrukturu (DI, TI)</w:t>
            </w:r>
          </w:p>
        </w:tc>
        <w:tc>
          <w:tcPr>
            <w:tcW w:w="6411" w:type="dxa"/>
          </w:tcPr>
          <w:p w14:paraId="0A98E824"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Přímá vazba na silnici III/3317</w:t>
            </w:r>
          </w:p>
          <w:p w14:paraId="270E60EE"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Přímá vazba na technickou infrastrukturu (vodovod, plynovod, kanalizace)</w:t>
            </w:r>
          </w:p>
          <w:p w14:paraId="6DA9589C" w14:textId="2BBAD735"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Přímá vazba na koridor </w:t>
            </w:r>
            <w:r w:rsidR="00961C8B" w:rsidRPr="006070EA">
              <w:rPr>
                <w:rFonts w:asciiTheme="majorHAnsi" w:eastAsia="Times New Roman" w:hAnsiTheme="majorHAnsi" w:cstheme="majorHAnsi"/>
                <w:bCs/>
                <w:iCs/>
                <w:sz w:val="18"/>
                <w:szCs w:val="20"/>
                <w:lang w:eastAsia="ar-SA"/>
              </w:rPr>
              <w:t>CNU.</w:t>
            </w:r>
            <w:r w:rsidRPr="006070EA">
              <w:rPr>
                <w:rFonts w:asciiTheme="majorHAnsi" w:eastAsia="Times New Roman" w:hAnsiTheme="majorHAnsi" w:cstheme="majorHAnsi"/>
                <w:bCs/>
                <w:iCs/>
                <w:sz w:val="18"/>
                <w:szCs w:val="20"/>
                <w:lang w:eastAsia="ar-SA"/>
              </w:rPr>
              <w:t>KTI1 (navržené sítě vodovodu a kanalizace)</w:t>
            </w:r>
          </w:p>
        </w:tc>
      </w:tr>
      <w:tr w:rsidR="002D0BDA" w:rsidRPr="006070EA" w14:paraId="09A3C2C8" w14:textId="77777777" w:rsidTr="00C13B55">
        <w:trPr>
          <w:cantSplit/>
        </w:trPr>
        <w:tc>
          <w:tcPr>
            <w:tcW w:w="2659" w:type="dxa"/>
          </w:tcPr>
          <w:p w14:paraId="226B9F8A"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vztah k zastavěnému území</w:t>
            </w:r>
          </w:p>
        </w:tc>
        <w:tc>
          <w:tcPr>
            <w:tcW w:w="6411" w:type="dxa"/>
          </w:tcPr>
          <w:p w14:paraId="15D43937"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Plocha v přímé návaznosti na zastavěné území</w:t>
            </w:r>
          </w:p>
        </w:tc>
      </w:tr>
      <w:tr w:rsidR="002D0BDA" w:rsidRPr="006070EA" w14:paraId="6D885087" w14:textId="77777777" w:rsidTr="00C13B55">
        <w:trPr>
          <w:cantSplit/>
        </w:trPr>
        <w:tc>
          <w:tcPr>
            <w:tcW w:w="2659" w:type="dxa"/>
          </w:tcPr>
          <w:p w14:paraId="6A74374A"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dotčení půdního fondu (ZPF, LPF)</w:t>
            </w:r>
          </w:p>
        </w:tc>
        <w:tc>
          <w:tcPr>
            <w:tcW w:w="6411" w:type="dxa"/>
          </w:tcPr>
          <w:p w14:paraId="0779FA69"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ZPF I. třídy ochrany</w:t>
            </w:r>
          </w:p>
        </w:tc>
      </w:tr>
      <w:tr w:rsidR="002D0BDA" w:rsidRPr="006070EA" w14:paraId="188DCBCB" w14:textId="77777777" w:rsidTr="00C13B55">
        <w:trPr>
          <w:cantSplit/>
        </w:trPr>
        <w:tc>
          <w:tcPr>
            <w:tcW w:w="2659" w:type="dxa"/>
          </w:tcPr>
          <w:p w14:paraId="218648B3"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hlavní důvody vymezení plochy</w:t>
            </w:r>
          </w:p>
        </w:tc>
        <w:tc>
          <w:tcPr>
            <w:tcW w:w="6411" w:type="dxa"/>
          </w:tcPr>
          <w:p w14:paraId="379FC608"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Vytvoření podmínek pro rozvoj rezidenční funkce sídla Lány. Plocha je součástí koncepce urbanistického rozvoje sídla Lány v západní linii od silnice III/3317. Vymezením plochy je zajišťována kontinuita územního rozvoje sídla z předchozí ÚPD (ÚPO).</w:t>
            </w:r>
          </w:p>
          <w:p w14:paraId="077CF3EE"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Plocha je vymezena na základě potřebnosti rozvoje obytné funkce obce dle podrobné analýzy potřeby vymezení zastavitelných ploch pro bydlení (viz kapitola 10) a v souladu se základní koncepcí rozvoje území, která vychází z původního řešení ÚPO. </w:t>
            </w:r>
          </w:p>
          <w:p w14:paraId="5FA6AED3" w14:textId="6ADBF36A"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Plocha byla vymezena rovněž po prověření požadavku na výstavbu RD na p.</w:t>
            </w:r>
            <w:r w:rsidR="005272E3" w:rsidRPr="006070EA">
              <w:rPr>
                <w:rFonts w:asciiTheme="majorHAnsi" w:eastAsia="Times New Roman" w:hAnsiTheme="majorHAnsi" w:cstheme="majorHAnsi"/>
                <w:bCs/>
                <w:iCs/>
                <w:sz w:val="18"/>
                <w:szCs w:val="20"/>
                <w:lang w:eastAsia="ar-SA"/>
              </w:rPr>
              <w:t xml:space="preserve"> č</w:t>
            </w:r>
            <w:r w:rsidRPr="006070EA">
              <w:rPr>
                <w:rFonts w:asciiTheme="majorHAnsi" w:eastAsia="Times New Roman" w:hAnsiTheme="majorHAnsi" w:cstheme="majorHAnsi"/>
                <w:bCs/>
                <w:iCs/>
                <w:sz w:val="18"/>
                <w:szCs w:val="20"/>
                <w:lang w:eastAsia="ar-SA"/>
              </w:rPr>
              <w:t>. 276/4 a</w:t>
            </w:r>
            <w:r w:rsidR="005272E3" w:rsidRPr="006070EA">
              <w:rPr>
                <w:rFonts w:asciiTheme="majorHAnsi" w:eastAsia="Times New Roman" w:hAnsiTheme="majorHAnsi" w:cstheme="majorHAnsi"/>
                <w:bCs/>
                <w:iCs/>
                <w:sz w:val="18"/>
                <w:szCs w:val="20"/>
                <w:lang w:eastAsia="ar-SA"/>
              </w:rPr>
              <w:t> </w:t>
            </w:r>
            <w:r w:rsidRPr="006070EA">
              <w:rPr>
                <w:rFonts w:asciiTheme="majorHAnsi" w:eastAsia="Times New Roman" w:hAnsiTheme="majorHAnsi" w:cstheme="majorHAnsi"/>
                <w:bCs/>
                <w:iCs/>
                <w:sz w:val="18"/>
                <w:szCs w:val="20"/>
                <w:lang w:eastAsia="ar-SA"/>
              </w:rPr>
              <w:t>276/5.</w:t>
            </w:r>
          </w:p>
        </w:tc>
      </w:tr>
      <w:tr w:rsidR="00C13B55" w:rsidRPr="006070EA" w14:paraId="44AC9358" w14:textId="77777777" w:rsidTr="00C13B55">
        <w:trPr>
          <w:cantSplit/>
        </w:trPr>
        <w:tc>
          <w:tcPr>
            <w:tcW w:w="2659" w:type="dxa"/>
          </w:tcPr>
          <w:p w14:paraId="12CFD6E2" w14:textId="77777777" w:rsidR="00C13B55" w:rsidRPr="006070EA" w:rsidRDefault="00C13B55" w:rsidP="00C13B55">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související podmínky využití</w:t>
            </w:r>
          </w:p>
        </w:tc>
        <w:tc>
          <w:tcPr>
            <w:tcW w:w="6411" w:type="dxa"/>
          </w:tcPr>
          <w:p w14:paraId="4A734F0D" w14:textId="503F4C96" w:rsidR="00C13B55" w:rsidRPr="006070EA" w:rsidRDefault="00C13B55" w:rsidP="00C13B55">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Rozhodování v částech zastavitelné plochy, zasahujících do koridoru </w:t>
            </w:r>
            <w:r w:rsidR="00961C8B" w:rsidRPr="006070EA">
              <w:rPr>
                <w:rFonts w:asciiTheme="majorHAnsi" w:eastAsia="Times New Roman" w:hAnsiTheme="majorHAnsi" w:cstheme="majorHAnsi"/>
                <w:bCs/>
                <w:iCs/>
                <w:sz w:val="18"/>
                <w:szCs w:val="20"/>
                <w:lang w:eastAsia="ar-SA"/>
              </w:rPr>
              <w:t>CNU.</w:t>
            </w:r>
            <w:r w:rsidRPr="006070EA">
              <w:rPr>
                <w:rFonts w:asciiTheme="majorHAnsi" w:eastAsia="Times New Roman" w:hAnsiTheme="majorHAnsi" w:cstheme="majorHAnsi"/>
                <w:bCs/>
                <w:iCs/>
                <w:sz w:val="18"/>
                <w:szCs w:val="20"/>
                <w:lang w:eastAsia="ar-SA"/>
              </w:rPr>
              <w:t>KD1, je podmíněno realizací záměru, pro který je koridor vymezen.</w:t>
            </w:r>
          </w:p>
        </w:tc>
      </w:tr>
    </w:tbl>
    <w:p w14:paraId="2B9D66D8" w14:textId="77777777" w:rsidR="002D0BDA" w:rsidRPr="006070EA" w:rsidRDefault="002D0BDA" w:rsidP="002D0BDA">
      <w:pPr>
        <w:pStyle w:val="Atext"/>
        <w:rPr>
          <w:rFonts w:asciiTheme="majorHAnsi" w:hAnsiTheme="majorHAnsi" w:cstheme="majorHAnsi"/>
          <w:i/>
          <w:snapToGrid w:val="0"/>
          <w:color w:val="FF0000"/>
          <w:u w:val="single"/>
        </w:rPr>
      </w:pPr>
    </w:p>
    <w:tbl>
      <w:tblPr>
        <w:tblStyle w:val="Mkatabulky2"/>
        <w:tblW w:w="0" w:type="auto"/>
        <w:tblBorders>
          <w:left w:val="none" w:sz="0" w:space="0" w:color="auto"/>
          <w:right w:val="none" w:sz="0" w:space="0" w:color="auto"/>
          <w:insideV w:val="single" w:sz="12" w:space="0" w:color="auto"/>
        </w:tblBorders>
        <w:tblLook w:val="04A0" w:firstRow="1" w:lastRow="0" w:firstColumn="1" w:lastColumn="0" w:noHBand="0" w:noVBand="1"/>
      </w:tblPr>
      <w:tblGrid>
        <w:gridCol w:w="2659"/>
        <w:gridCol w:w="6411"/>
      </w:tblGrid>
      <w:tr w:rsidR="002D0BDA" w:rsidRPr="006070EA" w14:paraId="28597CAD" w14:textId="77777777" w:rsidTr="005038EA">
        <w:trPr>
          <w:cantSplit/>
          <w:tblHeader/>
        </w:trPr>
        <w:tc>
          <w:tcPr>
            <w:tcW w:w="2705" w:type="dxa"/>
            <w:shd w:val="clear" w:color="auto" w:fill="F2F2F2" w:themeFill="background1" w:themeFillShade="F2"/>
          </w:tcPr>
          <w:p w14:paraId="507F3812" w14:textId="77777777" w:rsidR="002D0BDA" w:rsidRPr="006070EA" w:rsidRDefault="002D0BDA" w:rsidP="005038EA">
            <w:pPr>
              <w:keepNext/>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Zastavitelná plocha</w:t>
            </w:r>
          </w:p>
        </w:tc>
        <w:tc>
          <w:tcPr>
            <w:tcW w:w="6581" w:type="dxa"/>
            <w:shd w:val="clear" w:color="auto" w:fill="F2F2F2" w:themeFill="background1" w:themeFillShade="F2"/>
          </w:tcPr>
          <w:p w14:paraId="3B96EEF2" w14:textId="3A7FA9EC" w:rsidR="002D0BDA" w:rsidRPr="006070EA" w:rsidRDefault="002D0BDA" w:rsidP="005038EA">
            <w:pPr>
              <w:keepNext/>
              <w:tabs>
                <w:tab w:val="center" w:pos="4536"/>
                <w:tab w:val="right" w:pos="9072"/>
              </w:tabs>
              <w:suppressAutoHyphens/>
              <w:spacing w:before="40" w:after="40"/>
              <w:jc w:val="both"/>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w:t>
            </w:r>
            <w:r w:rsidR="00961C8B" w:rsidRPr="006070EA">
              <w:rPr>
                <w:rFonts w:asciiTheme="majorHAnsi" w:eastAsia="Times New Roman" w:hAnsiTheme="majorHAnsi" w:cstheme="majorHAnsi"/>
                <w:b/>
                <w:bCs/>
                <w:iCs/>
                <w:sz w:val="18"/>
                <w:szCs w:val="20"/>
                <w:lang w:eastAsia="ar-SA"/>
              </w:rPr>
              <w:t>.</w:t>
            </w:r>
            <w:r w:rsidRPr="006070EA">
              <w:rPr>
                <w:rFonts w:asciiTheme="majorHAnsi" w:eastAsia="Times New Roman" w:hAnsiTheme="majorHAnsi" w:cstheme="majorHAnsi"/>
                <w:b/>
                <w:bCs/>
                <w:iCs/>
                <w:sz w:val="18"/>
                <w:szCs w:val="20"/>
                <w:lang w:eastAsia="ar-SA"/>
              </w:rPr>
              <w:t>17</w:t>
            </w:r>
          </w:p>
        </w:tc>
      </w:tr>
      <w:tr w:rsidR="002D0BDA" w:rsidRPr="006070EA" w14:paraId="779E67EA" w14:textId="77777777" w:rsidTr="005038EA">
        <w:trPr>
          <w:cantSplit/>
        </w:trPr>
        <w:tc>
          <w:tcPr>
            <w:tcW w:w="2705" w:type="dxa"/>
          </w:tcPr>
          <w:p w14:paraId="0C10CC9F"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způsob využití</w:t>
            </w:r>
          </w:p>
        </w:tc>
        <w:tc>
          <w:tcPr>
            <w:tcW w:w="6581" w:type="dxa"/>
            <w:vAlign w:val="center"/>
          </w:tcPr>
          <w:p w14:paraId="7B86A615" w14:textId="69CE79B1"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sz w:val="18"/>
                <w:szCs w:val="18"/>
                <w:lang w:eastAsia="cs-CZ"/>
              </w:rPr>
              <w:t xml:space="preserve">SV – smíšené obytné venkovské </w:t>
            </w:r>
          </w:p>
        </w:tc>
      </w:tr>
      <w:tr w:rsidR="002D0BDA" w:rsidRPr="006070EA" w14:paraId="5EEFF664" w14:textId="77777777" w:rsidTr="005038EA">
        <w:trPr>
          <w:cantSplit/>
        </w:trPr>
        <w:tc>
          <w:tcPr>
            <w:tcW w:w="2705" w:type="dxa"/>
          </w:tcPr>
          <w:p w14:paraId="1305789E"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limity využití území</w:t>
            </w:r>
          </w:p>
        </w:tc>
        <w:tc>
          <w:tcPr>
            <w:tcW w:w="6581" w:type="dxa"/>
          </w:tcPr>
          <w:p w14:paraId="53F0FB92"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plošná investice do půdy (odvodnění); radioreléová trasa; OP komunikačního zařízení</w:t>
            </w:r>
          </w:p>
        </w:tc>
      </w:tr>
      <w:tr w:rsidR="002D0BDA" w:rsidRPr="006070EA" w14:paraId="16CFE6DC" w14:textId="77777777" w:rsidTr="005038EA">
        <w:trPr>
          <w:cantSplit/>
        </w:trPr>
        <w:tc>
          <w:tcPr>
            <w:tcW w:w="2705" w:type="dxa"/>
          </w:tcPr>
          <w:p w14:paraId="36CC38D0"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vztah k platné ÚPD (ZÚR, ÚPO)</w:t>
            </w:r>
          </w:p>
        </w:tc>
        <w:tc>
          <w:tcPr>
            <w:tcW w:w="6581" w:type="dxa"/>
          </w:tcPr>
          <w:p w14:paraId="53AC5F46"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částečně převzato z ÚPO</w:t>
            </w:r>
          </w:p>
        </w:tc>
      </w:tr>
      <w:tr w:rsidR="002D0BDA" w:rsidRPr="006070EA" w14:paraId="03159B3F" w14:textId="77777777" w:rsidTr="005038EA">
        <w:trPr>
          <w:cantSplit/>
        </w:trPr>
        <w:tc>
          <w:tcPr>
            <w:tcW w:w="2705" w:type="dxa"/>
          </w:tcPr>
          <w:p w14:paraId="40D84503"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vazba na veřejnou infrastrukturu (DI, TI)</w:t>
            </w:r>
          </w:p>
        </w:tc>
        <w:tc>
          <w:tcPr>
            <w:tcW w:w="6581" w:type="dxa"/>
          </w:tcPr>
          <w:p w14:paraId="43DC5BAE"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Přímá vazba na silnici III/3317</w:t>
            </w:r>
          </w:p>
          <w:p w14:paraId="77B60902"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Přímá vazba na technickou infrastrukturu (vodovod, plynovod, kanalizace)</w:t>
            </w:r>
          </w:p>
          <w:p w14:paraId="1D849A06" w14:textId="2AA7DCDD"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Přímá vazba na koridor </w:t>
            </w:r>
            <w:r w:rsidR="00961C8B" w:rsidRPr="006070EA">
              <w:rPr>
                <w:rFonts w:asciiTheme="majorHAnsi" w:eastAsia="Times New Roman" w:hAnsiTheme="majorHAnsi" w:cstheme="majorHAnsi"/>
                <w:bCs/>
                <w:iCs/>
                <w:sz w:val="18"/>
                <w:szCs w:val="20"/>
                <w:lang w:eastAsia="ar-SA"/>
              </w:rPr>
              <w:t>CNU.</w:t>
            </w:r>
            <w:r w:rsidRPr="006070EA">
              <w:rPr>
                <w:rFonts w:asciiTheme="majorHAnsi" w:eastAsia="Times New Roman" w:hAnsiTheme="majorHAnsi" w:cstheme="majorHAnsi"/>
                <w:bCs/>
                <w:iCs/>
                <w:sz w:val="18"/>
                <w:szCs w:val="20"/>
                <w:lang w:eastAsia="ar-SA"/>
              </w:rPr>
              <w:t>KTI1 (navržené sítě vodovodu a kanalizace)</w:t>
            </w:r>
          </w:p>
        </w:tc>
      </w:tr>
      <w:tr w:rsidR="002D0BDA" w:rsidRPr="006070EA" w14:paraId="642D770F" w14:textId="77777777" w:rsidTr="005038EA">
        <w:trPr>
          <w:cantSplit/>
        </w:trPr>
        <w:tc>
          <w:tcPr>
            <w:tcW w:w="2705" w:type="dxa"/>
          </w:tcPr>
          <w:p w14:paraId="6EF162CD"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vztah k zastavěnému území</w:t>
            </w:r>
          </w:p>
        </w:tc>
        <w:tc>
          <w:tcPr>
            <w:tcW w:w="6581" w:type="dxa"/>
          </w:tcPr>
          <w:p w14:paraId="3D68450A"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Plocha v přímé návaznosti na zastavěné území</w:t>
            </w:r>
          </w:p>
        </w:tc>
      </w:tr>
      <w:tr w:rsidR="002D0BDA" w:rsidRPr="006070EA" w14:paraId="5E0E7A07" w14:textId="77777777" w:rsidTr="005038EA">
        <w:trPr>
          <w:cantSplit/>
        </w:trPr>
        <w:tc>
          <w:tcPr>
            <w:tcW w:w="2705" w:type="dxa"/>
          </w:tcPr>
          <w:p w14:paraId="3F3D5FE7"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dotčení půdního fondu (ZPF, LPF)</w:t>
            </w:r>
          </w:p>
        </w:tc>
        <w:tc>
          <w:tcPr>
            <w:tcW w:w="6581" w:type="dxa"/>
          </w:tcPr>
          <w:p w14:paraId="3094F883"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ZPF I. třídy ochrany</w:t>
            </w:r>
          </w:p>
        </w:tc>
      </w:tr>
      <w:tr w:rsidR="002D0BDA" w:rsidRPr="006070EA" w14:paraId="45057457" w14:textId="77777777" w:rsidTr="005038EA">
        <w:trPr>
          <w:cantSplit/>
        </w:trPr>
        <w:tc>
          <w:tcPr>
            <w:tcW w:w="2705" w:type="dxa"/>
          </w:tcPr>
          <w:p w14:paraId="6C6C4079"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hlavní důvody vymezení plochy</w:t>
            </w:r>
          </w:p>
        </w:tc>
        <w:tc>
          <w:tcPr>
            <w:tcW w:w="6581" w:type="dxa"/>
          </w:tcPr>
          <w:p w14:paraId="0FF24B4F" w14:textId="59CFD3B2"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Vytvoření podmínek pro rozvoj rezidenční funkce sídla Lány. Plocha je součástí koncepce urbanistického rozvoje sídla Lány v západní linii od silnice III/3317. Vymezení plochy zahrnuje zastavitelnou plochu v proluce zástavby </w:t>
            </w:r>
            <w:r w:rsidR="00961C8B" w:rsidRPr="006070EA">
              <w:rPr>
                <w:rFonts w:asciiTheme="majorHAnsi" w:eastAsia="Times New Roman" w:hAnsiTheme="majorHAnsi" w:cstheme="majorHAnsi"/>
                <w:bCs/>
                <w:iCs/>
                <w:sz w:val="18"/>
                <w:szCs w:val="20"/>
                <w:lang w:eastAsia="ar-SA"/>
              </w:rPr>
              <w:t>vymezenou</w:t>
            </w:r>
            <w:r w:rsidRPr="006070EA">
              <w:rPr>
                <w:rFonts w:asciiTheme="majorHAnsi" w:eastAsia="Times New Roman" w:hAnsiTheme="majorHAnsi" w:cstheme="majorHAnsi"/>
                <w:bCs/>
                <w:iCs/>
                <w:sz w:val="18"/>
                <w:szCs w:val="20"/>
                <w:lang w:eastAsia="ar-SA"/>
              </w:rPr>
              <w:t xml:space="preserve"> v ÚPO (p.č. 346, 423, 414, 275/11, 424 a část 202) a dále dotváří kompaktní tvar sídla Lány.</w:t>
            </w:r>
          </w:p>
          <w:p w14:paraId="5D3FD829"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Plocha je vymezena na základě potřebnosti rozvoje obytné funkce obce dle podrobné analýzy potřeby vymezení zastavitelných ploch pro bydlení (viz kapitola 10) a v souladu se základní koncepcí rozvoje území, která vychází z původního řešení ÚPO. </w:t>
            </w:r>
          </w:p>
          <w:p w14:paraId="75547B27" w14:textId="180E7B35"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Plocha byla vymezena rovněž po prověření požadavku na výstavbu RD na p.</w:t>
            </w:r>
            <w:r w:rsidR="005272E3" w:rsidRPr="006070EA">
              <w:rPr>
                <w:rFonts w:asciiTheme="majorHAnsi" w:eastAsia="Times New Roman" w:hAnsiTheme="majorHAnsi" w:cstheme="majorHAnsi"/>
                <w:bCs/>
                <w:iCs/>
                <w:sz w:val="18"/>
                <w:szCs w:val="20"/>
                <w:lang w:eastAsia="ar-SA"/>
              </w:rPr>
              <w:t xml:space="preserve"> </w:t>
            </w:r>
            <w:r w:rsidRPr="006070EA">
              <w:rPr>
                <w:rFonts w:asciiTheme="majorHAnsi" w:eastAsia="Times New Roman" w:hAnsiTheme="majorHAnsi" w:cstheme="majorHAnsi"/>
                <w:bCs/>
                <w:iCs/>
                <w:sz w:val="18"/>
                <w:szCs w:val="20"/>
                <w:lang w:eastAsia="ar-SA"/>
              </w:rPr>
              <w:t>č. 275/15 v</w:t>
            </w:r>
            <w:r w:rsidR="005272E3" w:rsidRPr="006070EA">
              <w:rPr>
                <w:rFonts w:asciiTheme="majorHAnsi" w:eastAsia="Times New Roman" w:hAnsiTheme="majorHAnsi" w:cstheme="majorHAnsi"/>
                <w:bCs/>
                <w:iCs/>
                <w:sz w:val="18"/>
                <w:szCs w:val="20"/>
                <w:lang w:eastAsia="ar-SA"/>
              </w:rPr>
              <w:t> </w:t>
            </w:r>
            <w:r w:rsidRPr="006070EA">
              <w:rPr>
                <w:rFonts w:asciiTheme="majorHAnsi" w:eastAsia="Times New Roman" w:hAnsiTheme="majorHAnsi" w:cstheme="majorHAnsi"/>
                <w:bCs/>
                <w:iCs/>
                <w:sz w:val="18"/>
                <w:szCs w:val="20"/>
                <w:lang w:eastAsia="ar-SA"/>
              </w:rPr>
              <w:t>k.</w:t>
            </w:r>
            <w:r w:rsidR="005272E3" w:rsidRPr="006070EA">
              <w:rPr>
                <w:rFonts w:asciiTheme="majorHAnsi" w:eastAsia="Times New Roman" w:hAnsiTheme="majorHAnsi" w:cstheme="majorHAnsi"/>
                <w:bCs/>
                <w:iCs/>
                <w:sz w:val="18"/>
                <w:szCs w:val="20"/>
                <w:lang w:eastAsia="ar-SA"/>
              </w:rPr>
              <w:t xml:space="preserve"> </w:t>
            </w:r>
            <w:r w:rsidRPr="006070EA">
              <w:rPr>
                <w:rFonts w:asciiTheme="majorHAnsi" w:eastAsia="Times New Roman" w:hAnsiTheme="majorHAnsi" w:cstheme="majorHAnsi"/>
                <w:bCs/>
                <w:iCs/>
                <w:sz w:val="18"/>
                <w:szCs w:val="20"/>
                <w:lang w:eastAsia="ar-SA"/>
              </w:rPr>
              <w:t>ú Lány u Kostomlat nad Labem.</w:t>
            </w:r>
          </w:p>
        </w:tc>
      </w:tr>
      <w:tr w:rsidR="002D0BDA" w:rsidRPr="006070EA" w14:paraId="30E6EED8" w14:textId="77777777" w:rsidTr="005038EA">
        <w:trPr>
          <w:cantSplit/>
        </w:trPr>
        <w:tc>
          <w:tcPr>
            <w:tcW w:w="2705" w:type="dxa"/>
          </w:tcPr>
          <w:p w14:paraId="7D4CFA1B"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související podmínky využití</w:t>
            </w:r>
          </w:p>
        </w:tc>
        <w:tc>
          <w:tcPr>
            <w:tcW w:w="6581" w:type="dxa"/>
          </w:tcPr>
          <w:p w14:paraId="0D23C91C" w14:textId="2DC52185" w:rsidR="002D0BDA" w:rsidRPr="006070EA" w:rsidRDefault="00C13B55"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Zpracování územní studie </w:t>
            </w:r>
            <w:r w:rsidR="00961C8B" w:rsidRPr="006070EA">
              <w:rPr>
                <w:rFonts w:asciiTheme="majorHAnsi" w:eastAsia="Times New Roman" w:hAnsiTheme="majorHAnsi" w:cstheme="majorHAnsi"/>
                <w:bCs/>
                <w:iCs/>
                <w:sz w:val="18"/>
                <w:szCs w:val="20"/>
                <w:lang w:eastAsia="ar-SA"/>
              </w:rPr>
              <w:t>US.</w:t>
            </w:r>
            <w:r w:rsidRPr="006070EA">
              <w:rPr>
                <w:rFonts w:asciiTheme="majorHAnsi" w:eastAsia="Times New Roman" w:hAnsiTheme="majorHAnsi" w:cstheme="majorHAnsi"/>
                <w:bCs/>
                <w:iCs/>
                <w:sz w:val="18"/>
                <w:szCs w:val="20"/>
                <w:lang w:eastAsia="ar-SA"/>
              </w:rPr>
              <w:t>2.</w:t>
            </w:r>
          </w:p>
        </w:tc>
      </w:tr>
    </w:tbl>
    <w:p w14:paraId="2665ACBC" w14:textId="77777777" w:rsidR="002D0BDA" w:rsidRPr="006070EA" w:rsidRDefault="002D0BDA" w:rsidP="002D0BDA">
      <w:pPr>
        <w:pStyle w:val="Atext"/>
        <w:rPr>
          <w:rFonts w:asciiTheme="majorHAnsi" w:hAnsiTheme="majorHAnsi" w:cstheme="majorHAnsi"/>
          <w:i/>
          <w:snapToGrid w:val="0"/>
          <w:color w:val="FF0000"/>
          <w:u w:val="single"/>
        </w:rPr>
      </w:pPr>
    </w:p>
    <w:tbl>
      <w:tblPr>
        <w:tblStyle w:val="Mkatabulky2"/>
        <w:tblW w:w="0" w:type="auto"/>
        <w:tblBorders>
          <w:left w:val="none" w:sz="0" w:space="0" w:color="auto"/>
          <w:right w:val="none" w:sz="0" w:space="0" w:color="auto"/>
          <w:insideV w:val="single" w:sz="12" w:space="0" w:color="auto"/>
        </w:tblBorders>
        <w:tblLook w:val="04A0" w:firstRow="1" w:lastRow="0" w:firstColumn="1" w:lastColumn="0" w:noHBand="0" w:noVBand="1"/>
      </w:tblPr>
      <w:tblGrid>
        <w:gridCol w:w="2659"/>
        <w:gridCol w:w="6411"/>
      </w:tblGrid>
      <w:tr w:rsidR="002D0BDA" w:rsidRPr="006070EA" w14:paraId="2031C6E3" w14:textId="77777777" w:rsidTr="005038EA">
        <w:trPr>
          <w:cantSplit/>
          <w:tblHeader/>
        </w:trPr>
        <w:tc>
          <w:tcPr>
            <w:tcW w:w="2705" w:type="dxa"/>
            <w:shd w:val="clear" w:color="auto" w:fill="F2F2F2" w:themeFill="background1" w:themeFillShade="F2"/>
          </w:tcPr>
          <w:p w14:paraId="25A08117" w14:textId="77777777" w:rsidR="002D0BDA" w:rsidRPr="006070EA" w:rsidRDefault="002D0BDA" w:rsidP="005038EA">
            <w:pPr>
              <w:keepNext/>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Zastavitelná plocha</w:t>
            </w:r>
          </w:p>
        </w:tc>
        <w:tc>
          <w:tcPr>
            <w:tcW w:w="6581" w:type="dxa"/>
            <w:shd w:val="clear" w:color="auto" w:fill="F2F2F2" w:themeFill="background1" w:themeFillShade="F2"/>
          </w:tcPr>
          <w:p w14:paraId="19850C33" w14:textId="7EA3A648" w:rsidR="002D0BDA" w:rsidRPr="006070EA" w:rsidRDefault="002D0BDA" w:rsidP="005038EA">
            <w:pPr>
              <w:keepNext/>
              <w:tabs>
                <w:tab w:val="center" w:pos="4536"/>
                <w:tab w:val="right" w:pos="9072"/>
              </w:tabs>
              <w:suppressAutoHyphens/>
              <w:spacing w:before="40" w:after="40"/>
              <w:jc w:val="both"/>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w:t>
            </w:r>
            <w:r w:rsidR="00961C8B" w:rsidRPr="006070EA">
              <w:rPr>
                <w:rFonts w:asciiTheme="majorHAnsi" w:eastAsia="Times New Roman" w:hAnsiTheme="majorHAnsi" w:cstheme="majorHAnsi"/>
                <w:b/>
                <w:bCs/>
                <w:iCs/>
                <w:sz w:val="18"/>
                <w:szCs w:val="20"/>
                <w:lang w:eastAsia="ar-SA"/>
              </w:rPr>
              <w:t>.</w:t>
            </w:r>
            <w:r w:rsidRPr="006070EA">
              <w:rPr>
                <w:rFonts w:asciiTheme="majorHAnsi" w:eastAsia="Times New Roman" w:hAnsiTheme="majorHAnsi" w:cstheme="majorHAnsi"/>
                <w:b/>
                <w:bCs/>
                <w:iCs/>
                <w:sz w:val="18"/>
                <w:szCs w:val="20"/>
                <w:lang w:eastAsia="ar-SA"/>
              </w:rPr>
              <w:t>18</w:t>
            </w:r>
          </w:p>
        </w:tc>
      </w:tr>
      <w:tr w:rsidR="002D0BDA" w:rsidRPr="006070EA" w14:paraId="73B87AB7" w14:textId="77777777" w:rsidTr="005038EA">
        <w:trPr>
          <w:cantSplit/>
        </w:trPr>
        <w:tc>
          <w:tcPr>
            <w:tcW w:w="2705" w:type="dxa"/>
          </w:tcPr>
          <w:p w14:paraId="30A7BB72"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způsob využití</w:t>
            </w:r>
          </w:p>
        </w:tc>
        <w:tc>
          <w:tcPr>
            <w:tcW w:w="6581" w:type="dxa"/>
            <w:vAlign w:val="center"/>
          </w:tcPr>
          <w:p w14:paraId="2DCEDB1C" w14:textId="147E767B"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sz w:val="18"/>
                <w:szCs w:val="18"/>
                <w:lang w:eastAsia="cs-CZ"/>
              </w:rPr>
              <w:t xml:space="preserve">SV – smíšené obytné venkovské </w:t>
            </w:r>
          </w:p>
        </w:tc>
      </w:tr>
      <w:tr w:rsidR="002D0BDA" w:rsidRPr="006070EA" w14:paraId="2BE37323" w14:textId="77777777" w:rsidTr="005038EA">
        <w:trPr>
          <w:cantSplit/>
        </w:trPr>
        <w:tc>
          <w:tcPr>
            <w:tcW w:w="2705" w:type="dxa"/>
          </w:tcPr>
          <w:p w14:paraId="0748AB81"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limity využití území</w:t>
            </w:r>
          </w:p>
        </w:tc>
        <w:tc>
          <w:tcPr>
            <w:tcW w:w="6581" w:type="dxa"/>
          </w:tcPr>
          <w:p w14:paraId="09E8326F" w14:textId="130D941D"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plošná investice do půdy (odvodnění); OP komunikačního zařízení; elektrické vedení vn</w:t>
            </w:r>
            <w:r w:rsidR="00961C8B" w:rsidRPr="006070EA">
              <w:rPr>
                <w:rFonts w:asciiTheme="majorHAnsi" w:eastAsia="Times New Roman" w:hAnsiTheme="majorHAnsi" w:cstheme="majorHAnsi"/>
                <w:bCs/>
                <w:iCs/>
                <w:sz w:val="18"/>
                <w:szCs w:val="20"/>
                <w:lang w:eastAsia="ar-SA"/>
              </w:rPr>
              <w:t> </w:t>
            </w:r>
            <w:r w:rsidRPr="006070EA">
              <w:rPr>
                <w:rFonts w:asciiTheme="majorHAnsi" w:eastAsia="Times New Roman" w:hAnsiTheme="majorHAnsi" w:cstheme="majorHAnsi"/>
                <w:bCs/>
                <w:iCs/>
                <w:sz w:val="18"/>
                <w:szCs w:val="20"/>
                <w:lang w:eastAsia="ar-SA"/>
              </w:rPr>
              <w:t>22kV vč. OP</w:t>
            </w:r>
          </w:p>
        </w:tc>
      </w:tr>
      <w:tr w:rsidR="002D0BDA" w:rsidRPr="006070EA" w14:paraId="320CF056" w14:textId="77777777" w:rsidTr="005038EA">
        <w:trPr>
          <w:cantSplit/>
        </w:trPr>
        <w:tc>
          <w:tcPr>
            <w:tcW w:w="2705" w:type="dxa"/>
          </w:tcPr>
          <w:p w14:paraId="4FC4E300"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vztah k platné ÚPD (ZÚR, ÚPO)</w:t>
            </w:r>
          </w:p>
        </w:tc>
        <w:tc>
          <w:tcPr>
            <w:tcW w:w="6581" w:type="dxa"/>
          </w:tcPr>
          <w:p w14:paraId="4F45564F"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částečně převzato z ÚPO</w:t>
            </w:r>
          </w:p>
        </w:tc>
      </w:tr>
      <w:tr w:rsidR="002D0BDA" w:rsidRPr="006070EA" w14:paraId="27E46885" w14:textId="77777777" w:rsidTr="005038EA">
        <w:trPr>
          <w:cantSplit/>
        </w:trPr>
        <w:tc>
          <w:tcPr>
            <w:tcW w:w="2705" w:type="dxa"/>
          </w:tcPr>
          <w:p w14:paraId="356CF2B4"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vazba na veřejnou infrastrukturu (DI, TI)</w:t>
            </w:r>
          </w:p>
        </w:tc>
        <w:tc>
          <w:tcPr>
            <w:tcW w:w="6581" w:type="dxa"/>
          </w:tcPr>
          <w:p w14:paraId="2FA7A69A"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Přímá vazba na silnici III/3317</w:t>
            </w:r>
          </w:p>
          <w:p w14:paraId="4DAF3929"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Přímá vazba na technickou infrastrukturu (vodovod, plynovod, kanalizace)</w:t>
            </w:r>
          </w:p>
          <w:p w14:paraId="5630C437" w14:textId="03CAAD50"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Přímá vazba na koridor </w:t>
            </w:r>
            <w:r w:rsidR="00961C8B" w:rsidRPr="006070EA">
              <w:rPr>
                <w:rFonts w:asciiTheme="majorHAnsi" w:eastAsia="Times New Roman" w:hAnsiTheme="majorHAnsi" w:cstheme="majorHAnsi"/>
                <w:bCs/>
                <w:iCs/>
                <w:sz w:val="18"/>
                <w:szCs w:val="20"/>
                <w:lang w:eastAsia="ar-SA"/>
              </w:rPr>
              <w:t>CNU.</w:t>
            </w:r>
            <w:r w:rsidRPr="006070EA">
              <w:rPr>
                <w:rFonts w:asciiTheme="majorHAnsi" w:eastAsia="Times New Roman" w:hAnsiTheme="majorHAnsi" w:cstheme="majorHAnsi"/>
                <w:bCs/>
                <w:iCs/>
                <w:sz w:val="18"/>
                <w:szCs w:val="20"/>
                <w:lang w:eastAsia="ar-SA"/>
              </w:rPr>
              <w:t>KTI1 (navržené sítě vodovodu a kanalizace)</w:t>
            </w:r>
          </w:p>
        </w:tc>
      </w:tr>
      <w:tr w:rsidR="002D0BDA" w:rsidRPr="006070EA" w14:paraId="3E20C45D" w14:textId="77777777" w:rsidTr="005038EA">
        <w:trPr>
          <w:cantSplit/>
        </w:trPr>
        <w:tc>
          <w:tcPr>
            <w:tcW w:w="2705" w:type="dxa"/>
          </w:tcPr>
          <w:p w14:paraId="008A776F"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vztah k zastavěnému území</w:t>
            </w:r>
          </w:p>
        </w:tc>
        <w:tc>
          <w:tcPr>
            <w:tcW w:w="6581" w:type="dxa"/>
          </w:tcPr>
          <w:p w14:paraId="5B148AE1"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Plocha v přímé návaznosti na zastavěné území</w:t>
            </w:r>
          </w:p>
        </w:tc>
      </w:tr>
      <w:tr w:rsidR="002D0BDA" w:rsidRPr="006070EA" w14:paraId="56F3D42E" w14:textId="77777777" w:rsidTr="005038EA">
        <w:trPr>
          <w:cantSplit/>
        </w:trPr>
        <w:tc>
          <w:tcPr>
            <w:tcW w:w="2705" w:type="dxa"/>
          </w:tcPr>
          <w:p w14:paraId="0A19F4F0"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dotčení půdního fondu (ZPF, LPF)</w:t>
            </w:r>
          </w:p>
        </w:tc>
        <w:tc>
          <w:tcPr>
            <w:tcW w:w="6581" w:type="dxa"/>
          </w:tcPr>
          <w:p w14:paraId="20D643CD"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ZPF I. třídy ochrany</w:t>
            </w:r>
          </w:p>
        </w:tc>
      </w:tr>
      <w:tr w:rsidR="002D0BDA" w:rsidRPr="006070EA" w14:paraId="203C0075" w14:textId="77777777" w:rsidTr="005038EA">
        <w:trPr>
          <w:cantSplit/>
        </w:trPr>
        <w:tc>
          <w:tcPr>
            <w:tcW w:w="2705" w:type="dxa"/>
          </w:tcPr>
          <w:p w14:paraId="631FD834"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hlavní důvody vymezení plochy</w:t>
            </w:r>
          </w:p>
        </w:tc>
        <w:tc>
          <w:tcPr>
            <w:tcW w:w="6581" w:type="dxa"/>
          </w:tcPr>
          <w:p w14:paraId="57B62785" w14:textId="1167845F"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Vytvoření podmínek pro rozvoj rezidenční funkce sídla Lány. Plocha je součástí koncepce urbanistického rozvoje sídla Lány v západní linii od silnice III/3317. Vymezením plochy je zajišťována kontinuita rozvoje sídla Lány (plocha Z</w:t>
            </w:r>
            <w:r w:rsidR="00961C8B" w:rsidRPr="006070EA">
              <w:rPr>
                <w:rFonts w:asciiTheme="majorHAnsi" w:eastAsia="Times New Roman" w:hAnsiTheme="majorHAnsi" w:cstheme="majorHAnsi"/>
                <w:bCs/>
                <w:iCs/>
                <w:sz w:val="18"/>
                <w:szCs w:val="20"/>
                <w:lang w:eastAsia="ar-SA"/>
              </w:rPr>
              <w:t>.</w:t>
            </w:r>
            <w:r w:rsidRPr="006070EA">
              <w:rPr>
                <w:rFonts w:asciiTheme="majorHAnsi" w:eastAsia="Times New Roman" w:hAnsiTheme="majorHAnsi" w:cstheme="majorHAnsi"/>
                <w:bCs/>
                <w:iCs/>
                <w:sz w:val="18"/>
                <w:szCs w:val="20"/>
                <w:lang w:eastAsia="ar-SA"/>
              </w:rPr>
              <w:t>18 zahrnuje zastavitelné plochy č. 7 a č. 8 trvalého bydlení z ÚPO) a dále dotváří jeho kompaktní tvar.</w:t>
            </w:r>
          </w:p>
          <w:p w14:paraId="0216F0FD"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Plocha je vymezena na základě potřebnosti rozvoje obytné funkce obce dle podrobné analýzy potřeby vymezení zastavitelných ploch pro bydlení (viz kapitola 10) a v souladu se základní koncepcí rozvoje území, která vychází z původního řešení ÚPO. </w:t>
            </w:r>
          </w:p>
          <w:p w14:paraId="4527BAF4" w14:textId="6A3EACEC"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Plocha byla vymezena rovněž po prověření požadavku na výstavbu RD na p.</w:t>
            </w:r>
            <w:r w:rsidR="005272E3" w:rsidRPr="006070EA">
              <w:rPr>
                <w:rFonts w:asciiTheme="majorHAnsi" w:eastAsia="Times New Roman" w:hAnsiTheme="majorHAnsi" w:cstheme="majorHAnsi"/>
                <w:bCs/>
                <w:iCs/>
                <w:sz w:val="18"/>
                <w:szCs w:val="20"/>
                <w:lang w:eastAsia="ar-SA"/>
              </w:rPr>
              <w:t xml:space="preserve"> </w:t>
            </w:r>
            <w:r w:rsidRPr="006070EA">
              <w:rPr>
                <w:rFonts w:asciiTheme="majorHAnsi" w:eastAsia="Times New Roman" w:hAnsiTheme="majorHAnsi" w:cstheme="majorHAnsi"/>
                <w:bCs/>
                <w:iCs/>
                <w:sz w:val="18"/>
                <w:szCs w:val="20"/>
                <w:lang w:eastAsia="ar-SA"/>
              </w:rPr>
              <w:t>č. 274/14 a 274/24 a 374 v k.</w:t>
            </w:r>
            <w:r w:rsidR="005272E3" w:rsidRPr="006070EA">
              <w:rPr>
                <w:rFonts w:asciiTheme="majorHAnsi" w:eastAsia="Times New Roman" w:hAnsiTheme="majorHAnsi" w:cstheme="majorHAnsi"/>
                <w:bCs/>
                <w:iCs/>
                <w:sz w:val="18"/>
                <w:szCs w:val="20"/>
                <w:lang w:eastAsia="ar-SA"/>
              </w:rPr>
              <w:t xml:space="preserve"> </w:t>
            </w:r>
            <w:r w:rsidRPr="006070EA">
              <w:rPr>
                <w:rFonts w:asciiTheme="majorHAnsi" w:eastAsia="Times New Roman" w:hAnsiTheme="majorHAnsi" w:cstheme="majorHAnsi"/>
                <w:bCs/>
                <w:iCs/>
                <w:sz w:val="18"/>
                <w:szCs w:val="20"/>
                <w:lang w:eastAsia="ar-SA"/>
              </w:rPr>
              <w:t>ú</w:t>
            </w:r>
            <w:r w:rsidR="005272E3" w:rsidRPr="006070EA">
              <w:rPr>
                <w:rFonts w:asciiTheme="majorHAnsi" w:eastAsia="Times New Roman" w:hAnsiTheme="majorHAnsi" w:cstheme="majorHAnsi"/>
                <w:bCs/>
                <w:iCs/>
                <w:sz w:val="18"/>
                <w:szCs w:val="20"/>
                <w:lang w:eastAsia="ar-SA"/>
              </w:rPr>
              <w:t>.</w:t>
            </w:r>
            <w:r w:rsidRPr="006070EA">
              <w:rPr>
                <w:rFonts w:asciiTheme="majorHAnsi" w:eastAsia="Times New Roman" w:hAnsiTheme="majorHAnsi" w:cstheme="majorHAnsi"/>
                <w:bCs/>
                <w:iCs/>
                <w:sz w:val="18"/>
                <w:szCs w:val="20"/>
                <w:lang w:eastAsia="ar-SA"/>
              </w:rPr>
              <w:t xml:space="preserve"> Lány u Kostomlat nad Labem.</w:t>
            </w:r>
          </w:p>
        </w:tc>
      </w:tr>
      <w:tr w:rsidR="002D0BDA" w:rsidRPr="006070EA" w14:paraId="1F37D92F" w14:textId="77777777" w:rsidTr="005038EA">
        <w:trPr>
          <w:cantSplit/>
        </w:trPr>
        <w:tc>
          <w:tcPr>
            <w:tcW w:w="2705" w:type="dxa"/>
          </w:tcPr>
          <w:p w14:paraId="38EA3C81"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související podmínky využití</w:t>
            </w:r>
          </w:p>
        </w:tc>
        <w:tc>
          <w:tcPr>
            <w:tcW w:w="6581" w:type="dxa"/>
          </w:tcPr>
          <w:p w14:paraId="0D1FFCF4" w14:textId="1B1811E7" w:rsidR="002D0BDA" w:rsidRPr="006070EA" w:rsidRDefault="00C13B55"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Zpracování územní studie </w:t>
            </w:r>
            <w:r w:rsidR="00961C8B" w:rsidRPr="006070EA">
              <w:rPr>
                <w:rFonts w:asciiTheme="majorHAnsi" w:eastAsia="Times New Roman" w:hAnsiTheme="majorHAnsi" w:cstheme="majorHAnsi"/>
                <w:bCs/>
                <w:iCs/>
                <w:sz w:val="18"/>
                <w:szCs w:val="20"/>
                <w:lang w:eastAsia="ar-SA"/>
              </w:rPr>
              <w:t>US.</w:t>
            </w:r>
            <w:r w:rsidRPr="006070EA">
              <w:rPr>
                <w:rFonts w:asciiTheme="majorHAnsi" w:eastAsia="Times New Roman" w:hAnsiTheme="majorHAnsi" w:cstheme="majorHAnsi"/>
                <w:bCs/>
                <w:iCs/>
                <w:sz w:val="18"/>
                <w:szCs w:val="20"/>
                <w:lang w:eastAsia="ar-SA"/>
              </w:rPr>
              <w:t>2.</w:t>
            </w:r>
          </w:p>
        </w:tc>
      </w:tr>
    </w:tbl>
    <w:p w14:paraId="3C93B0EC" w14:textId="77777777" w:rsidR="002D0BDA" w:rsidRPr="006070EA" w:rsidRDefault="002D0BDA" w:rsidP="002D0BDA">
      <w:pPr>
        <w:pStyle w:val="Atext"/>
        <w:rPr>
          <w:rFonts w:asciiTheme="majorHAnsi" w:hAnsiTheme="majorHAnsi" w:cstheme="majorHAnsi"/>
          <w:i/>
          <w:snapToGrid w:val="0"/>
          <w:color w:val="FF0000"/>
          <w:u w:val="single"/>
        </w:rPr>
      </w:pPr>
    </w:p>
    <w:tbl>
      <w:tblPr>
        <w:tblStyle w:val="Mkatabulky2"/>
        <w:tblW w:w="0" w:type="auto"/>
        <w:tblBorders>
          <w:left w:val="none" w:sz="0" w:space="0" w:color="auto"/>
          <w:right w:val="none" w:sz="0" w:space="0" w:color="auto"/>
          <w:insideV w:val="single" w:sz="12" w:space="0" w:color="auto"/>
        </w:tblBorders>
        <w:tblLook w:val="04A0" w:firstRow="1" w:lastRow="0" w:firstColumn="1" w:lastColumn="0" w:noHBand="0" w:noVBand="1"/>
      </w:tblPr>
      <w:tblGrid>
        <w:gridCol w:w="2659"/>
        <w:gridCol w:w="6411"/>
      </w:tblGrid>
      <w:tr w:rsidR="002D0BDA" w:rsidRPr="006070EA" w14:paraId="166714D7" w14:textId="77777777" w:rsidTr="005038EA">
        <w:trPr>
          <w:cantSplit/>
          <w:tblHeader/>
        </w:trPr>
        <w:tc>
          <w:tcPr>
            <w:tcW w:w="2705" w:type="dxa"/>
            <w:shd w:val="clear" w:color="auto" w:fill="F2F2F2" w:themeFill="background1" w:themeFillShade="F2"/>
          </w:tcPr>
          <w:p w14:paraId="08F72734" w14:textId="77777777" w:rsidR="002D0BDA" w:rsidRPr="006070EA" w:rsidRDefault="002D0BDA" w:rsidP="005038EA">
            <w:pPr>
              <w:keepNext/>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Zastavitelná plocha</w:t>
            </w:r>
          </w:p>
        </w:tc>
        <w:tc>
          <w:tcPr>
            <w:tcW w:w="6581" w:type="dxa"/>
            <w:shd w:val="clear" w:color="auto" w:fill="F2F2F2" w:themeFill="background1" w:themeFillShade="F2"/>
          </w:tcPr>
          <w:p w14:paraId="0CA7A4B9" w14:textId="05739939" w:rsidR="002D0BDA" w:rsidRPr="006070EA" w:rsidRDefault="002D0BDA" w:rsidP="005038EA">
            <w:pPr>
              <w:keepNext/>
              <w:tabs>
                <w:tab w:val="center" w:pos="4536"/>
                <w:tab w:val="right" w:pos="9072"/>
              </w:tabs>
              <w:suppressAutoHyphens/>
              <w:spacing w:before="40" w:after="40"/>
              <w:jc w:val="both"/>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w:t>
            </w:r>
            <w:r w:rsidR="00961C8B" w:rsidRPr="006070EA">
              <w:rPr>
                <w:rFonts w:asciiTheme="majorHAnsi" w:eastAsia="Times New Roman" w:hAnsiTheme="majorHAnsi" w:cstheme="majorHAnsi"/>
                <w:b/>
                <w:bCs/>
                <w:iCs/>
                <w:sz w:val="18"/>
                <w:szCs w:val="20"/>
                <w:lang w:eastAsia="ar-SA"/>
              </w:rPr>
              <w:t>.</w:t>
            </w:r>
            <w:r w:rsidRPr="006070EA">
              <w:rPr>
                <w:rFonts w:asciiTheme="majorHAnsi" w:eastAsia="Times New Roman" w:hAnsiTheme="majorHAnsi" w:cstheme="majorHAnsi"/>
                <w:b/>
                <w:bCs/>
                <w:iCs/>
                <w:sz w:val="18"/>
                <w:szCs w:val="20"/>
                <w:lang w:eastAsia="ar-SA"/>
              </w:rPr>
              <w:t>19</w:t>
            </w:r>
          </w:p>
        </w:tc>
      </w:tr>
      <w:tr w:rsidR="002D0BDA" w:rsidRPr="006070EA" w14:paraId="7A263D8F" w14:textId="77777777" w:rsidTr="005038EA">
        <w:trPr>
          <w:cantSplit/>
        </w:trPr>
        <w:tc>
          <w:tcPr>
            <w:tcW w:w="2705" w:type="dxa"/>
          </w:tcPr>
          <w:p w14:paraId="0B974876"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způsob využití</w:t>
            </w:r>
          </w:p>
        </w:tc>
        <w:tc>
          <w:tcPr>
            <w:tcW w:w="6581" w:type="dxa"/>
            <w:vAlign w:val="center"/>
          </w:tcPr>
          <w:p w14:paraId="45C38DDD" w14:textId="3EC9E311"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sz w:val="18"/>
                <w:szCs w:val="18"/>
                <w:lang w:eastAsia="cs-CZ"/>
              </w:rPr>
              <w:t xml:space="preserve">SV – smíšené obytné venkovské </w:t>
            </w:r>
          </w:p>
        </w:tc>
      </w:tr>
      <w:tr w:rsidR="002D0BDA" w:rsidRPr="006070EA" w14:paraId="302932E3" w14:textId="77777777" w:rsidTr="005038EA">
        <w:trPr>
          <w:cantSplit/>
        </w:trPr>
        <w:tc>
          <w:tcPr>
            <w:tcW w:w="2705" w:type="dxa"/>
          </w:tcPr>
          <w:p w14:paraId="281494D5"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limity využití území</w:t>
            </w:r>
          </w:p>
        </w:tc>
        <w:tc>
          <w:tcPr>
            <w:tcW w:w="6581" w:type="dxa"/>
          </w:tcPr>
          <w:p w14:paraId="389E68DA"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plošná investice do půdy (odvodnění); OP komunikačního zařízení</w:t>
            </w:r>
          </w:p>
        </w:tc>
      </w:tr>
      <w:tr w:rsidR="002D0BDA" w:rsidRPr="006070EA" w14:paraId="768C6E02" w14:textId="77777777" w:rsidTr="005038EA">
        <w:trPr>
          <w:cantSplit/>
        </w:trPr>
        <w:tc>
          <w:tcPr>
            <w:tcW w:w="2705" w:type="dxa"/>
          </w:tcPr>
          <w:p w14:paraId="3791F114"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vztah k platné ÚPD (ZÚR, ÚPO)</w:t>
            </w:r>
          </w:p>
        </w:tc>
        <w:tc>
          <w:tcPr>
            <w:tcW w:w="6581" w:type="dxa"/>
          </w:tcPr>
          <w:p w14:paraId="74DA5219"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částečně převzato z ÚPO</w:t>
            </w:r>
          </w:p>
        </w:tc>
      </w:tr>
      <w:tr w:rsidR="002D0BDA" w:rsidRPr="006070EA" w14:paraId="436CAF37" w14:textId="77777777" w:rsidTr="005038EA">
        <w:trPr>
          <w:cantSplit/>
        </w:trPr>
        <w:tc>
          <w:tcPr>
            <w:tcW w:w="2705" w:type="dxa"/>
          </w:tcPr>
          <w:p w14:paraId="04653658"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vazba na veřejnou infrastrukturu (DI, TI)</w:t>
            </w:r>
          </w:p>
        </w:tc>
        <w:tc>
          <w:tcPr>
            <w:tcW w:w="6581" w:type="dxa"/>
          </w:tcPr>
          <w:p w14:paraId="39E28BEF"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Přímá vazba na silnici III/3317</w:t>
            </w:r>
          </w:p>
          <w:p w14:paraId="431F31FB"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Přímá vazba na technickou infrastrukturu (vodovod, plynovod, kanalizace)</w:t>
            </w:r>
          </w:p>
          <w:p w14:paraId="1ECD4214" w14:textId="79A3FB4B"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Přímá vazba na koridor </w:t>
            </w:r>
            <w:r w:rsidR="00961C8B" w:rsidRPr="006070EA">
              <w:rPr>
                <w:rFonts w:asciiTheme="majorHAnsi" w:eastAsia="Times New Roman" w:hAnsiTheme="majorHAnsi" w:cstheme="majorHAnsi"/>
                <w:bCs/>
                <w:iCs/>
                <w:sz w:val="18"/>
                <w:szCs w:val="20"/>
                <w:lang w:eastAsia="ar-SA"/>
              </w:rPr>
              <w:t>CNU.</w:t>
            </w:r>
            <w:r w:rsidRPr="006070EA">
              <w:rPr>
                <w:rFonts w:asciiTheme="majorHAnsi" w:eastAsia="Times New Roman" w:hAnsiTheme="majorHAnsi" w:cstheme="majorHAnsi"/>
                <w:bCs/>
                <w:iCs/>
                <w:sz w:val="18"/>
                <w:szCs w:val="20"/>
                <w:lang w:eastAsia="ar-SA"/>
              </w:rPr>
              <w:t>KTI1 (navržené sítě vodovodu a kanalizace)</w:t>
            </w:r>
          </w:p>
        </w:tc>
      </w:tr>
      <w:tr w:rsidR="002D0BDA" w:rsidRPr="006070EA" w14:paraId="43B16201" w14:textId="77777777" w:rsidTr="005038EA">
        <w:trPr>
          <w:cantSplit/>
        </w:trPr>
        <w:tc>
          <w:tcPr>
            <w:tcW w:w="2705" w:type="dxa"/>
          </w:tcPr>
          <w:p w14:paraId="3B8AA26E"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vztah k zastavěnému území</w:t>
            </w:r>
          </w:p>
        </w:tc>
        <w:tc>
          <w:tcPr>
            <w:tcW w:w="6581" w:type="dxa"/>
          </w:tcPr>
          <w:p w14:paraId="50861A72"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Plocha v přímé návaznosti na zastavěné území</w:t>
            </w:r>
          </w:p>
        </w:tc>
      </w:tr>
      <w:tr w:rsidR="002D0BDA" w:rsidRPr="006070EA" w14:paraId="122D0BE7" w14:textId="77777777" w:rsidTr="005038EA">
        <w:trPr>
          <w:cantSplit/>
        </w:trPr>
        <w:tc>
          <w:tcPr>
            <w:tcW w:w="2705" w:type="dxa"/>
          </w:tcPr>
          <w:p w14:paraId="07098AFF"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dotčení půdního fondu (ZPF, LPF)</w:t>
            </w:r>
          </w:p>
        </w:tc>
        <w:tc>
          <w:tcPr>
            <w:tcW w:w="6581" w:type="dxa"/>
          </w:tcPr>
          <w:p w14:paraId="142608D2"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ZPF I. třídy ochrany</w:t>
            </w:r>
          </w:p>
        </w:tc>
      </w:tr>
      <w:tr w:rsidR="002D0BDA" w:rsidRPr="006070EA" w14:paraId="4CE1C048" w14:textId="77777777" w:rsidTr="005038EA">
        <w:trPr>
          <w:cantSplit/>
        </w:trPr>
        <w:tc>
          <w:tcPr>
            <w:tcW w:w="2705" w:type="dxa"/>
          </w:tcPr>
          <w:p w14:paraId="652E4574"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hlavní důvody vymezení plochy</w:t>
            </w:r>
          </w:p>
        </w:tc>
        <w:tc>
          <w:tcPr>
            <w:tcW w:w="6581" w:type="dxa"/>
          </w:tcPr>
          <w:p w14:paraId="3B2B573F" w14:textId="22EC63AF"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Vytvoření podmínek pro rozvoj rezidenční funkce sídla Lány. Plocha je součástí koncepce urbanistického rozvoje sídla Lány v západní linii od silnice III/3317. Vymezením plochy je zajišťována kontinuita rozvoje sídla Lány (plocha Z</w:t>
            </w:r>
            <w:r w:rsidR="00961C8B" w:rsidRPr="006070EA">
              <w:rPr>
                <w:rFonts w:asciiTheme="majorHAnsi" w:eastAsia="Times New Roman" w:hAnsiTheme="majorHAnsi" w:cstheme="majorHAnsi"/>
                <w:bCs/>
                <w:iCs/>
                <w:sz w:val="18"/>
                <w:szCs w:val="20"/>
                <w:lang w:eastAsia="ar-SA"/>
              </w:rPr>
              <w:t>.</w:t>
            </w:r>
            <w:r w:rsidRPr="006070EA">
              <w:rPr>
                <w:rFonts w:asciiTheme="majorHAnsi" w:eastAsia="Times New Roman" w:hAnsiTheme="majorHAnsi" w:cstheme="majorHAnsi"/>
                <w:bCs/>
                <w:iCs/>
                <w:sz w:val="18"/>
                <w:szCs w:val="20"/>
                <w:lang w:eastAsia="ar-SA"/>
              </w:rPr>
              <w:t>19 zahrnuje zastavitelnou plochu č. 9 trvalého bydlení z ÚPO) a dále dotváří jeho kompaktní tvar k hranici pozemku historického stavení (č.p. 16)</w:t>
            </w:r>
          </w:p>
          <w:p w14:paraId="08BED924"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Plocha je vymezena na základě potřebnosti rozvoje obytné funkce obce dle podrobné analýzy potřeby vymezení zastavitelných ploch pro bydlení (viz kapitola 10) a v souladu se základní koncepcí rozvoje území, která vychází z původního řešení ÚPO. </w:t>
            </w:r>
          </w:p>
          <w:p w14:paraId="1C9CF7F9" w14:textId="70E95A78"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Plocha byla vymezena rovněž po prověření požadavku na výstavbu RD na p.</w:t>
            </w:r>
            <w:r w:rsidR="005272E3" w:rsidRPr="006070EA">
              <w:rPr>
                <w:rFonts w:asciiTheme="majorHAnsi" w:eastAsia="Times New Roman" w:hAnsiTheme="majorHAnsi" w:cstheme="majorHAnsi"/>
                <w:bCs/>
                <w:iCs/>
                <w:sz w:val="18"/>
                <w:szCs w:val="20"/>
                <w:lang w:eastAsia="ar-SA"/>
              </w:rPr>
              <w:t xml:space="preserve"> </w:t>
            </w:r>
            <w:r w:rsidRPr="006070EA">
              <w:rPr>
                <w:rFonts w:asciiTheme="majorHAnsi" w:eastAsia="Times New Roman" w:hAnsiTheme="majorHAnsi" w:cstheme="majorHAnsi"/>
                <w:bCs/>
                <w:iCs/>
                <w:sz w:val="18"/>
                <w:szCs w:val="20"/>
                <w:lang w:eastAsia="ar-SA"/>
              </w:rPr>
              <w:t>č. 272/9 v k.</w:t>
            </w:r>
            <w:r w:rsidR="005272E3" w:rsidRPr="006070EA">
              <w:rPr>
                <w:rFonts w:asciiTheme="majorHAnsi" w:eastAsia="Times New Roman" w:hAnsiTheme="majorHAnsi" w:cstheme="majorHAnsi"/>
                <w:bCs/>
                <w:iCs/>
                <w:sz w:val="18"/>
                <w:szCs w:val="20"/>
                <w:lang w:eastAsia="ar-SA"/>
              </w:rPr>
              <w:t> </w:t>
            </w:r>
            <w:r w:rsidRPr="006070EA">
              <w:rPr>
                <w:rFonts w:asciiTheme="majorHAnsi" w:eastAsia="Times New Roman" w:hAnsiTheme="majorHAnsi" w:cstheme="majorHAnsi"/>
                <w:bCs/>
                <w:iCs/>
                <w:sz w:val="18"/>
                <w:szCs w:val="20"/>
                <w:lang w:eastAsia="ar-SA"/>
              </w:rPr>
              <w:t>ú</w:t>
            </w:r>
            <w:r w:rsidR="005272E3" w:rsidRPr="006070EA">
              <w:rPr>
                <w:rFonts w:asciiTheme="majorHAnsi" w:eastAsia="Times New Roman" w:hAnsiTheme="majorHAnsi" w:cstheme="majorHAnsi"/>
                <w:bCs/>
                <w:iCs/>
                <w:sz w:val="18"/>
                <w:szCs w:val="20"/>
                <w:lang w:eastAsia="ar-SA"/>
              </w:rPr>
              <w:t>.</w:t>
            </w:r>
            <w:r w:rsidRPr="006070EA">
              <w:rPr>
                <w:rFonts w:asciiTheme="majorHAnsi" w:eastAsia="Times New Roman" w:hAnsiTheme="majorHAnsi" w:cstheme="majorHAnsi"/>
                <w:bCs/>
                <w:iCs/>
                <w:sz w:val="18"/>
                <w:szCs w:val="20"/>
                <w:lang w:eastAsia="ar-SA"/>
              </w:rPr>
              <w:t xml:space="preserve"> Lány u Kostomlat nad Labem.</w:t>
            </w:r>
          </w:p>
        </w:tc>
      </w:tr>
      <w:tr w:rsidR="002D0BDA" w:rsidRPr="006070EA" w14:paraId="021B51EC" w14:textId="77777777" w:rsidTr="005038EA">
        <w:trPr>
          <w:cantSplit/>
        </w:trPr>
        <w:tc>
          <w:tcPr>
            <w:tcW w:w="2705" w:type="dxa"/>
          </w:tcPr>
          <w:p w14:paraId="0B9A662C"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související podmínky využití</w:t>
            </w:r>
          </w:p>
        </w:tc>
        <w:tc>
          <w:tcPr>
            <w:tcW w:w="6581" w:type="dxa"/>
          </w:tcPr>
          <w:p w14:paraId="3D4E5B8F" w14:textId="51F14FD1" w:rsidR="002D0BDA" w:rsidRPr="006070EA" w:rsidRDefault="00C13B55"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Zpracování územní studie </w:t>
            </w:r>
            <w:r w:rsidR="00961C8B" w:rsidRPr="006070EA">
              <w:rPr>
                <w:rFonts w:asciiTheme="majorHAnsi" w:eastAsia="Times New Roman" w:hAnsiTheme="majorHAnsi" w:cstheme="majorHAnsi"/>
                <w:bCs/>
                <w:iCs/>
                <w:sz w:val="18"/>
                <w:szCs w:val="20"/>
                <w:lang w:eastAsia="ar-SA"/>
              </w:rPr>
              <w:t>US.</w:t>
            </w:r>
            <w:r w:rsidRPr="006070EA">
              <w:rPr>
                <w:rFonts w:asciiTheme="majorHAnsi" w:eastAsia="Times New Roman" w:hAnsiTheme="majorHAnsi" w:cstheme="majorHAnsi"/>
                <w:bCs/>
                <w:iCs/>
                <w:sz w:val="18"/>
                <w:szCs w:val="20"/>
                <w:lang w:eastAsia="ar-SA"/>
              </w:rPr>
              <w:t>2.</w:t>
            </w:r>
          </w:p>
        </w:tc>
      </w:tr>
    </w:tbl>
    <w:p w14:paraId="6D227D75" w14:textId="77777777" w:rsidR="002D0BDA" w:rsidRPr="006070EA" w:rsidRDefault="002D0BDA" w:rsidP="002D0BDA">
      <w:pPr>
        <w:pStyle w:val="Atext"/>
        <w:rPr>
          <w:rFonts w:asciiTheme="majorHAnsi" w:hAnsiTheme="majorHAnsi" w:cstheme="majorHAnsi"/>
          <w:i/>
          <w:snapToGrid w:val="0"/>
          <w:color w:val="FF0000"/>
          <w:u w:val="single"/>
        </w:rPr>
      </w:pPr>
    </w:p>
    <w:tbl>
      <w:tblPr>
        <w:tblStyle w:val="Mkatabulky2"/>
        <w:tblW w:w="0" w:type="auto"/>
        <w:tblBorders>
          <w:left w:val="none" w:sz="0" w:space="0" w:color="auto"/>
          <w:right w:val="none" w:sz="0" w:space="0" w:color="auto"/>
          <w:insideV w:val="single" w:sz="12" w:space="0" w:color="auto"/>
        </w:tblBorders>
        <w:tblLook w:val="04A0" w:firstRow="1" w:lastRow="0" w:firstColumn="1" w:lastColumn="0" w:noHBand="0" w:noVBand="1"/>
      </w:tblPr>
      <w:tblGrid>
        <w:gridCol w:w="2659"/>
        <w:gridCol w:w="6411"/>
      </w:tblGrid>
      <w:tr w:rsidR="002D0BDA" w:rsidRPr="006070EA" w14:paraId="5B7018CB" w14:textId="77777777" w:rsidTr="005038EA">
        <w:trPr>
          <w:cantSplit/>
          <w:tblHeader/>
        </w:trPr>
        <w:tc>
          <w:tcPr>
            <w:tcW w:w="2705" w:type="dxa"/>
            <w:shd w:val="clear" w:color="auto" w:fill="F2F2F2" w:themeFill="background1" w:themeFillShade="F2"/>
          </w:tcPr>
          <w:p w14:paraId="5F33F095" w14:textId="77777777" w:rsidR="002D0BDA" w:rsidRPr="006070EA" w:rsidRDefault="002D0BDA" w:rsidP="005038EA">
            <w:pPr>
              <w:keepNext/>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Zastavitelná plocha</w:t>
            </w:r>
          </w:p>
        </w:tc>
        <w:tc>
          <w:tcPr>
            <w:tcW w:w="6581" w:type="dxa"/>
            <w:shd w:val="clear" w:color="auto" w:fill="F2F2F2" w:themeFill="background1" w:themeFillShade="F2"/>
          </w:tcPr>
          <w:p w14:paraId="66A17771" w14:textId="318FEA28" w:rsidR="002D0BDA" w:rsidRPr="006070EA" w:rsidRDefault="002D0BDA" w:rsidP="005038EA">
            <w:pPr>
              <w:keepNext/>
              <w:tabs>
                <w:tab w:val="center" w:pos="4536"/>
                <w:tab w:val="right" w:pos="9072"/>
              </w:tabs>
              <w:suppressAutoHyphens/>
              <w:spacing w:before="40" w:after="40"/>
              <w:jc w:val="both"/>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w:t>
            </w:r>
            <w:r w:rsidR="00961C8B" w:rsidRPr="006070EA">
              <w:rPr>
                <w:rFonts w:asciiTheme="majorHAnsi" w:eastAsia="Times New Roman" w:hAnsiTheme="majorHAnsi" w:cstheme="majorHAnsi"/>
                <w:b/>
                <w:bCs/>
                <w:iCs/>
                <w:sz w:val="18"/>
                <w:szCs w:val="20"/>
                <w:lang w:eastAsia="ar-SA"/>
              </w:rPr>
              <w:t>.</w:t>
            </w:r>
            <w:r w:rsidRPr="006070EA">
              <w:rPr>
                <w:rFonts w:asciiTheme="majorHAnsi" w:eastAsia="Times New Roman" w:hAnsiTheme="majorHAnsi" w:cstheme="majorHAnsi"/>
                <w:b/>
                <w:bCs/>
                <w:iCs/>
                <w:sz w:val="18"/>
                <w:szCs w:val="20"/>
                <w:lang w:eastAsia="ar-SA"/>
              </w:rPr>
              <w:t>20</w:t>
            </w:r>
          </w:p>
        </w:tc>
      </w:tr>
      <w:tr w:rsidR="002D0BDA" w:rsidRPr="006070EA" w14:paraId="1F7ED7A1" w14:textId="77777777" w:rsidTr="005038EA">
        <w:trPr>
          <w:cantSplit/>
        </w:trPr>
        <w:tc>
          <w:tcPr>
            <w:tcW w:w="2705" w:type="dxa"/>
          </w:tcPr>
          <w:p w14:paraId="76740F6A"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způsob využití</w:t>
            </w:r>
          </w:p>
        </w:tc>
        <w:tc>
          <w:tcPr>
            <w:tcW w:w="6581" w:type="dxa"/>
            <w:vAlign w:val="center"/>
          </w:tcPr>
          <w:p w14:paraId="5D805662" w14:textId="7916C33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sz w:val="18"/>
                <w:szCs w:val="18"/>
                <w:lang w:eastAsia="cs-CZ"/>
              </w:rPr>
              <w:t xml:space="preserve">SV – smíšené obytné venkovské </w:t>
            </w:r>
          </w:p>
        </w:tc>
      </w:tr>
      <w:tr w:rsidR="002D0BDA" w:rsidRPr="006070EA" w14:paraId="75FE149A" w14:textId="77777777" w:rsidTr="005038EA">
        <w:trPr>
          <w:cantSplit/>
        </w:trPr>
        <w:tc>
          <w:tcPr>
            <w:tcW w:w="2705" w:type="dxa"/>
          </w:tcPr>
          <w:p w14:paraId="6022EFC9"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limity využití území</w:t>
            </w:r>
          </w:p>
        </w:tc>
        <w:tc>
          <w:tcPr>
            <w:tcW w:w="6581" w:type="dxa"/>
          </w:tcPr>
          <w:p w14:paraId="3755E9FB"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OP komunikačního zařízení</w:t>
            </w:r>
          </w:p>
        </w:tc>
      </w:tr>
      <w:tr w:rsidR="002D0BDA" w:rsidRPr="006070EA" w14:paraId="447A5384" w14:textId="77777777" w:rsidTr="005038EA">
        <w:trPr>
          <w:cantSplit/>
        </w:trPr>
        <w:tc>
          <w:tcPr>
            <w:tcW w:w="2705" w:type="dxa"/>
          </w:tcPr>
          <w:p w14:paraId="2F6950A8"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vztah k platné ÚPD (ZÚR, ÚPO)</w:t>
            </w:r>
          </w:p>
        </w:tc>
        <w:tc>
          <w:tcPr>
            <w:tcW w:w="6581" w:type="dxa"/>
          </w:tcPr>
          <w:p w14:paraId="7648087B"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w:t>
            </w:r>
          </w:p>
        </w:tc>
      </w:tr>
      <w:tr w:rsidR="002D0BDA" w:rsidRPr="006070EA" w14:paraId="1EFF051C" w14:textId="77777777" w:rsidTr="005038EA">
        <w:trPr>
          <w:cantSplit/>
        </w:trPr>
        <w:tc>
          <w:tcPr>
            <w:tcW w:w="2705" w:type="dxa"/>
          </w:tcPr>
          <w:p w14:paraId="23E2BA1C"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lastRenderedPageBreak/>
              <w:t>vazba na veřejnou infrastrukturu (DI, TI)</w:t>
            </w:r>
          </w:p>
        </w:tc>
        <w:tc>
          <w:tcPr>
            <w:tcW w:w="6581" w:type="dxa"/>
          </w:tcPr>
          <w:p w14:paraId="4C0A7EC4"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Přímá vazba na silnici III/3318</w:t>
            </w:r>
          </w:p>
          <w:p w14:paraId="49AE00B1"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Přímá vazba na technickou infrastrukturu (kanalizace)</w:t>
            </w:r>
          </w:p>
          <w:p w14:paraId="335D57D3" w14:textId="7F5E2412"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Přímá vazba na koridor </w:t>
            </w:r>
            <w:r w:rsidR="00961C8B" w:rsidRPr="006070EA">
              <w:rPr>
                <w:rFonts w:asciiTheme="majorHAnsi" w:eastAsia="Times New Roman" w:hAnsiTheme="majorHAnsi" w:cstheme="majorHAnsi"/>
                <w:bCs/>
                <w:iCs/>
                <w:sz w:val="18"/>
                <w:szCs w:val="20"/>
                <w:lang w:eastAsia="ar-SA"/>
              </w:rPr>
              <w:t>CNU.</w:t>
            </w:r>
            <w:r w:rsidRPr="006070EA">
              <w:rPr>
                <w:rFonts w:asciiTheme="majorHAnsi" w:eastAsia="Times New Roman" w:hAnsiTheme="majorHAnsi" w:cstheme="majorHAnsi"/>
                <w:bCs/>
                <w:iCs/>
                <w:sz w:val="18"/>
                <w:szCs w:val="20"/>
                <w:lang w:eastAsia="ar-SA"/>
              </w:rPr>
              <w:t>KTI1 (navržené sítě vodovodu a kanalizace)</w:t>
            </w:r>
          </w:p>
        </w:tc>
      </w:tr>
      <w:tr w:rsidR="002D0BDA" w:rsidRPr="006070EA" w14:paraId="3800E621" w14:textId="77777777" w:rsidTr="005038EA">
        <w:trPr>
          <w:cantSplit/>
        </w:trPr>
        <w:tc>
          <w:tcPr>
            <w:tcW w:w="2705" w:type="dxa"/>
          </w:tcPr>
          <w:p w14:paraId="3873B347"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vztah k zastavěnému území</w:t>
            </w:r>
          </w:p>
        </w:tc>
        <w:tc>
          <w:tcPr>
            <w:tcW w:w="6581" w:type="dxa"/>
          </w:tcPr>
          <w:p w14:paraId="49B175CC"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Plocha v přímé návaznosti na zastavěné území</w:t>
            </w:r>
          </w:p>
        </w:tc>
      </w:tr>
      <w:tr w:rsidR="002D0BDA" w:rsidRPr="006070EA" w14:paraId="2B7831E5" w14:textId="77777777" w:rsidTr="005038EA">
        <w:trPr>
          <w:cantSplit/>
        </w:trPr>
        <w:tc>
          <w:tcPr>
            <w:tcW w:w="2705" w:type="dxa"/>
          </w:tcPr>
          <w:p w14:paraId="158963B9"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dotčení půdního fondu (ZPF, LPF)</w:t>
            </w:r>
          </w:p>
        </w:tc>
        <w:tc>
          <w:tcPr>
            <w:tcW w:w="6581" w:type="dxa"/>
          </w:tcPr>
          <w:p w14:paraId="52C35A9E"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ZPF IV. třídy ochrany</w:t>
            </w:r>
          </w:p>
        </w:tc>
      </w:tr>
      <w:tr w:rsidR="002D0BDA" w:rsidRPr="006070EA" w14:paraId="71102256" w14:textId="77777777" w:rsidTr="005038EA">
        <w:trPr>
          <w:cantSplit/>
        </w:trPr>
        <w:tc>
          <w:tcPr>
            <w:tcW w:w="2705" w:type="dxa"/>
          </w:tcPr>
          <w:p w14:paraId="3D1EF782"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hlavní důvody vymezení plochy</w:t>
            </w:r>
          </w:p>
        </w:tc>
        <w:tc>
          <w:tcPr>
            <w:tcW w:w="6581" w:type="dxa"/>
          </w:tcPr>
          <w:p w14:paraId="6809FD7B" w14:textId="1DD1C8D1"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Vytvoření podmínek pro rozvoj rezidenční funkce enklávy sídla Hronětice. Plocha je vymezena na základě prověření požadavku na výstavbu RD a nerušící výroby na p.</w:t>
            </w:r>
            <w:r w:rsidR="00106C28" w:rsidRPr="006070EA">
              <w:rPr>
                <w:rFonts w:asciiTheme="majorHAnsi" w:eastAsia="Times New Roman" w:hAnsiTheme="majorHAnsi" w:cstheme="majorHAnsi"/>
                <w:bCs/>
                <w:iCs/>
                <w:sz w:val="18"/>
                <w:szCs w:val="20"/>
                <w:lang w:eastAsia="ar-SA"/>
              </w:rPr>
              <w:t> </w:t>
            </w:r>
            <w:r w:rsidRPr="006070EA">
              <w:rPr>
                <w:rFonts w:asciiTheme="majorHAnsi" w:eastAsia="Times New Roman" w:hAnsiTheme="majorHAnsi" w:cstheme="majorHAnsi"/>
                <w:bCs/>
                <w:iCs/>
                <w:sz w:val="18"/>
                <w:szCs w:val="20"/>
                <w:lang w:eastAsia="ar-SA"/>
              </w:rPr>
              <w:t>č.</w:t>
            </w:r>
            <w:r w:rsidR="00106C28" w:rsidRPr="006070EA">
              <w:rPr>
                <w:rFonts w:asciiTheme="majorHAnsi" w:eastAsia="Times New Roman" w:hAnsiTheme="majorHAnsi" w:cstheme="majorHAnsi"/>
                <w:bCs/>
                <w:iCs/>
                <w:sz w:val="18"/>
                <w:szCs w:val="20"/>
                <w:lang w:eastAsia="ar-SA"/>
              </w:rPr>
              <w:t> </w:t>
            </w:r>
            <w:r w:rsidRPr="006070EA">
              <w:rPr>
                <w:rFonts w:asciiTheme="majorHAnsi" w:eastAsia="Times New Roman" w:hAnsiTheme="majorHAnsi" w:cstheme="majorHAnsi"/>
                <w:bCs/>
                <w:iCs/>
                <w:sz w:val="18"/>
                <w:szCs w:val="20"/>
                <w:lang w:eastAsia="ar-SA"/>
              </w:rPr>
              <w:t xml:space="preserve">170 v k.ú. Hronětice. </w:t>
            </w:r>
          </w:p>
          <w:p w14:paraId="624E4DEB"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Plocha je vymezena na základě potřebnosti rozvoje obytné funkce obce dle podrobné analýzy potřeby vymezení zastavitelných ploch pro bydlení (viz kapitola 10) a v souladu se základní koncepcí rozvoje území, která vychází z původního řešení ÚPO.</w:t>
            </w:r>
          </w:p>
        </w:tc>
      </w:tr>
      <w:tr w:rsidR="002D0BDA" w:rsidRPr="006070EA" w14:paraId="2BF67FF2" w14:textId="77777777" w:rsidTr="005038EA">
        <w:trPr>
          <w:cantSplit/>
        </w:trPr>
        <w:tc>
          <w:tcPr>
            <w:tcW w:w="2705" w:type="dxa"/>
          </w:tcPr>
          <w:p w14:paraId="130221A6"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související podmínky využití</w:t>
            </w:r>
          </w:p>
        </w:tc>
        <w:tc>
          <w:tcPr>
            <w:tcW w:w="6581" w:type="dxa"/>
          </w:tcPr>
          <w:p w14:paraId="53D1A011"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w:t>
            </w:r>
          </w:p>
        </w:tc>
      </w:tr>
    </w:tbl>
    <w:p w14:paraId="2A97439A" w14:textId="77777777" w:rsidR="002D0BDA" w:rsidRPr="006070EA" w:rsidRDefault="002D0BDA" w:rsidP="002D0BDA">
      <w:pPr>
        <w:pStyle w:val="Atext"/>
        <w:rPr>
          <w:rFonts w:asciiTheme="majorHAnsi" w:hAnsiTheme="majorHAnsi" w:cstheme="majorHAnsi"/>
          <w:i/>
          <w:snapToGrid w:val="0"/>
          <w:color w:val="FF0000"/>
          <w:u w:val="single"/>
        </w:rPr>
      </w:pPr>
    </w:p>
    <w:tbl>
      <w:tblPr>
        <w:tblStyle w:val="Mkatabulky2"/>
        <w:tblW w:w="0" w:type="auto"/>
        <w:tblBorders>
          <w:left w:val="none" w:sz="0" w:space="0" w:color="auto"/>
          <w:right w:val="none" w:sz="0" w:space="0" w:color="auto"/>
          <w:insideV w:val="single" w:sz="12" w:space="0" w:color="auto"/>
        </w:tblBorders>
        <w:tblLook w:val="04A0" w:firstRow="1" w:lastRow="0" w:firstColumn="1" w:lastColumn="0" w:noHBand="0" w:noVBand="1"/>
      </w:tblPr>
      <w:tblGrid>
        <w:gridCol w:w="2659"/>
        <w:gridCol w:w="6411"/>
      </w:tblGrid>
      <w:tr w:rsidR="002D0BDA" w:rsidRPr="006070EA" w14:paraId="3E1F2F13" w14:textId="77777777" w:rsidTr="005038EA">
        <w:trPr>
          <w:cantSplit/>
          <w:tblHeader/>
        </w:trPr>
        <w:tc>
          <w:tcPr>
            <w:tcW w:w="2705" w:type="dxa"/>
            <w:shd w:val="clear" w:color="auto" w:fill="F2F2F2" w:themeFill="background1" w:themeFillShade="F2"/>
          </w:tcPr>
          <w:p w14:paraId="080938E0" w14:textId="77777777" w:rsidR="002D0BDA" w:rsidRPr="006070EA" w:rsidRDefault="002D0BDA" w:rsidP="005038EA">
            <w:pPr>
              <w:keepNext/>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Zastavitelná plocha</w:t>
            </w:r>
          </w:p>
        </w:tc>
        <w:tc>
          <w:tcPr>
            <w:tcW w:w="6581" w:type="dxa"/>
            <w:shd w:val="clear" w:color="auto" w:fill="F2F2F2" w:themeFill="background1" w:themeFillShade="F2"/>
          </w:tcPr>
          <w:p w14:paraId="64D79941" w14:textId="599ABAD4" w:rsidR="002D0BDA" w:rsidRPr="006070EA" w:rsidRDefault="002D0BDA" w:rsidP="005038EA">
            <w:pPr>
              <w:keepNext/>
              <w:tabs>
                <w:tab w:val="center" w:pos="4536"/>
                <w:tab w:val="right" w:pos="9072"/>
              </w:tabs>
              <w:suppressAutoHyphens/>
              <w:spacing w:before="40" w:after="40"/>
              <w:jc w:val="both"/>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w:t>
            </w:r>
            <w:r w:rsidR="00961C8B" w:rsidRPr="006070EA">
              <w:rPr>
                <w:rFonts w:asciiTheme="majorHAnsi" w:eastAsia="Times New Roman" w:hAnsiTheme="majorHAnsi" w:cstheme="majorHAnsi"/>
                <w:b/>
                <w:bCs/>
                <w:iCs/>
                <w:sz w:val="18"/>
                <w:szCs w:val="20"/>
                <w:lang w:eastAsia="ar-SA"/>
              </w:rPr>
              <w:t>.</w:t>
            </w:r>
            <w:r w:rsidRPr="006070EA">
              <w:rPr>
                <w:rFonts w:asciiTheme="majorHAnsi" w:eastAsia="Times New Roman" w:hAnsiTheme="majorHAnsi" w:cstheme="majorHAnsi"/>
                <w:b/>
                <w:bCs/>
                <w:iCs/>
                <w:sz w:val="18"/>
                <w:szCs w:val="20"/>
                <w:lang w:eastAsia="ar-SA"/>
              </w:rPr>
              <w:t>21</w:t>
            </w:r>
          </w:p>
        </w:tc>
      </w:tr>
      <w:tr w:rsidR="002D0BDA" w:rsidRPr="006070EA" w14:paraId="6E8EB0F6" w14:textId="77777777" w:rsidTr="005038EA">
        <w:trPr>
          <w:cantSplit/>
        </w:trPr>
        <w:tc>
          <w:tcPr>
            <w:tcW w:w="2705" w:type="dxa"/>
          </w:tcPr>
          <w:p w14:paraId="4D5DCB49"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způsob využití</w:t>
            </w:r>
          </w:p>
        </w:tc>
        <w:tc>
          <w:tcPr>
            <w:tcW w:w="6581" w:type="dxa"/>
            <w:vAlign w:val="center"/>
          </w:tcPr>
          <w:p w14:paraId="224C9221" w14:textId="1FFE2D43"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sz w:val="18"/>
                <w:szCs w:val="18"/>
                <w:lang w:eastAsia="cs-CZ"/>
              </w:rPr>
              <w:t xml:space="preserve">SV – smíšené obytné venkovské </w:t>
            </w:r>
          </w:p>
        </w:tc>
      </w:tr>
      <w:tr w:rsidR="002D0BDA" w:rsidRPr="006070EA" w14:paraId="6D1CA4CB" w14:textId="77777777" w:rsidTr="005038EA">
        <w:trPr>
          <w:cantSplit/>
        </w:trPr>
        <w:tc>
          <w:tcPr>
            <w:tcW w:w="2705" w:type="dxa"/>
          </w:tcPr>
          <w:p w14:paraId="7327B750"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limity využití území</w:t>
            </w:r>
          </w:p>
        </w:tc>
        <w:tc>
          <w:tcPr>
            <w:tcW w:w="6581" w:type="dxa"/>
          </w:tcPr>
          <w:p w14:paraId="55B07245"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OP komunikačního zařízení</w:t>
            </w:r>
          </w:p>
        </w:tc>
      </w:tr>
      <w:tr w:rsidR="002D0BDA" w:rsidRPr="006070EA" w14:paraId="11589CB7" w14:textId="77777777" w:rsidTr="005038EA">
        <w:trPr>
          <w:cantSplit/>
        </w:trPr>
        <w:tc>
          <w:tcPr>
            <w:tcW w:w="2705" w:type="dxa"/>
          </w:tcPr>
          <w:p w14:paraId="7EEAF6E1"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vztah k platné ÚPD (ZÚR, ÚPO)</w:t>
            </w:r>
          </w:p>
        </w:tc>
        <w:tc>
          <w:tcPr>
            <w:tcW w:w="6581" w:type="dxa"/>
          </w:tcPr>
          <w:p w14:paraId="170E0EC0"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w:t>
            </w:r>
          </w:p>
        </w:tc>
      </w:tr>
      <w:tr w:rsidR="002D0BDA" w:rsidRPr="006070EA" w14:paraId="70DA30EE" w14:textId="77777777" w:rsidTr="005038EA">
        <w:trPr>
          <w:cantSplit/>
        </w:trPr>
        <w:tc>
          <w:tcPr>
            <w:tcW w:w="2705" w:type="dxa"/>
          </w:tcPr>
          <w:p w14:paraId="0F80DE77"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vazba na veřejnou infrastrukturu (DI, TI)</w:t>
            </w:r>
          </w:p>
        </w:tc>
        <w:tc>
          <w:tcPr>
            <w:tcW w:w="6581" w:type="dxa"/>
          </w:tcPr>
          <w:p w14:paraId="5DE347BB"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Přímá vazba na místní komunikaci</w:t>
            </w:r>
          </w:p>
          <w:p w14:paraId="7343BC3A"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Přímá vazba na technickou infrastrukturu (kanalizace)</w:t>
            </w:r>
          </w:p>
          <w:p w14:paraId="08990179" w14:textId="573CCCA6"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Přímá vazba na koridor </w:t>
            </w:r>
            <w:r w:rsidR="00961C8B" w:rsidRPr="006070EA">
              <w:rPr>
                <w:rFonts w:asciiTheme="majorHAnsi" w:eastAsia="Times New Roman" w:hAnsiTheme="majorHAnsi" w:cstheme="majorHAnsi"/>
                <w:bCs/>
                <w:iCs/>
                <w:sz w:val="18"/>
                <w:szCs w:val="20"/>
                <w:lang w:eastAsia="ar-SA"/>
              </w:rPr>
              <w:t>CNU.</w:t>
            </w:r>
            <w:r w:rsidRPr="006070EA">
              <w:rPr>
                <w:rFonts w:asciiTheme="majorHAnsi" w:eastAsia="Times New Roman" w:hAnsiTheme="majorHAnsi" w:cstheme="majorHAnsi"/>
                <w:bCs/>
                <w:iCs/>
                <w:sz w:val="18"/>
                <w:szCs w:val="20"/>
                <w:lang w:eastAsia="ar-SA"/>
              </w:rPr>
              <w:t>KTI1 (navržené sítě vodovodu a kanalizace)</w:t>
            </w:r>
          </w:p>
        </w:tc>
      </w:tr>
      <w:tr w:rsidR="002D0BDA" w:rsidRPr="006070EA" w14:paraId="05636B88" w14:textId="77777777" w:rsidTr="005038EA">
        <w:trPr>
          <w:cantSplit/>
        </w:trPr>
        <w:tc>
          <w:tcPr>
            <w:tcW w:w="2705" w:type="dxa"/>
          </w:tcPr>
          <w:p w14:paraId="7D942094"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vztah k zastavěnému území</w:t>
            </w:r>
          </w:p>
        </w:tc>
        <w:tc>
          <w:tcPr>
            <w:tcW w:w="6581" w:type="dxa"/>
          </w:tcPr>
          <w:p w14:paraId="36B2D35D"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Plocha v přímé návaznosti na zastavěné území</w:t>
            </w:r>
          </w:p>
        </w:tc>
      </w:tr>
      <w:tr w:rsidR="002D0BDA" w:rsidRPr="006070EA" w14:paraId="14B620F1" w14:textId="77777777" w:rsidTr="005038EA">
        <w:trPr>
          <w:cantSplit/>
        </w:trPr>
        <w:tc>
          <w:tcPr>
            <w:tcW w:w="2705" w:type="dxa"/>
          </w:tcPr>
          <w:p w14:paraId="52210497"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dotčení půdního fondu (ZPF, LPF)</w:t>
            </w:r>
          </w:p>
        </w:tc>
        <w:tc>
          <w:tcPr>
            <w:tcW w:w="6581" w:type="dxa"/>
          </w:tcPr>
          <w:p w14:paraId="57B9F9EF"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ZPF IV. třídy ochrany</w:t>
            </w:r>
          </w:p>
        </w:tc>
      </w:tr>
      <w:tr w:rsidR="002D0BDA" w:rsidRPr="006070EA" w14:paraId="7AAFDBC2" w14:textId="77777777" w:rsidTr="005038EA">
        <w:trPr>
          <w:cantSplit/>
        </w:trPr>
        <w:tc>
          <w:tcPr>
            <w:tcW w:w="2705" w:type="dxa"/>
          </w:tcPr>
          <w:p w14:paraId="2A1A6C3C"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hlavní důvody vymezení plochy</w:t>
            </w:r>
          </w:p>
        </w:tc>
        <w:tc>
          <w:tcPr>
            <w:tcW w:w="6581" w:type="dxa"/>
          </w:tcPr>
          <w:p w14:paraId="52B6F37E"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Vytvoření podmínek pro rozvoj rezidenční funkce sídla Hronětice. Plocha je vymezena na základě prověření požadavku na výstavbu RD a nerušící výroby na p.č. 113/1 v k.ú. Hronětice. Vymezením plochy je dotvářen kompaktní tvar zástavby sídla mezi stávající zástavbou a areálem zemědělské výroby.</w:t>
            </w:r>
          </w:p>
          <w:p w14:paraId="4FA7FD5E"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Plocha je vymezena na základě potřebnosti rozvoje obytné funkce obce dle podrobné analýzy potřeby vymezení zastavitelných ploch pro bydlení (viz kapitola 10) a v souladu se základní koncepcí rozvoje území, která vychází z původního řešení ÚPO.</w:t>
            </w:r>
          </w:p>
        </w:tc>
      </w:tr>
      <w:tr w:rsidR="002D0BDA" w:rsidRPr="006070EA" w14:paraId="4BB397EA" w14:textId="77777777" w:rsidTr="005038EA">
        <w:trPr>
          <w:cantSplit/>
        </w:trPr>
        <w:tc>
          <w:tcPr>
            <w:tcW w:w="2705" w:type="dxa"/>
          </w:tcPr>
          <w:p w14:paraId="478E8ECC"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související podmínky využití</w:t>
            </w:r>
          </w:p>
        </w:tc>
        <w:tc>
          <w:tcPr>
            <w:tcW w:w="6581" w:type="dxa"/>
          </w:tcPr>
          <w:p w14:paraId="4309028C"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w:t>
            </w:r>
          </w:p>
        </w:tc>
      </w:tr>
    </w:tbl>
    <w:p w14:paraId="43D7CACB" w14:textId="77777777" w:rsidR="002D0BDA" w:rsidRPr="006070EA" w:rsidRDefault="002D0BDA" w:rsidP="002D0BDA">
      <w:pPr>
        <w:pStyle w:val="Atext"/>
        <w:rPr>
          <w:rFonts w:asciiTheme="majorHAnsi" w:hAnsiTheme="majorHAnsi" w:cstheme="majorHAnsi"/>
          <w:i/>
          <w:snapToGrid w:val="0"/>
          <w:color w:val="FF0000"/>
          <w:u w:val="single"/>
        </w:rPr>
      </w:pPr>
    </w:p>
    <w:tbl>
      <w:tblPr>
        <w:tblStyle w:val="Mkatabulky2"/>
        <w:tblW w:w="0" w:type="auto"/>
        <w:tblBorders>
          <w:left w:val="none" w:sz="0" w:space="0" w:color="auto"/>
          <w:right w:val="none" w:sz="0" w:space="0" w:color="auto"/>
          <w:insideV w:val="single" w:sz="12" w:space="0" w:color="auto"/>
        </w:tblBorders>
        <w:tblLook w:val="04A0" w:firstRow="1" w:lastRow="0" w:firstColumn="1" w:lastColumn="0" w:noHBand="0" w:noVBand="1"/>
      </w:tblPr>
      <w:tblGrid>
        <w:gridCol w:w="2659"/>
        <w:gridCol w:w="6411"/>
      </w:tblGrid>
      <w:tr w:rsidR="002D0BDA" w:rsidRPr="006070EA" w14:paraId="537D4E38" w14:textId="77777777" w:rsidTr="005038EA">
        <w:trPr>
          <w:cantSplit/>
          <w:tblHeader/>
        </w:trPr>
        <w:tc>
          <w:tcPr>
            <w:tcW w:w="2705" w:type="dxa"/>
            <w:shd w:val="clear" w:color="auto" w:fill="F2F2F2" w:themeFill="background1" w:themeFillShade="F2"/>
          </w:tcPr>
          <w:p w14:paraId="488B9EF8" w14:textId="77777777" w:rsidR="002D0BDA" w:rsidRPr="006070EA" w:rsidRDefault="002D0BDA" w:rsidP="005038EA">
            <w:pPr>
              <w:keepNext/>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Zastavitelná plocha</w:t>
            </w:r>
          </w:p>
        </w:tc>
        <w:tc>
          <w:tcPr>
            <w:tcW w:w="6581" w:type="dxa"/>
            <w:shd w:val="clear" w:color="auto" w:fill="F2F2F2" w:themeFill="background1" w:themeFillShade="F2"/>
          </w:tcPr>
          <w:p w14:paraId="2F5E660A" w14:textId="5283E222" w:rsidR="002D0BDA" w:rsidRPr="006070EA" w:rsidRDefault="002D0BDA" w:rsidP="005038EA">
            <w:pPr>
              <w:keepNext/>
              <w:tabs>
                <w:tab w:val="center" w:pos="4536"/>
                <w:tab w:val="right" w:pos="9072"/>
              </w:tabs>
              <w:suppressAutoHyphens/>
              <w:spacing w:before="40" w:after="40"/>
              <w:jc w:val="both"/>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w:t>
            </w:r>
            <w:r w:rsidR="00961C8B" w:rsidRPr="006070EA">
              <w:rPr>
                <w:rFonts w:asciiTheme="majorHAnsi" w:eastAsia="Times New Roman" w:hAnsiTheme="majorHAnsi" w:cstheme="majorHAnsi"/>
                <w:b/>
                <w:bCs/>
                <w:iCs/>
                <w:sz w:val="18"/>
                <w:szCs w:val="20"/>
                <w:lang w:eastAsia="ar-SA"/>
              </w:rPr>
              <w:t>.</w:t>
            </w:r>
            <w:r w:rsidRPr="006070EA">
              <w:rPr>
                <w:rFonts w:asciiTheme="majorHAnsi" w:eastAsia="Times New Roman" w:hAnsiTheme="majorHAnsi" w:cstheme="majorHAnsi"/>
                <w:b/>
                <w:bCs/>
                <w:iCs/>
                <w:sz w:val="18"/>
                <w:szCs w:val="20"/>
                <w:lang w:eastAsia="ar-SA"/>
              </w:rPr>
              <w:t>22</w:t>
            </w:r>
          </w:p>
        </w:tc>
      </w:tr>
      <w:tr w:rsidR="002D0BDA" w:rsidRPr="006070EA" w14:paraId="0DBC34A2" w14:textId="77777777" w:rsidTr="005038EA">
        <w:trPr>
          <w:cantSplit/>
        </w:trPr>
        <w:tc>
          <w:tcPr>
            <w:tcW w:w="2705" w:type="dxa"/>
          </w:tcPr>
          <w:p w14:paraId="092EAA37"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způsob využití</w:t>
            </w:r>
          </w:p>
        </w:tc>
        <w:tc>
          <w:tcPr>
            <w:tcW w:w="6581" w:type="dxa"/>
            <w:vAlign w:val="center"/>
          </w:tcPr>
          <w:p w14:paraId="5E44BAB9" w14:textId="4D1DD2F1"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sz w:val="18"/>
                <w:szCs w:val="18"/>
                <w:lang w:eastAsia="cs-CZ"/>
              </w:rPr>
              <w:t>P</w:t>
            </w:r>
            <w:r w:rsidR="00961C8B" w:rsidRPr="006070EA">
              <w:rPr>
                <w:rFonts w:asciiTheme="majorHAnsi" w:eastAsia="Times New Roman" w:hAnsiTheme="majorHAnsi" w:cstheme="majorHAnsi"/>
                <w:sz w:val="18"/>
                <w:szCs w:val="18"/>
                <w:lang w:eastAsia="cs-CZ"/>
              </w:rPr>
              <w:t>U</w:t>
            </w:r>
            <w:r w:rsidRPr="006070EA">
              <w:rPr>
                <w:rFonts w:asciiTheme="majorHAnsi" w:eastAsia="Times New Roman" w:hAnsiTheme="majorHAnsi" w:cstheme="majorHAnsi"/>
                <w:sz w:val="18"/>
                <w:szCs w:val="18"/>
                <w:lang w:eastAsia="cs-CZ"/>
              </w:rPr>
              <w:t xml:space="preserve"> – veřejná prostranství </w:t>
            </w:r>
            <w:r w:rsidR="00961C8B" w:rsidRPr="006070EA">
              <w:rPr>
                <w:rFonts w:asciiTheme="majorHAnsi" w:eastAsia="Times New Roman" w:hAnsiTheme="majorHAnsi" w:cstheme="majorHAnsi"/>
                <w:sz w:val="18"/>
                <w:szCs w:val="18"/>
                <w:lang w:eastAsia="cs-CZ"/>
              </w:rPr>
              <w:t>všeobecná</w:t>
            </w:r>
          </w:p>
        </w:tc>
      </w:tr>
      <w:tr w:rsidR="002D0BDA" w:rsidRPr="006070EA" w14:paraId="5EB07F02" w14:textId="77777777" w:rsidTr="005038EA">
        <w:trPr>
          <w:cantSplit/>
        </w:trPr>
        <w:tc>
          <w:tcPr>
            <w:tcW w:w="2705" w:type="dxa"/>
          </w:tcPr>
          <w:p w14:paraId="083BF423"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limity využití území</w:t>
            </w:r>
          </w:p>
        </w:tc>
        <w:tc>
          <w:tcPr>
            <w:tcW w:w="6581" w:type="dxa"/>
          </w:tcPr>
          <w:p w14:paraId="7F11888D"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OP komunikačního zařízení; elektrické vedení vn 22kV vč. OP</w:t>
            </w:r>
          </w:p>
        </w:tc>
      </w:tr>
      <w:tr w:rsidR="002D0BDA" w:rsidRPr="006070EA" w14:paraId="3164868C" w14:textId="77777777" w:rsidTr="005038EA">
        <w:trPr>
          <w:cantSplit/>
        </w:trPr>
        <w:tc>
          <w:tcPr>
            <w:tcW w:w="2705" w:type="dxa"/>
          </w:tcPr>
          <w:p w14:paraId="34055E3F"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vztah k platné ÚPD (ZÚR, ÚPO)</w:t>
            </w:r>
          </w:p>
        </w:tc>
        <w:tc>
          <w:tcPr>
            <w:tcW w:w="6581" w:type="dxa"/>
          </w:tcPr>
          <w:p w14:paraId="4CFD6DA7"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w:t>
            </w:r>
          </w:p>
        </w:tc>
      </w:tr>
      <w:tr w:rsidR="002D0BDA" w:rsidRPr="006070EA" w14:paraId="1CC2ADD7" w14:textId="77777777" w:rsidTr="005038EA">
        <w:trPr>
          <w:cantSplit/>
        </w:trPr>
        <w:tc>
          <w:tcPr>
            <w:tcW w:w="2705" w:type="dxa"/>
          </w:tcPr>
          <w:p w14:paraId="788A6B64"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vazba na veřejnou infrastrukturu (DI, TI)</w:t>
            </w:r>
          </w:p>
        </w:tc>
        <w:tc>
          <w:tcPr>
            <w:tcW w:w="6581" w:type="dxa"/>
          </w:tcPr>
          <w:p w14:paraId="7146E6EB"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Plocha vymezena pro rozvoj veřejné dopravní infrastruktury</w:t>
            </w:r>
          </w:p>
          <w:p w14:paraId="4815AE7F"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Přímá vazba na technickou infrastrukturu (kanalizace)</w:t>
            </w:r>
          </w:p>
          <w:p w14:paraId="02D411FC" w14:textId="0F51DCF4"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Přímá vazba na koridor </w:t>
            </w:r>
            <w:r w:rsidR="00961C8B" w:rsidRPr="006070EA">
              <w:rPr>
                <w:rFonts w:asciiTheme="majorHAnsi" w:eastAsia="Times New Roman" w:hAnsiTheme="majorHAnsi" w:cstheme="majorHAnsi"/>
                <w:bCs/>
                <w:iCs/>
                <w:sz w:val="18"/>
                <w:szCs w:val="20"/>
                <w:lang w:eastAsia="ar-SA"/>
              </w:rPr>
              <w:t>CNU.</w:t>
            </w:r>
            <w:r w:rsidRPr="006070EA">
              <w:rPr>
                <w:rFonts w:asciiTheme="majorHAnsi" w:eastAsia="Times New Roman" w:hAnsiTheme="majorHAnsi" w:cstheme="majorHAnsi"/>
                <w:bCs/>
                <w:iCs/>
                <w:sz w:val="18"/>
                <w:szCs w:val="20"/>
                <w:lang w:eastAsia="ar-SA"/>
              </w:rPr>
              <w:t>KTI1 (navržené sítě vodovodu a kanalizace)</w:t>
            </w:r>
          </w:p>
        </w:tc>
      </w:tr>
      <w:tr w:rsidR="002D0BDA" w:rsidRPr="006070EA" w14:paraId="2290A2A7" w14:textId="77777777" w:rsidTr="005038EA">
        <w:trPr>
          <w:cantSplit/>
        </w:trPr>
        <w:tc>
          <w:tcPr>
            <w:tcW w:w="2705" w:type="dxa"/>
          </w:tcPr>
          <w:p w14:paraId="7393DAE9"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vztah k zastavěnému území</w:t>
            </w:r>
          </w:p>
        </w:tc>
        <w:tc>
          <w:tcPr>
            <w:tcW w:w="6581" w:type="dxa"/>
          </w:tcPr>
          <w:p w14:paraId="0A420A45"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Plocha v přímé návaznosti na zastavěné území</w:t>
            </w:r>
          </w:p>
        </w:tc>
      </w:tr>
      <w:tr w:rsidR="002D0BDA" w:rsidRPr="006070EA" w14:paraId="1104D78E" w14:textId="77777777" w:rsidTr="005038EA">
        <w:trPr>
          <w:cantSplit/>
        </w:trPr>
        <w:tc>
          <w:tcPr>
            <w:tcW w:w="2705" w:type="dxa"/>
          </w:tcPr>
          <w:p w14:paraId="21BCB33E"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dotčení půdního fondu (ZPF, LPF)</w:t>
            </w:r>
          </w:p>
        </w:tc>
        <w:tc>
          <w:tcPr>
            <w:tcW w:w="6581" w:type="dxa"/>
          </w:tcPr>
          <w:p w14:paraId="5F350B71"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ZPF III. a V. třídy ochrany</w:t>
            </w:r>
          </w:p>
        </w:tc>
      </w:tr>
      <w:tr w:rsidR="002D0BDA" w:rsidRPr="006070EA" w14:paraId="09A8BD70" w14:textId="77777777" w:rsidTr="005038EA">
        <w:trPr>
          <w:cantSplit/>
        </w:trPr>
        <w:tc>
          <w:tcPr>
            <w:tcW w:w="2705" w:type="dxa"/>
          </w:tcPr>
          <w:p w14:paraId="01CE0C7A"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hlavní důvody vymezení plochy</w:t>
            </w:r>
          </w:p>
        </w:tc>
        <w:tc>
          <w:tcPr>
            <w:tcW w:w="6581" w:type="dxa"/>
          </w:tcPr>
          <w:p w14:paraId="58C14609"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Vymezením plochy veřejného prostranství je zejména napravován nesoulad mezi aktuálním katastrem nemovitostí, resp. stanoveným druhem pozemku a skutečným stavem – vedením silnice III/3318.</w:t>
            </w:r>
          </w:p>
        </w:tc>
      </w:tr>
      <w:tr w:rsidR="002D0BDA" w:rsidRPr="006070EA" w14:paraId="7B89AA39" w14:textId="77777777" w:rsidTr="005038EA">
        <w:trPr>
          <w:cantSplit/>
        </w:trPr>
        <w:tc>
          <w:tcPr>
            <w:tcW w:w="2705" w:type="dxa"/>
          </w:tcPr>
          <w:p w14:paraId="297826F7"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související podmínky využití</w:t>
            </w:r>
          </w:p>
        </w:tc>
        <w:tc>
          <w:tcPr>
            <w:tcW w:w="6581" w:type="dxa"/>
          </w:tcPr>
          <w:p w14:paraId="017B8AD4"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w:t>
            </w:r>
          </w:p>
        </w:tc>
      </w:tr>
    </w:tbl>
    <w:p w14:paraId="6B544A49" w14:textId="77777777" w:rsidR="002D0BDA" w:rsidRPr="006070EA" w:rsidRDefault="002D0BDA" w:rsidP="002D0BDA">
      <w:pPr>
        <w:pStyle w:val="Atext"/>
        <w:rPr>
          <w:rFonts w:asciiTheme="majorHAnsi" w:hAnsiTheme="majorHAnsi" w:cstheme="majorHAnsi"/>
          <w:i/>
          <w:snapToGrid w:val="0"/>
          <w:color w:val="FF0000"/>
          <w:u w:val="single"/>
        </w:rPr>
      </w:pPr>
    </w:p>
    <w:tbl>
      <w:tblPr>
        <w:tblStyle w:val="Mkatabulky2"/>
        <w:tblW w:w="0" w:type="auto"/>
        <w:tblBorders>
          <w:left w:val="none" w:sz="0" w:space="0" w:color="auto"/>
          <w:right w:val="none" w:sz="0" w:space="0" w:color="auto"/>
          <w:insideV w:val="single" w:sz="12" w:space="0" w:color="auto"/>
        </w:tblBorders>
        <w:tblLook w:val="04A0" w:firstRow="1" w:lastRow="0" w:firstColumn="1" w:lastColumn="0" w:noHBand="0" w:noVBand="1"/>
      </w:tblPr>
      <w:tblGrid>
        <w:gridCol w:w="2659"/>
        <w:gridCol w:w="6411"/>
      </w:tblGrid>
      <w:tr w:rsidR="002D0BDA" w:rsidRPr="006070EA" w14:paraId="7DE36015" w14:textId="77777777" w:rsidTr="005038EA">
        <w:trPr>
          <w:cantSplit/>
          <w:tblHeader/>
        </w:trPr>
        <w:tc>
          <w:tcPr>
            <w:tcW w:w="2705" w:type="dxa"/>
            <w:shd w:val="clear" w:color="auto" w:fill="F2F2F2" w:themeFill="background1" w:themeFillShade="F2"/>
          </w:tcPr>
          <w:p w14:paraId="1BB2C862" w14:textId="77777777" w:rsidR="002D0BDA" w:rsidRPr="006070EA" w:rsidRDefault="002D0BDA" w:rsidP="00EE2EBF">
            <w:pPr>
              <w:keepNext/>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lastRenderedPageBreak/>
              <w:t>Zastavitelná plocha</w:t>
            </w:r>
          </w:p>
        </w:tc>
        <w:tc>
          <w:tcPr>
            <w:tcW w:w="6581" w:type="dxa"/>
            <w:shd w:val="clear" w:color="auto" w:fill="F2F2F2" w:themeFill="background1" w:themeFillShade="F2"/>
          </w:tcPr>
          <w:p w14:paraId="34BE26CD" w14:textId="52963EE0" w:rsidR="002D0BDA" w:rsidRPr="006070EA" w:rsidRDefault="002D0BDA" w:rsidP="00EE2EBF">
            <w:pPr>
              <w:keepNext/>
              <w:tabs>
                <w:tab w:val="center" w:pos="4536"/>
                <w:tab w:val="right" w:pos="9072"/>
              </w:tabs>
              <w:suppressAutoHyphens/>
              <w:spacing w:before="40" w:after="40"/>
              <w:jc w:val="both"/>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w:t>
            </w:r>
            <w:r w:rsidR="00961C8B" w:rsidRPr="006070EA">
              <w:rPr>
                <w:rFonts w:asciiTheme="majorHAnsi" w:eastAsia="Times New Roman" w:hAnsiTheme="majorHAnsi" w:cstheme="majorHAnsi"/>
                <w:b/>
                <w:bCs/>
                <w:iCs/>
                <w:sz w:val="18"/>
                <w:szCs w:val="20"/>
                <w:lang w:eastAsia="ar-SA"/>
              </w:rPr>
              <w:t>.</w:t>
            </w:r>
            <w:r w:rsidRPr="006070EA">
              <w:rPr>
                <w:rFonts w:asciiTheme="majorHAnsi" w:eastAsia="Times New Roman" w:hAnsiTheme="majorHAnsi" w:cstheme="majorHAnsi"/>
                <w:b/>
                <w:bCs/>
                <w:iCs/>
                <w:sz w:val="18"/>
                <w:szCs w:val="20"/>
                <w:lang w:eastAsia="ar-SA"/>
              </w:rPr>
              <w:t>23</w:t>
            </w:r>
          </w:p>
        </w:tc>
      </w:tr>
      <w:tr w:rsidR="002D0BDA" w:rsidRPr="006070EA" w14:paraId="06EA8C6E" w14:textId="77777777" w:rsidTr="005038EA">
        <w:trPr>
          <w:cantSplit/>
        </w:trPr>
        <w:tc>
          <w:tcPr>
            <w:tcW w:w="2705" w:type="dxa"/>
          </w:tcPr>
          <w:p w14:paraId="16EA0F20" w14:textId="77777777" w:rsidR="002D0BDA" w:rsidRPr="006070EA" w:rsidRDefault="002D0BDA" w:rsidP="00EE2EBF">
            <w:pPr>
              <w:keepNext/>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způsob využití</w:t>
            </w:r>
          </w:p>
        </w:tc>
        <w:tc>
          <w:tcPr>
            <w:tcW w:w="6581" w:type="dxa"/>
            <w:vAlign w:val="center"/>
          </w:tcPr>
          <w:p w14:paraId="2C52FE17" w14:textId="1A0BD61A" w:rsidR="002D0BDA" w:rsidRPr="006070EA" w:rsidRDefault="002D0BDA" w:rsidP="00EE2EBF">
            <w:pPr>
              <w:keepNext/>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sz w:val="18"/>
                <w:szCs w:val="18"/>
                <w:lang w:eastAsia="cs-CZ"/>
              </w:rPr>
              <w:t>T</w:t>
            </w:r>
            <w:r w:rsidR="00961C8B" w:rsidRPr="006070EA">
              <w:rPr>
                <w:rFonts w:asciiTheme="majorHAnsi" w:eastAsia="Times New Roman" w:hAnsiTheme="majorHAnsi" w:cstheme="majorHAnsi"/>
                <w:sz w:val="18"/>
                <w:szCs w:val="18"/>
                <w:lang w:eastAsia="cs-CZ"/>
              </w:rPr>
              <w:t>U</w:t>
            </w:r>
            <w:r w:rsidRPr="006070EA">
              <w:rPr>
                <w:rFonts w:asciiTheme="majorHAnsi" w:eastAsia="Times New Roman" w:hAnsiTheme="majorHAnsi" w:cstheme="majorHAnsi"/>
                <w:sz w:val="18"/>
                <w:szCs w:val="18"/>
                <w:lang w:eastAsia="cs-CZ"/>
              </w:rPr>
              <w:t xml:space="preserve"> – technická infrastruktura </w:t>
            </w:r>
            <w:r w:rsidR="00961C8B" w:rsidRPr="006070EA">
              <w:rPr>
                <w:rFonts w:asciiTheme="majorHAnsi" w:eastAsia="Times New Roman" w:hAnsiTheme="majorHAnsi" w:cstheme="majorHAnsi"/>
                <w:sz w:val="18"/>
                <w:szCs w:val="18"/>
                <w:lang w:eastAsia="cs-CZ"/>
              </w:rPr>
              <w:t>všeobecná</w:t>
            </w:r>
          </w:p>
        </w:tc>
      </w:tr>
      <w:tr w:rsidR="002D0BDA" w:rsidRPr="006070EA" w14:paraId="143B06F7" w14:textId="77777777" w:rsidTr="005038EA">
        <w:trPr>
          <w:cantSplit/>
        </w:trPr>
        <w:tc>
          <w:tcPr>
            <w:tcW w:w="2705" w:type="dxa"/>
          </w:tcPr>
          <w:p w14:paraId="6F1A03CB"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limity využití území</w:t>
            </w:r>
          </w:p>
        </w:tc>
        <w:tc>
          <w:tcPr>
            <w:tcW w:w="6581" w:type="dxa"/>
          </w:tcPr>
          <w:p w14:paraId="5410668D" w14:textId="03556676"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OP komunikačního zařízení; OP silnice III. třídy (III/3318); elektrické vedení vn 22kV vč.</w:t>
            </w:r>
            <w:r w:rsidR="00DE4B71" w:rsidRPr="006070EA">
              <w:rPr>
                <w:rFonts w:asciiTheme="majorHAnsi" w:eastAsia="Times New Roman" w:hAnsiTheme="majorHAnsi" w:cstheme="majorHAnsi"/>
                <w:bCs/>
                <w:iCs/>
                <w:sz w:val="18"/>
                <w:szCs w:val="20"/>
                <w:lang w:eastAsia="ar-SA"/>
              </w:rPr>
              <w:t> </w:t>
            </w:r>
            <w:r w:rsidRPr="006070EA">
              <w:rPr>
                <w:rFonts w:asciiTheme="majorHAnsi" w:eastAsia="Times New Roman" w:hAnsiTheme="majorHAnsi" w:cstheme="majorHAnsi"/>
                <w:bCs/>
                <w:iCs/>
                <w:sz w:val="18"/>
                <w:szCs w:val="20"/>
                <w:lang w:eastAsia="ar-SA"/>
              </w:rPr>
              <w:t>OP</w:t>
            </w:r>
          </w:p>
        </w:tc>
      </w:tr>
      <w:tr w:rsidR="002D0BDA" w:rsidRPr="006070EA" w14:paraId="3640233C" w14:textId="77777777" w:rsidTr="005038EA">
        <w:trPr>
          <w:cantSplit/>
        </w:trPr>
        <w:tc>
          <w:tcPr>
            <w:tcW w:w="2705" w:type="dxa"/>
          </w:tcPr>
          <w:p w14:paraId="3787001B"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vztah k platné ÚPD (ZÚR, ÚPO)</w:t>
            </w:r>
          </w:p>
        </w:tc>
        <w:tc>
          <w:tcPr>
            <w:tcW w:w="6581" w:type="dxa"/>
          </w:tcPr>
          <w:p w14:paraId="511BE57F"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w:t>
            </w:r>
          </w:p>
        </w:tc>
      </w:tr>
      <w:tr w:rsidR="002D0BDA" w:rsidRPr="006070EA" w14:paraId="1CDCF1E0" w14:textId="77777777" w:rsidTr="005038EA">
        <w:trPr>
          <w:cantSplit/>
        </w:trPr>
        <w:tc>
          <w:tcPr>
            <w:tcW w:w="2705" w:type="dxa"/>
          </w:tcPr>
          <w:p w14:paraId="5594966D"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vazba na veřejnou infrastrukturu (DI, TI)</w:t>
            </w:r>
          </w:p>
        </w:tc>
        <w:tc>
          <w:tcPr>
            <w:tcW w:w="6581" w:type="dxa"/>
          </w:tcPr>
          <w:p w14:paraId="405BC770"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Přímá vazba na dopravní infrastrukturu</w:t>
            </w:r>
          </w:p>
          <w:p w14:paraId="1BFEE67C" w14:textId="44D58725"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Přímá vazba na koridor </w:t>
            </w:r>
            <w:r w:rsidR="00DE4B71" w:rsidRPr="006070EA">
              <w:rPr>
                <w:rFonts w:asciiTheme="majorHAnsi" w:eastAsia="Times New Roman" w:hAnsiTheme="majorHAnsi" w:cstheme="majorHAnsi"/>
                <w:bCs/>
                <w:iCs/>
                <w:sz w:val="18"/>
                <w:szCs w:val="20"/>
                <w:lang w:eastAsia="ar-SA"/>
              </w:rPr>
              <w:t>CNU.</w:t>
            </w:r>
            <w:r w:rsidRPr="006070EA">
              <w:rPr>
                <w:rFonts w:asciiTheme="majorHAnsi" w:eastAsia="Times New Roman" w:hAnsiTheme="majorHAnsi" w:cstheme="majorHAnsi"/>
                <w:bCs/>
                <w:iCs/>
                <w:sz w:val="18"/>
                <w:szCs w:val="20"/>
                <w:lang w:eastAsia="ar-SA"/>
              </w:rPr>
              <w:t>KTI1 (navržené sítě vodovodu a kanalizace)</w:t>
            </w:r>
          </w:p>
        </w:tc>
      </w:tr>
      <w:tr w:rsidR="002D0BDA" w:rsidRPr="006070EA" w14:paraId="3A56763A" w14:textId="77777777" w:rsidTr="005038EA">
        <w:trPr>
          <w:cantSplit/>
        </w:trPr>
        <w:tc>
          <w:tcPr>
            <w:tcW w:w="2705" w:type="dxa"/>
          </w:tcPr>
          <w:p w14:paraId="6337D525"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vztah k zastavěnému území</w:t>
            </w:r>
          </w:p>
        </w:tc>
        <w:tc>
          <w:tcPr>
            <w:tcW w:w="6581" w:type="dxa"/>
          </w:tcPr>
          <w:p w14:paraId="6FF8E42D"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Plocha v přímé návaznosti na zastavěné území</w:t>
            </w:r>
          </w:p>
        </w:tc>
      </w:tr>
      <w:tr w:rsidR="002D0BDA" w:rsidRPr="006070EA" w14:paraId="122B3D9A" w14:textId="77777777" w:rsidTr="005038EA">
        <w:trPr>
          <w:cantSplit/>
        </w:trPr>
        <w:tc>
          <w:tcPr>
            <w:tcW w:w="2705" w:type="dxa"/>
          </w:tcPr>
          <w:p w14:paraId="22026DDB"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dotčení půdního fondu (ZPF, LPF)</w:t>
            </w:r>
          </w:p>
        </w:tc>
        <w:tc>
          <w:tcPr>
            <w:tcW w:w="6581" w:type="dxa"/>
          </w:tcPr>
          <w:p w14:paraId="523D3BC8"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ZPF IV. třídy ochrany</w:t>
            </w:r>
          </w:p>
        </w:tc>
      </w:tr>
      <w:tr w:rsidR="002D0BDA" w:rsidRPr="006070EA" w14:paraId="5BB32131" w14:textId="77777777" w:rsidTr="005038EA">
        <w:trPr>
          <w:cantSplit/>
        </w:trPr>
        <w:tc>
          <w:tcPr>
            <w:tcW w:w="2705" w:type="dxa"/>
          </w:tcPr>
          <w:p w14:paraId="1FE6FD89"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hlavní důvody vymezení plochy</w:t>
            </w:r>
          </w:p>
        </w:tc>
        <w:tc>
          <w:tcPr>
            <w:tcW w:w="6581" w:type="dxa"/>
          </w:tcPr>
          <w:p w14:paraId="7B993A45"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Plocha je vymezena za účelem realizace sběrného dvora v sídle Hronětice. Vymezením je podporován rozvoj technické infrastruktury a efektivní nakládání s odpady. Plocha je vymezena na základě potřebnosti rozvoje technické infrastruktury obce a v souladu se základní koncepcí rozvoje území.</w:t>
            </w:r>
          </w:p>
          <w:p w14:paraId="405D7089"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Vymezení plochy je ve veřejném zájmu na zajištění dostatečných kapacit zařízení technické infrastruktury, které je součástí veřejné infrastruktury.</w:t>
            </w:r>
          </w:p>
        </w:tc>
      </w:tr>
      <w:tr w:rsidR="002D0BDA" w:rsidRPr="006070EA" w14:paraId="08039DD4" w14:textId="77777777" w:rsidTr="005038EA">
        <w:trPr>
          <w:cantSplit/>
        </w:trPr>
        <w:tc>
          <w:tcPr>
            <w:tcW w:w="2705" w:type="dxa"/>
          </w:tcPr>
          <w:p w14:paraId="020D4473"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související podmínky využití</w:t>
            </w:r>
          </w:p>
        </w:tc>
        <w:tc>
          <w:tcPr>
            <w:tcW w:w="6581" w:type="dxa"/>
          </w:tcPr>
          <w:p w14:paraId="5207959E"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w:t>
            </w:r>
          </w:p>
        </w:tc>
      </w:tr>
    </w:tbl>
    <w:p w14:paraId="0329B03C" w14:textId="77777777" w:rsidR="00EE2EBF" w:rsidRPr="00EE2EBF" w:rsidRDefault="00EE2EBF" w:rsidP="00EE2EBF">
      <w:pPr>
        <w:pStyle w:val="Atext"/>
        <w:rPr>
          <w:rFonts w:asciiTheme="majorHAnsi" w:hAnsiTheme="majorHAnsi" w:cstheme="majorHAnsi"/>
          <w:i/>
          <w:snapToGrid w:val="0"/>
          <w:color w:val="FF0000"/>
          <w:u w:val="single"/>
        </w:rPr>
      </w:pPr>
    </w:p>
    <w:tbl>
      <w:tblPr>
        <w:tblStyle w:val="Mkatabulky2"/>
        <w:tblW w:w="0" w:type="auto"/>
        <w:tblBorders>
          <w:left w:val="none" w:sz="0" w:space="0" w:color="auto"/>
          <w:right w:val="none" w:sz="0" w:space="0" w:color="auto"/>
          <w:insideV w:val="single" w:sz="12" w:space="0" w:color="auto"/>
        </w:tblBorders>
        <w:tblLook w:val="04A0" w:firstRow="1" w:lastRow="0" w:firstColumn="1" w:lastColumn="0" w:noHBand="0" w:noVBand="1"/>
      </w:tblPr>
      <w:tblGrid>
        <w:gridCol w:w="2660"/>
        <w:gridCol w:w="6410"/>
      </w:tblGrid>
      <w:tr w:rsidR="00EE2EBF" w:rsidRPr="00A76411" w14:paraId="5AE16A64" w14:textId="77777777" w:rsidTr="00EE2EBF">
        <w:trPr>
          <w:cantSplit/>
          <w:tblHeader/>
        </w:trPr>
        <w:tc>
          <w:tcPr>
            <w:tcW w:w="2660" w:type="dxa"/>
            <w:shd w:val="clear" w:color="auto" w:fill="F2F2F2" w:themeFill="background1" w:themeFillShade="F2"/>
          </w:tcPr>
          <w:p w14:paraId="45CD869C" w14:textId="77777777" w:rsidR="00EE2EBF" w:rsidRPr="00A76411" w:rsidRDefault="00EE2EBF" w:rsidP="00B34F0B">
            <w:pPr>
              <w:keepNext/>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A76411">
              <w:rPr>
                <w:rFonts w:asciiTheme="majorHAnsi" w:eastAsia="Times New Roman" w:hAnsiTheme="majorHAnsi" w:cstheme="majorHAnsi"/>
                <w:b/>
                <w:bCs/>
                <w:iCs/>
                <w:sz w:val="18"/>
                <w:szCs w:val="20"/>
                <w:lang w:eastAsia="ar-SA"/>
              </w:rPr>
              <w:t>Zastavitelná plocha</w:t>
            </w:r>
          </w:p>
        </w:tc>
        <w:tc>
          <w:tcPr>
            <w:tcW w:w="6410" w:type="dxa"/>
            <w:shd w:val="clear" w:color="auto" w:fill="F2F2F2" w:themeFill="background1" w:themeFillShade="F2"/>
          </w:tcPr>
          <w:p w14:paraId="78B1DFBE" w14:textId="14BDCF0B" w:rsidR="00EE2EBF" w:rsidRPr="00A76411" w:rsidRDefault="00EE2EBF" w:rsidP="00B34F0B">
            <w:pPr>
              <w:keepNext/>
              <w:tabs>
                <w:tab w:val="center" w:pos="4536"/>
                <w:tab w:val="right" w:pos="9072"/>
              </w:tabs>
              <w:suppressAutoHyphens/>
              <w:spacing w:before="40" w:after="40"/>
              <w:jc w:val="both"/>
              <w:rPr>
                <w:rFonts w:asciiTheme="majorHAnsi" w:eastAsia="Times New Roman" w:hAnsiTheme="majorHAnsi" w:cstheme="majorHAnsi"/>
                <w:b/>
                <w:bCs/>
                <w:iCs/>
                <w:sz w:val="18"/>
                <w:szCs w:val="20"/>
                <w:lang w:eastAsia="ar-SA"/>
              </w:rPr>
            </w:pPr>
            <w:r w:rsidRPr="00A76411">
              <w:rPr>
                <w:rFonts w:asciiTheme="majorHAnsi" w:eastAsia="Times New Roman" w:hAnsiTheme="majorHAnsi" w:cstheme="majorHAnsi"/>
                <w:b/>
                <w:bCs/>
                <w:iCs/>
                <w:sz w:val="18"/>
                <w:szCs w:val="20"/>
                <w:lang w:eastAsia="ar-SA"/>
              </w:rPr>
              <w:t>Z.24</w:t>
            </w:r>
          </w:p>
        </w:tc>
      </w:tr>
      <w:tr w:rsidR="00EE2EBF" w:rsidRPr="00A76411" w14:paraId="3EC3D25E" w14:textId="77777777" w:rsidTr="00EE2EBF">
        <w:trPr>
          <w:cantSplit/>
        </w:trPr>
        <w:tc>
          <w:tcPr>
            <w:tcW w:w="2660" w:type="dxa"/>
          </w:tcPr>
          <w:p w14:paraId="14BB6D99" w14:textId="77777777" w:rsidR="00EE2EBF" w:rsidRPr="00A76411" w:rsidRDefault="00EE2EBF" w:rsidP="00B34F0B">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A76411">
              <w:rPr>
                <w:rFonts w:asciiTheme="majorHAnsi" w:eastAsia="Times New Roman" w:hAnsiTheme="majorHAnsi" w:cstheme="majorHAnsi"/>
                <w:b/>
                <w:bCs/>
                <w:iCs/>
                <w:sz w:val="18"/>
                <w:szCs w:val="20"/>
                <w:lang w:eastAsia="ar-SA"/>
              </w:rPr>
              <w:t>způsob využití</w:t>
            </w:r>
          </w:p>
        </w:tc>
        <w:tc>
          <w:tcPr>
            <w:tcW w:w="6410" w:type="dxa"/>
            <w:vAlign w:val="center"/>
          </w:tcPr>
          <w:p w14:paraId="7568564E" w14:textId="4F11DFE2" w:rsidR="00EE2EBF" w:rsidRPr="00A76411" w:rsidRDefault="00EE2EBF" w:rsidP="00B34F0B">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A76411">
              <w:rPr>
                <w:rFonts w:asciiTheme="majorHAnsi" w:eastAsia="Times New Roman" w:hAnsiTheme="majorHAnsi" w:cstheme="majorHAnsi"/>
                <w:sz w:val="18"/>
                <w:szCs w:val="18"/>
                <w:lang w:eastAsia="cs-CZ"/>
              </w:rPr>
              <w:t>DS – doprava silniční</w:t>
            </w:r>
          </w:p>
        </w:tc>
      </w:tr>
      <w:tr w:rsidR="00EE2EBF" w:rsidRPr="00A76411" w14:paraId="4C4B5218" w14:textId="77777777" w:rsidTr="00EE2EBF">
        <w:trPr>
          <w:cantSplit/>
        </w:trPr>
        <w:tc>
          <w:tcPr>
            <w:tcW w:w="2660" w:type="dxa"/>
          </w:tcPr>
          <w:p w14:paraId="796A2681" w14:textId="77777777" w:rsidR="00EE2EBF" w:rsidRPr="00A76411" w:rsidRDefault="00EE2EBF" w:rsidP="00EE2EBF">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A76411">
              <w:rPr>
                <w:rFonts w:asciiTheme="majorHAnsi" w:eastAsia="Times New Roman" w:hAnsiTheme="majorHAnsi" w:cstheme="majorHAnsi"/>
                <w:b/>
                <w:bCs/>
                <w:iCs/>
                <w:sz w:val="18"/>
                <w:szCs w:val="20"/>
                <w:lang w:eastAsia="ar-SA"/>
              </w:rPr>
              <w:t>limity využití území</w:t>
            </w:r>
          </w:p>
        </w:tc>
        <w:tc>
          <w:tcPr>
            <w:tcW w:w="6410" w:type="dxa"/>
          </w:tcPr>
          <w:p w14:paraId="78541234" w14:textId="17C91319" w:rsidR="00EE2EBF" w:rsidRPr="00A76411" w:rsidRDefault="00EE2EBF" w:rsidP="00EE2EBF">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A76411">
              <w:rPr>
                <w:rFonts w:asciiTheme="majorHAnsi" w:eastAsia="Times New Roman" w:hAnsiTheme="majorHAnsi" w:cstheme="majorHAnsi"/>
                <w:bCs/>
                <w:iCs/>
                <w:sz w:val="18"/>
                <w:szCs w:val="20"/>
                <w:lang w:eastAsia="ar-SA"/>
              </w:rPr>
              <w:t xml:space="preserve">OP elektrického vedení vn 22kV </w:t>
            </w:r>
          </w:p>
        </w:tc>
      </w:tr>
      <w:tr w:rsidR="00EE2EBF" w:rsidRPr="00A76411" w14:paraId="5B4286D9" w14:textId="77777777" w:rsidTr="00EE2EBF">
        <w:trPr>
          <w:cantSplit/>
        </w:trPr>
        <w:tc>
          <w:tcPr>
            <w:tcW w:w="2660" w:type="dxa"/>
          </w:tcPr>
          <w:p w14:paraId="009950A5" w14:textId="77777777" w:rsidR="00EE2EBF" w:rsidRPr="00A76411" w:rsidRDefault="00EE2EBF" w:rsidP="00EE2EBF">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A76411">
              <w:rPr>
                <w:rFonts w:asciiTheme="majorHAnsi" w:eastAsia="Times New Roman" w:hAnsiTheme="majorHAnsi" w:cstheme="majorHAnsi"/>
                <w:b/>
                <w:bCs/>
                <w:iCs/>
                <w:sz w:val="18"/>
                <w:szCs w:val="20"/>
                <w:lang w:eastAsia="ar-SA"/>
              </w:rPr>
              <w:t>vztah k platné ÚPD (ZÚR, ÚPO)</w:t>
            </w:r>
          </w:p>
        </w:tc>
        <w:tc>
          <w:tcPr>
            <w:tcW w:w="6410" w:type="dxa"/>
          </w:tcPr>
          <w:p w14:paraId="14B768F7" w14:textId="1972A373" w:rsidR="00EE2EBF" w:rsidRPr="00A76411" w:rsidRDefault="00EE2EBF" w:rsidP="00EE2EBF">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A76411">
              <w:rPr>
                <w:rFonts w:asciiTheme="majorHAnsi" w:eastAsia="Times New Roman" w:hAnsiTheme="majorHAnsi" w:cstheme="majorHAnsi"/>
                <w:bCs/>
                <w:iCs/>
                <w:sz w:val="18"/>
                <w:szCs w:val="20"/>
                <w:lang w:eastAsia="ar-SA"/>
              </w:rPr>
              <w:t>-</w:t>
            </w:r>
          </w:p>
        </w:tc>
      </w:tr>
      <w:tr w:rsidR="00EE2EBF" w:rsidRPr="00A76411" w14:paraId="03212DDD" w14:textId="77777777" w:rsidTr="00EE2EBF">
        <w:trPr>
          <w:cantSplit/>
        </w:trPr>
        <w:tc>
          <w:tcPr>
            <w:tcW w:w="2660" w:type="dxa"/>
          </w:tcPr>
          <w:p w14:paraId="223C243D" w14:textId="77777777" w:rsidR="00EE2EBF" w:rsidRPr="00A76411" w:rsidRDefault="00EE2EBF" w:rsidP="00EE2EBF">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A76411">
              <w:rPr>
                <w:rFonts w:asciiTheme="majorHAnsi" w:eastAsia="Times New Roman" w:hAnsiTheme="majorHAnsi" w:cstheme="majorHAnsi"/>
                <w:b/>
                <w:bCs/>
                <w:iCs/>
                <w:sz w:val="18"/>
                <w:szCs w:val="20"/>
                <w:lang w:eastAsia="ar-SA"/>
              </w:rPr>
              <w:t>vazba na veřejnou infrastrukturu (DI, TI)</w:t>
            </w:r>
          </w:p>
        </w:tc>
        <w:tc>
          <w:tcPr>
            <w:tcW w:w="6410" w:type="dxa"/>
          </w:tcPr>
          <w:p w14:paraId="56292299" w14:textId="138D115F" w:rsidR="00EE2EBF" w:rsidRPr="00A76411" w:rsidRDefault="00EE2EBF" w:rsidP="00EE2EBF">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A76411">
              <w:rPr>
                <w:rFonts w:asciiTheme="majorHAnsi" w:eastAsia="Times New Roman" w:hAnsiTheme="majorHAnsi" w:cstheme="majorHAnsi"/>
                <w:bCs/>
                <w:iCs/>
                <w:sz w:val="18"/>
                <w:szCs w:val="20"/>
                <w:lang w:eastAsia="ar-SA"/>
              </w:rPr>
              <w:t>Plocha vymezena pro rozvoj veřejné dopravní infrastruktur</w:t>
            </w:r>
            <w:r w:rsidR="00D26F2D" w:rsidRPr="00A76411">
              <w:rPr>
                <w:rFonts w:asciiTheme="majorHAnsi" w:eastAsia="Times New Roman" w:hAnsiTheme="majorHAnsi" w:cstheme="majorHAnsi"/>
                <w:bCs/>
                <w:iCs/>
                <w:sz w:val="18"/>
                <w:szCs w:val="20"/>
                <w:lang w:eastAsia="ar-SA"/>
              </w:rPr>
              <w:t>y</w:t>
            </w:r>
          </w:p>
        </w:tc>
      </w:tr>
      <w:tr w:rsidR="00EE2EBF" w:rsidRPr="00A76411" w14:paraId="076F5B60" w14:textId="77777777" w:rsidTr="00EE2EBF">
        <w:trPr>
          <w:cantSplit/>
        </w:trPr>
        <w:tc>
          <w:tcPr>
            <w:tcW w:w="2660" w:type="dxa"/>
          </w:tcPr>
          <w:p w14:paraId="2AE92871" w14:textId="77777777" w:rsidR="00EE2EBF" w:rsidRPr="00A76411" w:rsidRDefault="00EE2EBF" w:rsidP="00EE2EBF">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A76411">
              <w:rPr>
                <w:rFonts w:asciiTheme="majorHAnsi" w:eastAsia="Times New Roman" w:hAnsiTheme="majorHAnsi" w:cstheme="majorHAnsi"/>
                <w:b/>
                <w:bCs/>
                <w:iCs/>
                <w:sz w:val="18"/>
                <w:szCs w:val="20"/>
                <w:lang w:eastAsia="ar-SA"/>
              </w:rPr>
              <w:t>vztah k zastavěnému území</w:t>
            </w:r>
          </w:p>
        </w:tc>
        <w:tc>
          <w:tcPr>
            <w:tcW w:w="6410" w:type="dxa"/>
          </w:tcPr>
          <w:p w14:paraId="4DC13086" w14:textId="03296B71" w:rsidR="00EE2EBF" w:rsidRPr="00A76411" w:rsidRDefault="00D26F2D" w:rsidP="00EE2EBF">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A76411">
              <w:rPr>
                <w:rFonts w:asciiTheme="majorHAnsi" w:eastAsia="Times New Roman" w:hAnsiTheme="majorHAnsi" w:cstheme="majorHAnsi"/>
                <w:bCs/>
                <w:iCs/>
                <w:sz w:val="18"/>
                <w:szCs w:val="20"/>
                <w:lang w:eastAsia="ar-SA"/>
              </w:rPr>
              <w:t>-</w:t>
            </w:r>
          </w:p>
        </w:tc>
      </w:tr>
      <w:tr w:rsidR="00EE2EBF" w:rsidRPr="00A76411" w14:paraId="164BD3AF" w14:textId="77777777" w:rsidTr="00EE2EBF">
        <w:trPr>
          <w:cantSplit/>
        </w:trPr>
        <w:tc>
          <w:tcPr>
            <w:tcW w:w="2660" w:type="dxa"/>
          </w:tcPr>
          <w:p w14:paraId="56112B6B" w14:textId="77777777" w:rsidR="00EE2EBF" w:rsidRPr="00A76411" w:rsidRDefault="00EE2EBF" w:rsidP="00EE2EBF">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A76411">
              <w:rPr>
                <w:rFonts w:asciiTheme="majorHAnsi" w:eastAsia="Times New Roman" w:hAnsiTheme="majorHAnsi" w:cstheme="majorHAnsi"/>
                <w:b/>
                <w:bCs/>
                <w:iCs/>
                <w:sz w:val="18"/>
                <w:szCs w:val="20"/>
                <w:lang w:eastAsia="ar-SA"/>
              </w:rPr>
              <w:t>dotčení půdního fondu (ZPF, LPF)</w:t>
            </w:r>
          </w:p>
        </w:tc>
        <w:tc>
          <w:tcPr>
            <w:tcW w:w="6410" w:type="dxa"/>
          </w:tcPr>
          <w:p w14:paraId="6BBB94E4" w14:textId="15924993" w:rsidR="00EE2EBF" w:rsidRPr="00A76411" w:rsidRDefault="00D26F2D" w:rsidP="00EE2EBF">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A76411">
              <w:rPr>
                <w:rFonts w:asciiTheme="majorHAnsi" w:eastAsia="Times New Roman" w:hAnsiTheme="majorHAnsi" w:cstheme="majorHAnsi"/>
                <w:bCs/>
                <w:iCs/>
                <w:sz w:val="18"/>
                <w:szCs w:val="20"/>
                <w:lang w:eastAsia="ar-SA"/>
              </w:rPr>
              <w:t>Nezemědělská půda, ostatní plocha</w:t>
            </w:r>
          </w:p>
        </w:tc>
      </w:tr>
      <w:tr w:rsidR="00EE2EBF" w:rsidRPr="00A76411" w14:paraId="19C9FAB2" w14:textId="77777777" w:rsidTr="00EE2EBF">
        <w:trPr>
          <w:cantSplit/>
        </w:trPr>
        <w:tc>
          <w:tcPr>
            <w:tcW w:w="2660" w:type="dxa"/>
          </w:tcPr>
          <w:p w14:paraId="7604A6EE" w14:textId="77777777" w:rsidR="00EE2EBF" w:rsidRPr="00A76411" w:rsidRDefault="00EE2EBF" w:rsidP="00EE2EBF">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A76411">
              <w:rPr>
                <w:rFonts w:asciiTheme="majorHAnsi" w:eastAsia="Times New Roman" w:hAnsiTheme="majorHAnsi" w:cstheme="majorHAnsi"/>
                <w:b/>
                <w:bCs/>
                <w:iCs/>
                <w:sz w:val="18"/>
                <w:szCs w:val="20"/>
                <w:lang w:eastAsia="ar-SA"/>
              </w:rPr>
              <w:t>hlavní důvody vymezení plochy</w:t>
            </w:r>
          </w:p>
        </w:tc>
        <w:tc>
          <w:tcPr>
            <w:tcW w:w="6410" w:type="dxa"/>
          </w:tcPr>
          <w:p w14:paraId="412B78F3" w14:textId="77777777" w:rsidR="00D26F2D" w:rsidRPr="00A76411" w:rsidRDefault="00D26F2D" w:rsidP="00EE2EBF">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A76411">
              <w:rPr>
                <w:rFonts w:asciiTheme="majorHAnsi" w:eastAsia="Times New Roman" w:hAnsiTheme="majorHAnsi" w:cstheme="majorHAnsi"/>
                <w:bCs/>
                <w:iCs/>
                <w:sz w:val="18"/>
                <w:szCs w:val="20"/>
                <w:lang w:eastAsia="ar-SA"/>
              </w:rPr>
              <w:t>Plocha je vymezena na základě výsledků projednání návrhu ÚP (požadavek obce uplatnění v rámci vyhodnocení veřejného projednání návrhu ÚP).</w:t>
            </w:r>
          </w:p>
          <w:p w14:paraId="24BDA0AE" w14:textId="3BCBD7EC" w:rsidR="00D26F2D" w:rsidRPr="00A76411" w:rsidRDefault="00D26F2D" w:rsidP="00EE2EBF">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A76411">
              <w:rPr>
                <w:rFonts w:asciiTheme="majorHAnsi" w:eastAsia="Times New Roman" w:hAnsiTheme="majorHAnsi" w:cstheme="majorHAnsi"/>
                <w:bCs/>
                <w:iCs/>
                <w:sz w:val="18"/>
                <w:szCs w:val="20"/>
                <w:lang w:eastAsia="ar-SA"/>
              </w:rPr>
              <w:t xml:space="preserve">Plocha pro optimalizaci stávající silnice propojující Vápensko a silnici II. třídy II/332 mezi Milovicemi a Zbožíčkem severně od řešeného území. Komunikace je v současnosti v nevyhovujícím stavu a proto je vymezena jako plocha změn, která je zařazena mezi veřejně prospěšné stavby dopravní infrastruktury s možností vyvlastnění VD.5. </w:t>
            </w:r>
          </w:p>
        </w:tc>
      </w:tr>
      <w:tr w:rsidR="00EE2EBF" w:rsidRPr="006070EA" w14:paraId="66FFE32D" w14:textId="77777777" w:rsidTr="00EE2EBF">
        <w:trPr>
          <w:cantSplit/>
        </w:trPr>
        <w:tc>
          <w:tcPr>
            <w:tcW w:w="2660" w:type="dxa"/>
          </w:tcPr>
          <w:p w14:paraId="74A33D14" w14:textId="77777777" w:rsidR="00EE2EBF" w:rsidRPr="00A76411" w:rsidRDefault="00EE2EBF" w:rsidP="00EE2EBF">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A76411">
              <w:rPr>
                <w:rFonts w:asciiTheme="majorHAnsi" w:eastAsia="Times New Roman" w:hAnsiTheme="majorHAnsi" w:cstheme="majorHAnsi"/>
                <w:b/>
                <w:bCs/>
                <w:iCs/>
                <w:sz w:val="18"/>
                <w:szCs w:val="20"/>
                <w:lang w:eastAsia="ar-SA"/>
              </w:rPr>
              <w:t>související podmínky využití</w:t>
            </w:r>
          </w:p>
        </w:tc>
        <w:tc>
          <w:tcPr>
            <w:tcW w:w="6410" w:type="dxa"/>
          </w:tcPr>
          <w:p w14:paraId="356B0DDF" w14:textId="7F4E493A" w:rsidR="00EE2EBF" w:rsidRPr="00D26F2D" w:rsidRDefault="00EE2EBF" w:rsidP="00EE2EBF">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A76411">
              <w:rPr>
                <w:rFonts w:asciiTheme="majorHAnsi" w:eastAsia="Times New Roman" w:hAnsiTheme="majorHAnsi" w:cstheme="majorHAnsi"/>
                <w:bCs/>
                <w:iCs/>
                <w:sz w:val="18"/>
                <w:szCs w:val="20"/>
                <w:lang w:eastAsia="ar-SA"/>
              </w:rPr>
              <w:t>-</w:t>
            </w:r>
          </w:p>
        </w:tc>
      </w:tr>
    </w:tbl>
    <w:p w14:paraId="485EC23C" w14:textId="32CE513F" w:rsidR="00BE35FE" w:rsidRPr="006070EA" w:rsidRDefault="00BE35FE" w:rsidP="00BE35FE">
      <w:pPr>
        <w:pStyle w:val="Odstavecseseznamem"/>
        <w:keepNext/>
        <w:numPr>
          <w:ilvl w:val="2"/>
          <w:numId w:val="30"/>
        </w:numPr>
        <w:spacing w:before="160" w:after="120" w:line="240" w:lineRule="auto"/>
        <w:ind w:left="709" w:hanging="709"/>
        <w:contextualSpacing w:val="0"/>
        <w:outlineLvl w:val="2"/>
        <w:rPr>
          <w:rFonts w:asciiTheme="majorHAnsi" w:hAnsiTheme="majorHAnsi" w:cstheme="majorHAnsi"/>
          <w:b/>
        </w:rPr>
      </w:pPr>
      <w:bookmarkStart w:id="319" w:name="_Toc204678196"/>
      <w:r w:rsidRPr="006070EA">
        <w:rPr>
          <w:rFonts w:asciiTheme="majorHAnsi" w:hAnsiTheme="majorHAnsi" w:cstheme="majorHAnsi"/>
          <w:b/>
        </w:rPr>
        <w:t>Odůvodnění vymezení systému sídelní zeleně</w:t>
      </w:r>
      <w:bookmarkEnd w:id="319"/>
    </w:p>
    <w:p w14:paraId="764E5FA5" w14:textId="18FB54E8" w:rsidR="00BE35FE" w:rsidRPr="006070EA" w:rsidRDefault="00BE35FE" w:rsidP="00BE35FE">
      <w:pPr>
        <w:pStyle w:val="Atext"/>
        <w:keepNext/>
        <w:ind w:firstLine="0"/>
        <w:jc w:val="right"/>
        <w:rPr>
          <w:rFonts w:asciiTheme="majorHAnsi" w:hAnsiTheme="majorHAnsi" w:cstheme="majorHAnsi"/>
          <w:i/>
          <w:snapToGrid w:val="0"/>
          <w:u w:val="single"/>
        </w:rPr>
      </w:pPr>
      <w:r w:rsidRPr="006070EA">
        <w:rPr>
          <w:rFonts w:asciiTheme="majorHAnsi" w:hAnsiTheme="majorHAnsi" w:cstheme="majorHAnsi"/>
          <w:i/>
          <w:snapToGrid w:val="0"/>
          <w:u w:val="single"/>
        </w:rPr>
        <w:t xml:space="preserve">Odůvodnění odst. </w:t>
      </w:r>
      <w:r w:rsidRPr="006070EA">
        <w:rPr>
          <w:rFonts w:asciiTheme="majorHAnsi" w:hAnsiTheme="majorHAnsi" w:cstheme="majorHAnsi"/>
          <w:b/>
          <w:i/>
          <w:snapToGrid w:val="0"/>
          <w:u w:val="single"/>
        </w:rPr>
        <w:t>(1</w:t>
      </w:r>
      <w:r w:rsidR="00AE7B69" w:rsidRPr="006070EA">
        <w:rPr>
          <w:rFonts w:asciiTheme="majorHAnsi" w:hAnsiTheme="majorHAnsi" w:cstheme="majorHAnsi"/>
          <w:b/>
          <w:i/>
          <w:snapToGrid w:val="0"/>
          <w:u w:val="single"/>
        </w:rPr>
        <w:t>1</w:t>
      </w:r>
      <w:r w:rsidRPr="006070EA">
        <w:rPr>
          <w:rFonts w:asciiTheme="majorHAnsi" w:hAnsiTheme="majorHAnsi" w:cstheme="majorHAnsi"/>
          <w:b/>
          <w:i/>
          <w:snapToGrid w:val="0"/>
          <w:u w:val="single"/>
        </w:rPr>
        <w:t xml:space="preserve">) </w:t>
      </w:r>
      <w:r w:rsidRPr="006070EA">
        <w:rPr>
          <w:rFonts w:asciiTheme="majorHAnsi" w:hAnsiTheme="majorHAnsi" w:cstheme="majorHAnsi"/>
          <w:i/>
          <w:snapToGrid w:val="0"/>
          <w:u w:val="single"/>
        </w:rPr>
        <w:t>výrokové části</w:t>
      </w:r>
    </w:p>
    <w:p w14:paraId="37B833B4" w14:textId="7C9CF7EC" w:rsidR="00BE35FE" w:rsidRPr="006070EA" w:rsidRDefault="00BE35FE" w:rsidP="00BE35FE">
      <w:pPr>
        <w:pStyle w:val="Atext"/>
        <w:spacing w:after="60"/>
        <w:rPr>
          <w:rFonts w:asciiTheme="majorHAnsi" w:hAnsiTheme="majorHAnsi" w:cstheme="majorHAnsi"/>
          <w:snapToGrid w:val="0"/>
        </w:rPr>
      </w:pPr>
      <w:r w:rsidRPr="006070EA">
        <w:rPr>
          <w:rFonts w:asciiTheme="majorHAnsi" w:hAnsiTheme="majorHAnsi" w:cstheme="majorHAnsi"/>
        </w:rPr>
        <w:t xml:space="preserve">Podkladem pro vymezení systému sídelní zeleně byly zejména </w:t>
      </w:r>
      <w:r w:rsidRPr="006070EA">
        <w:rPr>
          <w:rFonts w:asciiTheme="majorHAnsi" w:hAnsiTheme="majorHAnsi" w:cstheme="majorHAnsi"/>
          <w:snapToGrid w:val="0"/>
        </w:rPr>
        <w:t xml:space="preserve">terénní průzkumy zpracovatele. Na základě podrobných analýz jednotlivých systémů v území a požadavků na jejich rozvoj byl v řešení ÚP </w:t>
      </w:r>
      <w:r w:rsidR="007B2588" w:rsidRPr="006070EA">
        <w:rPr>
          <w:rFonts w:asciiTheme="majorHAnsi" w:hAnsiTheme="majorHAnsi" w:cstheme="majorHAnsi"/>
          <w:snapToGrid w:val="0"/>
        </w:rPr>
        <w:t>Kostomlaty nad Labem</w:t>
      </w:r>
      <w:r w:rsidRPr="006070EA">
        <w:rPr>
          <w:rFonts w:asciiTheme="majorHAnsi" w:hAnsiTheme="majorHAnsi" w:cstheme="majorHAnsi"/>
          <w:snapToGrid w:val="0"/>
        </w:rPr>
        <w:t xml:space="preserve"> stabilizován systém sídelní zeleně v měřítku odpovídajícím § 3 odst. 1 vyhlášky č. 501/2006 Sb. </w:t>
      </w:r>
    </w:p>
    <w:p w14:paraId="30A4567C" w14:textId="073D33A4" w:rsidR="00BE35FE" w:rsidRPr="006070EA" w:rsidRDefault="00BE35FE" w:rsidP="00BE35FE">
      <w:pPr>
        <w:pStyle w:val="Atext"/>
        <w:spacing w:before="0"/>
        <w:rPr>
          <w:rFonts w:asciiTheme="majorHAnsi" w:hAnsiTheme="majorHAnsi" w:cstheme="majorHAnsi"/>
        </w:rPr>
      </w:pPr>
      <w:r w:rsidRPr="006070EA">
        <w:rPr>
          <w:rFonts w:asciiTheme="majorHAnsi" w:hAnsiTheme="majorHAnsi" w:cstheme="majorHAnsi"/>
          <w:snapToGrid w:val="0"/>
        </w:rPr>
        <w:t xml:space="preserve">Systém sídelní zeleně je tvořen kromě ploch zeleně i dalšími prvky sídelní zeleně zahrnutými v dalších typech ploch s rozdílným způsobem využití, a to s ohledem na výše uvedené ustanovení o výměře ploch vymezovaných v územním plánu. </w:t>
      </w:r>
      <w:r w:rsidRPr="006070EA">
        <w:rPr>
          <w:rFonts w:asciiTheme="majorHAnsi" w:hAnsiTheme="majorHAnsi" w:cstheme="majorHAnsi"/>
        </w:rPr>
        <w:t xml:space="preserve">Důvodem pro stanovení výroků je zajištění ochrany a vytvoření podmínek pro rozvoj sídelní zeleně v řešeném území. </w:t>
      </w:r>
      <w:r w:rsidR="00AE7B69" w:rsidRPr="006070EA">
        <w:rPr>
          <w:rFonts w:asciiTheme="majorHAnsi" w:hAnsiTheme="majorHAnsi" w:cstheme="majorHAnsi"/>
        </w:rPr>
        <w:t>Součástí systému je také liniová zeleň identifikovaná jako přírodní hodnota území (významné aleje, doprovodná zeleň komunikací, lineární zeleň ve volné krajině).</w:t>
      </w:r>
    </w:p>
    <w:p w14:paraId="51F2CE94" w14:textId="2EF0543A" w:rsidR="00AE7B69" w:rsidRPr="006070EA" w:rsidRDefault="00AE7B69" w:rsidP="00BE35FE">
      <w:pPr>
        <w:pStyle w:val="Atext"/>
        <w:spacing w:before="0"/>
        <w:rPr>
          <w:rFonts w:asciiTheme="majorHAnsi" w:hAnsiTheme="majorHAnsi" w:cstheme="majorHAnsi"/>
        </w:rPr>
      </w:pPr>
      <w:r w:rsidRPr="006070EA">
        <w:rPr>
          <w:rFonts w:asciiTheme="majorHAnsi" w:hAnsiTheme="majorHAnsi" w:cstheme="majorHAnsi"/>
        </w:rPr>
        <w:t>Odůvodnění jednotlivých ploch vymezených pro rozvoj systému sídelní zeleně je podrobně je uvedeno v kapitole 11.3.2.</w:t>
      </w:r>
    </w:p>
    <w:p w14:paraId="2B96A193" w14:textId="5E344A18" w:rsidR="00BE35FE" w:rsidRPr="006070EA" w:rsidRDefault="00BE35FE" w:rsidP="00BE35FE">
      <w:pPr>
        <w:pStyle w:val="Atext"/>
        <w:keepNext/>
        <w:ind w:firstLine="0"/>
        <w:jc w:val="right"/>
        <w:rPr>
          <w:rFonts w:asciiTheme="majorHAnsi" w:hAnsiTheme="majorHAnsi" w:cstheme="majorHAnsi"/>
          <w:i/>
          <w:snapToGrid w:val="0"/>
          <w:u w:val="single"/>
        </w:rPr>
      </w:pPr>
      <w:r w:rsidRPr="006070EA">
        <w:rPr>
          <w:rFonts w:asciiTheme="majorHAnsi" w:hAnsiTheme="majorHAnsi" w:cstheme="majorHAnsi"/>
          <w:i/>
          <w:snapToGrid w:val="0"/>
          <w:u w:val="single"/>
        </w:rPr>
        <w:t xml:space="preserve">Odůvodnění odst. </w:t>
      </w:r>
      <w:r w:rsidRPr="006070EA">
        <w:rPr>
          <w:rFonts w:asciiTheme="majorHAnsi" w:hAnsiTheme="majorHAnsi" w:cstheme="majorHAnsi"/>
          <w:b/>
          <w:i/>
          <w:snapToGrid w:val="0"/>
          <w:u w:val="single"/>
        </w:rPr>
        <w:t>(1</w:t>
      </w:r>
      <w:r w:rsidR="00AE7B69" w:rsidRPr="006070EA">
        <w:rPr>
          <w:rFonts w:asciiTheme="majorHAnsi" w:hAnsiTheme="majorHAnsi" w:cstheme="majorHAnsi"/>
          <w:b/>
          <w:i/>
          <w:snapToGrid w:val="0"/>
          <w:u w:val="single"/>
        </w:rPr>
        <w:t>2</w:t>
      </w:r>
      <w:r w:rsidRPr="006070EA">
        <w:rPr>
          <w:rFonts w:asciiTheme="majorHAnsi" w:hAnsiTheme="majorHAnsi" w:cstheme="majorHAnsi"/>
          <w:b/>
          <w:i/>
          <w:snapToGrid w:val="0"/>
          <w:u w:val="single"/>
        </w:rPr>
        <w:t xml:space="preserve">) </w:t>
      </w:r>
      <w:r w:rsidRPr="006070EA">
        <w:rPr>
          <w:rFonts w:asciiTheme="majorHAnsi" w:hAnsiTheme="majorHAnsi" w:cstheme="majorHAnsi"/>
          <w:i/>
          <w:snapToGrid w:val="0"/>
          <w:u w:val="single"/>
        </w:rPr>
        <w:t>výrokové části</w:t>
      </w:r>
    </w:p>
    <w:p w14:paraId="4CC145AA" w14:textId="40EDC059" w:rsidR="00BE35FE" w:rsidRPr="006070EA" w:rsidRDefault="00BE35FE" w:rsidP="00BE35FE">
      <w:pPr>
        <w:pStyle w:val="Atext"/>
        <w:spacing w:after="60"/>
        <w:rPr>
          <w:rFonts w:asciiTheme="majorHAnsi" w:hAnsiTheme="majorHAnsi" w:cstheme="majorHAnsi"/>
        </w:rPr>
      </w:pPr>
      <w:r w:rsidRPr="006070EA">
        <w:rPr>
          <w:rFonts w:asciiTheme="majorHAnsi" w:hAnsiTheme="majorHAnsi" w:cstheme="majorHAnsi"/>
        </w:rPr>
        <w:t xml:space="preserve">Důvodem ochrany veřejné zeleně je zejména fakt, že se jedná o veřejnou infrastrukturu ve smyslu § 2 odst. 1 písm. k) stavebního zákona, která je součástí ploch veřejných prostranství. Plochy veřejné zeleně jsou vymezeny ve veřejném zájmu, proto jejich využití nesmí být narušeno parciálními zájmy v území. Stav a rozsah sídelní zeleně v území je významným indikátorem kvality obytného prostředí. Plochy sídelní zeleně tvoří jednak doplňkovou funkci v obytném prostředí, mají estetickou, kompoziční a hygienickou funkci v sídlech, a proto je nutné je chránit, resp. významnou zeleň přímo vymezit v rámci </w:t>
      </w:r>
      <w:r w:rsidRPr="006070EA">
        <w:rPr>
          <w:rFonts w:asciiTheme="majorHAnsi" w:hAnsiTheme="majorHAnsi" w:cstheme="majorHAnsi"/>
        </w:rPr>
        <w:lastRenderedPageBreak/>
        <w:t xml:space="preserve">ploch zeleně s vyloučením zástavby. </w:t>
      </w:r>
      <w:r w:rsidR="00AE7B69" w:rsidRPr="006070EA">
        <w:rPr>
          <w:rFonts w:asciiTheme="majorHAnsi" w:hAnsiTheme="majorHAnsi" w:cstheme="majorHAnsi"/>
        </w:rPr>
        <w:t>Důvodem pro stanovení výroků je zajištění ochrany a vytvoření podmínek pro rozvoj sídelní zeleně v řešeném území.</w:t>
      </w:r>
    </w:p>
    <w:p w14:paraId="2D9A6C9E" w14:textId="0B24A65A" w:rsidR="00BE35FE" w:rsidRPr="006070EA" w:rsidRDefault="00BE35FE" w:rsidP="00BE35FE">
      <w:pPr>
        <w:pStyle w:val="Atext"/>
        <w:spacing w:before="0"/>
        <w:ind w:firstLine="705"/>
        <w:rPr>
          <w:rFonts w:asciiTheme="majorHAnsi" w:hAnsiTheme="majorHAnsi" w:cstheme="majorHAnsi"/>
        </w:rPr>
      </w:pPr>
      <w:r w:rsidRPr="006070EA">
        <w:rPr>
          <w:rFonts w:asciiTheme="majorHAnsi" w:hAnsiTheme="majorHAnsi" w:cstheme="majorHAnsi"/>
        </w:rPr>
        <w:t xml:space="preserve">Kromě vlastní ochrany a rozvoje ploch </w:t>
      </w:r>
      <w:r w:rsidR="00DE4B71" w:rsidRPr="006070EA">
        <w:rPr>
          <w:rFonts w:asciiTheme="majorHAnsi" w:hAnsiTheme="majorHAnsi" w:cstheme="majorHAnsi"/>
          <w:i/>
        </w:rPr>
        <w:t>zeleně – parky a parkově upravené plochy</w:t>
      </w:r>
      <w:r w:rsidRPr="006070EA">
        <w:rPr>
          <w:rFonts w:asciiTheme="majorHAnsi" w:hAnsiTheme="majorHAnsi" w:cstheme="majorHAnsi"/>
        </w:rPr>
        <w:t xml:space="preserve"> (Z</w:t>
      </w:r>
      <w:r w:rsidR="00DE4B71" w:rsidRPr="006070EA">
        <w:rPr>
          <w:rFonts w:asciiTheme="majorHAnsi" w:hAnsiTheme="majorHAnsi" w:cstheme="majorHAnsi"/>
        </w:rPr>
        <w:t>P</w:t>
      </w:r>
      <w:r w:rsidRPr="006070EA">
        <w:rPr>
          <w:rFonts w:asciiTheme="majorHAnsi" w:hAnsiTheme="majorHAnsi" w:cstheme="majorHAnsi"/>
        </w:rPr>
        <w:t xml:space="preserve">), </w:t>
      </w:r>
      <w:r w:rsidRPr="006070EA">
        <w:rPr>
          <w:rFonts w:asciiTheme="majorHAnsi" w:hAnsiTheme="majorHAnsi" w:cstheme="majorHAnsi"/>
          <w:i/>
        </w:rPr>
        <w:t>veřejných prostranství</w:t>
      </w:r>
      <w:r w:rsidR="00DE4B71" w:rsidRPr="006070EA">
        <w:rPr>
          <w:rFonts w:asciiTheme="majorHAnsi" w:hAnsiTheme="majorHAnsi" w:cstheme="majorHAnsi"/>
        </w:rPr>
        <w:t xml:space="preserve"> </w:t>
      </w:r>
      <w:r w:rsidR="00DE4B71" w:rsidRPr="006070EA">
        <w:rPr>
          <w:rFonts w:asciiTheme="majorHAnsi" w:hAnsiTheme="majorHAnsi" w:cstheme="majorHAnsi"/>
          <w:i/>
          <w:iCs w:val="0"/>
        </w:rPr>
        <w:t>všeobecných</w:t>
      </w:r>
      <w:r w:rsidR="00DE4B71" w:rsidRPr="006070EA">
        <w:rPr>
          <w:rFonts w:asciiTheme="majorHAnsi" w:hAnsiTheme="majorHAnsi" w:cstheme="majorHAnsi"/>
        </w:rPr>
        <w:t xml:space="preserve"> </w:t>
      </w:r>
      <w:r w:rsidRPr="006070EA">
        <w:rPr>
          <w:rFonts w:asciiTheme="majorHAnsi" w:hAnsiTheme="majorHAnsi" w:cstheme="majorHAnsi"/>
        </w:rPr>
        <w:t>(PV) a </w:t>
      </w:r>
      <w:r w:rsidRPr="006070EA">
        <w:rPr>
          <w:rFonts w:asciiTheme="majorHAnsi" w:hAnsiTheme="majorHAnsi" w:cstheme="majorHAnsi"/>
          <w:i/>
        </w:rPr>
        <w:t xml:space="preserve">zeleně </w:t>
      </w:r>
      <w:r w:rsidR="00DE4B71" w:rsidRPr="006070EA">
        <w:rPr>
          <w:rFonts w:asciiTheme="majorHAnsi" w:hAnsiTheme="majorHAnsi" w:cstheme="majorHAnsi"/>
          <w:i/>
        </w:rPr>
        <w:t xml:space="preserve">krajinné </w:t>
      </w:r>
      <w:r w:rsidRPr="006070EA">
        <w:rPr>
          <w:rFonts w:asciiTheme="majorHAnsi" w:hAnsiTheme="majorHAnsi" w:cstheme="majorHAnsi"/>
        </w:rPr>
        <w:t>(Z</w:t>
      </w:r>
      <w:r w:rsidR="00DE4B71" w:rsidRPr="006070EA">
        <w:rPr>
          <w:rFonts w:asciiTheme="majorHAnsi" w:hAnsiTheme="majorHAnsi" w:cstheme="majorHAnsi"/>
        </w:rPr>
        <w:t>K</w:t>
      </w:r>
      <w:r w:rsidRPr="006070EA">
        <w:rPr>
          <w:rFonts w:asciiTheme="majorHAnsi" w:hAnsiTheme="majorHAnsi" w:cstheme="majorHAnsi"/>
        </w:rPr>
        <w:t xml:space="preserve">) je nezbytné sídelní zeleň rozvíjet také v dalších plochách s rozdílným způsobem využití a zvyšovat tak podíl lokální zeleně zejména uvnitř obytných území. </w:t>
      </w:r>
    </w:p>
    <w:p w14:paraId="62C88A7D" w14:textId="10DB0471" w:rsidR="00AB1F4C" w:rsidRPr="006070EA" w:rsidRDefault="00AB1F4C" w:rsidP="00795EBA">
      <w:pPr>
        <w:pStyle w:val="Mra2-reakceern"/>
        <w:keepNext/>
        <w:pBdr>
          <w:left w:val="none" w:sz="0" w:space="0" w:color="auto"/>
        </w:pBdr>
        <w:shd w:val="clear" w:color="auto" w:fill="DEEAF6" w:themeFill="accent1" w:themeFillTint="33"/>
        <w:spacing w:before="240" w:after="120"/>
        <w:ind w:left="705" w:hanging="705"/>
        <w:rPr>
          <w:rFonts w:asciiTheme="majorHAnsi" w:hAnsiTheme="majorHAnsi" w:cstheme="majorHAnsi"/>
          <w:b/>
          <w:i/>
          <w:color w:val="auto"/>
          <w:sz w:val="22"/>
        </w:rPr>
      </w:pPr>
      <w:r w:rsidRPr="006070EA">
        <w:rPr>
          <w:rFonts w:asciiTheme="majorHAnsi" w:hAnsiTheme="majorHAnsi" w:cstheme="majorHAnsi"/>
          <w:b/>
          <w:i/>
          <w:color w:val="auto"/>
          <w:sz w:val="22"/>
        </w:rPr>
        <w:t>AD 4</w:t>
      </w:r>
      <w:r w:rsidRPr="006070EA">
        <w:rPr>
          <w:rFonts w:asciiTheme="majorHAnsi" w:hAnsiTheme="majorHAnsi" w:cstheme="majorHAnsi"/>
          <w:b/>
          <w:i/>
          <w:color w:val="auto"/>
          <w:sz w:val="22"/>
        </w:rPr>
        <w:tab/>
        <w:t>Koncepce veřejné infrastruktury, včetně podmínek pro její umísťování</w:t>
      </w:r>
      <w:r w:rsidR="003367DF" w:rsidRPr="006070EA">
        <w:rPr>
          <w:rFonts w:asciiTheme="majorHAnsi" w:hAnsiTheme="majorHAnsi" w:cstheme="majorHAnsi"/>
          <w:b/>
          <w:i/>
          <w:color w:val="auto"/>
          <w:sz w:val="22"/>
        </w:rPr>
        <w:t>, vymezení ploch a koridorů pro veřejnou infrastrukturu, včetně stanovení podmínek pro jejich využití</w:t>
      </w:r>
    </w:p>
    <w:p w14:paraId="4275BBF8" w14:textId="77777777" w:rsidR="00AB1F4C" w:rsidRPr="006070EA" w:rsidRDefault="00AB1F4C" w:rsidP="003A4B1E">
      <w:pPr>
        <w:pStyle w:val="Odstavecseseznamem"/>
        <w:keepNext/>
        <w:numPr>
          <w:ilvl w:val="1"/>
          <w:numId w:val="30"/>
        </w:numPr>
        <w:spacing w:before="160" w:after="120" w:line="240" w:lineRule="auto"/>
        <w:ind w:left="709" w:hanging="709"/>
        <w:contextualSpacing w:val="0"/>
        <w:outlineLvl w:val="1"/>
        <w:rPr>
          <w:rFonts w:asciiTheme="majorHAnsi" w:hAnsiTheme="majorHAnsi" w:cstheme="majorHAnsi"/>
          <w:b/>
          <w:sz w:val="24"/>
          <w:szCs w:val="20"/>
        </w:rPr>
      </w:pPr>
      <w:bookmarkStart w:id="320" w:name="_Toc424119850"/>
      <w:bookmarkStart w:id="321" w:name="_Toc204678197"/>
      <w:r w:rsidRPr="006070EA">
        <w:rPr>
          <w:rFonts w:asciiTheme="majorHAnsi" w:hAnsiTheme="majorHAnsi" w:cstheme="majorHAnsi"/>
          <w:b/>
          <w:sz w:val="24"/>
          <w:szCs w:val="20"/>
        </w:rPr>
        <w:t>Odůvodnění koncepce veřejné infrastruktury</w:t>
      </w:r>
      <w:bookmarkEnd w:id="320"/>
      <w:bookmarkEnd w:id="321"/>
    </w:p>
    <w:p w14:paraId="39B8FBC6" w14:textId="77777777" w:rsidR="00AB1F4C" w:rsidRPr="006070EA" w:rsidRDefault="00AB1F4C" w:rsidP="003A4B1E">
      <w:pPr>
        <w:pStyle w:val="Odstavecseseznamem"/>
        <w:keepNext/>
        <w:numPr>
          <w:ilvl w:val="2"/>
          <w:numId w:val="30"/>
        </w:numPr>
        <w:spacing w:before="160" w:after="120" w:line="240" w:lineRule="auto"/>
        <w:ind w:left="709" w:hanging="709"/>
        <w:contextualSpacing w:val="0"/>
        <w:outlineLvl w:val="2"/>
        <w:rPr>
          <w:rFonts w:asciiTheme="majorHAnsi" w:hAnsiTheme="majorHAnsi" w:cstheme="majorHAnsi"/>
          <w:b/>
        </w:rPr>
      </w:pPr>
      <w:bookmarkStart w:id="322" w:name="_Toc415755998"/>
      <w:bookmarkStart w:id="323" w:name="_Toc415756364"/>
      <w:bookmarkStart w:id="324" w:name="_Toc415756723"/>
      <w:bookmarkStart w:id="325" w:name="_Toc415756973"/>
      <w:bookmarkStart w:id="326" w:name="_Toc415757223"/>
      <w:bookmarkStart w:id="327" w:name="_Toc415757472"/>
      <w:bookmarkStart w:id="328" w:name="_Toc415757630"/>
      <w:bookmarkStart w:id="329" w:name="_Toc424050154"/>
      <w:bookmarkStart w:id="330" w:name="_Toc424050328"/>
      <w:bookmarkStart w:id="331" w:name="_Toc424050486"/>
      <w:bookmarkStart w:id="332" w:name="_Toc424112348"/>
      <w:bookmarkStart w:id="333" w:name="_Toc424119372"/>
      <w:bookmarkStart w:id="334" w:name="_Toc424119851"/>
      <w:bookmarkStart w:id="335" w:name="_Toc424120107"/>
      <w:bookmarkStart w:id="336" w:name="_Toc424120533"/>
      <w:bookmarkStart w:id="337" w:name="_Toc424126239"/>
      <w:bookmarkStart w:id="338" w:name="_Toc424138820"/>
      <w:bookmarkStart w:id="339" w:name="_Toc445291942"/>
      <w:bookmarkStart w:id="340" w:name="_Toc445910455"/>
      <w:bookmarkStart w:id="341" w:name="_Toc448831938"/>
      <w:bookmarkStart w:id="342" w:name="_Toc448832128"/>
      <w:bookmarkStart w:id="343" w:name="_Toc450037788"/>
      <w:bookmarkStart w:id="344" w:name="_Toc450223082"/>
      <w:bookmarkStart w:id="345" w:name="_Toc472325713"/>
      <w:bookmarkStart w:id="346" w:name="_Toc485214929"/>
      <w:bookmarkStart w:id="347" w:name="_Toc485378082"/>
      <w:bookmarkStart w:id="348" w:name="_Toc485378204"/>
      <w:bookmarkStart w:id="349" w:name="_Toc424119852"/>
      <w:bookmarkStart w:id="350" w:name="_Toc204678198"/>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r w:rsidRPr="006070EA">
        <w:rPr>
          <w:rFonts w:asciiTheme="majorHAnsi" w:hAnsiTheme="majorHAnsi" w:cstheme="majorHAnsi"/>
          <w:b/>
        </w:rPr>
        <w:t>Odůvodnění koncepce občanského vybavení</w:t>
      </w:r>
      <w:bookmarkEnd w:id="349"/>
      <w:bookmarkEnd w:id="350"/>
    </w:p>
    <w:p w14:paraId="00EF3603" w14:textId="0CC64802" w:rsidR="00F90A7F" w:rsidRPr="006070EA" w:rsidRDefault="00F90A7F" w:rsidP="00F90A7F">
      <w:pPr>
        <w:pStyle w:val="Atext"/>
        <w:keepNext/>
        <w:ind w:firstLine="0"/>
        <w:jc w:val="right"/>
        <w:rPr>
          <w:rFonts w:asciiTheme="majorHAnsi" w:hAnsiTheme="majorHAnsi" w:cstheme="majorHAnsi"/>
          <w:i/>
          <w:snapToGrid w:val="0"/>
          <w:u w:val="single"/>
        </w:rPr>
      </w:pPr>
      <w:r w:rsidRPr="006070EA">
        <w:rPr>
          <w:rFonts w:asciiTheme="majorHAnsi" w:hAnsiTheme="majorHAnsi" w:cstheme="majorHAnsi"/>
          <w:i/>
          <w:snapToGrid w:val="0"/>
          <w:u w:val="single"/>
        </w:rPr>
        <w:t xml:space="preserve">Odůvodnění odst. </w:t>
      </w:r>
      <w:r w:rsidRPr="006070EA">
        <w:rPr>
          <w:rFonts w:asciiTheme="majorHAnsi" w:hAnsiTheme="majorHAnsi" w:cstheme="majorHAnsi"/>
          <w:b/>
          <w:i/>
          <w:snapToGrid w:val="0"/>
          <w:u w:val="single"/>
        </w:rPr>
        <w:t xml:space="preserve">(13) a (14) </w:t>
      </w:r>
      <w:r w:rsidRPr="006070EA">
        <w:rPr>
          <w:rFonts w:asciiTheme="majorHAnsi" w:hAnsiTheme="majorHAnsi" w:cstheme="majorHAnsi"/>
          <w:i/>
          <w:snapToGrid w:val="0"/>
          <w:u w:val="single"/>
        </w:rPr>
        <w:t>výrokové části</w:t>
      </w:r>
    </w:p>
    <w:p w14:paraId="089FBD3D" w14:textId="39DCC201" w:rsidR="004742CC" w:rsidRPr="006070EA" w:rsidRDefault="004742CC" w:rsidP="004742CC">
      <w:pPr>
        <w:pStyle w:val="Anadpispodtren"/>
        <w:rPr>
          <w:rFonts w:asciiTheme="majorHAnsi" w:hAnsiTheme="majorHAnsi" w:cstheme="majorHAnsi"/>
          <w:b/>
          <w:u w:val="none"/>
        </w:rPr>
      </w:pPr>
      <w:r w:rsidRPr="006070EA">
        <w:rPr>
          <w:rFonts w:asciiTheme="majorHAnsi" w:hAnsiTheme="majorHAnsi" w:cstheme="majorHAnsi"/>
          <w:b/>
          <w:u w:val="none"/>
        </w:rPr>
        <w:t>Popis stávající situace</w:t>
      </w:r>
    </w:p>
    <w:p w14:paraId="2C89D0CF" w14:textId="63BB6CDD" w:rsidR="009E5E88" w:rsidRPr="006070EA" w:rsidRDefault="00F90A7F" w:rsidP="00C820B5">
      <w:pPr>
        <w:pStyle w:val="Atext"/>
        <w:spacing w:before="60" w:after="60"/>
        <w:rPr>
          <w:rFonts w:asciiTheme="majorHAnsi" w:hAnsiTheme="majorHAnsi" w:cstheme="majorHAnsi"/>
        </w:rPr>
      </w:pPr>
      <w:r w:rsidRPr="006070EA">
        <w:rPr>
          <w:rFonts w:asciiTheme="majorHAnsi" w:hAnsiTheme="majorHAnsi" w:cstheme="majorHAnsi"/>
        </w:rPr>
        <w:t xml:space="preserve">Kostomlaty nad Labem disponují základními složkami občanského vybavení. </w:t>
      </w:r>
      <w:r w:rsidR="009E5E88" w:rsidRPr="006070EA">
        <w:rPr>
          <w:rFonts w:asciiTheme="majorHAnsi" w:hAnsiTheme="majorHAnsi" w:cstheme="majorHAnsi"/>
        </w:rPr>
        <w:t>Dostatek ploch občanského vybavení tvoří jeden ze základ</w:t>
      </w:r>
      <w:r w:rsidR="00C820B5" w:rsidRPr="006070EA">
        <w:rPr>
          <w:rFonts w:asciiTheme="majorHAnsi" w:hAnsiTheme="majorHAnsi" w:cstheme="majorHAnsi"/>
        </w:rPr>
        <w:t>ních předpokladů</w:t>
      </w:r>
      <w:r w:rsidR="009E5E88" w:rsidRPr="006070EA">
        <w:rPr>
          <w:rFonts w:asciiTheme="majorHAnsi" w:hAnsiTheme="majorHAnsi" w:cstheme="majorHAnsi"/>
        </w:rPr>
        <w:t xml:space="preserve"> kvalitního bydlení</w:t>
      </w:r>
      <w:r w:rsidR="00C820B5" w:rsidRPr="006070EA">
        <w:rPr>
          <w:rFonts w:asciiTheme="majorHAnsi" w:hAnsiTheme="majorHAnsi" w:cstheme="majorHAnsi"/>
        </w:rPr>
        <w:t xml:space="preserve"> v území</w:t>
      </w:r>
      <w:r w:rsidR="009E5E88" w:rsidRPr="006070EA">
        <w:rPr>
          <w:rFonts w:asciiTheme="majorHAnsi" w:hAnsiTheme="majorHAnsi" w:cstheme="majorHAnsi"/>
        </w:rPr>
        <w:t>. Občanské vybavení veřejného i komerčního charakteru je soustředěno v</w:t>
      </w:r>
      <w:r w:rsidR="00C820B5" w:rsidRPr="006070EA">
        <w:rPr>
          <w:rFonts w:asciiTheme="majorHAnsi" w:hAnsiTheme="majorHAnsi" w:cstheme="majorHAnsi"/>
        </w:rPr>
        <w:t xml:space="preserve"> těžišti území, v </w:t>
      </w:r>
      <w:r w:rsidR="009E5E88" w:rsidRPr="006070EA">
        <w:rPr>
          <w:rFonts w:asciiTheme="majorHAnsi" w:hAnsiTheme="majorHAnsi" w:cstheme="majorHAnsi"/>
        </w:rPr>
        <w:t>Kostomlat</w:t>
      </w:r>
      <w:r w:rsidR="00C820B5" w:rsidRPr="006070EA">
        <w:rPr>
          <w:rFonts w:asciiTheme="majorHAnsi" w:hAnsiTheme="majorHAnsi" w:cstheme="majorHAnsi"/>
        </w:rPr>
        <w:t>ech</w:t>
      </w:r>
      <w:r w:rsidR="009E5E88" w:rsidRPr="006070EA">
        <w:rPr>
          <w:rFonts w:asciiTheme="majorHAnsi" w:hAnsiTheme="majorHAnsi" w:cstheme="majorHAnsi"/>
        </w:rPr>
        <w:t xml:space="preserve"> nad Labem. </w:t>
      </w:r>
      <w:r w:rsidR="00C820B5" w:rsidRPr="006070EA">
        <w:rPr>
          <w:rFonts w:asciiTheme="majorHAnsi" w:hAnsiTheme="majorHAnsi" w:cstheme="majorHAnsi"/>
        </w:rPr>
        <w:t>Za hlavní zařízení a objekty občanského vybavení v území lze považovat</w:t>
      </w:r>
      <w:r w:rsidR="009E5E88" w:rsidRPr="006070EA">
        <w:rPr>
          <w:rFonts w:asciiTheme="majorHAnsi" w:hAnsiTheme="majorHAnsi" w:cstheme="majorHAnsi"/>
        </w:rPr>
        <w:t xml:space="preserve">: </w:t>
      </w:r>
    </w:p>
    <w:p w14:paraId="0C587FF7" w14:textId="568AE4B4" w:rsidR="00C820B5" w:rsidRPr="006070EA" w:rsidRDefault="009E5E88" w:rsidP="005E346A">
      <w:pPr>
        <w:pStyle w:val="Atext"/>
        <w:numPr>
          <w:ilvl w:val="0"/>
          <w:numId w:val="4"/>
        </w:numPr>
        <w:spacing w:before="0" w:after="0"/>
        <w:rPr>
          <w:rFonts w:asciiTheme="majorHAnsi" w:hAnsiTheme="majorHAnsi" w:cstheme="majorHAnsi"/>
        </w:rPr>
      </w:pPr>
      <w:r w:rsidRPr="006070EA">
        <w:rPr>
          <w:rFonts w:asciiTheme="majorHAnsi" w:hAnsiTheme="majorHAnsi" w:cstheme="majorHAnsi"/>
        </w:rPr>
        <w:t xml:space="preserve">mateřská </w:t>
      </w:r>
      <w:r w:rsidR="00C820B5" w:rsidRPr="006070EA">
        <w:rPr>
          <w:rFonts w:asciiTheme="majorHAnsi" w:hAnsiTheme="majorHAnsi" w:cstheme="majorHAnsi"/>
        </w:rPr>
        <w:t>škola</w:t>
      </w:r>
    </w:p>
    <w:p w14:paraId="3E1C5F74" w14:textId="2974A462" w:rsidR="009E5E88" w:rsidRPr="006070EA" w:rsidRDefault="009E5E88" w:rsidP="005E346A">
      <w:pPr>
        <w:pStyle w:val="Atext"/>
        <w:numPr>
          <w:ilvl w:val="0"/>
          <w:numId w:val="4"/>
        </w:numPr>
        <w:spacing w:before="0" w:after="0"/>
        <w:rPr>
          <w:rFonts w:asciiTheme="majorHAnsi" w:hAnsiTheme="majorHAnsi" w:cstheme="majorHAnsi"/>
        </w:rPr>
      </w:pPr>
      <w:r w:rsidRPr="006070EA">
        <w:rPr>
          <w:rFonts w:asciiTheme="majorHAnsi" w:hAnsiTheme="majorHAnsi" w:cstheme="majorHAnsi"/>
        </w:rPr>
        <w:t>základní škola (1. – 9. ročník)</w:t>
      </w:r>
    </w:p>
    <w:p w14:paraId="6186BF34" w14:textId="7AD31904" w:rsidR="009E5E88" w:rsidRPr="006070EA" w:rsidRDefault="009E5E88" w:rsidP="005E346A">
      <w:pPr>
        <w:pStyle w:val="Atext"/>
        <w:numPr>
          <w:ilvl w:val="0"/>
          <w:numId w:val="4"/>
        </w:numPr>
        <w:spacing w:before="0" w:after="0"/>
        <w:rPr>
          <w:rFonts w:asciiTheme="majorHAnsi" w:hAnsiTheme="majorHAnsi" w:cstheme="majorHAnsi"/>
        </w:rPr>
      </w:pPr>
      <w:r w:rsidRPr="006070EA">
        <w:rPr>
          <w:rFonts w:asciiTheme="majorHAnsi" w:hAnsiTheme="majorHAnsi" w:cstheme="majorHAnsi"/>
        </w:rPr>
        <w:t>úřad obce</w:t>
      </w:r>
    </w:p>
    <w:p w14:paraId="09621479" w14:textId="0F73B15B" w:rsidR="009E5E88" w:rsidRPr="006070EA" w:rsidRDefault="009E5E88" w:rsidP="005E346A">
      <w:pPr>
        <w:pStyle w:val="Atext"/>
        <w:numPr>
          <w:ilvl w:val="0"/>
          <w:numId w:val="4"/>
        </w:numPr>
        <w:spacing w:before="0" w:after="0"/>
        <w:rPr>
          <w:rFonts w:asciiTheme="majorHAnsi" w:hAnsiTheme="majorHAnsi" w:cstheme="majorHAnsi"/>
        </w:rPr>
      </w:pPr>
      <w:r w:rsidRPr="006070EA">
        <w:rPr>
          <w:rFonts w:asciiTheme="majorHAnsi" w:hAnsiTheme="majorHAnsi" w:cstheme="majorHAnsi"/>
        </w:rPr>
        <w:t>pošta</w:t>
      </w:r>
    </w:p>
    <w:p w14:paraId="12B80CA0" w14:textId="6467B01F" w:rsidR="009E5E88" w:rsidRPr="006070EA" w:rsidRDefault="009E5E88" w:rsidP="005E346A">
      <w:pPr>
        <w:pStyle w:val="Atext"/>
        <w:numPr>
          <w:ilvl w:val="0"/>
          <w:numId w:val="4"/>
        </w:numPr>
        <w:spacing w:before="0" w:after="0"/>
        <w:rPr>
          <w:rFonts w:asciiTheme="majorHAnsi" w:hAnsiTheme="majorHAnsi" w:cstheme="majorHAnsi"/>
        </w:rPr>
      </w:pPr>
      <w:r w:rsidRPr="006070EA">
        <w:rPr>
          <w:rFonts w:asciiTheme="majorHAnsi" w:hAnsiTheme="majorHAnsi" w:cstheme="majorHAnsi"/>
        </w:rPr>
        <w:t>veřejná knihovna</w:t>
      </w:r>
    </w:p>
    <w:p w14:paraId="39C8FF1D" w14:textId="78DC7AB6" w:rsidR="009E5E88" w:rsidRPr="006070EA" w:rsidRDefault="009E5E88" w:rsidP="005E346A">
      <w:pPr>
        <w:pStyle w:val="Atext"/>
        <w:numPr>
          <w:ilvl w:val="0"/>
          <w:numId w:val="4"/>
        </w:numPr>
        <w:spacing w:before="0" w:after="0"/>
        <w:rPr>
          <w:rFonts w:asciiTheme="majorHAnsi" w:hAnsiTheme="majorHAnsi" w:cstheme="majorHAnsi"/>
        </w:rPr>
      </w:pPr>
      <w:r w:rsidRPr="006070EA">
        <w:rPr>
          <w:rFonts w:asciiTheme="majorHAnsi" w:hAnsiTheme="majorHAnsi" w:cstheme="majorHAnsi"/>
        </w:rPr>
        <w:t>kulturní zařízení (2x)</w:t>
      </w:r>
    </w:p>
    <w:p w14:paraId="6EEFBCB8" w14:textId="3D5C9612" w:rsidR="009E5E88" w:rsidRPr="006070EA" w:rsidRDefault="009E5E88" w:rsidP="005E346A">
      <w:pPr>
        <w:pStyle w:val="Atext"/>
        <w:numPr>
          <w:ilvl w:val="0"/>
          <w:numId w:val="4"/>
        </w:numPr>
        <w:spacing w:before="0" w:after="0"/>
        <w:rPr>
          <w:rFonts w:asciiTheme="majorHAnsi" w:hAnsiTheme="majorHAnsi" w:cstheme="majorHAnsi"/>
        </w:rPr>
      </w:pPr>
      <w:r w:rsidRPr="006070EA">
        <w:rPr>
          <w:rFonts w:asciiTheme="majorHAnsi" w:hAnsiTheme="majorHAnsi" w:cstheme="majorHAnsi"/>
        </w:rPr>
        <w:t>služby, obchody, restaurace</w:t>
      </w:r>
    </w:p>
    <w:p w14:paraId="7E27E017" w14:textId="23F6176B" w:rsidR="009E5E88" w:rsidRPr="006070EA" w:rsidRDefault="009E5E88" w:rsidP="005E346A">
      <w:pPr>
        <w:pStyle w:val="Atext"/>
        <w:numPr>
          <w:ilvl w:val="0"/>
          <w:numId w:val="4"/>
        </w:numPr>
        <w:spacing w:before="0" w:after="0"/>
        <w:rPr>
          <w:rFonts w:asciiTheme="majorHAnsi" w:hAnsiTheme="majorHAnsi" w:cstheme="majorHAnsi"/>
        </w:rPr>
      </w:pPr>
      <w:r w:rsidRPr="006070EA">
        <w:rPr>
          <w:rFonts w:asciiTheme="majorHAnsi" w:hAnsiTheme="majorHAnsi" w:cstheme="majorHAnsi"/>
        </w:rPr>
        <w:t xml:space="preserve">kostel, hřbitov </w:t>
      </w:r>
    </w:p>
    <w:p w14:paraId="422926C4" w14:textId="32ED2669" w:rsidR="00C820B5" w:rsidRPr="006070EA" w:rsidRDefault="00C820B5" w:rsidP="005E346A">
      <w:pPr>
        <w:pStyle w:val="Atext"/>
        <w:numPr>
          <w:ilvl w:val="0"/>
          <w:numId w:val="4"/>
        </w:numPr>
        <w:spacing w:before="0" w:after="0"/>
        <w:rPr>
          <w:rFonts w:asciiTheme="majorHAnsi" w:hAnsiTheme="majorHAnsi" w:cstheme="majorHAnsi"/>
        </w:rPr>
      </w:pPr>
      <w:r w:rsidRPr="006070EA">
        <w:rPr>
          <w:rFonts w:asciiTheme="majorHAnsi" w:hAnsiTheme="majorHAnsi" w:cstheme="majorHAnsi"/>
        </w:rPr>
        <w:t>zdravotnická zařízení (dětský lékař)</w:t>
      </w:r>
    </w:p>
    <w:p w14:paraId="78577896" w14:textId="4EE74902" w:rsidR="00C820B5" w:rsidRPr="006070EA" w:rsidRDefault="00C820B5" w:rsidP="005E346A">
      <w:pPr>
        <w:pStyle w:val="Atext"/>
        <w:numPr>
          <w:ilvl w:val="0"/>
          <w:numId w:val="4"/>
        </w:numPr>
        <w:spacing w:before="0" w:after="0"/>
        <w:rPr>
          <w:rFonts w:asciiTheme="majorHAnsi" w:hAnsiTheme="majorHAnsi" w:cstheme="majorHAnsi"/>
        </w:rPr>
      </w:pPr>
      <w:r w:rsidRPr="006070EA">
        <w:rPr>
          <w:rFonts w:asciiTheme="majorHAnsi" w:hAnsiTheme="majorHAnsi" w:cstheme="majorHAnsi"/>
        </w:rPr>
        <w:t>hasičská zbrojnice</w:t>
      </w:r>
    </w:p>
    <w:p w14:paraId="38F7267C" w14:textId="3F491CFD" w:rsidR="009E5E88" w:rsidRPr="006070EA" w:rsidRDefault="009E5E88" w:rsidP="009E5E88">
      <w:pPr>
        <w:pStyle w:val="Atext"/>
        <w:spacing w:before="60" w:after="60"/>
        <w:rPr>
          <w:rFonts w:asciiTheme="majorHAnsi" w:hAnsiTheme="majorHAnsi" w:cstheme="majorHAnsi"/>
        </w:rPr>
      </w:pPr>
      <w:r w:rsidRPr="006070EA">
        <w:rPr>
          <w:rFonts w:asciiTheme="majorHAnsi" w:hAnsiTheme="majorHAnsi" w:cstheme="majorHAnsi"/>
        </w:rPr>
        <w:t xml:space="preserve">V Kostomlatech nad Labem </w:t>
      </w:r>
      <w:r w:rsidR="00C820B5" w:rsidRPr="006070EA">
        <w:rPr>
          <w:rFonts w:asciiTheme="majorHAnsi" w:hAnsiTheme="majorHAnsi" w:cstheme="majorHAnsi"/>
        </w:rPr>
        <w:t xml:space="preserve">působí </w:t>
      </w:r>
      <w:r w:rsidRPr="006070EA">
        <w:rPr>
          <w:rFonts w:asciiTheme="majorHAnsi" w:hAnsiTheme="majorHAnsi" w:cstheme="majorHAnsi"/>
        </w:rPr>
        <w:t>SDH (Sbor dobrovolných hasičů) s hasičskou zbrojnicí. Ze sportovních zařízení se v řešeném území nacházejí Sokolovna, dětské hřiště, fotbalové hřiště, hala BIOS.</w:t>
      </w:r>
      <w:r w:rsidR="00C820B5" w:rsidRPr="006070EA">
        <w:rPr>
          <w:rFonts w:asciiTheme="majorHAnsi" w:hAnsiTheme="majorHAnsi" w:cstheme="majorHAnsi"/>
        </w:rPr>
        <w:t xml:space="preserve"> </w:t>
      </w:r>
    </w:p>
    <w:p w14:paraId="19A4ADB4" w14:textId="77777777" w:rsidR="00802453" w:rsidRPr="006070EA" w:rsidRDefault="00802453" w:rsidP="00802453">
      <w:pPr>
        <w:pStyle w:val="Anadpistun"/>
        <w:rPr>
          <w:rFonts w:asciiTheme="majorHAnsi" w:hAnsiTheme="majorHAnsi" w:cstheme="majorHAnsi"/>
        </w:rPr>
      </w:pPr>
      <w:r w:rsidRPr="006070EA">
        <w:rPr>
          <w:rFonts w:asciiTheme="majorHAnsi" w:hAnsiTheme="majorHAnsi" w:cstheme="majorHAnsi"/>
        </w:rPr>
        <w:t>Odůvodnění navrhovaného řešení</w:t>
      </w:r>
    </w:p>
    <w:p w14:paraId="076BF117" w14:textId="4E5CF289" w:rsidR="00AB1F4C" w:rsidRPr="006070EA" w:rsidRDefault="00AB1F4C" w:rsidP="009E07E1">
      <w:pPr>
        <w:spacing w:after="60" w:line="240" w:lineRule="auto"/>
        <w:ind w:firstLine="709"/>
        <w:jc w:val="both"/>
        <w:rPr>
          <w:rFonts w:asciiTheme="majorHAnsi" w:hAnsiTheme="majorHAnsi" w:cstheme="majorHAnsi"/>
          <w:sz w:val="18"/>
        </w:rPr>
      </w:pPr>
      <w:r w:rsidRPr="006070EA">
        <w:rPr>
          <w:rFonts w:asciiTheme="majorHAnsi" w:hAnsiTheme="majorHAnsi" w:cstheme="majorHAnsi"/>
          <w:sz w:val="18"/>
        </w:rPr>
        <w:t>Plochy občanského vybavení jsou specifikované v § 2 odst. 1 písm. k) stavebního zákona a § 6 vyhlášky č. 501/2006 Sb., o obecných požadavcích na využívání území</w:t>
      </w:r>
      <w:r w:rsidR="00DE4B71" w:rsidRPr="006070EA">
        <w:rPr>
          <w:rFonts w:asciiTheme="majorHAnsi" w:hAnsiTheme="majorHAnsi" w:cstheme="majorHAnsi"/>
          <w:sz w:val="18"/>
        </w:rPr>
        <w:t xml:space="preserve"> v aktuálním znění</w:t>
      </w:r>
      <w:r w:rsidRPr="006070EA">
        <w:rPr>
          <w:rFonts w:asciiTheme="majorHAnsi" w:hAnsiTheme="majorHAnsi" w:cstheme="majorHAnsi"/>
          <w:sz w:val="18"/>
        </w:rPr>
        <w:t xml:space="preserve"> (dále také jen „vyhláška č. 501/2006 Sb.“). V ÚP </w:t>
      </w:r>
      <w:r w:rsidR="00C820B5" w:rsidRPr="006070EA">
        <w:rPr>
          <w:rFonts w:asciiTheme="majorHAnsi" w:hAnsiTheme="majorHAnsi" w:cstheme="majorHAnsi"/>
          <w:sz w:val="18"/>
        </w:rPr>
        <w:t>Kostomlaty nad Labem</w:t>
      </w:r>
      <w:r w:rsidRPr="006070EA">
        <w:rPr>
          <w:rFonts w:asciiTheme="majorHAnsi" w:hAnsiTheme="majorHAnsi" w:cstheme="majorHAnsi"/>
          <w:sz w:val="18"/>
        </w:rPr>
        <w:t xml:space="preserve"> představují občanské vybavení následující plochy s rozdílným způsobem využití:</w:t>
      </w:r>
    </w:p>
    <w:p w14:paraId="530CA365" w14:textId="19CF10E8" w:rsidR="00AB1F4C" w:rsidRPr="006070EA" w:rsidRDefault="00AB1F4C" w:rsidP="0036779E">
      <w:pPr>
        <w:pStyle w:val="Odstavecseseznamem"/>
        <w:numPr>
          <w:ilvl w:val="0"/>
          <w:numId w:val="4"/>
        </w:numPr>
        <w:spacing w:after="120" w:line="240" w:lineRule="auto"/>
        <w:jc w:val="both"/>
        <w:rPr>
          <w:rFonts w:asciiTheme="majorHAnsi" w:hAnsiTheme="majorHAnsi" w:cstheme="majorHAnsi"/>
          <w:sz w:val="18"/>
        </w:rPr>
      </w:pPr>
      <w:r w:rsidRPr="006070EA">
        <w:rPr>
          <w:rFonts w:asciiTheme="majorHAnsi" w:hAnsiTheme="majorHAnsi" w:cstheme="majorHAnsi"/>
          <w:sz w:val="18"/>
        </w:rPr>
        <w:t xml:space="preserve">občanské vybavení </w:t>
      </w:r>
      <w:r w:rsidR="00DE4B71" w:rsidRPr="006070EA">
        <w:rPr>
          <w:rFonts w:asciiTheme="majorHAnsi" w:hAnsiTheme="majorHAnsi" w:cstheme="majorHAnsi"/>
          <w:sz w:val="18"/>
        </w:rPr>
        <w:t>veřejné</w:t>
      </w:r>
      <w:r w:rsidRPr="006070EA">
        <w:rPr>
          <w:rFonts w:asciiTheme="majorHAnsi" w:hAnsiTheme="majorHAnsi" w:cstheme="majorHAnsi"/>
          <w:sz w:val="18"/>
        </w:rPr>
        <w:t xml:space="preserve"> (OV)</w:t>
      </w:r>
    </w:p>
    <w:p w14:paraId="26E541B2" w14:textId="6F530F88" w:rsidR="00C62613" w:rsidRPr="006070EA" w:rsidRDefault="00C62613" w:rsidP="0036779E">
      <w:pPr>
        <w:pStyle w:val="Odstavecseseznamem"/>
        <w:numPr>
          <w:ilvl w:val="0"/>
          <w:numId w:val="4"/>
        </w:numPr>
        <w:spacing w:after="120" w:line="240" w:lineRule="auto"/>
        <w:jc w:val="both"/>
        <w:rPr>
          <w:rFonts w:asciiTheme="majorHAnsi" w:hAnsiTheme="majorHAnsi" w:cstheme="majorHAnsi"/>
          <w:sz w:val="18"/>
        </w:rPr>
      </w:pPr>
      <w:r w:rsidRPr="006070EA">
        <w:rPr>
          <w:rFonts w:asciiTheme="majorHAnsi" w:hAnsiTheme="majorHAnsi" w:cstheme="majorHAnsi"/>
          <w:sz w:val="18"/>
        </w:rPr>
        <w:t xml:space="preserve">občanské vybavení </w:t>
      </w:r>
      <w:r w:rsidR="00DE4B71" w:rsidRPr="006070EA">
        <w:rPr>
          <w:rFonts w:asciiTheme="majorHAnsi" w:hAnsiTheme="majorHAnsi" w:cstheme="majorHAnsi"/>
          <w:sz w:val="18"/>
        </w:rPr>
        <w:t>–</w:t>
      </w:r>
      <w:r w:rsidRPr="006070EA">
        <w:rPr>
          <w:rFonts w:asciiTheme="majorHAnsi" w:hAnsiTheme="majorHAnsi" w:cstheme="majorHAnsi"/>
          <w:sz w:val="18"/>
        </w:rPr>
        <w:t xml:space="preserve"> </w:t>
      </w:r>
      <w:r w:rsidR="00802453" w:rsidRPr="006070EA">
        <w:rPr>
          <w:rFonts w:asciiTheme="majorHAnsi" w:hAnsiTheme="majorHAnsi" w:cstheme="majorHAnsi"/>
          <w:sz w:val="18"/>
        </w:rPr>
        <w:t>hřbitovy</w:t>
      </w:r>
      <w:r w:rsidRPr="006070EA">
        <w:rPr>
          <w:rFonts w:asciiTheme="majorHAnsi" w:hAnsiTheme="majorHAnsi" w:cstheme="majorHAnsi"/>
          <w:sz w:val="18"/>
        </w:rPr>
        <w:t xml:space="preserve"> (O</w:t>
      </w:r>
      <w:r w:rsidR="00802453" w:rsidRPr="006070EA">
        <w:rPr>
          <w:rFonts w:asciiTheme="majorHAnsi" w:hAnsiTheme="majorHAnsi" w:cstheme="majorHAnsi"/>
          <w:sz w:val="18"/>
        </w:rPr>
        <w:t>H</w:t>
      </w:r>
      <w:r w:rsidRPr="006070EA">
        <w:rPr>
          <w:rFonts w:asciiTheme="majorHAnsi" w:hAnsiTheme="majorHAnsi" w:cstheme="majorHAnsi"/>
          <w:sz w:val="18"/>
        </w:rPr>
        <w:t>)</w:t>
      </w:r>
    </w:p>
    <w:p w14:paraId="1B4997FE" w14:textId="77777777" w:rsidR="003E4D0B" w:rsidRPr="006070EA" w:rsidRDefault="003E4D0B" w:rsidP="00795EBA">
      <w:pPr>
        <w:spacing w:before="60" w:after="60" w:line="240" w:lineRule="auto"/>
        <w:ind w:firstLine="709"/>
        <w:jc w:val="both"/>
        <w:rPr>
          <w:rFonts w:asciiTheme="majorHAnsi" w:hAnsiTheme="majorHAnsi" w:cstheme="majorHAnsi"/>
          <w:sz w:val="18"/>
        </w:rPr>
      </w:pPr>
      <w:r w:rsidRPr="006070EA">
        <w:rPr>
          <w:rFonts w:asciiTheme="majorHAnsi" w:hAnsiTheme="majorHAnsi" w:cstheme="majorHAnsi"/>
          <w:sz w:val="18"/>
        </w:rPr>
        <w:t>Členění občanského vybavení v řešeném území na tyto plochy s rozdílným způsobem využití vychází z odlišných specifických nároků daných způsobů využití, zejména nezbytnosti stabilizace vybavenosti veřejného charakteru, stabilizace sportovních areálů a zařízení v sídle, zajišťujících možnosti sportovního vyžití obyvatel v dostatečném množství, rozsahu a</w:t>
      </w:r>
      <w:r w:rsidR="00CB6423" w:rsidRPr="006070EA">
        <w:rPr>
          <w:rFonts w:asciiTheme="majorHAnsi" w:hAnsiTheme="majorHAnsi" w:cstheme="majorHAnsi"/>
          <w:sz w:val="18"/>
        </w:rPr>
        <w:t> </w:t>
      </w:r>
      <w:r w:rsidRPr="006070EA">
        <w:rPr>
          <w:rFonts w:asciiTheme="majorHAnsi" w:hAnsiTheme="majorHAnsi" w:cstheme="majorHAnsi"/>
          <w:sz w:val="18"/>
        </w:rPr>
        <w:t xml:space="preserve">dobré dostupnosti, stabilizace a ochrana hřbitovů. </w:t>
      </w:r>
    </w:p>
    <w:p w14:paraId="7158B394" w14:textId="77777777" w:rsidR="00AB1F4C" w:rsidRPr="006070EA" w:rsidRDefault="00AB1F4C" w:rsidP="00795EBA">
      <w:pPr>
        <w:spacing w:before="60" w:after="60" w:line="240" w:lineRule="auto"/>
        <w:ind w:firstLine="709"/>
        <w:jc w:val="both"/>
        <w:rPr>
          <w:rFonts w:asciiTheme="majorHAnsi" w:hAnsiTheme="majorHAnsi" w:cstheme="majorHAnsi"/>
          <w:bCs/>
          <w:iCs/>
          <w:sz w:val="18"/>
        </w:rPr>
      </w:pPr>
      <w:r w:rsidRPr="006070EA">
        <w:rPr>
          <w:rFonts w:asciiTheme="majorHAnsi" w:hAnsiTheme="majorHAnsi" w:cstheme="majorHAnsi"/>
          <w:bCs/>
          <w:iCs/>
          <w:sz w:val="18"/>
        </w:rPr>
        <w:t>Důvodem samostatného vymezení ploch je nutnost usměrňovat ochranu a rozvoj občanského vybavení na území obce. Lokalizace, rozsah a význam staveb a zařízení občanského vybavení má významný vliv na kvalitu bydlení a</w:t>
      </w:r>
      <w:r w:rsidR="00CB6423" w:rsidRPr="006070EA">
        <w:rPr>
          <w:rFonts w:asciiTheme="majorHAnsi" w:hAnsiTheme="majorHAnsi" w:cstheme="majorHAnsi"/>
          <w:bCs/>
          <w:iCs/>
          <w:sz w:val="18"/>
        </w:rPr>
        <w:t> </w:t>
      </w:r>
      <w:r w:rsidRPr="006070EA">
        <w:rPr>
          <w:rFonts w:asciiTheme="majorHAnsi" w:hAnsiTheme="majorHAnsi" w:cstheme="majorHAnsi"/>
          <w:bCs/>
          <w:iCs/>
          <w:sz w:val="18"/>
        </w:rPr>
        <w:t xml:space="preserve">dosažitelnost těchto služeb pro obyvatele, z pohledu rekreace a cestovního ruchu je občanská vybavenost klíčová pro míru atraktivity území, návštěvnost území a délku pobytu návštěvníků. </w:t>
      </w:r>
    </w:p>
    <w:p w14:paraId="72EE1977" w14:textId="172E2CE4" w:rsidR="003E4D0B" w:rsidRPr="006070EA" w:rsidRDefault="003E4D0B" w:rsidP="00795EBA">
      <w:pPr>
        <w:pStyle w:val="Atext"/>
        <w:spacing w:before="60" w:after="60"/>
        <w:rPr>
          <w:rFonts w:asciiTheme="majorHAnsi" w:hAnsiTheme="majorHAnsi" w:cstheme="majorHAnsi"/>
        </w:rPr>
      </w:pPr>
      <w:r w:rsidRPr="006070EA">
        <w:rPr>
          <w:rFonts w:asciiTheme="majorHAnsi" w:hAnsiTheme="majorHAnsi" w:cstheme="majorHAnsi"/>
        </w:rPr>
        <w:t xml:space="preserve">Ochrana občanského zařízení je prioritní zejména ve vhodných plochách jádrové části </w:t>
      </w:r>
      <w:r w:rsidR="00802453" w:rsidRPr="006070EA">
        <w:rPr>
          <w:rFonts w:asciiTheme="majorHAnsi" w:hAnsiTheme="majorHAnsi" w:cstheme="majorHAnsi"/>
        </w:rPr>
        <w:t>hlavního sídla území</w:t>
      </w:r>
      <w:r w:rsidRPr="006070EA">
        <w:rPr>
          <w:rFonts w:asciiTheme="majorHAnsi" w:hAnsiTheme="majorHAnsi" w:cstheme="majorHAnsi"/>
        </w:rPr>
        <w:t>. Existence a rozvoj občanského vybavení je ve veřejném zájmu, proto je nezbytné důkladně posuzovat jakékoliv požadavky na změny v daných plochách. Pro zajištění dobré dostupnosti občanského vybavení a jeho spolupůsobení na upevňování komunit a</w:t>
      </w:r>
      <w:r w:rsidR="00DD69E4">
        <w:rPr>
          <w:rFonts w:asciiTheme="majorHAnsi" w:hAnsiTheme="majorHAnsi" w:cstheme="majorHAnsi"/>
        </w:rPr>
        <w:t> </w:t>
      </w:r>
      <w:r w:rsidRPr="006070EA">
        <w:rPr>
          <w:rFonts w:asciiTheme="majorHAnsi" w:hAnsiTheme="majorHAnsi" w:cstheme="majorHAnsi"/>
        </w:rPr>
        <w:t>sociální soudržnosti obyvatel je nutné přednostně umisťovat občanské vybavení obecně do sídelních center a</w:t>
      </w:r>
      <w:r w:rsidR="00802453" w:rsidRPr="006070EA">
        <w:rPr>
          <w:rFonts w:asciiTheme="majorHAnsi" w:hAnsiTheme="majorHAnsi" w:cstheme="majorHAnsi"/>
        </w:rPr>
        <w:t> </w:t>
      </w:r>
      <w:r w:rsidRPr="006070EA">
        <w:rPr>
          <w:rFonts w:asciiTheme="majorHAnsi" w:hAnsiTheme="majorHAnsi" w:cstheme="majorHAnsi"/>
        </w:rPr>
        <w:t xml:space="preserve">hustě obydlených částí sídel. </w:t>
      </w:r>
    </w:p>
    <w:p w14:paraId="360D6DCC" w14:textId="605B1A17" w:rsidR="00062441" w:rsidRPr="006070EA" w:rsidRDefault="00062441" w:rsidP="00795EBA">
      <w:pPr>
        <w:spacing w:before="60" w:after="60" w:line="240" w:lineRule="auto"/>
        <w:ind w:firstLine="709"/>
        <w:jc w:val="both"/>
        <w:rPr>
          <w:rFonts w:asciiTheme="majorHAnsi" w:hAnsiTheme="majorHAnsi" w:cstheme="majorHAnsi"/>
          <w:sz w:val="18"/>
        </w:rPr>
      </w:pPr>
      <w:r w:rsidRPr="006070EA">
        <w:rPr>
          <w:rFonts w:asciiTheme="majorHAnsi" w:hAnsiTheme="majorHAnsi" w:cstheme="majorHAnsi"/>
          <w:sz w:val="18"/>
        </w:rPr>
        <w:t xml:space="preserve">Rozvoj občanského vybavení je umožněn také v rámci dalších ploch s rozdílným způsobem využití, zejména ploch bydlení </w:t>
      </w:r>
      <w:r w:rsidR="00DE4B71" w:rsidRPr="006070EA">
        <w:rPr>
          <w:rFonts w:asciiTheme="majorHAnsi" w:hAnsiTheme="majorHAnsi" w:cstheme="majorHAnsi"/>
          <w:sz w:val="18"/>
        </w:rPr>
        <w:t xml:space="preserve">individuální </w:t>
      </w:r>
      <w:r w:rsidRPr="006070EA">
        <w:rPr>
          <w:rFonts w:asciiTheme="majorHAnsi" w:hAnsiTheme="majorHAnsi" w:cstheme="majorHAnsi"/>
          <w:sz w:val="18"/>
        </w:rPr>
        <w:t>(B</w:t>
      </w:r>
      <w:r w:rsidR="00DE4B71" w:rsidRPr="006070EA">
        <w:rPr>
          <w:rFonts w:asciiTheme="majorHAnsi" w:hAnsiTheme="majorHAnsi" w:cstheme="majorHAnsi"/>
          <w:sz w:val="18"/>
        </w:rPr>
        <w:t>I</w:t>
      </w:r>
      <w:r w:rsidRPr="006070EA">
        <w:rPr>
          <w:rFonts w:asciiTheme="majorHAnsi" w:hAnsiTheme="majorHAnsi" w:cstheme="majorHAnsi"/>
          <w:sz w:val="18"/>
        </w:rPr>
        <w:t>)</w:t>
      </w:r>
      <w:r w:rsidR="00CB6423" w:rsidRPr="006070EA">
        <w:rPr>
          <w:rFonts w:asciiTheme="majorHAnsi" w:hAnsiTheme="majorHAnsi" w:cstheme="majorHAnsi"/>
          <w:sz w:val="18"/>
        </w:rPr>
        <w:t xml:space="preserve"> a ploch smíšených obytných venkovských (SV)</w:t>
      </w:r>
      <w:r w:rsidR="00802453" w:rsidRPr="006070EA">
        <w:rPr>
          <w:rFonts w:asciiTheme="majorHAnsi" w:hAnsiTheme="majorHAnsi" w:cstheme="majorHAnsi"/>
          <w:sz w:val="18"/>
        </w:rPr>
        <w:t xml:space="preserve"> a městských (SM)</w:t>
      </w:r>
      <w:r w:rsidRPr="006070EA">
        <w:rPr>
          <w:rFonts w:asciiTheme="majorHAnsi" w:hAnsiTheme="majorHAnsi" w:cstheme="majorHAnsi"/>
          <w:sz w:val="18"/>
        </w:rPr>
        <w:t>, v souladu s jejich stanovenými podmínkami využití.</w:t>
      </w:r>
    </w:p>
    <w:p w14:paraId="3C39E9E6" w14:textId="1411A8E9" w:rsidR="003E4D0B" w:rsidRPr="006070EA" w:rsidRDefault="003E4D0B" w:rsidP="00795EBA">
      <w:pPr>
        <w:spacing w:before="60" w:after="60" w:line="240" w:lineRule="auto"/>
        <w:ind w:firstLine="709"/>
        <w:jc w:val="both"/>
        <w:rPr>
          <w:rFonts w:asciiTheme="majorHAnsi" w:hAnsiTheme="majorHAnsi" w:cstheme="majorHAnsi"/>
          <w:sz w:val="18"/>
        </w:rPr>
      </w:pPr>
      <w:r w:rsidRPr="006070EA">
        <w:rPr>
          <w:rFonts w:asciiTheme="majorHAnsi" w:hAnsiTheme="majorHAnsi" w:cstheme="majorHAnsi"/>
          <w:sz w:val="18"/>
        </w:rPr>
        <w:t>V rámci obytných území reprezentovaných plochami bydlení (B</w:t>
      </w:r>
      <w:r w:rsidR="00802453" w:rsidRPr="006070EA">
        <w:rPr>
          <w:rFonts w:asciiTheme="majorHAnsi" w:hAnsiTheme="majorHAnsi" w:cstheme="majorHAnsi"/>
          <w:sz w:val="18"/>
        </w:rPr>
        <w:t>I</w:t>
      </w:r>
      <w:r w:rsidRPr="006070EA">
        <w:rPr>
          <w:rFonts w:asciiTheme="majorHAnsi" w:hAnsiTheme="majorHAnsi" w:cstheme="majorHAnsi"/>
          <w:sz w:val="18"/>
        </w:rPr>
        <w:t xml:space="preserve">) </w:t>
      </w:r>
      <w:r w:rsidR="00CB6423" w:rsidRPr="006070EA">
        <w:rPr>
          <w:rFonts w:asciiTheme="majorHAnsi" w:hAnsiTheme="majorHAnsi" w:cstheme="majorHAnsi"/>
          <w:sz w:val="18"/>
        </w:rPr>
        <w:t>a plochami smíšený</w:t>
      </w:r>
      <w:r w:rsidR="00802453" w:rsidRPr="006070EA">
        <w:rPr>
          <w:rFonts w:asciiTheme="majorHAnsi" w:hAnsiTheme="majorHAnsi" w:cstheme="majorHAnsi"/>
          <w:sz w:val="18"/>
        </w:rPr>
        <w:t>mi</w:t>
      </w:r>
      <w:r w:rsidR="00CB6423" w:rsidRPr="006070EA">
        <w:rPr>
          <w:rFonts w:asciiTheme="majorHAnsi" w:hAnsiTheme="majorHAnsi" w:cstheme="majorHAnsi"/>
          <w:sz w:val="18"/>
        </w:rPr>
        <w:t xml:space="preserve"> obytn</w:t>
      </w:r>
      <w:r w:rsidR="00106C28" w:rsidRPr="006070EA">
        <w:rPr>
          <w:rFonts w:asciiTheme="majorHAnsi" w:hAnsiTheme="majorHAnsi" w:cstheme="majorHAnsi"/>
          <w:sz w:val="18"/>
        </w:rPr>
        <w:t>ý</w:t>
      </w:r>
      <w:r w:rsidR="00802453" w:rsidRPr="006070EA">
        <w:rPr>
          <w:rFonts w:asciiTheme="majorHAnsi" w:hAnsiTheme="majorHAnsi" w:cstheme="majorHAnsi"/>
          <w:sz w:val="18"/>
        </w:rPr>
        <w:t>mi (SV, SM)</w:t>
      </w:r>
      <w:r w:rsidR="00CB6423" w:rsidRPr="006070EA">
        <w:rPr>
          <w:rFonts w:asciiTheme="majorHAnsi" w:hAnsiTheme="majorHAnsi" w:cstheme="majorHAnsi"/>
          <w:sz w:val="18"/>
        </w:rPr>
        <w:t xml:space="preserve"> </w:t>
      </w:r>
      <w:r w:rsidRPr="006070EA">
        <w:rPr>
          <w:rFonts w:asciiTheme="majorHAnsi" w:hAnsiTheme="majorHAnsi" w:cstheme="majorHAnsi"/>
          <w:sz w:val="18"/>
        </w:rPr>
        <w:t>je vhodné umožňovat vznik občanského vybavení lokálního charakteru, které se může rozvinout na základě požadavků nebo iniciativy místních obyvatel – jeho přesné umístění proto nelze předvídat. Obecně však občanské vybavení doplňuje obytná území a</w:t>
      </w:r>
      <w:r w:rsidR="00802453" w:rsidRPr="006070EA">
        <w:rPr>
          <w:rFonts w:asciiTheme="majorHAnsi" w:hAnsiTheme="majorHAnsi" w:cstheme="majorHAnsi"/>
          <w:sz w:val="18"/>
        </w:rPr>
        <w:t> </w:t>
      </w:r>
      <w:r w:rsidRPr="006070EA">
        <w:rPr>
          <w:rFonts w:asciiTheme="majorHAnsi" w:hAnsiTheme="majorHAnsi" w:cstheme="majorHAnsi"/>
          <w:sz w:val="18"/>
        </w:rPr>
        <w:t xml:space="preserve">zajišťuje dostupnost služeb pro místní obyvatele a pro účely cestovního ruchu.  </w:t>
      </w:r>
    </w:p>
    <w:p w14:paraId="14CEFEA4" w14:textId="77777777" w:rsidR="00AB1F4C" w:rsidRPr="006070EA" w:rsidRDefault="00AB1F4C" w:rsidP="003A4B1E">
      <w:pPr>
        <w:pStyle w:val="Odstavecseseznamem"/>
        <w:keepNext/>
        <w:numPr>
          <w:ilvl w:val="2"/>
          <w:numId w:val="30"/>
        </w:numPr>
        <w:spacing w:before="160" w:after="120" w:line="240" w:lineRule="auto"/>
        <w:ind w:left="709" w:hanging="709"/>
        <w:contextualSpacing w:val="0"/>
        <w:outlineLvl w:val="2"/>
        <w:rPr>
          <w:rFonts w:asciiTheme="majorHAnsi" w:hAnsiTheme="majorHAnsi" w:cstheme="majorHAnsi"/>
          <w:b/>
        </w:rPr>
      </w:pPr>
      <w:bookmarkStart w:id="351" w:name="_Toc424119853"/>
      <w:bookmarkStart w:id="352" w:name="_Toc204678199"/>
      <w:r w:rsidRPr="006070EA">
        <w:rPr>
          <w:rFonts w:asciiTheme="majorHAnsi" w:hAnsiTheme="majorHAnsi" w:cstheme="majorHAnsi"/>
          <w:b/>
        </w:rPr>
        <w:lastRenderedPageBreak/>
        <w:t>Odůvodnění koncepce veřejných prostranství</w:t>
      </w:r>
      <w:bookmarkEnd w:id="351"/>
      <w:bookmarkEnd w:id="352"/>
    </w:p>
    <w:p w14:paraId="640B8423" w14:textId="14F7AD02" w:rsidR="00E92939" w:rsidRPr="006070EA" w:rsidRDefault="00E92939" w:rsidP="009E07E1">
      <w:pPr>
        <w:pStyle w:val="Atext"/>
        <w:keepNext/>
        <w:ind w:firstLine="0"/>
        <w:jc w:val="right"/>
        <w:rPr>
          <w:rFonts w:asciiTheme="majorHAnsi" w:hAnsiTheme="majorHAnsi" w:cstheme="majorHAnsi"/>
          <w:i/>
          <w:snapToGrid w:val="0"/>
          <w:u w:val="single"/>
        </w:rPr>
      </w:pPr>
      <w:r w:rsidRPr="006070EA">
        <w:rPr>
          <w:rFonts w:asciiTheme="majorHAnsi" w:hAnsiTheme="majorHAnsi" w:cstheme="majorHAnsi"/>
          <w:i/>
          <w:snapToGrid w:val="0"/>
          <w:u w:val="single"/>
        </w:rPr>
        <w:t xml:space="preserve">Odůvodnění odst. </w:t>
      </w:r>
      <w:r w:rsidRPr="006070EA">
        <w:rPr>
          <w:rFonts w:asciiTheme="majorHAnsi" w:hAnsiTheme="majorHAnsi" w:cstheme="majorHAnsi"/>
          <w:b/>
          <w:i/>
          <w:snapToGrid w:val="0"/>
          <w:u w:val="single"/>
        </w:rPr>
        <w:t>(</w:t>
      </w:r>
      <w:r w:rsidR="00A055F4" w:rsidRPr="006070EA">
        <w:rPr>
          <w:rFonts w:asciiTheme="majorHAnsi" w:hAnsiTheme="majorHAnsi" w:cstheme="majorHAnsi"/>
          <w:b/>
          <w:i/>
          <w:snapToGrid w:val="0"/>
          <w:u w:val="single"/>
        </w:rPr>
        <w:t>1</w:t>
      </w:r>
      <w:r w:rsidR="00DD02ED" w:rsidRPr="006070EA">
        <w:rPr>
          <w:rFonts w:asciiTheme="majorHAnsi" w:hAnsiTheme="majorHAnsi" w:cstheme="majorHAnsi"/>
          <w:b/>
          <w:i/>
          <w:snapToGrid w:val="0"/>
          <w:u w:val="single"/>
        </w:rPr>
        <w:t>5</w:t>
      </w:r>
      <w:r w:rsidRPr="006070EA">
        <w:rPr>
          <w:rFonts w:asciiTheme="majorHAnsi" w:hAnsiTheme="majorHAnsi" w:cstheme="majorHAnsi"/>
          <w:b/>
          <w:i/>
          <w:snapToGrid w:val="0"/>
          <w:u w:val="single"/>
        </w:rPr>
        <w:t>)</w:t>
      </w:r>
      <w:r w:rsidR="00DD02ED" w:rsidRPr="006070EA">
        <w:rPr>
          <w:rFonts w:asciiTheme="majorHAnsi" w:hAnsiTheme="majorHAnsi" w:cstheme="majorHAnsi"/>
          <w:b/>
          <w:i/>
          <w:snapToGrid w:val="0"/>
          <w:u w:val="single"/>
        </w:rPr>
        <w:t xml:space="preserve"> a (16)</w:t>
      </w:r>
      <w:r w:rsidRPr="006070EA">
        <w:rPr>
          <w:rFonts w:asciiTheme="majorHAnsi" w:hAnsiTheme="majorHAnsi" w:cstheme="majorHAnsi"/>
          <w:b/>
          <w:i/>
          <w:snapToGrid w:val="0"/>
          <w:u w:val="single"/>
        </w:rPr>
        <w:t xml:space="preserve"> </w:t>
      </w:r>
      <w:r w:rsidRPr="006070EA">
        <w:rPr>
          <w:rFonts w:asciiTheme="majorHAnsi" w:hAnsiTheme="majorHAnsi" w:cstheme="majorHAnsi"/>
          <w:i/>
          <w:snapToGrid w:val="0"/>
          <w:u w:val="single"/>
        </w:rPr>
        <w:t>výrokové části</w:t>
      </w:r>
    </w:p>
    <w:p w14:paraId="28D91326" w14:textId="49B1E571" w:rsidR="00E92939" w:rsidRPr="006070EA" w:rsidRDefault="00E92939" w:rsidP="00795EBA">
      <w:pPr>
        <w:pStyle w:val="Atext"/>
        <w:spacing w:before="60" w:after="60"/>
        <w:rPr>
          <w:rFonts w:asciiTheme="majorHAnsi" w:hAnsiTheme="majorHAnsi" w:cstheme="majorHAnsi"/>
        </w:rPr>
      </w:pPr>
      <w:r w:rsidRPr="006070EA">
        <w:rPr>
          <w:rFonts w:asciiTheme="majorHAnsi" w:hAnsiTheme="majorHAnsi" w:cstheme="majorHAnsi"/>
        </w:rPr>
        <w:t>Plochy veřejných prostranství specifikované v ustanovení § 2 odst. 1 písm. k) stavebního zákona a § 7 vyhlášky č.</w:t>
      </w:r>
      <w:r w:rsidR="00690A0F" w:rsidRPr="006070EA">
        <w:rPr>
          <w:rFonts w:asciiTheme="majorHAnsi" w:hAnsiTheme="majorHAnsi" w:cstheme="majorHAnsi"/>
        </w:rPr>
        <w:t> </w:t>
      </w:r>
      <w:r w:rsidRPr="006070EA">
        <w:rPr>
          <w:rFonts w:asciiTheme="majorHAnsi" w:hAnsiTheme="majorHAnsi" w:cstheme="majorHAnsi"/>
        </w:rPr>
        <w:t xml:space="preserve">501/2006 Sb., jsou v územním plánu vymezeny jako samostatné plochy s rozdílným způsobem využití </w:t>
      </w:r>
      <w:r w:rsidR="00264C0F" w:rsidRPr="006070EA">
        <w:rPr>
          <w:rFonts w:asciiTheme="majorHAnsi" w:hAnsiTheme="majorHAnsi" w:cstheme="majorHAnsi"/>
          <w:i/>
          <w:iCs w:val="0"/>
        </w:rPr>
        <w:t>veřejná prostranství</w:t>
      </w:r>
      <w:r w:rsidR="00DE4B71" w:rsidRPr="006070EA">
        <w:rPr>
          <w:rFonts w:asciiTheme="majorHAnsi" w:hAnsiTheme="majorHAnsi" w:cstheme="majorHAnsi"/>
          <w:i/>
          <w:iCs w:val="0"/>
        </w:rPr>
        <w:t xml:space="preserve"> všeobecná</w:t>
      </w:r>
      <w:r w:rsidR="00264C0F" w:rsidRPr="006070EA">
        <w:rPr>
          <w:rFonts w:asciiTheme="majorHAnsi" w:hAnsiTheme="majorHAnsi" w:cstheme="majorHAnsi"/>
        </w:rPr>
        <w:t> (P</w:t>
      </w:r>
      <w:r w:rsidR="00DE4B71" w:rsidRPr="006070EA">
        <w:rPr>
          <w:rFonts w:asciiTheme="majorHAnsi" w:hAnsiTheme="majorHAnsi" w:cstheme="majorHAnsi"/>
        </w:rPr>
        <w:t>U</w:t>
      </w:r>
      <w:r w:rsidR="00264C0F" w:rsidRPr="006070EA">
        <w:rPr>
          <w:rFonts w:asciiTheme="majorHAnsi" w:hAnsiTheme="majorHAnsi" w:cstheme="majorHAnsi"/>
        </w:rPr>
        <w:t>)</w:t>
      </w:r>
      <w:r w:rsidRPr="006070EA">
        <w:rPr>
          <w:rFonts w:asciiTheme="majorHAnsi" w:hAnsiTheme="majorHAnsi" w:cstheme="majorHAnsi"/>
        </w:rPr>
        <w:t>. Rozvoj veřejných prostranství je umožněn také v rámci všech ostatních ploch s rozdílným způsobem využití v souladu s jejich stanovenými podmínkami využití</w:t>
      </w:r>
      <w:r w:rsidR="00DE4B71" w:rsidRPr="006070EA">
        <w:rPr>
          <w:rFonts w:asciiTheme="majorHAnsi" w:hAnsiTheme="majorHAnsi" w:cstheme="majorHAnsi"/>
        </w:rPr>
        <w:t xml:space="preserve">, zejména v rámci ploch </w:t>
      </w:r>
      <w:r w:rsidR="00DE4B71" w:rsidRPr="006070EA">
        <w:rPr>
          <w:rFonts w:asciiTheme="majorHAnsi" w:hAnsiTheme="majorHAnsi" w:cstheme="majorHAnsi"/>
          <w:i/>
          <w:iCs w:val="0"/>
        </w:rPr>
        <w:t xml:space="preserve">zeleně – parky a parkově upravené plochy </w:t>
      </w:r>
      <w:r w:rsidR="00DE4B71" w:rsidRPr="006070EA">
        <w:rPr>
          <w:rFonts w:asciiTheme="majorHAnsi" w:hAnsiTheme="majorHAnsi" w:cstheme="majorHAnsi"/>
        </w:rPr>
        <w:t>(ZP)</w:t>
      </w:r>
      <w:r w:rsidRPr="006070EA">
        <w:rPr>
          <w:rFonts w:asciiTheme="majorHAnsi" w:hAnsiTheme="majorHAnsi" w:cstheme="majorHAnsi"/>
        </w:rPr>
        <w:t xml:space="preserve">. </w:t>
      </w:r>
    </w:p>
    <w:p w14:paraId="2AC069E1" w14:textId="77777777" w:rsidR="00E12012" w:rsidRPr="006070EA" w:rsidRDefault="00E12012" w:rsidP="00795EBA">
      <w:pPr>
        <w:pStyle w:val="Atext"/>
        <w:spacing w:before="60" w:after="60"/>
        <w:rPr>
          <w:rFonts w:asciiTheme="majorHAnsi" w:hAnsiTheme="majorHAnsi" w:cstheme="majorHAnsi"/>
        </w:rPr>
      </w:pPr>
      <w:r w:rsidRPr="006070EA">
        <w:rPr>
          <w:rFonts w:asciiTheme="majorHAnsi" w:hAnsiTheme="majorHAnsi" w:cstheme="majorHAnsi"/>
        </w:rPr>
        <w:t xml:space="preserve">Veřejná prostranství tvoří základní kostru sídel i volné krajiny. Intenzivní využívání veřejných prostranství je základním předpokladem kvalitního života v sídlech. Veřejná prostranství jsou odrazem kvality života v sídlech a jsou těžištěm veřejného života. Využívají je všichni lidé vyskytující se v daném území z nejrůznějších důvodů. Proto je nutné dbát na zvyšování kvality veřejných prostranství zejména pro pohyb chodců, rozvoj systému tak, aby zajišťoval a zlepšoval prostupnost území. </w:t>
      </w:r>
    </w:p>
    <w:p w14:paraId="32AAA4BF" w14:textId="77777777" w:rsidR="00E12012" w:rsidRPr="006070EA" w:rsidRDefault="00E12012" w:rsidP="00795EBA">
      <w:pPr>
        <w:pStyle w:val="Atext"/>
        <w:spacing w:before="60" w:after="60"/>
        <w:rPr>
          <w:rFonts w:asciiTheme="majorHAnsi" w:hAnsiTheme="majorHAnsi" w:cstheme="majorHAnsi"/>
        </w:rPr>
      </w:pPr>
      <w:r w:rsidRPr="006070EA">
        <w:rPr>
          <w:rFonts w:asciiTheme="majorHAnsi" w:hAnsiTheme="majorHAnsi" w:cstheme="majorHAnsi"/>
          <w:szCs w:val="18"/>
        </w:rPr>
        <w:t xml:space="preserve">Veřejná prostranství </w:t>
      </w:r>
      <w:r w:rsidRPr="006070EA">
        <w:rPr>
          <w:rFonts w:asciiTheme="majorHAnsi" w:hAnsiTheme="majorHAnsi" w:cstheme="majorHAnsi"/>
        </w:rPr>
        <w:t>zahrnují veškeré stabilizované plochy veřejně přístupných prostranství s výraznou prostorotvornou funkcí (návesní a uliční prostory) v zastavěném území sídel. S ohledem na význam ve struktuře ploch veřejných prostranství zahrnuje územní plán do těchto ploch také úseky místních komunikací, které mají významnou prostorotvornou, komunikační a sociální funkci, stejně tak jako některé významné mimosídelní cesty zajišťující prostupnost území.</w:t>
      </w:r>
    </w:p>
    <w:p w14:paraId="577EFC37" w14:textId="22D2FE30" w:rsidR="00E12012" w:rsidRPr="006070EA" w:rsidRDefault="00E12012" w:rsidP="00795EBA">
      <w:pPr>
        <w:pStyle w:val="Atext"/>
        <w:spacing w:before="60" w:after="60"/>
        <w:rPr>
          <w:rFonts w:asciiTheme="majorHAnsi" w:hAnsiTheme="majorHAnsi" w:cstheme="majorHAnsi"/>
          <w:snapToGrid w:val="0"/>
        </w:rPr>
      </w:pPr>
      <w:r w:rsidRPr="006070EA">
        <w:rPr>
          <w:rFonts w:asciiTheme="majorHAnsi" w:hAnsiTheme="majorHAnsi" w:cstheme="majorHAnsi"/>
        </w:rPr>
        <w:t xml:space="preserve">Nové chodníky nejsou územním plánem navrženy, jejich realizace je umožněna v rámci hlavního a přípustného využití vybraných ploch s rozdílným způsobem využití, zejména ploch </w:t>
      </w:r>
      <w:r w:rsidRPr="006070EA">
        <w:rPr>
          <w:rFonts w:asciiTheme="majorHAnsi" w:hAnsiTheme="majorHAnsi" w:cstheme="majorHAnsi"/>
          <w:i/>
          <w:iCs w:val="0"/>
        </w:rPr>
        <w:t>doprav</w:t>
      </w:r>
      <w:r w:rsidR="00DE4B71" w:rsidRPr="006070EA">
        <w:rPr>
          <w:rFonts w:asciiTheme="majorHAnsi" w:hAnsiTheme="majorHAnsi" w:cstheme="majorHAnsi"/>
          <w:i/>
          <w:iCs w:val="0"/>
        </w:rPr>
        <w:t>y</w:t>
      </w:r>
      <w:r w:rsidRPr="006070EA">
        <w:rPr>
          <w:rFonts w:asciiTheme="majorHAnsi" w:hAnsiTheme="majorHAnsi" w:cstheme="majorHAnsi"/>
          <w:i/>
          <w:iCs w:val="0"/>
        </w:rPr>
        <w:t xml:space="preserve"> silniční</w:t>
      </w:r>
      <w:r w:rsidRPr="006070EA">
        <w:rPr>
          <w:rFonts w:asciiTheme="majorHAnsi" w:hAnsiTheme="majorHAnsi" w:cstheme="majorHAnsi"/>
        </w:rPr>
        <w:t xml:space="preserve"> (DS) a </w:t>
      </w:r>
      <w:r w:rsidRPr="006070EA">
        <w:rPr>
          <w:rFonts w:asciiTheme="majorHAnsi" w:hAnsiTheme="majorHAnsi" w:cstheme="majorHAnsi"/>
          <w:i/>
          <w:iCs w:val="0"/>
        </w:rPr>
        <w:t>veřejných prostranství</w:t>
      </w:r>
      <w:r w:rsidR="00DE4B71" w:rsidRPr="006070EA">
        <w:rPr>
          <w:rFonts w:asciiTheme="majorHAnsi" w:hAnsiTheme="majorHAnsi" w:cstheme="majorHAnsi"/>
          <w:i/>
          <w:iCs w:val="0"/>
        </w:rPr>
        <w:t xml:space="preserve"> všeobecných</w:t>
      </w:r>
      <w:r w:rsidRPr="006070EA">
        <w:rPr>
          <w:rFonts w:asciiTheme="majorHAnsi" w:hAnsiTheme="majorHAnsi" w:cstheme="majorHAnsi"/>
        </w:rPr>
        <w:t xml:space="preserve"> (P</w:t>
      </w:r>
      <w:r w:rsidR="00DE4B71" w:rsidRPr="006070EA">
        <w:rPr>
          <w:rFonts w:asciiTheme="majorHAnsi" w:hAnsiTheme="majorHAnsi" w:cstheme="majorHAnsi"/>
        </w:rPr>
        <w:t>U</w:t>
      </w:r>
      <w:r w:rsidRPr="006070EA">
        <w:rPr>
          <w:rFonts w:asciiTheme="majorHAnsi" w:hAnsiTheme="majorHAnsi" w:cstheme="majorHAnsi"/>
        </w:rPr>
        <w:t xml:space="preserve">). </w:t>
      </w:r>
      <w:r w:rsidRPr="006070EA">
        <w:rPr>
          <w:rFonts w:asciiTheme="majorHAnsi" w:hAnsiTheme="majorHAnsi" w:cstheme="majorHAnsi"/>
          <w:snapToGrid w:val="0"/>
        </w:rPr>
        <w:t xml:space="preserve">Chodníky, včetně přechodů přes vozovky a přístupů na autobusové zastávky, je nutno budovat dle vyhlášky Ministerstva pro místní rozvoj ČR č. 369/2001 Sb., kterou se stanoví obecné technické požadavky, zabezpečující užívání staveb osobami s omezenou schopností pohybu a orientace. </w:t>
      </w:r>
    </w:p>
    <w:p w14:paraId="3D9EB919" w14:textId="564608BE" w:rsidR="00E12012" w:rsidRPr="006070EA" w:rsidRDefault="00E12012" w:rsidP="00795EBA">
      <w:pPr>
        <w:pStyle w:val="Atext"/>
        <w:spacing w:before="60" w:after="60"/>
        <w:rPr>
          <w:rFonts w:asciiTheme="majorHAnsi" w:hAnsiTheme="majorHAnsi" w:cstheme="majorHAnsi"/>
        </w:rPr>
      </w:pPr>
      <w:r w:rsidRPr="006070EA">
        <w:rPr>
          <w:rFonts w:asciiTheme="majorHAnsi" w:hAnsiTheme="majorHAnsi" w:cstheme="majorHAnsi"/>
        </w:rPr>
        <w:t>Vymezením ploch veřejných prostranství (P</w:t>
      </w:r>
      <w:r w:rsidR="00DE4B71" w:rsidRPr="006070EA">
        <w:rPr>
          <w:rFonts w:asciiTheme="majorHAnsi" w:hAnsiTheme="majorHAnsi" w:cstheme="majorHAnsi"/>
        </w:rPr>
        <w:t>U</w:t>
      </w:r>
      <w:r w:rsidRPr="006070EA">
        <w:rPr>
          <w:rFonts w:asciiTheme="majorHAnsi" w:hAnsiTheme="majorHAnsi" w:cstheme="majorHAnsi"/>
        </w:rPr>
        <w:t xml:space="preserve">) je v ÚP </w:t>
      </w:r>
      <w:r w:rsidR="00A74886" w:rsidRPr="006070EA">
        <w:rPr>
          <w:rFonts w:asciiTheme="majorHAnsi" w:hAnsiTheme="majorHAnsi" w:cstheme="majorHAnsi"/>
        </w:rPr>
        <w:t>Kostomlaty nad Labem</w:t>
      </w:r>
      <w:r w:rsidRPr="006070EA">
        <w:rPr>
          <w:rFonts w:asciiTheme="majorHAnsi" w:hAnsiTheme="majorHAnsi" w:cstheme="majorHAnsi"/>
        </w:rPr>
        <w:t xml:space="preserve"> zajištěna ochrana minimálního rozsahu systému veřejných prostranství na území obce potřebného pro zajištění dostupnosti ploch a prostupnosti území sídel i volné krajiny. V rámci ostatních ploch s rozdílným způsobem využití však existuje množství dalších veřejných prostranství, které je rovněž vhodné dále rozvíjet a zkvalitňovat. Z těchto důvodů je stanovena zásada stabilizace a rozvoje veřejných prostranství také v jiných plochách s rozdílným způsobem využití, a to zejména v plochách s obytnou funkcí, kde je nutné zachovávat a</w:t>
      </w:r>
      <w:r w:rsidR="00A2351F" w:rsidRPr="006070EA">
        <w:rPr>
          <w:rFonts w:asciiTheme="majorHAnsi" w:hAnsiTheme="majorHAnsi" w:cstheme="majorHAnsi"/>
        </w:rPr>
        <w:t> </w:t>
      </w:r>
      <w:r w:rsidRPr="006070EA">
        <w:rPr>
          <w:rFonts w:asciiTheme="majorHAnsi" w:hAnsiTheme="majorHAnsi" w:cstheme="majorHAnsi"/>
        </w:rPr>
        <w:t xml:space="preserve">rozvíjet dostupnost jednotlivých pozemků a prostupnost urbanizovaného území utvářející komunikační síť sídel. </w:t>
      </w:r>
    </w:p>
    <w:p w14:paraId="0D2FDC3C" w14:textId="6B7CA376" w:rsidR="002D7034" w:rsidRPr="006070EA" w:rsidRDefault="002D7034" w:rsidP="00A2351F">
      <w:pPr>
        <w:pStyle w:val="Atext"/>
        <w:spacing w:before="60" w:after="60"/>
        <w:rPr>
          <w:rFonts w:asciiTheme="majorHAnsi" w:hAnsiTheme="majorHAnsi" w:cstheme="majorHAnsi"/>
          <w:snapToGrid w:val="0"/>
          <w:szCs w:val="18"/>
        </w:rPr>
      </w:pPr>
      <w:r w:rsidRPr="006070EA">
        <w:rPr>
          <w:rFonts w:asciiTheme="majorHAnsi" w:hAnsiTheme="majorHAnsi" w:cstheme="majorHAnsi"/>
        </w:rPr>
        <w:t>Veřejná prostranství jsou nositeli existujících turistických a cyklistických tras, cyklostezek a naučných stezek. Turistická infrastruktura je významným předpokladem pro rozvoj cestovního ruchu a turistiky v území, proto je nutné ji chránit a rozvíjet, zcela vyloučit jakoukoliv redukci. Důvodem pro vymezení ploch je mimo jiné ochrana historických cest v krajině pro zlepšení prostupnosti území a možný rozvoj nových pěších turistických nebo cyklistických tras v území.</w:t>
      </w:r>
      <w:r w:rsidRPr="006070EA">
        <w:rPr>
          <w:rFonts w:asciiTheme="majorHAnsi" w:hAnsiTheme="majorHAnsi" w:cstheme="majorHAnsi"/>
          <w:snapToGrid w:val="0"/>
          <w:szCs w:val="18"/>
        </w:rPr>
        <w:t xml:space="preserve"> Obnova či rozvoj pěších a cyklistických tras je územním plánem umožněna ve všech plochách s rozdílným způsobem využití.</w:t>
      </w:r>
    </w:p>
    <w:p w14:paraId="091475B5" w14:textId="04661BBA" w:rsidR="00A74886" w:rsidRPr="006070EA" w:rsidRDefault="00A74886" w:rsidP="00A74886">
      <w:pPr>
        <w:pStyle w:val="Atext"/>
        <w:rPr>
          <w:rFonts w:asciiTheme="majorHAnsi" w:hAnsiTheme="majorHAnsi" w:cstheme="majorHAnsi"/>
        </w:rPr>
      </w:pPr>
      <w:r w:rsidRPr="006070EA">
        <w:rPr>
          <w:rFonts w:asciiTheme="majorHAnsi" w:hAnsiTheme="majorHAnsi" w:cstheme="majorHAnsi"/>
        </w:rPr>
        <w:t>Plochy Z</w:t>
      </w:r>
      <w:r w:rsidR="00DE4B71" w:rsidRPr="006070EA">
        <w:rPr>
          <w:rFonts w:asciiTheme="majorHAnsi" w:hAnsiTheme="majorHAnsi" w:cstheme="majorHAnsi"/>
        </w:rPr>
        <w:t>P</w:t>
      </w:r>
      <w:r w:rsidRPr="006070EA">
        <w:rPr>
          <w:rFonts w:asciiTheme="majorHAnsi" w:hAnsiTheme="majorHAnsi" w:cstheme="majorHAnsi"/>
        </w:rPr>
        <w:t xml:space="preserve"> zahrnují veškeré stabilizované i návrhové plochy veřejně přístupných prostranství s vysokým podílem zeleně (vysoké i nízké, okrasné, parkové, doprovodné). Jedná se o plochy, v nichž má zeleň výraznou kompoziční, prostorotvornou a zejména rekreační funkci, čímž se stává neodmyslitelnou součástí veřejného prostranství a zvyšuje estetický účinek prostředí.</w:t>
      </w:r>
    </w:p>
    <w:p w14:paraId="190100CB" w14:textId="77777777" w:rsidR="00A74886" w:rsidRPr="006070EA" w:rsidRDefault="00A74886" w:rsidP="00A74886">
      <w:pPr>
        <w:pStyle w:val="Atext"/>
        <w:spacing w:before="60" w:after="60"/>
        <w:rPr>
          <w:rFonts w:asciiTheme="majorHAnsi" w:hAnsiTheme="majorHAnsi" w:cstheme="majorHAnsi"/>
          <w:snapToGrid w:val="0"/>
          <w:szCs w:val="18"/>
        </w:rPr>
      </w:pPr>
      <w:r w:rsidRPr="006070EA">
        <w:rPr>
          <w:rFonts w:asciiTheme="majorHAnsi" w:hAnsiTheme="majorHAnsi" w:cstheme="majorHAnsi"/>
        </w:rPr>
        <w:t xml:space="preserve">Za účelem zajištění prostupnosti a obsluhy plošně rozsáhlých rozvojových ploch stanovuje územní plán tzv. směry zajištění prostupnosti veřejným prostranstvím, prezentované liniovými šipkami v grafické části ÚP (např. ve výkrese 2 Hlavní výkres). </w:t>
      </w:r>
      <w:r w:rsidRPr="006070EA">
        <w:rPr>
          <w:rFonts w:asciiTheme="majorHAnsi" w:hAnsiTheme="majorHAnsi" w:cstheme="majorHAnsi"/>
          <w:snapToGrid w:val="0"/>
          <w:szCs w:val="18"/>
        </w:rPr>
        <w:t>V rámci směrů zajištění prostupnosti území veřejným prostranstvím je nezbytné v navazujícím stupni územní přípravy pro výstavbu (např. při zpracování územní studie nebo regulačního plánu) navrhnout optimální řešení funkčního systému veřejných prostranství a zajistit návaznost řešení na stabilizovaný dopravně obslužný systém území. Účelem vymezení záměrů je zajištění koordinovaného rozvoje zástavby a odpovídající veřejné infrastruktury.</w:t>
      </w:r>
    </w:p>
    <w:p w14:paraId="67AC547A" w14:textId="77777777" w:rsidR="00A74886" w:rsidRPr="006070EA" w:rsidRDefault="00A74886" w:rsidP="00A74886">
      <w:pPr>
        <w:pStyle w:val="Atext"/>
        <w:rPr>
          <w:rFonts w:asciiTheme="majorHAnsi" w:hAnsiTheme="majorHAnsi" w:cstheme="majorHAnsi"/>
        </w:rPr>
      </w:pPr>
      <w:r w:rsidRPr="006070EA">
        <w:rPr>
          <w:rFonts w:asciiTheme="majorHAnsi" w:hAnsiTheme="majorHAnsi" w:cstheme="majorHAnsi"/>
        </w:rPr>
        <w:t xml:space="preserve">Rozvoj veřejných prostranství je umožněn také v rámci všech ostatních ploch s rozdílným způsobem využití v souladu s jejich stanovenými podmínkami využití. </w:t>
      </w:r>
    </w:p>
    <w:p w14:paraId="5BAB9E78" w14:textId="77777777" w:rsidR="00A74886" w:rsidRPr="006070EA" w:rsidRDefault="00A74886" w:rsidP="00A74886">
      <w:pPr>
        <w:pStyle w:val="Atext"/>
        <w:spacing w:before="60" w:after="60"/>
        <w:rPr>
          <w:rFonts w:asciiTheme="majorHAnsi" w:hAnsiTheme="majorHAnsi" w:cstheme="majorHAnsi"/>
          <w:snapToGrid w:val="0"/>
          <w:szCs w:val="18"/>
        </w:rPr>
      </w:pPr>
      <w:r w:rsidRPr="006070EA">
        <w:rPr>
          <w:rFonts w:asciiTheme="majorHAnsi" w:hAnsiTheme="majorHAnsi" w:cstheme="majorHAnsi"/>
          <w:snapToGrid w:val="0"/>
          <w:szCs w:val="18"/>
        </w:rPr>
        <w:t>Vymezení odpovídajícího rozsahu veřejných prostranství v zastavitelných plochách s výměrou nad 2 hektary vychází z požadavku § 7 odst. 2 vyhlášky č. 501/2006 Sb.</w:t>
      </w:r>
    </w:p>
    <w:p w14:paraId="2797E40C" w14:textId="7A0E7426" w:rsidR="00A74886" w:rsidRPr="006070EA" w:rsidRDefault="00A74886" w:rsidP="00A74886">
      <w:pPr>
        <w:pStyle w:val="Atext"/>
        <w:spacing w:before="60" w:after="60"/>
        <w:rPr>
          <w:rFonts w:asciiTheme="majorHAnsi" w:hAnsiTheme="majorHAnsi" w:cstheme="majorHAnsi"/>
          <w:snapToGrid w:val="0"/>
          <w:szCs w:val="18"/>
        </w:rPr>
      </w:pPr>
      <w:r w:rsidRPr="006070EA">
        <w:rPr>
          <w:rFonts w:asciiTheme="majorHAnsi" w:hAnsiTheme="majorHAnsi" w:cstheme="majorHAnsi"/>
          <w:snapToGrid w:val="0"/>
          <w:szCs w:val="18"/>
        </w:rPr>
        <w:t>V rámci ostatních ploch s rozdílným způsobem využití existuje množství dalších veřejných prostranství, které je rovněž vhodné dále rozvíjet a zkvalitňovat. Z těchto důvodů je stanovena zásada stabilizace a rozvoje veřejných prostranství také v</w:t>
      </w:r>
      <w:r w:rsidR="00DE4B71" w:rsidRPr="006070EA">
        <w:rPr>
          <w:rFonts w:asciiTheme="majorHAnsi" w:hAnsiTheme="majorHAnsi" w:cstheme="majorHAnsi"/>
          <w:snapToGrid w:val="0"/>
          <w:szCs w:val="18"/>
        </w:rPr>
        <w:t> </w:t>
      </w:r>
      <w:r w:rsidRPr="006070EA">
        <w:rPr>
          <w:rFonts w:asciiTheme="majorHAnsi" w:hAnsiTheme="majorHAnsi" w:cstheme="majorHAnsi"/>
          <w:snapToGrid w:val="0"/>
          <w:szCs w:val="18"/>
        </w:rPr>
        <w:t>jiných plochách s rozdílným způsobem využití, a to zejména v plochách s obytnou funkcí, kde je nutné zachovávat a rozvíjet dostupnost jednotlivých pozemků a prostupnost urbanizovaného území utvářející komunikační síť sídel.</w:t>
      </w:r>
    </w:p>
    <w:p w14:paraId="0020AFB6" w14:textId="133DD40A" w:rsidR="00E620BD" w:rsidRPr="006070EA" w:rsidRDefault="00E620BD" w:rsidP="00B768A7">
      <w:pPr>
        <w:pStyle w:val="Atext"/>
        <w:keepNext/>
        <w:ind w:firstLine="0"/>
        <w:jc w:val="right"/>
        <w:rPr>
          <w:rFonts w:asciiTheme="majorHAnsi" w:hAnsiTheme="majorHAnsi" w:cstheme="majorHAnsi"/>
          <w:i/>
          <w:snapToGrid w:val="0"/>
          <w:u w:val="single"/>
        </w:rPr>
      </w:pPr>
      <w:r w:rsidRPr="006070EA">
        <w:rPr>
          <w:rFonts w:asciiTheme="majorHAnsi" w:hAnsiTheme="majorHAnsi" w:cstheme="majorHAnsi"/>
          <w:i/>
          <w:snapToGrid w:val="0"/>
          <w:u w:val="single"/>
        </w:rPr>
        <w:t xml:space="preserve">Odůvodnění odst. </w:t>
      </w:r>
      <w:r w:rsidRPr="006070EA">
        <w:rPr>
          <w:rFonts w:asciiTheme="majorHAnsi" w:hAnsiTheme="majorHAnsi" w:cstheme="majorHAnsi"/>
          <w:b/>
          <w:i/>
          <w:snapToGrid w:val="0"/>
          <w:u w:val="single"/>
        </w:rPr>
        <w:t>(</w:t>
      </w:r>
      <w:r w:rsidR="00A055F4" w:rsidRPr="006070EA">
        <w:rPr>
          <w:rFonts w:asciiTheme="majorHAnsi" w:hAnsiTheme="majorHAnsi" w:cstheme="majorHAnsi"/>
          <w:b/>
          <w:i/>
          <w:snapToGrid w:val="0"/>
          <w:u w:val="single"/>
        </w:rPr>
        <w:t>1</w:t>
      </w:r>
      <w:r w:rsidR="00DD02ED" w:rsidRPr="006070EA">
        <w:rPr>
          <w:rFonts w:asciiTheme="majorHAnsi" w:hAnsiTheme="majorHAnsi" w:cstheme="majorHAnsi"/>
          <w:b/>
          <w:i/>
          <w:snapToGrid w:val="0"/>
          <w:u w:val="single"/>
        </w:rPr>
        <w:t>7</w:t>
      </w:r>
      <w:r w:rsidRPr="006070EA">
        <w:rPr>
          <w:rFonts w:asciiTheme="majorHAnsi" w:hAnsiTheme="majorHAnsi" w:cstheme="majorHAnsi"/>
          <w:b/>
          <w:i/>
          <w:snapToGrid w:val="0"/>
          <w:u w:val="single"/>
        </w:rPr>
        <w:t xml:space="preserve">) </w:t>
      </w:r>
      <w:r w:rsidRPr="006070EA">
        <w:rPr>
          <w:rFonts w:asciiTheme="majorHAnsi" w:hAnsiTheme="majorHAnsi" w:cstheme="majorHAnsi"/>
          <w:i/>
          <w:snapToGrid w:val="0"/>
          <w:u w:val="single"/>
        </w:rPr>
        <w:t>výrokové části</w:t>
      </w:r>
    </w:p>
    <w:p w14:paraId="44086E84" w14:textId="10140048" w:rsidR="00DD02ED" w:rsidRPr="006070EA" w:rsidRDefault="00DD02ED" w:rsidP="00DD02ED">
      <w:pPr>
        <w:pStyle w:val="Atext"/>
        <w:rPr>
          <w:rFonts w:asciiTheme="majorHAnsi" w:hAnsiTheme="majorHAnsi" w:cstheme="majorHAnsi"/>
        </w:rPr>
      </w:pPr>
      <w:r w:rsidRPr="006070EA">
        <w:rPr>
          <w:rFonts w:asciiTheme="majorHAnsi" w:hAnsiTheme="majorHAnsi" w:cstheme="majorHAnsi"/>
        </w:rPr>
        <w:t xml:space="preserve">Odůvodnění jednotlivých zastavitelných ploch vymezených pro rozvoj veřejných prostranství je podrobně je uvedeno v kapitole 11.3.3. </w:t>
      </w:r>
    </w:p>
    <w:p w14:paraId="55FAEC11" w14:textId="72F03A6B" w:rsidR="00391002" w:rsidRPr="006070EA" w:rsidRDefault="00391002" w:rsidP="00391002">
      <w:pPr>
        <w:pStyle w:val="Atext"/>
        <w:spacing w:before="60" w:after="60"/>
        <w:rPr>
          <w:rFonts w:asciiTheme="majorHAnsi" w:hAnsiTheme="majorHAnsi" w:cstheme="majorHAnsi"/>
          <w:snapToGrid w:val="0"/>
          <w:szCs w:val="18"/>
        </w:rPr>
      </w:pPr>
      <w:r w:rsidRPr="006070EA">
        <w:rPr>
          <w:rFonts w:asciiTheme="majorHAnsi" w:hAnsiTheme="majorHAnsi" w:cstheme="majorHAnsi"/>
        </w:rPr>
        <w:t>Vymezení směrů zajištění prostupnosti území veřejným prostranstvím je odůvodněno výše.</w:t>
      </w:r>
    </w:p>
    <w:p w14:paraId="5CBF7B08" w14:textId="77777777" w:rsidR="00AB1F4C" w:rsidRPr="006070EA" w:rsidRDefault="00AB1F4C" w:rsidP="003A4B1E">
      <w:pPr>
        <w:pStyle w:val="Odstavecseseznamem"/>
        <w:keepNext/>
        <w:numPr>
          <w:ilvl w:val="2"/>
          <w:numId w:val="30"/>
        </w:numPr>
        <w:spacing w:before="160" w:after="120" w:line="240" w:lineRule="auto"/>
        <w:ind w:left="709" w:hanging="709"/>
        <w:contextualSpacing w:val="0"/>
        <w:outlineLvl w:val="2"/>
        <w:rPr>
          <w:rFonts w:asciiTheme="majorHAnsi" w:hAnsiTheme="majorHAnsi" w:cstheme="majorHAnsi"/>
          <w:b/>
        </w:rPr>
      </w:pPr>
      <w:bookmarkStart w:id="353" w:name="_Toc424119854"/>
      <w:bookmarkStart w:id="354" w:name="_Toc204678200"/>
      <w:r w:rsidRPr="006070EA">
        <w:rPr>
          <w:rFonts w:asciiTheme="majorHAnsi" w:hAnsiTheme="majorHAnsi" w:cstheme="majorHAnsi"/>
          <w:b/>
        </w:rPr>
        <w:lastRenderedPageBreak/>
        <w:t>Odůvodnění koncepce dopravní infrastruktur</w:t>
      </w:r>
      <w:bookmarkEnd w:id="353"/>
      <w:r w:rsidRPr="006070EA">
        <w:rPr>
          <w:rFonts w:asciiTheme="majorHAnsi" w:hAnsiTheme="majorHAnsi" w:cstheme="majorHAnsi"/>
          <w:b/>
        </w:rPr>
        <w:t>y</w:t>
      </w:r>
      <w:bookmarkEnd w:id="354"/>
    </w:p>
    <w:p w14:paraId="6A9248F3" w14:textId="365865FA" w:rsidR="00391002" w:rsidRPr="006070EA" w:rsidRDefault="00391002" w:rsidP="00391002">
      <w:pPr>
        <w:pStyle w:val="Atext"/>
        <w:keepNext/>
        <w:ind w:firstLine="0"/>
        <w:jc w:val="right"/>
        <w:rPr>
          <w:rFonts w:asciiTheme="majorHAnsi" w:hAnsiTheme="majorHAnsi" w:cstheme="majorHAnsi"/>
          <w:i/>
          <w:snapToGrid w:val="0"/>
          <w:u w:val="single"/>
        </w:rPr>
      </w:pPr>
      <w:r w:rsidRPr="006070EA">
        <w:rPr>
          <w:rFonts w:asciiTheme="majorHAnsi" w:hAnsiTheme="majorHAnsi" w:cstheme="majorHAnsi"/>
          <w:i/>
          <w:snapToGrid w:val="0"/>
          <w:u w:val="single"/>
        </w:rPr>
        <w:t xml:space="preserve">Odůvodnění odst. </w:t>
      </w:r>
      <w:r w:rsidRPr="006070EA">
        <w:rPr>
          <w:rFonts w:asciiTheme="majorHAnsi" w:hAnsiTheme="majorHAnsi" w:cstheme="majorHAnsi"/>
          <w:b/>
          <w:i/>
          <w:snapToGrid w:val="0"/>
          <w:u w:val="single"/>
        </w:rPr>
        <w:t xml:space="preserve">(18) </w:t>
      </w:r>
      <w:r w:rsidRPr="006070EA">
        <w:rPr>
          <w:rFonts w:asciiTheme="majorHAnsi" w:hAnsiTheme="majorHAnsi" w:cstheme="majorHAnsi"/>
          <w:i/>
          <w:snapToGrid w:val="0"/>
          <w:u w:val="single"/>
        </w:rPr>
        <w:t>výrokové části</w:t>
      </w:r>
    </w:p>
    <w:p w14:paraId="38DFB7A0" w14:textId="59E60DDD" w:rsidR="00AB1F4C" w:rsidRPr="006070EA" w:rsidRDefault="00AB1F4C" w:rsidP="009E07E1">
      <w:pPr>
        <w:spacing w:after="60" w:line="240" w:lineRule="auto"/>
        <w:jc w:val="both"/>
        <w:rPr>
          <w:rFonts w:asciiTheme="majorHAnsi" w:hAnsiTheme="majorHAnsi" w:cstheme="majorHAnsi"/>
          <w:sz w:val="18"/>
        </w:rPr>
      </w:pPr>
      <w:r w:rsidRPr="006070EA">
        <w:rPr>
          <w:rFonts w:asciiTheme="majorHAnsi" w:hAnsiTheme="majorHAnsi" w:cstheme="majorHAnsi"/>
          <w:sz w:val="18"/>
        </w:rPr>
        <w:t>Koncepce dopravní infrastruktury vychází zejména z následujících dokumentů a podkladů:</w:t>
      </w:r>
    </w:p>
    <w:p w14:paraId="59704DDB" w14:textId="0AE51068" w:rsidR="00391002" w:rsidRPr="006070EA" w:rsidRDefault="00391002" w:rsidP="00391002">
      <w:pPr>
        <w:pStyle w:val="Odstavecseseznamem"/>
        <w:numPr>
          <w:ilvl w:val="0"/>
          <w:numId w:val="4"/>
        </w:numPr>
        <w:spacing w:after="120" w:line="240" w:lineRule="auto"/>
        <w:jc w:val="both"/>
        <w:rPr>
          <w:rFonts w:asciiTheme="majorHAnsi" w:hAnsiTheme="majorHAnsi" w:cstheme="majorHAnsi"/>
          <w:sz w:val="18"/>
        </w:rPr>
      </w:pPr>
      <w:r w:rsidRPr="006070EA">
        <w:rPr>
          <w:rFonts w:asciiTheme="majorHAnsi" w:hAnsiTheme="majorHAnsi" w:cstheme="majorHAnsi"/>
          <w:sz w:val="18"/>
        </w:rPr>
        <w:t>PÚR ČR ve znění aktualizací č. 1, 2, 3, 4</w:t>
      </w:r>
      <w:r w:rsidR="00DE4B71" w:rsidRPr="006070EA">
        <w:rPr>
          <w:rFonts w:asciiTheme="majorHAnsi" w:hAnsiTheme="majorHAnsi" w:cstheme="majorHAnsi"/>
          <w:sz w:val="18"/>
        </w:rPr>
        <w:t>,</w:t>
      </w:r>
      <w:r w:rsidRPr="006070EA">
        <w:rPr>
          <w:rFonts w:asciiTheme="majorHAnsi" w:hAnsiTheme="majorHAnsi" w:cstheme="majorHAnsi"/>
          <w:sz w:val="18"/>
        </w:rPr>
        <w:t xml:space="preserve"> 5 </w:t>
      </w:r>
      <w:r w:rsidR="00DE4B71" w:rsidRPr="006070EA">
        <w:rPr>
          <w:rFonts w:asciiTheme="majorHAnsi" w:hAnsiTheme="majorHAnsi" w:cstheme="majorHAnsi"/>
          <w:sz w:val="18"/>
        </w:rPr>
        <w:t xml:space="preserve">a 6 </w:t>
      </w:r>
      <w:r w:rsidRPr="006070EA">
        <w:rPr>
          <w:rFonts w:asciiTheme="majorHAnsi" w:hAnsiTheme="majorHAnsi" w:cstheme="majorHAnsi"/>
          <w:sz w:val="18"/>
        </w:rPr>
        <w:t>(202</w:t>
      </w:r>
      <w:r w:rsidR="00DE4B71" w:rsidRPr="006070EA">
        <w:rPr>
          <w:rFonts w:asciiTheme="majorHAnsi" w:hAnsiTheme="majorHAnsi" w:cstheme="majorHAnsi"/>
          <w:sz w:val="18"/>
        </w:rPr>
        <w:t>3</w:t>
      </w:r>
      <w:r w:rsidRPr="006070EA">
        <w:rPr>
          <w:rFonts w:asciiTheme="majorHAnsi" w:hAnsiTheme="majorHAnsi" w:cstheme="majorHAnsi"/>
          <w:sz w:val="18"/>
        </w:rPr>
        <w:t>)</w:t>
      </w:r>
    </w:p>
    <w:p w14:paraId="4467BA34" w14:textId="1C0595FD" w:rsidR="00391002" w:rsidRPr="006070EA" w:rsidRDefault="00391002" w:rsidP="00391002">
      <w:pPr>
        <w:pStyle w:val="Odstavecseseznamem"/>
        <w:numPr>
          <w:ilvl w:val="0"/>
          <w:numId w:val="4"/>
        </w:numPr>
        <w:spacing w:after="120" w:line="240" w:lineRule="auto"/>
        <w:jc w:val="both"/>
        <w:rPr>
          <w:rFonts w:asciiTheme="majorHAnsi" w:hAnsiTheme="majorHAnsi" w:cstheme="majorHAnsi"/>
          <w:sz w:val="18"/>
        </w:rPr>
      </w:pPr>
      <w:r w:rsidRPr="006070EA">
        <w:rPr>
          <w:rFonts w:asciiTheme="majorHAnsi" w:hAnsiTheme="majorHAnsi" w:cstheme="majorHAnsi"/>
          <w:sz w:val="18"/>
        </w:rPr>
        <w:t>ZÚR Středočeského kraje ve znění aktualizací č. 1 a 2</w:t>
      </w:r>
      <w:r w:rsidR="00DE4B71" w:rsidRPr="006070EA">
        <w:rPr>
          <w:rFonts w:asciiTheme="majorHAnsi" w:hAnsiTheme="majorHAnsi" w:cstheme="majorHAnsi"/>
          <w:sz w:val="18"/>
        </w:rPr>
        <w:t>, 7 a 6</w:t>
      </w:r>
      <w:r w:rsidRPr="006070EA">
        <w:rPr>
          <w:rFonts w:asciiTheme="majorHAnsi" w:hAnsiTheme="majorHAnsi" w:cstheme="majorHAnsi"/>
          <w:sz w:val="18"/>
        </w:rPr>
        <w:t xml:space="preserve"> (202</w:t>
      </w:r>
      <w:r w:rsidR="00304DE8" w:rsidRPr="006070EA">
        <w:rPr>
          <w:rFonts w:asciiTheme="majorHAnsi" w:hAnsiTheme="majorHAnsi" w:cstheme="majorHAnsi"/>
          <w:sz w:val="18"/>
        </w:rPr>
        <w:t>2</w:t>
      </w:r>
      <w:r w:rsidRPr="006070EA">
        <w:rPr>
          <w:rFonts w:asciiTheme="majorHAnsi" w:hAnsiTheme="majorHAnsi" w:cstheme="majorHAnsi"/>
          <w:sz w:val="18"/>
        </w:rPr>
        <w:t>)</w:t>
      </w:r>
    </w:p>
    <w:p w14:paraId="5A5F2917" w14:textId="1D57DE9C" w:rsidR="00391002" w:rsidRPr="006070EA" w:rsidRDefault="00391002" w:rsidP="00391002">
      <w:pPr>
        <w:pStyle w:val="Odstavecseseznamem"/>
        <w:numPr>
          <w:ilvl w:val="0"/>
          <w:numId w:val="4"/>
        </w:numPr>
        <w:spacing w:after="120" w:line="240" w:lineRule="auto"/>
        <w:jc w:val="both"/>
        <w:rPr>
          <w:rFonts w:asciiTheme="majorHAnsi" w:hAnsiTheme="majorHAnsi" w:cstheme="majorHAnsi"/>
          <w:sz w:val="18"/>
        </w:rPr>
      </w:pPr>
      <w:r w:rsidRPr="006070EA">
        <w:rPr>
          <w:rFonts w:asciiTheme="majorHAnsi" w:hAnsiTheme="majorHAnsi" w:cstheme="majorHAnsi"/>
          <w:sz w:val="18"/>
        </w:rPr>
        <w:t xml:space="preserve">ÚAP SO ORP Nymburk – 3. úplná aktualizace </w:t>
      </w:r>
    </w:p>
    <w:p w14:paraId="0FB84D25" w14:textId="77777777" w:rsidR="00391002" w:rsidRPr="006070EA" w:rsidRDefault="00391002" w:rsidP="00391002">
      <w:pPr>
        <w:pStyle w:val="Odstavecseseznamem"/>
        <w:numPr>
          <w:ilvl w:val="0"/>
          <w:numId w:val="4"/>
        </w:numPr>
        <w:spacing w:after="0" w:line="240" w:lineRule="auto"/>
        <w:jc w:val="both"/>
        <w:rPr>
          <w:rFonts w:asciiTheme="majorHAnsi" w:hAnsiTheme="majorHAnsi" w:cstheme="majorHAnsi"/>
          <w:sz w:val="18"/>
        </w:rPr>
      </w:pPr>
      <w:r w:rsidRPr="006070EA">
        <w:rPr>
          <w:rFonts w:asciiTheme="majorHAnsi" w:hAnsiTheme="majorHAnsi" w:cstheme="majorHAnsi"/>
          <w:sz w:val="18"/>
        </w:rPr>
        <w:t>platná legislativa a ČSN</w:t>
      </w:r>
    </w:p>
    <w:p w14:paraId="2C744C99" w14:textId="77777777" w:rsidR="00391002" w:rsidRPr="006070EA" w:rsidRDefault="00391002" w:rsidP="00391002">
      <w:pPr>
        <w:pStyle w:val="Atext"/>
        <w:numPr>
          <w:ilvl w:val="0"/>
          <w:numId w:val="4"/>
        </w:numPr>
        <w:spacing w:before="0" w:after="0"/>
        <w:rPr>
          <w:rFonts w:asciiTheme="majorHAnsi" w:hAnsiTheme="majorHAnsi" w:cstheme="majorHAnsi"/>
        </w:rPr>
      </w:pPr>
      <w:r w:rsidRPr="006070EA">
        <w:rPr>
          <w:rFonts w:asciiTheme="majorHAnsi" w:hAnsiTheme="majorHAnsi" w:cstheme="majorHAnsi"/>
        </w:rPr>
        <w:t>Koncepce rozvoje cyklistiky ve Středočeském kraji 2017-2023</w:t>
      </w:r>
    </w:p>
    <w:p w14:paraId="04AB605A" w14:textId="77777777" w:rsidR="00391002" w:rsidRPr="006070EA" w:rsidRDefault="00391002" w:rsidP="00391002">
      <w:pPr>
        <w:pStyle w:val="Atext"/>
        <w:numPr>
          <w:ilvl w:val="0"/>
          <w:numId w:val="4"/>
        </w:numPr>
        <w:spacing w:before="0" w:after="0"/>
        <w:rPr>
          <w:rFonts w:asciiTheme="majorHAnsi" w:hAnsiTheme="majorHAnsi" w:cstheme="majorHAnsi"/>
        </w:rPr>
      </w:pPr>
      <w:r w:rsidRPr="006070EA">
        <w:rPr>
          <w:rFonts w:asciiTheme="majorHAnsi" w:hAnsiTheme="majorHAnsi" w:cstheme="majorHAnsi"/>
        </w:rPr>
        <w:t>Plán dopravní obslužnosti Středočeského kraje 2016-2020</w:t>
      </w:r>
    </w:p>
    <w:p w14:paraId="3D9C1D36" w14:textId="77777777" w:rsidR="00391002" w:rsidRPr="006070EA" w:rsidRDefault="00391002" w:rsidP="00391002">
      <w:pPr>
        <w:pStyle w:val="Odstavecseseznamem"/>
        <w:numPr>
          <w:ilvl w:val="0"/>
          <w:numId w:val="4"/>
        </w:numPr>
        <w:spacing w:after="0" w:line="240" w:lineRule="auto"/>
        <w:ind w:left="1066" w:hanging="357"/>
        <w:contextualSpacing w:val="0"/>
        <w:rPr>
          <w:rFonts w:asciiTheme="majorHAnsi" w:hAnsiTheme="majorHAnsi" w:cstheme="majorHAnsi"/>
          <w:sz w:val="18"/>
        </w:rPr>
      </w:pPr>
      <w:r w:rsidRPr="006070EA">
        <w:rPr>
          <w:rFonts w:asciiTheme="majorHAnsi" w:hAnsiTheme="majorHAnsi" w:cstheme="majorHAnsi"/>
          <w:sz w:val="18"/>
        </w:rPr>
        <w:t>Dopravní politika ČR pro období 2021-2027 s výhledem do roku 2050</w:t>
      </w:r>
    </w:p>
    <w:p w14:paraId="29196328" w14:textId="02E23372" w:rsidR="00391002" w:rsidRPr="006070EA" w:rsidRDefault="00391002" w:rsidP="00391002">
      <w:pPr>
        <w:pStyle w:val="Odstavecseseznamem"/>
        <w:numPr>
          <w:ilvl w:val="0"/>
          <w:numId w:val="4"/>
        </w:numPr>
        <w:spacing w:after="0" w:line="240" w:lineRule="auto"/>
        <w:ind w:left="1066" w:hanging="357"/>
        <w:contextualSpacing w:val="0"/>
        <w:jc w:val="both"/>
        <w:rPr>
          <w:rFonts w:asciiTheme="majorHAnsi" w:hAnsiTheme="majorHAnsi" w:cstheme="majorHAnsi"/>
          <w:sz w:val="18"/>
        </w:rPr>
      </w:pPr>
      <w:r w:rsidRPr="006070EA">
        <w:rPr>
          <w:rFonts w:asciiTheme="majorHAnsi" w:hAnsiTheme="majorHAnsi" w:cstheme="majorHAnsi"/>
          <w:sz w:val="18"/>
        </w:rPr>
        <w:t>ÚPO Kostomlaty nad Labem (2003)</w:t>
      </w:r>
    </w:p>
    <w:p w14:paraId="4DFDB465" w14:textId="396DEA35" w:rsidR="00391002" w:rsidRPr="006070EA" w:rsidRDefault="00391002" w:rsidP="00391002">
      <w:pPr>
        <w:pStyle w:val="Odstavecseseznamem"/>
        <w:numPr>
          <w:ilvl w:val="0"/>
          <w:numId w:val="4"/>
        </w:numPr>
        <w:spacing w:after="0" w:line="240" w:lineRule="auto"/>
        <w:ind w:left="1066" w:hanging="357"/>
        <w:contextualSpacing w:val="0"/>
        <w:jc w:val="both"/>
        <w:rPr>
          <w:rFonts w:asciiTheme="majorHAnsi" w:hAnsiTheme="majorHAnsi" w:cstheme="majorHAnsi"/>
          <w:sz w:val="18"/>
        </w:rPr>
      </w:pPr>
      <w:r w:rsidRPr="006070EA">
        <w:rPr>
          <w:rFonts w:asciiTheme="majorHAnsi" w:hAnsiTheme="majorHAnsi" w:cstheme="majorHAnsi"/>
          <w:sz w:val="18"/>
        </w:rPr>
        <w:t>Zadání ÚP Kostomlaty nad Labem (2021)</w:t>
      </w:r>
    </w:p>
    <w:p w14:paraId="2ECA3B8A" w14:textId="4F03B607" w:rsidR="00391002" w:rsidRPr="006070EA" w:rsidRDefault="00391002" w:rsidP="00391002">
      <w:pPr>
        <w:pStyle w:val="Odstavecseseznamem"/>
        <w:numPr>
          <w:ilvl w:val="0"/>
          <w:numId w:val="4"/>
        </w:numPr>
        <w:spacing w:after="120" w:line="240" w:lineRule="auto"/>
        <w:jc w:val="both"/>
        <w:rPr>
          <w:rFonts w:asciiTheme="majorHAnsi" w:hAnsiTheme="majorHAnsi" w:cstheme="majorHAnsi"/>
          <w:sz w:val="18"/>
        </w:rPr>
      </w:pPr>
      <w:r w:rsidRPr="006070EA">
        <w:rPr>
          <w:rFonts w:asciiTheme="majorHAnsi" w:hAnsiTheme="majorHAnsi" w:cstheme="majorHAnsi"/>
          <w:sz w:val="18"/>
        </w:rPr>
        <w:t>terénní průzkum zpracovatele ÚP</w:t>
      </w:r>
    </w:p>
    <w:p w14:paraId="16E3494E" w14:textId="76B7CD75" w:rsidR="00391002" w:rsidRPr="006070EA" w:rsidRDefault="00391002" w:rsidP="00391002">
      <w:pPr>
        <w:pStyle w:val="Atext"/>
        <w:rPr>
          <w:rFonts w:asciiTheme="majorHAnsi" w:hAnsiTheme="majorHAnsi" w:cstheme="majorHAnsi"/>
          <w:szCs w:val="18"/>
        </w:rPr>
      </w:pPr>
      <w:r w:rsidRPr="006070EA">
        <w:rPr>
          <w:rFonts w:asciiTheme="majorHAnsi" w:hAnsiTheme="majorHAnsi" w:cstheme="majorHAnsi"/>
          <w:szCs w:val="18"/>
        </w:rPr>
        <w:t xml:space="preserve">Dopravní systém </w:t>
      </w:r>
      <w:r w:rsidR="00276B14" w:rsidRPr="006070EA">
        <w:rPr>
          <w:rFonts w:asciiTheme="majorHAnsi" w:hAnsiTheme="majorHAnsi" w:cstheme="majorHAnsi"/>
          <w:szCs w:val="18"/>
        </w:rPr>
        <w:t>území</w:t>
      </w:r>
      <w:r w:rsidRPr="006070EA">
        <w:rPr>
          <w:rFonts w:asciiTheme="majorHAnsi" w:hAnsiTheme="majorHAnsi" w:cstheme="majorHAnsi"/>
          <w:szCs w:val="18"/>
        </w:rPr>
        <w:t xml:space="preserve"> je založen na uvedených dopravních módech silniční a drážní dopravy, čemuž s přihlédnutím k vyhlášce č. 501/2006 Sb. i odpovídá členění ploch s rozdílným způsobem využití. Dopravní systém v rámci ploch s rozdílným způsobem využití DS, D</w:t>
      </w:r>
      <w:r w:rsidR="00304DE8" w:rsidRPr="006070EA">
        <w:rPr>
          <w:rFonts w:asciiTheme="majorHAnsi" w:hAnsiTheme="majorHAnsi" w:cstheme="majorHAnsi"/>
          <w:szCs w:val="18"/>
        </w:rPr>
        <w:t>D</w:t>
      </w:r>
      <w:r w:rsidRPr="006070EA">
        <w:rPr>
          <w:rFonts w:asciiTheme="majorHAnsi" w:hAnsiTheme="majorHAnsi" w:cstheme="majorHAnsi"/>
          <w:szCs w:val="18"/>
        </w:rPr>
        <w:t>,</w:t>
      </w:r>
      <w:r w:rsidR="00276B14" w:rsidRPr="006070EA">
        <w:rPr>
          <w:rFonts w:asciiTheme="majorHAnsi" w:hAnsiTheme="majorHAnsi" w:cstheme="majorHAnsi"/>
          <w:szCs w:val="18"/>
        </w:rPr>
        <w:t xml:space="preserve"> DV,</w:t>
      </w:r>
      <w:r w:rsidRPr="006070EA">
        <w:rPr>
          <w:rFonts w:asciiTheme="majorHAnsi" w:hAnsiTheme="majorHAnsi" w:cstheme="majorHAnsi"/>
          <w:szCs w:val="18"/>
        </w:rPr>
        <w:t xml:space="preserve"> P</w:t>
      </w:r>
      <w:r w:rsidR="00304DE8" w:rsidRPr="006070EA">
        <w:rPr>
          <w:rFonts w:asciiTheme="majorHAnsi" w:hAnsiTheme="majorHAnsi" w:cstheme="majorHAnsi"/>
          <w:szCs w:val="18"/>
        </w:rPr>
        <w:t>U</w:t>
      </w:r>
      <w:r w:rsidRPr="006070EA">
        <w:rPr>
          <w:rFonts w:asciiTheme="majorHAnsi" w:hAnsiTheme="majorHAnsi" w:cstheme="majorHAnsi"/>
          <w:szCs w:val="18"/>
        </w:rPr>
        <w:t xml:space="preserve"> musí stejně tak, jako jakýkoliv jiný dopravní systém respektovat cíle územního plánování dle §</w:t>
      </w:r>
      <w:r w:rsidR="00304DE8" w:rsidRPr="006070EA">
        <w:rPr>
          <w:rFonts w:asciiTheme="majorHAnsi" w:hAnsiTheme="majorHAnsi" w:cstheme="majorHAnsi"/>
          <w:szCs w:val="18"/>
        </w:rPr>
        <w:t> </w:t>
      </w:r>
      <w:r w:rsidRPr="006070EA">
        <w:rPr>
          <w:rFonts w:asciiTheme="majorHAnsi" w:hAnsiTheme="majorHAnsi" w:cstheme="majorHAnsi"/>
          <w:szCs w:val="18"/>
        </w:rPr>
        <w:t>18 stavebního zákona, mezi kterými je především udržitelný rozvoj území, k čemuž přispívá právě udržitelný dopravní systém. Pro definici udržitelnosti dopravního systému byly převzaty principy udržitelné mobility z metodiky Evropské komise pro tvorbu plánů udržitelné městské mobility, které zároveň respektují Dopravní politiku ČR pro období 2021-2027 s výhledem do roku 2050 i celoevropské trendy v oblasti snižování energetické náročnosti, zátěže životního prostředí, bezpečnosti a sociální koheze.</w:t>
      </w:r>
    </w:p>
    <w:p w14:paraId="287FFB05" w14:textId="44BE1541" w:rsidR="00391002" w:rsidRPr="006070EA" w:rsidRDefault="00391002" w:rsidP="00391002">
      <w:pPr>
        <w:pStyle w:val="Atext"/>
        <w:rPr>
          <w:rFonts w:asciiTheme="majorHAnsi" w:hAnsiTheme="majorHAnsi" w:cstheme="majorHAnsi"/>
          <w:szCs w:val="18"/>
        </w:rPr>
      </w:pPr>
      <w:r w:rsidRPr="006070EA">
        <w:rPr>
          <w:rFonts w:asciiTheme="majorHAnsi" w:hAnsiTheme="majorHAnsi" w:cstheme="majorHAnsi"/>
          <w:szCs w:val="18"/>
        </w:rPr>
        <w:t xml:space="preserve">V souladu s § 9 odst. 2 a 3 vyhlášky č. 501/2006 Sb. jsou silniční pozemky silnic II. a III. třídy a vybrané, dopravně významné místní komunikace zahrnuty do ploch </w:t>
      </w:r>
      <w:r w:rsidR="00304DE8" w:rsidRPr="006070EA">
        <w:rPr>
          <w:rFonts w:asciiTheme="majorHAnsi" w:hAnsiTheme="majorHAnsi" w:cstheme="majorHAnsi"/>
          <w:szCs w:val="18"/>
        </w:rPr>
        <w:t>dopravy</w:t>
      </w:r>
      <w:r w:rsidRPr="006070EA">
        <w:rPr>
          <w:rFonts w:asciiTheme="majorHAnsi" w:hAnsiTheme="majorHAnsi" w:cstheme="majorHAnsi"/>
          <w:szCs w:val="18"/>
        </w:rPr>
        <w:t xml:space="preserve"> silniční (D</w:t>
      </w:r>
      <w:r w:rsidR="00276B14" w:rsidRPr="006070EA">
        <w:rPr>
          <w:rFonts w:asciiTheme="majorHAnsi" w:hAnsiTheme="majorHAnsi" w:cstheme="majorHAnsi"/>
          <w:szCs w:val="18"/>
        </w:rPr>
        <w:t>S</w:t>
      </w:r>
      <w:r w:rsidRPr="006070EA">
        <w:rPr>
          <w:rFonts w:asciiTheme="majorHAnsi" w:hAnsiTheme="majorHAnsi" w:cstheme="majorHAnsi"/>
          <w:szCs w:val="18"/>
        </w:rPr>
        <w:t xml:space="preserve">). Důvodem je zejména intenzita dopravy a její negativní vlivy, které vylučují začlenění těchto pozemků do ploch jiného způsobu využití. Vymezení ploch </w:t>
      </w:r>
      <w:r w:rsidR="00304DE8" w:rsidRPr="006070EA">
        <w:rPr>
          <w:rFonts w:asciiTheme="majorHAnsi" w:hAnsiTheme="majorHAnsi" w:cstheme="majorHAnsi"/>
          <w:szCs w:val="18"/>
        </w:rPr>
        <w:t xml:space="preserve">dopravy </w:t>
      </w:r>
      <w:r w:rsidRPr="006070EA">
        <w:rPr>
          <w:rFonts w:asciiTheme="majorHAnsi" w:hAnsiTheme="majorHAnsi" w:cstheme="majorHAnsi"/>
          <w:szCs w:val="18"/>
        </w:rPr>
        <w:t xml:space="preserve">silniční (DS) je také nezbytné k zajištění dopravní přístupnosti ostatních ploch (např. ploch bydlení, výroby, občanského vybavení atd.). Plochy </w:t>
      </w:r>
      <w:r w:rsidR="00304DE8" w:rsidRPr="006070EA">
        <w:rPr>
          <w:rFonts w:asciiTheme="majorHAnsi" w:hAnsiTheme="majorHAnsi" w:cstheme="majorHAnsi"/>
          <w:szCs w:val="18"/>
        </w:rPr>
        <w:t>dopravy drážní</w:t>
      </w:r>
      <w:r w:rsidRPr="006070EA">
        <w:rPr>
          <w:rFonts w:asciiTheme="majorHAnsi" w:hAnsiTheme="majorHAnsi" w:cstheme="majorHAnsi"/>
          <w:szCs w:val="18"/>
        </w:rPr>
        <w:t xml:space="preserve"> (D</w:t>
      </w:r>
      <w:r w:rsidR="00304DE8" w:rsidRPr="006070EA">
        <w:rPr>
          <w:rFonts w:asciiTheme="majorHAnsi" w:hAnsiTheme="majorHAnsi" w:cstheme="majorHAnsi"/>
          <w:szCs w:val="18"/>
        </w:rPr>
        <w:t>D</w:t>
      </w:r>
      <w:r w:rsidRPr="006070EA">
        <w:rPr>
          <w:rFonts w:asciiTheme="majorHAnsi" w:hAnsiTheme="majorHAnsi" w:cstheme="majorHAnsi"/>
          <w:szCs w:val="18"/>
        </w:rPr>
        <w:t>) dle § 9 odst. 2 a 4 vyhlášky č. 501/2006 Sb. zahrnují zpravidla obvod dráhy, včetně náspů, zářezů, opěrných zdí, mostů, kolejišť a doprovodné zeleně, dále pozemky zařízení pro drážní dopravu, například stanice, zastávky, nástupiště a</w:t>
      </w:r>
      <w:r w:rsidR="00304DE8" w:rsidRPr="006070EA">
        <w:rPr>
          <w:rFonts w:asciiTheme="majorHAnsi" w:hAnsiTheme="majorHAnsi" w:cstheme="majorHAnsi"/>
          <w:szCs w:val="18"/>
        </w:rPr>
        <w:t> </w:t>
      </w:r>
      <w:r w:rsidRPr="006070EA">
        <w:rPr>
          <w:rFonts w:asciiTheme="majorHAnsi" w:hAnsiTheme="majorHAnsi" w:cstheme="majorHAnsi"/>
          <w:szCs w:val="18"/>
        </w:rPr>
        <w:t xml:space="preserve">přístupové cesty, provozní budovy a pozemky dep, opraven, vozoven, překladišť a správních budov. </w:t>
      </w:r>
      <w:r w:rsidR="00276B14" w:rsidRPr="006070EA">
        <w:rPr>
          <w:rFonts w:asciiTheme="majorHAnsi" w:hAnsiTheme="majorHAnsi" w:cstheme="majorHAnsi"/>
          <w:szCs w:val="18"/>
        </w:rPr>
        <w:t xml:space="preserve">Při respektování obdobného principu v případě vodní dopravy jsou vymezeny plochy </w:t>
      </w:r>
      <w:r w:rsidR="00304DE8" w:rsidRPr="006070EA">
        <w:rPr>
          <w:rFonts w:asciiTheme="majorHAnsi" w:hAnsiTheme="majorHAnsi" w:cstheme="majorHAnsi"/>
          <w:szCs w:val="18"/>
        </w:rPr>
        <w:t>dopravy</w:t>
      </w:r>
      <w:r w:rsidR="00276B14" w:rsidRPr="006070EA">
        <w:rPr>
          <w:rFonts w:asciiTheme="majorHAnsi" w:hAnsiTheme="majorHAnsi" w:cstheme="majorHAnsi"/>
          <w:szCs w:val="18"/>
        </w:rPr>
        <w:t xml:space="preserve"> vodní (DV), které reprezentují stavby a zařízení na řece Labi i s přihlédnutím k trase Labské vodní cesty, která zasahuje do řešeného území.</w:t>
      </w:r>
    </w:p>
    <w:p w14:paraId="50CDC5CF" w14:textId="0B7248BE" w:rsidR="00391002" w:rsidRPr="006070EA" w:rsidRDefault="00391002" w:rsidP="00391002">
      <w:pPr>
        <w:pStyle w:val="Atext"/>
        <w:rPr>
          <w:rFonts w:asciiTheme="majorHAnsi" w:hAnsiTheme="majorHAnsi" w:cstheme="majorHAnsi"/>
          <w:szCs w:val="18"/>
        </w:rPr>
      </w:pPr>
      <w:r w:rsidRPr="006070EA">
        <w:rPr>
          <w:rFonts w:asciiTheme="majorHAnsi" w:hAnsiTheme="majorHAnsi" w:cstheme="majorHAnsi"/>
          <w:szCs w:val="18"/>
        </w:rPr>
        <w:t>Funkce pobytová a dopravní místních komunikací je definována v normě ČSN 73 6110 Projektování místních komunikací. Z normy také vyplývá, že různé intenzity různých dopravních módů vyžadují jiné technické parametry dopravní infrastruktury, které jsou popřípadě upřesněny v příslušných technických podmínkách Ministerstva dopravy. V plochách s</w:t>
      </w:r>
      <w:r w:rsidR="00304DE8" w:rsidRPr="006070EA">
        <w:rPr>
          <w:rFonts w:asciiTheme="majorHAnsi" w:hAnsiTheme="majorHAnsi" w:cstheme="majorHAnsi"/>
          <w:szCs w:val="18"/>
        </w:rPr>
        <w:t> </w:t>
      </w:r>
      <w:r w:rsidRPr="006070EA">
        <w:rPr>
          <w:rFonts w:asciiTheme="majorHAnsi" w:hAnsiTheme="majorHAnsi" w:cstheme="majorHAnsi"/>
          <w:szCs w:val="18"/>
        </w:rPr>
        <w:t>rozdílným způsobem využití P</w:t>
      </w:r>
      <w:r w:rsidR="00304DE8" w:rsidRPr="006070EA">
        <w:rPr>
          <w:rFonts w:asciiTheme="majorHAnsi" w:hAnsiTheme="majorHAnsi" w:cstheme="majorHAnsi"/>
          <w:szCs w:val="18"/>
        </w:rPr>
        <w:t>U</w:t>
      </w:r>
      <w:r w:rsidRPr="006070EA">
        <w:rPr>
          <w:rFonts w:asciiTheme="majorHAnsi" w:hAnsiTheme="majorHAnsi" w:cstheme="majorHAnsi"/>
          <w:szCs w:val="18"/>
        </w:rPr>
        <w:t> se vždy jedná o místní komunikace s převažující funkcí pobytovou, a tudíž je vždy nezbytné upřednostňovat na nich nemotorou dopravu a obsluhu přilehlých nemovitostí motorovou dopravou. Z hlediska normy ČSN 73 6110 se tak jedná o místní komunikace funkčních skupin C a D. Technické i prostorové nároky na tyto místní komunikace jsou nižší než na komunikace, které tvoří plochy s rozdílným způsobem využití DS –</w:t>
      </w:r>
      <w:r w:rsidR="00304DE8" w:rsidRPr="006070EA">
        <w:rPr>
          <w:rFonts w:asciiTheme="majorHAnsi" w:hAnsiTheme="majorHAnsi" w:cstheme="majorHAnsi"/>
          <w:szCs w:val="18"/>
        </w:rPr>
        <w:t xml:space="preserve"> doprava</w:t>
      </w:r>
      <w:r w:rsidRPr="006070EA">
        <w:rPr>
          <w:rFonts w:asciiTheme="majorHAnsi" w:hAnsiTheme="majorHAnsi" w:cstheme="majorHAnsi"/>
          <w:szCs w:val="18"/>
        </w:rPr>
        <w:t xml:space="preserve"> silniční.</w:t>
      </w:r>
    </w:p>
    <w:p w14:paraId="012A6B9F" w14:textId="24C3138C" w:rsidR="00391002" w:rsidRPr="006070EA" w:rsidRDefault="00391002" w:rsidP="00391002">
      <w:pPr>
        <w:pStyle w:val="Atext"/>
        <w:keepNext/>
        <w:ind w:firstLine="0"/>
        <w:jc w:val="right"/>
        <w:rPr>
          <w:rFonts w:asciiTheme="majorHAnsi" w:hAnsiTheme="majorHAnsi" w:cstheme="majorHAnsi"/>
          <w:i/>
          <w:snapToGrid w:val="0"/>
          <w:szCs w:val="18"/>
          <w:u w:val="single"/>
        </w:rPr>
      </w:pPr>
      <w:r w:rsidRPr="006070EA">
        <w:rPr>
          <w:rFonts w:asciiTheme="majorHAnsi" w:hAnsiTheme="majorHAnsi" w:cstheme="majorHAnsi"/>
          <w:i/>
          <w:snapToGrid w:val="0"/>
          <w:szCs w:val="18"/>
          <w:u w:val="single"/>
        </w:rPr>
        <w:t xml:space="preserve">Odůvodnění odst. </w:t>
      </w:r>
      <w:r w:rsidRPr="006070EA">
        <w:rPr>
          <w:rFonts w:asciiTheme="majorHAnsi" w:hAnsiTheme="majorHAnsi" w:cstheme="majorHAnsi"/>
          <w:b/>
          <w:i/>
          <w:snapToGrid w:val="0"/>
          <w:szCs w:val="18"/>
          <w:u w:val="single"/>
        </w:rPr>
        <w:t xml:space="preserve">(19) </w:t>
      </w:r>
      <w:r w:rsidRPr="006070EA">
        <w:rPr>
          <w:rFonts w:asciiTheme="majorHAnsi" w:hAnsiTheme="majorHAnsi" w:cstheme="majorHAnsi"/>
          <w:i/>
          <w:snapToGrid w:val="0"/>
          <w:szCs w:val="18"/>
          <w:u w:val="single"/>
        </w:rPr>
        <w:t>výrokové části</w:t>
      </w:r>
    </w:p>
    <w:p w14:paraId="34D2D287" w14:textId="43D9B527" w:rsidR="00391002" w:rsidRPr="006070EA" w:rsidRDefault="00391002" w:rsidP="00276B14">
      <w:pPr>
        <w:spacing w:after="120" w:line="240" w:lineRule="auto"/>
        <w:ind w:firstLine="709"/>
        <w:jc w:val="both"/>
        <w:rPr>
          <w:rFonts w:asciiTheme="majorHAnsi" w:hAnsiTheme="majorHAnsi" w:cstheme="majorHAnsi"/>
          <w:color w:val="FF0000"/>
          <w:sz w:val="18"/>
          <w:szCs w:val="18"/>
        </w:rPr>
      </w:pPr>
      <w:r w:rsidRPr="006070EA">
        <w:rPr>
          <w:rFonts w:asciiTheme="majorHAnsi" w:hAnsiTheme="majorHAnsi" w:cstheme="majorHAnsi"/>
          <w:sz w:val="18"/>
          <w:szCs w:val="18"/>
        </w:rPr>
        <w:t>Principy udržitelné mobility definují dopravní systém, který sleduje cíle zvýšení prostorové a energetické efektivity, snížení (měrné) uhlíkové stopy, zvýšení výkonnosti a spolehlivosti, zvýšení bezpečnosti a odolností, zvýšení finanční udržitelnosti, zlepšení lidského zdraví a životního prostředí a zlepšení dostupnosti a přístupnosti (bezbariérovosti) dopravy a</w:t>
      </w:r>
      <w:r w:rsidR="00276B14" w:rsidRPr="006070EA">
        <w:rPr>
          <w:rFonts w:asciiTheme="majorHAnsi" w:hAnsiTheme="majorHAnsi" w:cstheme="majorHAnsi"/>
          <w:sz w:val="18"/>
          <w:szCs w:val="18"/>
        </w:rPr>
        <w:t> </w:t>
      </w:r>
      <w:r w:rsidRPr="006070EA">
        <w:rPr>
          <w:rFonts w:asciiTheme="majorHAnsi" w:hAnsiTheme="majorHAnsi" w:cstheme="majorHAnsi"/>
          <w:sz w:val="18"/>
          <w:szCs w:val="18"/>
        </w:rPr>
        <w:t>zároveň platné legislativní předpisy definují povinné zpracování Programů zlepšování kvality ovzduší a Akční plán snižování hluku a jejich plnění, které se však z většiny nemusí v územním plánu vůbec projevit. Vzhledem ke struktuře územně plánovací dané stavebním zákonem 183/2006 Sb. není možné dostatečně definovat v územním plánu odstraňování dopravních závad na současné infrastruktuře. Je proto nezbytné navázat na systém územně plánovací dokumentace i</w:t>
      </w:r>
      <w:r w:rsidR="00276B14" w:rsidRPr="006070EA">
        <w:rPr>
          <w:rFonts w:asciiTheme="majorHAnsi" w:hAnsiTheme="majorHAnsi" w:cstheme="majorHAnsi"/>
          <w:sz w:val="18"/>
          <w:szCs w:val="18"/>
        </w:rPr>
        <w:t> </w:t>
      </w:r>
      <w:r w:rsidRPr="006070EA">
        <w:rPr>
          <w:rFonts w:asciiTheme="majorHAnsi" w:hAnsiTheme="majorHAnsi" w:cstheme="majorHAnsi"/>
          <w:sz w:val="18"/>
          <w:szCs w:val="18"/>
        </w:rPr>
        <w:t>strategických dokumentů, které se zabývají strategií města, a tedy i řešením dopravních závad či překračováním hygienických limitů na současné infrastruktuře včetně dopravně-organizačních opatření.</w:t>
      </w:r>
    </w:p>
    <w:p w14:paraId="3C22936D" w14:textId="6DA19238" w:rsidR="00AB1F4C" w:rsidRPr="006070EA" w:rsidRDefault="00276B14" w:rsidP="00D430EF">
      <w:pPr>
        <w:keepNext/>
        <w:shd w:val="clear" w:color="auto" w:fill="F2F2F2" w:themeFill="background1" w:themeFillShade="F2"/>
        <w:spacing w:before="120" w:after="120" w:line="240" w:lineRule="auto"/>
        <w:rPr>
          <w:rFonts w:asciiTheme="majorHAnsi" w:hAnsiTheme="majorHAnsi" w:cstheme="majorHAnsi"/>
          <w:b/>
          <w:sz w:val="20"/>
        </w:rPr>
      </w:pPr>
      <w:r w:rsidRPr="006070EA">
        <w:rPr>
          <w:rFonts w:asciiTheme="majorHAnsi" w:hAnsiTheme="majorHAnsi" w:cstheme="majorHAnsi"/>
          <w:b/>
          <w:sz w:val="20"/>
        </w:rPr>
        <w:lastRenderedPageBreak/>
        <w:t>Doprava silniční</w:t>
      </w:r>
    </w:p>
    <w:p w14:paraId="157E9A09" w14:textId="77777777" w:rsidR="00121854" w:rsidRPr="006070EA" w:rsidRDefault="00121854" w:rsidP="00D430EF">
      <w:pPr>
        <w:pStyle w:val="Atext"/>
        <w:keepNext/>
        <w:ind w:firstLine="0"/>
        <w:jc w:val="right"/>
        <w:rPr>
          <w:rFonts w:asciiTheme="majorHAnsi" w:hAnsiTheme="majorHAnsi" w:cstheme="majorHAnsi"/>
          <w:i/>
          <w:snapToGrid w:val="0"/>
          <w:u w:val="single"/>
        </w:rPr>
      </w:pPr>
      <w:r w:rsidRPr="006070EA">
        <w:rPr>
          <w:rFonts w:asciiTheme="majorHAnsi" w:hAnsiTheme="majorHAnsi" w:cstheme="majorHAnsi"/>
          <w:i/>
          <w:snapToGrid w:val="0"/>
          <w:u w:val="single"/>
        </w:rPr>
        <w:t xml:space="preserve">Odůvodnění odst. </w:t>
      </w:r>
      <w:r w:rsidRPr="006070EA">
        <w:rPr>
          <w:rFonts w:asciiTheme="majorHAnsi" w:hAnsiTheme="majorHAnsi" w:cstheme="majorHAnsi"/>
          <w:b/>
          <w:i/>
          <w:snapToGrid w:val="0"/>
          <w:u w:val="single"/>
        </w:rPr>
        <w:t>(</w:t>
      </w:r>
      <w:r w:rsidR="00F860FB" w:rsidRPr="006070EA">
        <w:rPr>
          <w:rFonts w:asciiTheme="majorHAnsi" w:hAnsiTheme="majorHAnsi" w:cstheme="majorHAnsi"/>
          <w:b/>
          <w:i/>
          <w:snapToGrid w:val="0"/>
          <w:u w:val="single"/>
        </w:rPr>
        <w:t>20</w:t>
      </w:r>
      <w:r w:rsidRPr="006070EA">
        <w:rPr>
          <w:rFonts w:asciiTheme="majorHAnsi" w:hAnsiTheme="majorHAnsi" w:cstheme="majorHAnsi"/>
          <w:b/>
          <w:i/>
          <w:snapToGrid w:val="0"/>
          <w:u w:val="single"/>
        </w:rPr>
        <w:t xml:space="preserve">) </w:t>
      </w:r>
      <w:r w:rsidRPr="006070EA">
        <w:rPr>
          <w:rFonts w:asciiTheme="majorHAnsi" w:hAnsiTheme="majorHAnsi" w:cstheme="majorHAnsi"/>
          <w:i/>
          <w:snapToGrid w:val="0"/>
          <w:u w:val="single"/>
        </w:rPr>
        <w:t>výrokové části</w:t>
      </w:r>
    </w:p>
    <w:p w14:paraId="34E81227" w14:textId="77777777" w:rsidR="00E92BC7" w:rsidRPr="006070EA" w:rsidRDefault="00E92BC7" w:rsidP="00D430EF">
      <w:pPr>
        <w:keepNext/>
        <w:spacing w:before="120" w:after="120" w:line="240" w:lineRule="auto"/>
        <w:jc w:val="both"/>
        <w:rPr>
          <w:rFonts w:asciiTheme="majorHAnsi" w:hAnsiTheme="majorHAnsi" w:cstheme="majorHAnsi"/>
          <w:b/>
          <w:sz w:val="18"/>
          <w:szCs w:val="18"/>
        </w:rPr>
      </w:pPr>
      <w:r w:rsidRPr="006070EA">
        <w:rPr>
          <w:rFonts w:asciiTheme="majorHAnsi" w:hAnsiTheme="majorHAnsi" w:cstheme="majorHAnsi"/>
          <w:b/>
          <w:sz w:val="18"/>
          <w:szCs w:val="18"/>
        </w:rPr>
        <w:t>Popis stávající situace</w:t>
      </w:r>
    </w:p>
    <w:p w14:paraId="356F58B3" w14:textId="31BE2D8F" w:rsidR="00213A5E" w:rsidRPr="006070EA" w:rsidRDefault="00213A5E" w:rsidP="00D430EF">
      <w:pPr>
        <w:pStyle w:val="Atext"/>
        <w:keepNext/>
        <w:rPr>
          <w:rFonts w:asciiTheme="majorHAnsi" w:hAnsiTheme="majorHAnsi" w:cstheme="majorHAnsi"/>
        </w:rPr>
      </w:pPr>
      <w:r w:rsidRPr="006070EA">
        <w:rPr>
          <w:rFonts w:asciiTheme="majorHAnsi" w:hAnsiTheme="majorHAnsi" w:cstheme="majorHAnsi"/>
        </w:rPr>
        <w:t xml:space="preserve">Silniční doprava je v řešeném území </w:t>
      </w:r>
      <w:r w:rsidR="00276B14" w:rsidRPr="006070EA">
        <w:rPr>
          <w:rFonts w:asciiTheme="majorHAnsi" w:hAnsiTheme="majorHAnsi" w:cstheme="majorHAnsi"/>
          <w:szCs w:val="18"/>
        </w:rPr>
        <w:t>nejvyužívanějším</w:t>
      </w:r>
      <w:r w:rsidRPr="006070EA">
        <w:rPr>
          <w:rFonts w:asciiTheme="majorHAnsi" w:hAnsiTheme="majorHAnsi" w:cstheme="majorHAnsi"/>
          <w:szCs w:val="18"/>
        </w:rPr>
        <w:t xml:space="preserve"> </w:t>
      </w:r>
      <w:r w:rsidRPr="006070EA">
        <w:rPr>
          <w:rFonts w:asciiTheme="majorHAnsi" w:hAnsiTheme="majorHAnsi" w:cstheme="majorHAnsi"/>
        </w:rPr>
        <w:t>zprostředkovatelem přepravních objemů a je provozována prostřednictvím silniční sítě a navazující struktury místních a účelových komunikací. Jediná významnější komunikace v území je silnice II/331 spojující města Lysá nad Labem a Nymburk.</w:t>
      </w:r>
    </w:p>
    <w:p w14:paraId="0BAAA2ED" w14:textId="77777777" w:rsidR="00213A5E" w:rsidRPr="006070EA" w:rsidRDefault="00213A5E" w:rsidP="00D430EF">
      <w:pPr>
        <w:pStyle w:val="Atext"/>
        <w:keepNext/>
        <w:rPr>
          <w:rFonts w:asciiTheme="majorHAnsi" w:hAnsiTheme="majorHAnsi" w:cstheme="majorHAnsi"/>
          <w:color w:val="000000"/>
        </w:rPr>
      </w:pPr>
      <w:r w:rsidRPr="006070EA">
        <w:rPr>
          <w:rFonts w:asciiTheme="majorHAnsi" w:hAnsiTheme="majorHAnsi" w:cstheme="majorHAnsi"/>
          <w:color w:val="000000"/>
        </w:rPr>
        <w:t>Řešeným územím procházejí následující silnice:</w:t>
      </w:r>
    </w:p>
    <w:p w14:paraId="2C3904B0" w14:textId="77777777" w:rsidR="00213A5E" w:rsidRPr="006070EA" w:rsidRDefault="00213A5E" w:rsidP="00213A5E">
      <w:pPr>
        <w:pStyle w:val="Anadpispodtren"/>
        <w:rPr>
          <w:rFonts w:asciiTheme="majorHAnsi" w:hAnsiTheme="majorHAnsi" w:cstheme="majorHAnsi"/>
          <w:color w:val="000000"/>
        </w:rPr>
      </w:pPr>
      <w:r w:rsidRPr="006070EA">
        <w:rPr>
          <w:rFonts w:asciiTheme="majorHAnsi" w:hAnsiTheme="majorHAnsi" w:cstheme="majorHAnsi"/>
          <w:color w:val="000000"/>
        </w:rPr>
        <w:t>Silnice II. třídy</w:t>
      </w:r>
    </w:p>
    <w:p w14:paraId="22759C52" w14:textId="77777777" w:rsidR="00213A5E" w:rsidRPr="006070EA" w:rsidRDefault="00213A5E" w:rsidP="00213A5E">
      <w:pPr>
        <w:pStyle w:val="Atext"/>
        <w:ind w:left="1418" w:hanging="709"/>
        <w:rPr>
          <w:rFonts w:asciiTheme="majorHAnsi" w:hAnsiTheme="majorHAnsi" w:cstheme="majorHAnsi"/>
          <w:color w:val="000000"/>
        </w:rPr>
      </w:pPr>
      <w:r w:rsidRPr="006070EA">
        <w:rPr>
          <w:rFonts w:asciiTheme="majorHAnsi" w:hAnsiTheme="majorHAnsi" w:cstheme="majorHAnsi"/>
          <w:b/>
          <w:color w:val="000000"/>
        </w:rPr>
        <w:t xml:space="preserve">II/331     </w:t>
      </w:r>
      <w:r w:rsidRPr="006070EA">
        <w:rPr>
          <w:rFonts w:asciiTheme="majorHAnsi" w:hAnsiTheme="majorHAnsi" w:cstheme="majorHAnsi"/>
          <w:b/>
          <w:color w:val="000000"/>
        </w:rPr>
        <w:tab/>
      </w:r>
      <w:r w:rsidRPr="006070EA">
        <w:rPr>
          <w:rFonts w:asciiTheme="majorHAnsi" w:hAnsiTheme="majorHAnsi" w:cstheme="majorHAnsi"/>
          <w:b/>
          <w:color w:val="000000"/>
        </w:rPr>
        <w:tab/>
      </w:r>
      <w:r w:rsidRPr="006070EA">
        <w:rPr>
          <w:rFonts w:asciiTheme="majorHAnsi" w:hAnsiTheme="majorHAnsi" w:cstheme="majorHAnsi"/>
          <w:color w:val="000000"/>
        </w:rPr>
        <w:t>výjezd z II/272 – Lysá nad Labem – křížení s II/272H – Ostrá – křížení s III/3316 – Šnepov – Kostomlaty nad Labem – křížení s III/2725 – křížení s III/3319  – křížení s III/33110 (1) – křížení s 33110 (2) – Nymburk – napojení na II/503</w:t>
      </w:r>
    </w:p>
    <w:p w14:paraId="14FABB1A" w14:textId="77777777" w:rsidR="00213A5E" w:rsidRPr="006070EA" w:rsidRDefault="00213A5E" w:rsidP="00213A5E">
      <w:pPr>
        <w:pStyle w:val="Anadpispodtren"/>
        <w:rPr>
          <w:rFonts w:asciiTheme="majorHAnsi" w:hAnsiTheme="majorHAnsi" w:cstheme="majorHAnsi"/>
          <w:color w:val="000000"/>
        </w:rPr>
      </w:pPr>
      <w:r w:rsidRPr="006070EA">
        <w:rPr>
          <w:rFonts w:asciiTheme="majorHAnsi" w:hAnsiTheme="majorHAnsi" w:cstheme="majorHAnsi"/>
          <w:color w:val="000000"/>
        </w:rPr>
        <w:t>Silnice III. třídy</w:t>
      </w:r>
    </w:p>
    <w:p w14:paraId="71E88898" w14:textId="77777777" w:rsidR="00213A5E" w:rsidRPr="006070EA" w:rsidRDefault="00213A5E" w:rsidP="00213A5E">
      <w:pPr>
        <w:pStyle w:val="Atext"/>
        <w:ind w:left="2127" w:hanging="1418"/>
        <w:rPr>
          <w:rFonts w:asciiTheme="majorHAnsi" w:hAnsiTheme="majorHAnsi" w:cstheme="majorHAnsi"/>
          <w:color w:val="000000"/>
        </w:rPr>
      </w:pPr>
      <w:r w:rsidRPr="006070EA">
        <w:rPr>
          <w:rFonts w:asciiTheme="majorHAnsi" w:hAnsiTheme="majorHAnsi" w:cstheme="majorHAnsi"/>
          <w:b/>
          <w:color w:val="000000"/>
        </w:rPr>
        <w:t>III/3319</w:t>
      </w:r>
      <w:r w:rsidRPr="006070EA">
        <w:rPr>
          <w:rFonts w:asciiTheme="majorHAnsi" w:hAnsiTheme="majorHAnsi" w:cstheme="majorHAnsi"/>
          <w:b/>
          <w:color w:val="000000"/>
        </w:rPr>
        <w:tab/>
      </w:r>
      <w:r w:rsidRPr="006070EA">
        <w:rPr>
          <w:rFonts w:asciiTheme="majorHAnsi" w:hAnsiTheme="majorHAnsi" w:cstheme="majorHAnsi"/>
          <w:color w:val="000000"/>
        </w:rPr>
        <w:t>Doubrava – napojení na II/331</w:t>
      </w:r>
    </w:p>
    <w:p w14:paraId="00CD193F" w14:textId="77777777" w:rsidR="00213A5E" w:rsidRPr="006070EA" w:rsidRDefault="00213A5E" w:rsidP="00213A5E">
      <w:pPr>
        <w:pStyle w:val="Atext"/>
        <w:ind w:left="2127" w:hanging="1418"/>
        <w:rPr>
          <w:rFonts w:asciiTheme="majorHAnsi" w:hAnsiTheme="majorHAnsi" w:cstheme="majorHAnsi"/>
          <w:color w:val="000000"/>
        </w:rPr>
      </w:pPr>
      <w:r w:rsidRPr="006070EA">
        <w:rPr>
          <w:rFonts w:asciiTheme="majorHAnsi" w:hAnsiTheme="majorHAnsi" w:cstheme="majorHAnsi"/>
          <w:b/>
          <w:color w:val="000000"/>
        </w:rPr>
        <w:t>III/3319n</w:t>
      </w:r>
      <w:r w:rsidRPr="006070EA">
        <w:rPr>
          <w:rFonts w:asciiTheme="majorHAnsi" w:hAnsiTheme="majorHAnsi" w:cstheme="majorHAnsi"/>
          <w:b/>
          <w:color w:val="000000"/>
        </w:rPr>
        <w:tab/>
      </w:r>
      <w:r w:rsidRPr="006070EA">
        <w:rPr>
          <w:rFonts w:asciiTheme="majorHAnsi" w:hAnsiTheme="majorHAnsi" w:cstheme="majorHAnsi"/>
          <w:color w:val="000000"/>
        </w:rPr>
        <w:t>Železniční nádraží Kostomlaty nad Labem – napojení na II/331</w:t>
      </w:r>
    </w:p>
    <w:p w14:paraId="574E3A43" w14:textId="77777777" w:rsidR="00213A5E" w:rsidRPr="006070EA" w:rsidRDefault="00213A5E" w:rsidP="00213A5E">
      <w:pPr>
        <w:pStyle w:val="Atext"/>
        <w:ind w:left="2127" w:hanging="1418"/>
        <w:rPr>
          <w:rFonts w:asciiTheme="majorHAnsi" w:hAnsiTheme="majorHAnsi" w:cstheme="majorHAnsi"/>
          <w:color w:val="000000"/>
        </w:rPr>
      </w:pPr>
      <w:r w:rsidRPr="006070EA">
        <w:rPr>
          <w:rFonts w:asciiTheme="majorHAnsi" w:hAnsiTheme="majorHAnsi" w:cstheme="majorHAnsi"/>
          <w:b/>
          <w:color w:val="000000"/>
        </w:rPr>
        <w:t>III/2725</w:t>
      </w:r>
      <w:r w:rsidRPr="006070EA">
        <w:rPr>
          <w:rFonts w:asciiTheme="majorHAnsi" w:hAnsiTheme="majorHAnsi" w:cstheme="majorHAnsi"/>
          <w:b/>
          <w:color w:val="000000"/>
        </w:rPr>
        <w:tab/>
      </w:r>
      <w:r w:rsidRPr="006070EA">
        <w:rPr>
          <w:rFonts w:asciiTheme="majorHAnsi" w:hAnsiTheme="majorHAnsi" w:cstheme="majorHAnsi"/>
          <w:color w:val="000000"/>
        </w:rPr>
        <w:t>výjezd z II/331 – Lysá nad Labem – Stratov – Rozkoš – Kostomlaty nad Labem – křížení s III/3317 – napojení na II/331</w:t>
      </w:r>
    </w:p>
    <w:p w14:paraId="6F1DF4E7" w14:textId="77777777" w:rsidR="00213A5E" w:rsidRPr="006070EA" w:rsidRDefault="00213A5E" w:rsidP="00213A5E">
      <w:pPr>
        <w:pStyle w:val="Atext"/>
        <w:ind w:left="2127" w:hanging="1418"/>
        <w:rPr>
          <w:rFonts w:asciiTheme="majorHAnsi" w:hAnsiTheme="majorHAnsi" w:cstheme="majorHAnsi"/>
          <w:color w:val="000000"/>
        </w:rPr>
      </w:pPr>
      <w:r w:rsidRPr="006070EA">
        <w:rPr>
          <w:rFonts w:asciiTheme="majorHAnsi" w:hAnsiTheme="majorHAnsi" w:cstheme="majorHAnsi"/>
          <w:b/>
          <w:color w:val="000000"/>
        </w:rPr>
        <w:t>III/3317</w:t>
      </w:r>
      <w:r w:rsidRPr="006070EA">
        <w:rPr>
          <w:rFonts w:asciiTheme="majorHAnsi" w:hAnsiTheme="majorHAnsi" w:cstheme="majorHAnsi"/>
          <w:b/>
          <w:color w:val="000000"/>
        </w:rPr>
        <w:tab/>
      </w:r>
      <w:r w:rsidRPr="006070EA">
        <w:rPr>
          <w:rFonts w:asciiTheme="majorHAnsi" w:hAnsiTheme="majorHAnsi" w:cstheme="majorHAnsi"/>
          <w:color w:val="000000"/>
        </w:rPr>
        <w:t>výjezd z III/2725 – Kostomlaty nad Labem – Hronětice – křížení s III/3318 - Vápensko</w:t>
      </w:r>
    </w:p>
    <w:p w14:paraId="6B49420B" w14:textId="77777777" w:rsidR="00213A5E" w:rsidRPr="006070EA" w:rsidRDefault="00213A5E" w:rsidP="00213A5E">
      <w:pPr>
        <w:pStyle w:val="Atext"/>
        <w:ind w:left="2127" w:hanging="1418"/>
        <w:rPr>
          <w:rFonts w:asciiTheme="majorHAnsi" w:hAnsiTheme="majorHAnsi" w:cstheme="majorHAnsi"/>
          <w:color w:val="000000"/>
        </w:rPr>
      </w:pPr>
      <w:r w:rsidRPr="006070EA">
        <w:rPr>
          <w:rFonts w:asciiTheme="majorHAnsi" w:hAnsiTheme="majorHAnsi" w:cstheme="majorHAnsi"/>
          <w:b/>
          <w:color w:val="000000"/>
        </w:rPr>
        <w:t>III/3318</w:t>
      </w:r>
      <w:r w:rsidRPr="006070EA">
        <w:rPr>
          <w:rFonts w:asciiTheme="majorHAnsi" w:hAnsiTheme="majorHAnsi" w:cstheme="majorHAnsi"/>
          <w:b/>
          <w:color w:val="000000"/>
        </w:rPr>
        <w:tab/>
      </w:r>
      <w:r w:rsidRPr="006070EA">
        <w:rPr>
          <w:rFonts w:asciiTheme="majorHAnsi" w:hAnsiTheme="majorHAnsi" w:cstheme="majorHAnsi"/>
          <w:color w:val="000000"/>
        </w:rPr>
        <w:t>výjezd z III/3317 – Hronětice – Kamenné Zboží – Nymburk – napojení na II/331</w:t>
      </w:r>
    </w:p>
    <w:p w14:paraId="043A229A" w14:textId="77777777" w:rsidR="00213A5E" w:rsidRPr="006070EA" w:rsidRDefault="00213A5E" w:rsidP="00213A5E">
      <w:pPr>
        <w:pStyle w:val="Atext"/>
        <w:spacing w:after="60"/>
        <w:rPr>
          <w:rFonts w:asciiTheme="majorHAnsi" w:hAnsiTheme="majorHAnsi" w:cstheme="majorHAnsi"/>
          <w:color w:val="000000"/>
        </w:rPr>
      </w:pPr>
      <w:r w:rsidRPr="006070EA">
        <w:rPr>
          <w:rFonts w:asciiTheme="majorHAnsi" w:hAnsiTheme="majorHAnsi" w:cstheme="majorHAnsi"/>
          <w:color w:val="000000"/>
        </w:rPr>
        <w:t>Stávající silnice III. třídy doplňují silniční síť a zprostředkovávají přímou dopravní obsluhu jednotlivých sídel. Jejich dopravní zátěž je poměrně nízká. Významu těchto komunikací a konfiguraci terénu odpovídá i jejich trasování a parametry. Významnější je pouze silnice III/2725 spojující Lysou nad Labem a Kostomlaty nad Labem.</w:t>
      </w:r>
    </w:p>
    <w:p w14:paraId="15227483" w14:textId="77777777" w:rsidR="00E92BC7" w:rsidRPr="006070EA" w:rsidRDefault="00E92BC7" w:rsidP="009E07E1">
      <w:pPr>
        <w:pStyle w:val="Anadpispodtren"/>
        <w:rPr>
          <w:rFonts w:asciiTheme="majorHAnsi" w:hAnsiTheme="majorHAnsi" w:cstheme="majorHAnsi"/>
          <w:szCs w:val="18"/>
        </w:rPr>
      </w:pPr>
      <w:r w:rsidRPr="006070EA">
        <w:rPr>
          <w:rFonts w:asciiTheme="majorHAnsi" w:hAnsiTheme="majorHAnsi" w:cstheme="majorHAnsi"/>
          <w:szCs w:val="18"/>
        </w:rPr>
        <w:t>Intenzity dopravy</w:t>
      </w:r>
    </w:p>
    <w:p w14:paraId="65DC85E0" w14:textId="50FA5B4F" w:rsidR="0059411A" w:rsidRPr="006070EA" w:rsidRDefault="0059411A" w:rsidP="00BF1668">
      <w:pPr>
        <w:keepNext/>
        <w:keepLines/>
        <w:suppressAutoHyphens/>
        <w:spacing w:before="120" w:after="120" w:line="240" w:lineRule="auto"/>
        <w:ind w:firstLine="720"/>
        <w:jc w:val="both"/>
        <w:rPr>
          <w:rFonts w:asciiTheme="majorHAnsi" w:eastAsia="Times New Roman" w:hAnsiTheme="majorHAnsi" w:cstheme="majorHAnsi"/>
          <w:bCs/>
          <w:sz w:val="18"/>
          <w:szCs w:val="20"/>
        </w:rPr>
      </w:pPr>
      <w:r w:rsidRPr="006070EA">
        <w:rPr>
          <w:rFonts w:asciiTheme="majorHAnsi" w:eastAsia="Times New Roman" w:hAnsiTheme="majorHAnsi" w:cstheme="majorHAnsi"/>
          <w:bCs/>
          <w:sz w:val="18"/>
          <w:szCs w:val="20"/>
        </w:rPr>
        <w:t>Intenzity silniční dopravy jsou jedním z primárních vstupních údajů při posuzování a navrhování silniční sítě či jejích úseků. Sčítání dopravy je cyklicky prováděno Ředitelstvím silnic a dálnic ČR (dále též jen „ŘSD ČR“) pravidelně jednou za pět let. Zahrnuje dálnice, všechny silnice I. a II. třídy a vybrané úseky III. třídy a místních komunikací. V řešeném území bylo sčítání dopravy provedeno n</w:t>
      </w:r>
      <w:r w:rsidR="00B52F4E" w:rsidRPr="006070EA">
        <w:rPr>
          <w:rFonts w:asciiTheme="majorHAnsi" w:eastAsia="Times New Roman" w:hAnsiTheme="majorHAnsi" w:cstheme="majorHAnsi"/>
          <w:bCs/>
          <w:sz w:val="18"/>
          <w:szCs w:val="20"/>
        </w:rPr>
        <w:t>aposledy v r. 2016</w:t>
      </w:r>
      <w:r w:rsidR="0062147C" w:rsidRPr="006070EA">
        <w:rPr>
          <w:rFonts w:asciiTheme="majorHAnsi" w:eastAsia="Times New Roman" w:hAnsiTheme="majorHAnsi" w:cstheme="majorHAnsi"/>
          <w:bCs/>
          <w:sz w:val="18"/>
          <w:szCs w:val="20"/>
        </w:rPr>
        <w:t xml:space="preserve"> na úsecích silnice II/331 a III/3318</w:t>
      </w:r>
      <w:r w:rsidRPr="006070EA">
        <w:rPr>
          <w:rFonts w:asciiTheme="majorHAnsi" w:eastAsia="Times New Roman" w:hAnsiTheme="majorHAnsi" w:cstheme="majorHAnsi"/>
          <w:bCs/>
          <w:sz w:val="18"/>
          <w:szCs w:val="20"/>
        </w:rPr>
        <w:t xml:space="preserve">. Míru zatížení území dopravou poskytují údaje </w:t>
      </w:r>
      <w:r w:rsidR="00977854" w:rsidRPr="006070EA">
        <w:rPr>
          <w:rFonts w:asciiTheme="majorHAnsi" w:eastAsia="Times New Roman" w:hAnsiTheme="majorHAnsi" w:cstheme="majorHAnsi"/>
          <w:bCs/>
          <w:sz w:val="18"/>
          <w:szCs w:val="20"/>
        </w:rPr>
        <w:t xml:space="preserve">v následující tabulce dle dat Celostátního sčítání dopravy </w:t>
      </w:r>
      <w:r w:rsidR="00EC3C28" w:rsidRPr="006070EA">
        <w:rPr>
          <w:rFonts w:asciiTheme="majorHAnsi" w:eastAsia="Times New Roman" w:hAnsiTheme="majorHAnsi" w:cstheme="majorHAnsi"/>
          <w:bCs/>
          <w:sz w:val="18"/>
          <w:szCs w:val="20"/>
        </w:rPr>
        <w:t>v</w:t>
      </w:r>
      <w:r w:rsidR="0062147C" w:rsidRPr="006070EA">
        <w:rPr>
          <w:rFonts w:asciiTheme="majorHAnsi" w:eastAsia="Times New Roman" w:hAnsiTheme="majorHAnsi" w:cstheme="majorHAnsi"/>
          <w:bCs/>
          <w:sz w:val="18"/>
          <w:szCs w:val="20"/>
        </w:rPr>
        <w:t xml:space="preserve"> letech </w:t>
      </w:r>
      <w:r w:rsidR="00EC3C28" w:rsidRPr="006070EA">
        <w:rPr>
          <w:rFonts w:asciiTheme="majorHAnsi" w:eastAsia="Times New Roman" w:hAnsiTheme="majorHAnsi" w:cstheme="majorHAnsi"/>
          <w:bCs/>
          <w:sz w:val="18"/>
          <w:szCs w:val="20"/>
        </w:rPr>
        <w:t xml:space="preserve">2010 </w:t>
      </w:r>
      <w:r w:rsidR="0062147C" w:rsidRPr="006070EA">
        <w:rPr>
          <w:rFonts w:asciiTheme="majorHAnsi" w:eastAsia="Times New Roman" w:hAnsiTheme="majorHAnsi" w:cstheme="majorHAnsi"/>
          <w:bCs/>
          <w:sz w:val="18"/>
          <w:szCs w:val="20"/>
        </w:rPr>
        <w:t xml:space="preserve">a 2016 </w:t>
      </w:r>
      <w:r w:rsidR="00977854" w:rsidRPr="006070EA">
        <w:rPr>
          <w:rFonts w:asciiTheme="majorHAnsi" w:eastAsia="Times New Roman" w:hAnsiTheme="majorHAnsi" w:cstheme="majorHAnsi"/>
          <w:bCs/>
          <w:sz w:val="18"/>
          <w:szCs w:val="20"/>
        </w:rPr>
        <w:t>(tabulka uvádí údaje ročního průměru denních intenzit dopravy za všechny dny týdne)</w:t>
      </w:r>
      <w:r w:rsidRPr="006070EA">
        <w:rPr>
          <w:rFonts w:asciiTheme="majorHAnsi" w:eastAsia="Times New Roman" w:hAnsiTheme="majorHAnsi" w:cstheme="majorHAnsi"/>
          <w:bCs/>
          <w:sz w:val="18"/>
          <w:szCs w:val="20"/>
        </w:rPr>
        <w:t xml:space="preserve">: </w:t>
      </w:r>
    </w:p>
    <w:tbl>
      <w:tblPr>
        <w:tblW w:w="9103" w:type="dxa"/>
        <w:jc w:val="center"/>
        <w:tblBorders>
          <w:insideH w:val="single" w:sz="4" w:space="0" w:color="auto"/>
          <w:insideV w:val="single" w:sz="4" w:space="0" w:color="auto"/>
        </w:tblBorders>
        <w:tblLook w:val="04A0" w:firstRow="1" w:lastRow="0" w:firstColumn="1" w:lastColumn="0" w:noHBand="0" w:noVBand="1"/>
      </w:tblPr>
      <w:tblGrid>
        <w:gridCol w:w="737"/>
        <w:gridCol w:w="1020"/>
        <w:gridCol w:w="1456"/>
        <w:gridCol w:w="1135"/>
        <w:gridCol w:w="1187"/>
        <w:gridCol w:w="1217"/>
        <w:gridCol w:w="1228"/>
        <w:gridCol w:w="1123"/>
      </w:tblGrid>
      <w:tr w:rsidR="0062147C" w:rsidRPr="006070EA" w14:paraId="3406D02C" w14:textId="77777777" w:rsidTr="00DD69E4">
        <w:trPr>
          <w:cantSplit/>
          <w:trHeight w:val="283"/>
          <w:tblHeader/>
          <w:jc w:val="center"/>
        </w:trPr>
        <w:tc>
          <w:tcPr>
            <w:tcW w:w="737" w:type="dxa"/>
            <w:tcBorders>
              <w:top w:val="nil"/>
              <w:bottom w:val="single" w:sz="12" w:space="0" w:color="auto"/>
              <w:right w:val="single" w:sz="12" w:space="0" w:color="auto"/>
            </w:tcBorders>
            <w:shd w:val="clear" w:color="auto" w:fill="auto"/>
            <w:vAlign w:val="center"/>
          </w:tcPr>
          <w:p w14:paraId="0A92CDEA" w14:textId="00383A8E" w:rsidR="00712C59" w:rsidRPr="006070EA" w:rsidRDefault="00712C59" w:rsidP="00712C59">
            <w:pPr>
              <w:pStyle w:val="Bezmezer"/>
              <w:keepNext/>
              <w:jc w:val="center"/>
              <w:rPr>
                <w:rFonts w:asciiTheme="majorHAnsi" w:hAnsiTheme="majorHAnsi" w:cstheme="majorHAnsi"/>
                <w:b/>
                <w:lang w:val="cs-CZ"/>
              </w:rPr>
            </w:pPr>
            <w:r w:rsidRPr="006070EA">
              <w:rPr>
                <w:rFonts w:asciiTheme="majorHAnsi" w:hAnsiTheme="majorHAnsi" w:cstheme="majorHAnsi"/>
                <w:b/>
                <w:lang w:val="cs-CZ"/>
              </w:rPr>
              <w:t>Rok</w:t>
            </w:r>
          </w:p>
        </w:tc>
        <w:tc>
          <w:tcPr>
            <w:tcW w:w="1020" w:type="dxa"/>
            <w:tcBorders>
              <w:top w:val="nil"/>
              <w:bottom w:val="single" w:sz="12" w:space="0" w:color="auto"/>
            </w:tcBorders>
            <w:vAlign w:val="center"/>
          </w:tcPr>
          <w:p w14:paraId="22FD937A" w14:textId="35C1FC46" w:rsidR="00712C59" w:rsidRPr="006070EA" w:rsidRDefault="00712C59" w:rsidP="00712C59">
            <w:pPr>
              <w:pStyle w:val="Bezmezer"/>
              <w:keepNext/>
              <w:jc w:val="center"/>
              <w:rPr>
                <w:rFonts w:asciiTheme="majorHAnsi" w:hAnsiTheme="majorHAnsi" w:cstheme="majorHAnsi"/>
                <w:b/>
                <w:lang w:val="cs-CZ"/>
              </w:rPr>
            </w:pPr>
            <w:r w:rsidRPr="006070EA">
              <w:rPr>
                <w:rFonts w:asciiTheme="majorHAnsi" w:hAnsiTheme="majorHAnsi" w:cstheme="majorHAnsi"/>
                <w:b/>
                <w:lang w:val="cs-CZ"/>
              </w:rPr>
              <w:t>sčítací úsek</w:t>
            </w:r>
          </w:p>
        </w:tc>
        <w:tc>
          <w:tcPr>
            <w:tcW w:w="1456" w:type="dxa"/>
            <w:tcBorders>
              <w:top w:val="nil"/>
              <w:left w:val="single" w:sz="12" w:space="0" w:color="auto"/>
              <w:bottom w:val="single" w:sz="12" w:space="0" w:color="auto"/>
              <w:right w:val="single" w:sz="12" w:space="0" w:color="auto"/>
            </w:tcBorders>
            <w:shd w:val="clear" w:color="auto" w:fill="auto"/>
            <w:vAlign w:val="center"/>
          </w:tcPr>
          <w:p w14:paraId="3CF22F53" w14:textId="11DEA172" w:rsidR="00712C59" w:rsidRPr="006070EA" w:rsidRDefault="00712C59" w:rsidP="00712C59">
            <w:pPr>
              <w:pStyle w:val="Bezmezer"/>
              <w:keepNext/>
              <w:jc w:val="center"/>
              <w:rPr>
                <w:rFonts w:asciiTheme="majorHAnsi" w:hAnsiTheme="majorHAnsi" w:cstheme="majorHAnsi"/>
                <w:b/>
                <w:lang w:val="cs-CZ"/>
              </w:rPr>
            </w:pPr>
            <w:r w:rsidRPr="006070EA">
              <w:rPr>
                <w:rFonts w:asciiTheme="majorHAnsi" w:hAnsiTheme="majorHAnsi" w:cstheme="majorHAnsi"/>
                <w:b/>
                <w:lang w:val="cs-CZ"/>
              </w:rPr>
              <w:t>sčítací úsek</w:t>
            </w:r>
          </w:p>
        </w:tc>
        <w:tc>
          <w:tcPr>
            <w:tcW w:w="1135" w:type="dxa"/>
            <w:tcBorders>
              <w:top w:val="nil"/>
              <w:left w:val="single" w:sz="12" w:space="0" w:color="auto"/>
              <w:bottom w:val="single" w:sz="12" w:space="0" w:color="auto"/>
              <w:right w:val="single" w:sz="12" w:space="0" w:color="auto"/>
            </w:tcBorders>
            <w:shd w:val="clear" w:color="auto" w:fill="auto"/>
            <w:vAlign w:val="center"/>
          </w:tcPr>
          <w:p w14:paraId="320E482A" w14:textId="77777777" w:rsidR="00712C59" w:rsidRPr="006070EA" w:rsidRDefault="00712C59" w:rsidP="00712C59">
            <w:pPr>
              <w:pStyle w:val="Bezmezer"/>
              <w:keepNext/>
              <w:jc w:val="center"/>
              <w:rPr>
                <w:rFonts w:asciiTheme="majorHAnsi" w:hAnsiTheme="majorHAnsi" w:cstheme="majorHAnsi"/>
                <w:b/>
                <w:lang w:val="cs-CZ"/>
              </w:rPr>
            </w:pPr>
            <w:r w:rsidRPr="006070EA">
              <w:rPr>
                <w:rFonts w:asciiTheme="majorHAnsi" w:hAnsiTheme="majorHAnsi" w:cstheme="majorHAnsi"/>
                <w:b/>
                <w:lang w:val="cs-CZ"/>
              </w:rPr>
              <w:t>komunikace</w:t>
            </w:r>
          </w:p>
        </w:tc>
        <w:tc>
          <w:tcPr>
            <w:tcW w:w="1187" w:type="dxa"/>
            <w:tcBorders>
              <w:top w:val="nil"/>
              <w:left w:val="single" w:sz="12" w:space="0" w:color="auto"/>
              <w:bottom w:val="single" w:sz="12" w:space="0" w:color="auto"/>
              <w:right w:val="single" w:sz="12" w:space="0" w:color="auto"/>
            </w:tcBorders>
            <w:shd w:val="clear" w:color="auto" w:fill="auto"/>
            <w:vAlign w:val="center"/>
          </w:tcPr>
          <w:p w14:paraId="68F331E5" w14:textId="77777777" w:rsidR="00712C59" w:rsidRPr="006070EA" w:rsidRDefault="00712C59" w:rsidP="00712C59">
            <w:pPr>
              <w:pStyle w:val="Bezmezer"/>
              <w:keepNext/>
              <w:jc w:val="center"/>
              <w:rPr>
                <w:rFonts w:asciiTheme="majorHAnsi" w:hAnsiTheme="majorHAnsi" w:cstheme="majorHAnsi"/>
                <w:b/>
                <w:lang w:val="cs-CZ"/>
              </w:rPr>
            </w:pPr>
            <w:r w:rsidRPr="006070EA">
              <w:rPr>
                <w:rFonts w:asciiTheme="majorHAnsi" w:hAnsiTheme="majorHAnsi" w:cstheme="majorHAnsi"/>
                <w:b/>
                <w:lang w:val="cs-CZ"/>
              </w:rPr>
              <w:t>těžká motorová vozidla</w:t>
            </w:r>
          </w:p>
          <w:p w14:paraId="54CE18B3" w14:textId="77777777" w:rsidR="00712C59" w:rsidRPr="006070EA" w:rsidRDefault="00712C59" w:rsidP="00712C59">
            <w:pPr>
              <w:pStyle w:val="Bezmezer"/>
              <w:keepNext/>
              <w:jc w:val="center"/>
              <w:rPr>
                <w:rFonts w:asciiTheme="majorHAnsi" w:hAnsiTheme="majorHAnsi" w:cstheme="majorHAnsi"/>
                <w:b/>
                <w:lang w:val="cs-CZ"/>
              </w:rPr>
            </w:pPr>
            <w:r w:rsidRPr="006070EA">
              <w:rPr>
                <w:rFonts w:asciiTheme="majorHAnsi" w:hAnsiTheme="majorHAnsi" w:cstheme="majorHAnsi"/>
                <w:b/>
                <w:lang w:val="cs-CZ"/>
              </w:rPr>
              <w:t>[voz/24 hod]</w:t>
            </w:r>
          </w:p>
        </w:tc>
        <w:tc>
          <w:tcPr>
            <w:tcW w:w="1217" w:type="dxa"/>
            <w:tcBorders>
              <w:top w:val="nil"/>
              <w:left w:val="single" w:sz="12" w:space="0" w:color="auto"/>
              <w:bottom w:val="single" w:sz="12" w:space="0" w:color="auto"/>
              <w:right w:val="single" w:sz="12" w:space="0" w:color="auto"/>
            </w:tcBorders>
            <w:shd w:val="clear" w:color="auto" w:fill="auto"/>
            <w:vAlign w:val="center"/>
          </w:tcPr>
          <w:p w14:paraId="01966432" w14:textId="77777777" w:rsidR="00712C59" w:rsidRPr="006070EA" w:rsidRDefault="00712C59" w:rsidP="00712C59">
            <w:pPr>
              <w:pStyle w:val="Bezmezer"/>
              <w:keepNext/>
              <w:jc w:val="center"/>
              <w:rPr>
                <w:rFonts w:asciiTheme="majorHAnsi" w:hAnsiTheme="majorHAnsi" w:cstheme="majorHAnsi"/>
                <w:b/>
                <w:lang w:val="cs-CZ"/>
              </w:rPr>
            </w:pPr>
            <w:r w:rsidRPr="006070EA">
              <w:rPr>
                <w:rFonts w:asciiTheme="majorHAnsi" w:hAnsiTheme="majorHAnsi" w:cstheme="majorHAnsi"/>
                <w:b/>
                <w:lang w:val="cs-CZ"/>
              </w:rPr>
              <w:t>osobní a dodávková vozidla</w:t>
            </w:r>
          </w:p>
          <w:p w14:paraId="018E8B7D" w14:textId="77777777" w:rsidR="00712C59" w:rsidRPr="006070EA" w:rsidRDefault="00712C59" w:rsidP="00712C59">
            <w:pPr>
              <w:pStyle w:val="Bezmezer"/>
              <w:keepNext/>
              <w:jc w:val="center"/>
              <w:rPr>
                <w:rFonts w:asciiTheme="majorHAnsi" w:hAnsiTheme="majorHAnsi" w:cstheme="majorHAnsi"/>
                <w:b/>
                <w:lang w:val="cs-CZ"/>
              </w:rPr>
            </w:pPr>
            <w:r w:rsidRPr="006070EA">
              <w:rPr>
                <w:rFonts w:asciiTheme="majorHAnsi" w:hAnsiTheme="majorHAnsi" w:cstheme="majorHAnsi"/>
                <w:b/>
                <w:lang w:val="cs-CZ"/>
              </w:rPr>
              <w:t>[voz/24 hod]</w:t>
            </w:r>
          </w:p>
        </w:tc>
        <w:tc>
          <w:tcPr>
            <w:tcW w:w="1228" w:type="dxa"/>
            <w:tcBorders>
              <w:top w:val="nil"/>
              <w:left w:val="single" w:sz="12" w:space="0" w:color="auto"/>
              <w:bottom w:val="single" w:sz="12" w:space="0" w:color="auto"/>
              <w:right w:val="single" w:sz="12" w:space="0" w:color="auto"/>
            </w:tcBorders>
            <w:shd w:val="clear" w:color="auto" w:fill="auto"/>
            <w:vAlign w:val="center"/>
          </w:tcPr>
          <w:p w14:paraId="5489EC2A" w14:textId="77777777" w:rsidR="00712C59" w:rsidRPr="006070EA" w:rsidRDefault="00712C59" w:rsidP="00712C59">
            <w:pPr>
              <w:pStyle w:val="Bezmezer"/>
              <w:keepNext/>
              <w:jc w:val="center"/>
              <w:rPr>
                <w:rFonts w:asciiTheme="majorHAnsi" w:hAnsiTheme="majorHAnsi" w:cstheme="majorHAnsi"/>
                <w:b/>
                <w:lang w:val="cs-CZ"/>
              </w:rPr>
            </w:pPr>
            <w:r w:rsidRPr="006070EA">
              <w:rPr>
                <w:rFonts w:asciiTheme="majorHAnsi" w:hAnsiTheme="majorHAnsi" w:cstheme="majorHAnsi"/>
                <w:b/>
                <w:lang w:val="cs-CZ"/>
              </w:rPr>
              <w:t>jednostopá motorová vozidla</w:t>
            </w:r>
          </w:p>
          <w:p w14:paraId="4A35DD9C" w14:textId="77777777" w:rsidR="00712C59" w:rsidRPr="006070EA" w:rsidRDefault="00712C59" w:rsidP="00712C59">
            <w:pPr>
              <w:pStyle w:val="Bezmezer"/>
              <w:keepNext/>
              <w:jc w:val="center"/>
              <w:rPr>
                <w:rFonts w:asciiTheme="majorHAnsi" w:hAnsiTheme="majorHAnsi" w:cstheme="majorHAnsi"/>
                <w:b/>
                <w:lang w:val="cs-CZ"/>
              </w:rPr>
            </w:pPr>
            <w:r w:rsidRPr="006070EA">
              <w:rPr>
                <w:rFonts w:asciiTheme="majorHAnsi" w:hAnsiTheme="majorHAnsi" w:cstheme="majorHAnsi"/>
                <w:b/>
                <w:lang w:val="cs-CZ"/>
              </w:rPr>
              <w:t>[voz/24 hod]</w:t>
            </w:r>
          </w:p>
        </w:tc>
        <w:tc>
          <w:tcPr>
            <w:tcW w:w="1123" w:type="dxa"/>
            <w:tcBorders>
              <w:top w:val="nil"/>
              <w:left w:val="single" w:sz="12" w:space="0" w:color="auto"/>
              <w:bottom w:val="single" w:sz="12" w:space="0" w:color="auto"/>
            </w:tcBorders>
            <w:shd w:val="clear" w:color="auto" w:fill="auto"/>
            <w:vAlign w:val="center"/>
          </w:tcPr>
          <w:p w14:paraId="0F838CCE" w14:textId="77777777" w:rsidR="00712C59" w:rsidRPr="006070EA" w:rsidRDefault="00712C59" w:rsidP="00712C59">
            <w:pPr>
              <w:pStyle w:val="Bezmezer"/>
              <w:keepNext/>
              <w:jc w:val="center"/>
              <w:rPr>
                <w:rFonts w:asciiTheme="majorHAnsi" w:hAnsiTheme="majorHAnsi" w:cstheme="majorHAnsi"/>
                <w:b/>
                <w:lang w:val="cs-CZ"/>
              </w:rPr>
            </w:pPr>
            <w:r w:rsidRPr="006070EA">
              <w:rPr>
                <w:rFonts w:asciiTheme="majorHAnsi" w:hAnsiTheme="majorHAnsi" w:cstheme="majorHAnsi"/>
                <w:b/>
                <w:lang w:val="cs-CZ"/>
              </w:rPr>
              <w:t>součet všech vozidel</w:t>
            </w:r>
          </w:p>
          <w:p w14:paraId="44BD7A3A" w14:textId="77777777" w:rsidR="00712C59" w:rsidRPr="006070EA" w:rsidRDefault="00712C59" w:rsidP="00712C59">
            <w:pPr>
              <w:pStyle w:val="Bezmezer"/>
              <w:keepNext/>
              <w:jc w:val="center"/>
              <w:rPr>
                <w:rFonts w:asciiTheme="majorHAnsi" w:hAnsiTheme="majorHAnsi" w:cstheme="majorHAnsi"/>
                <w:b/>
                <w:lang w:val="cs-CZ"/>
              </w:rPr>
            </w:pPr>
            <w:r w:rsidRPr="006070EA">
              <w:rPr>
                <w:rFonts w:asciiTheme="majorHAnsi" w:hAnsiTheme="majorHAnsi" w:cstheme="majorHAnsi"/>
                <w:b/>
                <w:lang w:val="cs-CZ"/>
              </w:rPr>
              <w:t>[voz/24 hod]</w:t>
            </w:r>
          </w:p>
        </w:tc>
      </w:tr>
      <w:tr w:rsidR="0062147C" w:rsidRPr="006070EA" w14:paraId="4710B154" w14:textId="77777777" w:rsidTr="00DD69E4">
        <w:trPr>
          <w:trHeight w:val="283"/>
          <w:jc w:val="center"/>
        </w:trPr>
        <w:tc>
          <w:tcPr>
            <w:tcW w:w="737" w:type="dxa"/>
            <w:tcBorders>
              <w:top w:val="single" w:sz="12" w:space="0" w:color="auto"/>
              <w:bottom w:val="single" w:sz="4" w:space="0" w:color="auto"/>
            </w:tcBorders>
            <w:shd w:val="clear" w:color="auto" w:fill="auto"/>
            <w:vAlign w:val="center"/>
          </w:tcPr>
          <w:p w14:paraId="046CFE4E" w14:textId="262767C7" w:rsidR="00712C59" w:rsidRPr="006070EA" w:rsidRDefault="00712C59" w:rsidP="00712C59">
            <w:pPr>
              <w:pStyle w:val="Bezmezer"/>
              <w:jc w:val="center"/>
              <w:rPr>
                <w:rFonts w:asciiTheme="majorHAnsi" w:hAnsiTheme="majorHAnsi" w:cstheme="majorHAnsi"/>
                <w:lang w:val="cs-CZ"/>
              </w:rPr>
            </w:pPr>
            <w:r w:rsidRPr="006070EA">
              <w:rPr>
                <w:rFonts w:asciiTheme="majorHAnsi" w:hAnsiTheme="majorHAnsi" w:cstheme="majorHAnsi"/>
                <w:lang w:val="cs-CZ"/>
              </w:rPr>
              <w:t>2010</w:t>
            </w:r>
          </w:p>
        </w:tc>
        <w:tc>
          <w:tcPr>
            <w:tcW w:w="1020" w:type="dxa"/>
            <w:tcBorders>
              <w:top w:val="single" w:sz="12" w:space="0" w:color="auto"/>
              <w:bottom w:val="single" w:sz="4" w:space="0" w:color="auto"/>
            </w:tcBorders>
            <w:vAlign w:val="center"/>
          </w:tcPr>
          <w:p w14:paraId="6CF17F63" w14:textId="369D89EF" w:rsidR="00712C59" w:rsidRPr="006070EA" w:rsidRDefault="00712C59" w:rsidP="00712C59">
            <w:pPr>
              <w:pStyle w:val="Bezmezer"/>
              <w:jc w:val="center"/>
              <w:rPr>
                <w:rFonts w:asciiTheme="majorHAnsi" w:hAnsiTheme="majorHAnsi" w:cstheme="majorHAnsi"/>
                <w:lang w:val="cs-CZ"/>
              </w:rPr>
            </w:pPr>
            <w:r w:rsidRPr="006070EA">
              <w:rPr>
                <w:rFonts w:asciiTheme="majorHAnsi" w:hAnsiTheme="majorHAnsi" w:cstheme="majorHAnsi"/>
                <w:lang w:val="cs-CZ"/>
              </w:rPr>
              <w:t>1-3320</w:t>
            </w:r>
          </w:p>
        </w:tc>
        <w:tc>
          <w:tcPr>
            <w:tcW w:w="1456" w:type="dxa"/>
            <w:tcBorders>
              <w:top w:val="single" w:sz="12" w:space="0" w:color="auto"/>
              <w:bottom w:val="single" w:sz="4" w:space="0" w:color="auto"/>
            </w:tcBorders>
            <w:shd w:val="clear" w:color="auto" w:fill="auto"/>
            <w:vAlign w:val="center"/>
          </w:tcPr>
          <w:p w14:paraId="6464B367" w14:textId="7C5E972B" w:rsidR="00712C59" w:rsidRPr="006070EA" w:rsidRDefault="00712C59" w:rsidP="00712C59">
            <w:pPr>
              <w:pStyle w:val="Bezmezer"/>
              <w:jc w:val="center"/>
              <w:rPr>
                <w:rFonts w:asciiTheme="majorHAnsi" w:hAnsiTheme="majorHAnsi" w:cstheme="majorHAnsi"/>
                <w:lang w:val="cs-CZ"/>
              </w:rPr>
            </w:pPr>
            <w:r w:rsidRPr="006070EA">
              <w:rPr>
                <w:rFonts w:asciiTheme="majorHAnsi" w:hAnsiTheme="majorHAnsi" w:cstheme="majorHAnsi"/>
                <w:lang w:val="cs-CZ"/>
              </w:rPr>
              <w:t>Lysá nad Labem – Kostomlaty nad Labem</w:t>
            </w:r>
          </w:p>
        </w:tc>
        <w:tc>
          <w:tcPr>
            <w:tcW w:w="1135" w:type="dxa"/>
            <w:tcBorders>
              <w:top w:val="single" w:sz="12" w:space="0" w:color="auto"/>
              <w:bottom w:val="single" w:sz="4" w:space="0" w:color="auto"/>
            </w:tcBorders>
            <w:shd w:val="clear" w:color="auto" w:fill="auto"/>
            <w:vAlign w:val="center"/>
          </w:tcPr>
          <w:p w14:paraId="064351AF" w14:textId="77777777" w:rsidR="00712C59" w:rsidRPr="006070EA" w:rsidRDefault="00712C59" w:rsidP="00712C59">
            <w:pPr>
              <w:pStyle w:val="Bezmezer"/>
              <w:jc w:val="center"/>
              <w:rPr>
                <w:rFonts w:asciiTheme="majorHAnsi" w:hAnsiTheme="majorHAnsi" w:cstheme="majorHAnsi"/>
                <w:lang w:val="cs-CZ"/>
              </w:rPr>
            </w:pPr>
            <w:r w:rsidRPr="006070EA">
              <w:rPr>
                <w:rFonts w:asciiTheme="majorHAnsi" w:hAnsiTheme="majorHAnsi" w:cstheme="majorHAnsi"/>
                <w:lang w:val="cs-CZ"/>
              </w:rPr>
              <w:t>II/331</w:t>
            </w:r>
          </w:p>
        </w:tc>
        <w:tc>
          <w:tcPr>
            <w:tcW w:w="1187" w:type="dxa"/>
            <w:tcBorders>
              <w:top w:val="single" w:sz="12" w:space="0" w:color="auto"/>
              <w:bottom w:val="single" w:sz="4" w:space="0" w:color="auto"/>
            </w:tcBorders>
            <w:shd w:val="clear" w:color="auto" w:fill="auto"/>
            <w:vAlign w:val="center"/>
          </w:tcPr>
          <w:p w14:paraId="5FA16331" w14:textId="583EFFBB" w:rsidR="00712C59" w:rsidRPr="006070EA" w:rsidRDefault="00712C59" w:rsidP="00712C59">
            <w:pPr>
              <w:pStyle w:val="Bezmezer"/>
              <w:jc w:val="center"/>
              <w:rPr>
                <w:rFonts w:asciiTheme="majorHAnsi" w:hAnsiTheme="majorHAnsi" w:cstheme="majorHAnsi"/>
                <w:lang w:val="cs-CZ"/>
              </w:rPr>
            </w:pPr>
            <w:r w:rsidRPr="006070EA">
              <w:rPr>
                <w:rFonts w:asciiTheme="majorHAnsi" w:hAnsiTheme="majorHAnsi" w:cstheme="majorHAnsi"/>
                <w:lang w:val="cs-CZ"/>
              </w:rPr>
              <w:t>538</w:t>
            </w:r>
          </w:p>
        </w:tc>
        <w:tc>
          <w:tcPr>
            <w:tcW w:w="1217" w:type="dxa"/>
            <w:tcBorders>
              <w:top w:val="single" w:sz="12" w:space="0" w:color="auto"/>
              <w:bottom w:val="single" w:sz="4" w:space="0" w:color="auto"/>
            </w:tcBorders>
            <w:shd w:val="clear" w:color="auto" w:fill="auto"/>
            <w:vAlign w:val="center"/>
          </w:tcPr>
          <w:p w14:paraId="4D67269E" w14:textId="420CA053" w:rsidR="00712C59" w:rsidRPr="006070EA" w:rsidRDefault="00712C59" w:rsidP="00712C59">
            <w:pPr>
              <w:pStyle w:val="Bezmezer"/>
              <w:jc w:val="center"/>
              <w:rPr>
                <w:rFonts w:asciiTheme="majorHAnsi" w:hAnsiTheme="majorHAnsi" w:cstheme="majorHAnsi"/>
                <w:lang w:val="cs-CZ"/>
              </w:rPr>
            </w:pPr>
            <w:r w:rsidRPr="006070EA">
              <w:rPr>
                <w:rFonts w:asciiTheme="majorHAnsi" w:hAnsiTheme="majorHAnsi" w:cstheme="majorHAnsi"/>
                <w:lang w:val="cs-CZ"/>
              </w:rPr>
              <w:t>3022</w:t>
            </w:r>
          </w:p>
        </w:tc>
        <w:tc>
          <w:tcPr>
            <w:tcW w:w="1228" w:type="dxa"/>
            <w:tcBorders>
              <w:top w:val="single" w:sz="12" w:space="0" w:color="auto"/>
              <w:bottom w:val="single" w:sz="4" w:space="0" w:color="auto"/>
            </w:tcBorders>
            <w:shd w:val="clear" w:color="auto" w:fill="auto"/>
            <w:vAlign w:val="center"/>
          </w:tcPr>
          <w:p w14:paraId="094150BF" w14:textId="2500EABF" w:rsidR="00712C59" w:rsidRPr="006070EA" w:rsidRDefault="00712C59" w:rsidP="00712C59">
            <w:pPr>
              <w:pStyle w:val="Bezmezer"/>
              <w:jc w:val="center"/>
              <w:rPr>
                <w:rFonts w:asciiTheme="majorHAnsi" w:hAnsiTheme="majorHAnsi" w:cstheme="majorHAnsi"/>
                <w:lang w:val="cs-CZ"/>
              </w:rPr>
            </w:pPr>
            <w:r w:rsidRPr="006070EA">
              <w:rPr>
                <w:rFonts w:asciiTheme="majorHAnsi" w:hAnsiTheme="majorHAnsi" w:cstheme="majorHAnsi"/>
                <w:lang w:val="cs-CZ"/>
              </w:rPr>
              <w:t>31</w:t>
            </w:r>
          </w:p>
        </w:tc>
        <w:tc>
          <w:tcPr>
            <w:tcW w:w="1123" w:type="dxa"/>
            <w:tcBorders>
              <w:top w:val="single" w:sz="12" w:space="0" w:color="auto"/>
              <w:bottom w:val="single" w:sz="4" w:space="0" w:color="auto"/>
            </w:tcBorders>
            <w:shd w:val="clear" w:color="auto" w:fill="auto"/>
            <w:vAlign w:val="center"/>
          </w:tcPr>
          <w:p w14:paraId="29C35E98" w14:textId="58E216F9" w:rsidR="00712C59" w:rsidRPr="006070EA" w:rsidRDefault="00712C59" w:rsidP="00712C59">
            <w:pPr>
              <w:pStyle w:val="Bezmezer"/>
              <w:jc w:val="center"/>
              <w:rPr>
                <w:rFonts w:asciiTheme="majorHAnsi" w:hAnsiTheme="majorHAnsi" w:cstheme="majorHAnsi"/>
                <w:b/>
                <w:lang w:val="cs-CZ"/>
              </w:rPr>
            </w:pPr>
            <w:r w:rsidRPr="006070EA">
              <w:rPr>
                <w:rFonts w:asciiTheme="majorHAnsi" w:hAnsiTheme="majorHAnsi" w:cstheme="majorHAnsi"/>
                <w:b/>
                <w:lang w:val="cs-CZ"/>
              </w:rPr>
              <w:t>3591</w:t>
            </w:r>
          </w:p>
        </w:tc>
      </w:tr>
      <w:tr w:rsidR="0062147C" w:rsidRPr="006070EA" w14:paraId="7125BA05" w14:textId="77777777" w:rsidTr="00DD69E4">
        <w:trPr>
          <w:trHeight w:val="283"/>
          <w:jc w:val="center"/>
        </w:trPr>
        <w:tc>
          <w:tcPr>
            <w:tcW w:w="737" w:type="dxa"/>
            <w:tcBorders>
              <w:top w:val="single" w:sz="4" w:space="0" w:color="auto"/>
              <w:bottom w:val="single" w:sz="4" w:space="0" w:color="auto"/>
            </w:tcBorders>
            <w:shd w:val="clear" w:color="auto" w:fill="auto"/>
            <w:vAlign w:val="center"/>
          </w:tcPr>
          <w:p w14:paraId="223BB4C8" w14:textId="6D193863" w:rsidR="00712C59" w:rsidRPr="006070EA" w:rsidRDefault="00712C59" w:rsidP="00712C59">
            <w:pPr>
              <w:pStyle w:val="Bezmezer"/>
              <w:jc w:val="center"/>
              <w:rPr>
                <w:rFonts w:asciiTheme="majorHAnsi" w:hAnsiTheme="majorHAnsi" w:cstheme="majorHAnsi"/>
                <w:lang w:val="cs-CZ"/>
              </w:rPr>
            </w:pPr>
            <w:r w:rsidRPr="006070EA">
              <w:rPr>
                <w:rFonts w:asciiTheme="majorHAnsi" w:hAnsiTheme="majorHAnsi" w:cstheme="majorHAnsi"/>
                <w:lang w:val="cs-CZ"/>
              </w:rPr>
              <w:t>2010</w:t>
            </w:r>
          </w:p>
        </w:tc>
        <w:tc>
          <w:tcPr>
            <w:tcW w:w="1020" w:type="dxa"/>
            <w:vMerge w:val="restart"/>
            <w:tcBorders>
              <w:top w:val="single" w:sz="4" w:space="0" w:color="auto"/>
              <w:bottom w:val="single" w:sz="4" w:space="0" w:color="auto"/>
            </w:tcBorders>
            <w:vAlign w:val="center"/>
          </w:tcPr>
          <w:p w14:paraId="29DE092F" w14:textId="70A3092D" w:rsidR="00712C59" w:rsidRPr="006070EA" w:rsidRDefault="00712C59" w:rsidP="00712C59">
            <w:pPr>
              <w:pStyle w:val="Bezmezer"/>
              <w:jc w:val="center"/>
              <w:rPr>
                <w:rFonts w:asciiTheme="majorHAnsi" w:hAnsiTheme="majorHAnsi" w:cstheme="majorHAnsi"/>
                <w:lang w:val="cs-CZ"/>
              </w:rPr>
            </w:pPr>
            <w:r w:rsidRPr="006070EA">
              <w:rPr>
                <w:rFonts w:asciiTheme="majorHAnsi" w:hAnsiTheme="majorHAnsi" w:cstheme="majorHAnsi"/>
                <w:lang w:val="cs-CZ"/>
              </w:rPr>
              <w:t>1-3226</w:t>
            </w:r>
          </w:p>
        </w:tc>
        <w:tc>
          <w:tcPr>
            <w:tcW w:w="1456" w:type="dxa"/>
            <w:vMerge w:val="restart"/>
            <w:tcBorders>
              <w:top w:val="single" w:sz="4" w:space="0" w:color="auto"/>
              <w:bottom w:val="single" w:sz="4" w:space="0" w:color="auto"/>
            </w:tcBorders>
            <w:shd w:val="clear" w:color="auto" w:fill="auto"/>
            <w:vAlign w:val="center"/>
          </w:tcPr>
          <w:p w14:paraId="67930F61" w14:textId="30CDCDA9" w:rsidR="00712C59" w:rsidRPr="006070EA" w:rsidRDefault="00712C59" w:rsidP="00712C59">
            <w:pPr>
              <w:pStyle w:val="Bezmezer"/>
              <w:jc w:val="center"/>
              <w:rPr>
                <w:rFonts w:asciiTheme="majorHAnsi" w:hAnsiTheme="majorHAnsi" w:cstheme="majorHAnsi"/>
                <w:lang w:val="cs-CZ"/>
              </w:rPr>
            </w:pPr>
            <w:r w:rsidRPr="006070EA">
              <w:rPr>
                <w:rFonts w:asciiTheme="majorHAnsi" w:hAnsiTheme="majorHAnsi" w:cstheme="majorHAnsi"/>
                <w:lang w:val="cs-CZ"/>
              </w:rPr>
              <w:t>Kostomlaty nad Labem - Nymburk</w:t>
            </w:r>
          </w:p>
        </w:tc>
        <w:tc>
          <w:tcPr>
            <w:tcW w:w="1135" w:type="dxa"/>
            <w:vMerge w:val="restart"/>
            <w:tcBorders>
              <w:top w:val="single" w:sz="4" w:space="0" w:color="auto"/>
              <w:bottom w:val="single" w:sz="4" w:space="0" w:color="auto"/>
            </w:tcBorders>
            <w:shd w:val="clear" w:color="auto" w:fill="auto"/>
            <w:vAlign w:val="center"/>
          </w:tcPr>
          <w:p w14:paraId="0FC1FB52" w14:textId="6DE610B4" w:rsidR="00712C59" w:rsidRPr="006070EA" w:rsidRDefault="00712C59" w:rsidP="00712C59">
            <w:pPr>
              <w:pStyle w:val="Bezmezer"/>
              <w:jc w:val="center"/>
              <w:rPr>
                <w:rFonts w:asciiTheme="majorHAnsi" w:hAnsiTheme="majorHAnsi" w:cstheme="majorHAnsi"/>
                <w:lang w:val="cs-CZ"/>
              </w:rPr>
            </w:pPr>
            <w:r w:rsidRPr="006070EA">
              <w:rPr>
                <w:rFonts w:asciiTheme="majorHAnsi" w:hAnsiTheme="majorHAnsi" w:cstheme="majorHAnsi"/>
                <w:lang w:val="cs-CZ"/>
              </w:rPr>
              <w:t>II/331</w:t>
            </w:r>
          </w:p>
        </w:tc>
        <w:tc>
          <w:tcPr>
            <w:tcW w:w="1187" w:type="dxa"/>
            <w:tcBorders>
              <w:top w:val="single" w:sz="4" w:space="0" w:color="auto"/>
              <w:bottom w:val="single" w:sz="4" w:space="0" w:color="auto"/>
            </w:tcBorders>
            <w:shd w:val="clear" w:color="auto" w:fill="auto"/>
            <w:vAlign w:val="center"/>
          </w:tcPr>
          <w:p w14:paraId="1FD32EAA" w14:textId="0539D4EF" w:rsidR="00712C59" w:rsidRPr="006070EA" w:rsidRDefault="00712C59" w:rsidP="00712C59">
            <w:pPr>
              <w:pStyle w:val="Bezmezer"/>
              <w:jc w:val="center"/>
              <w:rPr>
                <w:rFonts w:asciiTheme="majorHAnsi" w:hAnsiTheme="majorHAnsi" w:cstheme="majorHAnsi"/>
                <w:lang w:val="cs-CZ"/>
              </w:rPr>
            </w:pPr>
            <w:r w:rsidRPr="006070EA">
              <w:rPr>
                <w:rFonts w:asciiTheme="majorHAnsi" w:hAnsiTheme="majorHAnsi" w:cstheme="majorHAnsi"/>
                <w:lang w:val="cs-CZ"/>
              </w:rPr>
              <w:t>405</w:t>
            </w:r>
          </w:p>
        </w:tc>
        <w:tc>
          <w:tcPr>
            <w:tcW w:w="1217" w:type="dxa"/>
            <w:tcBorders>
              <w:top w:val="single" w:sz="4" w:space="0" w:color="auto"/>
              <w:bottom w:val="single" w:sz="4" w:space="0" w:color="auto"/>
            </w:tcBorders>
            <w:shd w:val="clear" w:color="auto" w:fill="auto"/>
            <w:vAlign w:val="center"/>
          </w:tcPr>
          <w:p w14:paraId="03B1FA3E" w14:textId="6C051BBD" w:rsidR="00712C59" w:rsidRPr="006070EA" w:rsidRDefault="00712C59" w:rsidP="00712C59">
            <w:pPr>
              <w:pStyle w:val="Bezmezer"/>
              <w:jc w:val="center"/>
              <w:rPr>
                <w:rFonts w:asciiTheme="majorHAnsi" w:hAnsiTheme="majorHAnsi" w:cstheme="majorHAnsi"/>
                <w:lang w:val="cs-CZ"/>
              </w:rPr>
            </w:pPr>
            <w:r w:rsidRPr="006070EA">
              <w:rPr>
                <w:rFonts w:asciiTheme="majorHAnsi" w:hAnsiTheme="majorHAnsi" w:cstheme="majorHAnsi"/>
                <w:lang w:val="cs-CZ"/>
              </w:rPr>
              <w:t>3459</w:t>
            </w:r>
          </w:p>
        </w:tc>
        <w:tc>
          <w:tcPr>
            <w:tcW w:w="1228" w:type="dxa"/>
            <w:tcBorders>
              <w:top w:val="single" w:sz="4" w:space="0" w:color="auto"/>
              <w:bottom w:val="single" w:sz="4" w:space="0" w:color="auto"/>
            </w:tcBorders>
            <w:shd w:val="clear" w:color="auto" w:fill="auto"/>
            <w:vAlign w:val="center"/>
          </w:tcPr>
          <w:p w14:paraId="5DD9BEC4" w14:textId="528ACCD8" w:rsidR="00712C59" w:rsidRPr="006070EA" w:rsidRDefault="00712C59" w:rsidP="00712C59">
            <w:pPr>
              <w:pStyle w:val="Bezmezer"/>
              <w:jc w:val="center"/>
              <w:rPr>
                <w:rFonts w:asciiTheme="majorHAnsi" w:hAnsiTheme="majorHAnsi" w:cstheme="majorHAnsi"/>
                <w:lang w:val="cs-CZ"/>
              </w:rPr>
            </w:pPr>
            <w:r w:rsidRPr="006070EA">
              <w:rPr>
                <w:rFonts w:asciiTheme="majorHAnsi" w:hAnsiTheme="majorHAnsi" w:cstheme="majorHAnsi"/>
                <w:lang w:val="cs-CZ"/>
              </w:rPr>
              <w:t>42</w:t>
            </w:r>
          </w:p>
        </w:tc>
        <w:tc>
          <w:tcPr>
            <w:tcW w:w="1123" w:type="dxa"/>
            <w:tcBorders>
              <w:top w:val="single" w:sz="4" w:space="0" w:color="auto"/>
              <w:bottom w:val="single" w:sz="4" w:space="0" w:color="auto"/>
            </w:tcBorders>
            <w:shd w:val="clear" w:color="auto" w:fill="auto"/>
            <w:vAlign w:val="center"/>
          </w:tcPr>
          <w:p w14:paraId="05783F6C" w14:textId="787A26FC" w:rsidR="00712C59" w:rsidRPr="006070EA" w:rsidRDefault="00712C59" w:rsidP="00712C59">
            <w:pPr>
              <w:pStyle w:val="Bezmezer"/>
              <w:jc w:val="center"/>
              <w:rPr>
                <w:rFonts w:asciiTheme="majorHAnsi" w:hAnsiTheme="majorHAnsi" w:cstheme="majorHAnsi"/>
                <w:b/>
                <w:lang w:val="cs-CZ"/>
              </w:rPr>
            </w:pPr>
            <w:r w:rsidRPr="006070EA">
              <w:rPr>
                <w:rFonts w:asciiTheme="majorHAnsi" w:hAnsiTheme="majorHAnsi" w:cstheme="majorHAnsi"/>
                <w:b/>
                <w:lang w:val="cs-CZ"/>
              </w:rPr>
              <w:t>3906</w:t>
            </w:r>
          </w:p>
        </w:tc>
      </w:tr>
      <w:tr w:rsidR="0062147C" w:rsidRPr="006070EA" w14:paraId="359928BC" w14:textId="77777777" w:rsidTr="00DD69E4">
        <w:trPr>
          <w:trHeight w:val="283"/>
          <w:jc w:val="center"/>
        </w:trPr>
        <w:tc>
          <w:tcPr>
            <w:tcW w:w="737" w:type="dxa"/>
            <w:tcBorders>
              <w:top w:val="single" w:sz="4" w:space="0" w:color="auto"/>
              <w:bottom w:val="single" w:sz="4" w:space="0" w:color="auto"/>
            </w:tcBorders>
            <w:shd w:val="clear" w:color="auto" w:fill="auto"/>
            <w:vAlign w:val="center"/>
          </w:tcPr>
          <w:p w14:paraId="0C8527E0" w14:textId="44CE5F1D" w:rsidR="00712C59" w:rsidRPr="006070EA" w:rsidRDefault="00712C59" w:rsidP="00712C59">
            <w:pPr>
              <w:pStyle w:val="Bezmezer"/>
              <w:jc w:val="center"/>
              <w:rPr>
                <w:rFonts w:asciiTheme="majorHAnsi" w:hAnsiTheme="majorHAnsi" w:cstheme="majorHAnsi"/>
                <w:lang w:val="cs-CZ"/>
              </w:rPr>
            </w:pPr>
            <w:r w:rsidRPr="006070EA">
              <w:rPr>
                <w:rFonts w:asciiTheme="majorHAnsi" w:hAnsiTheme="majorHAnsi" w:cstheme="majorHAnsi"/>
                <w:lang w:val="cs-CZ"/>
              </w:rPr>
              <w:t>2016</w:t>
            </w:r>
          </w:p>
        </w:tc>
        <w:tc>
          <w:tcPr>
            <w:tcW w:w="1020" w:type="dxa"/>
            <w:vMerge/>
            <w:tcBorders>
              <w:top w:val="single" w:sz="4" w:space="0" w:color="auto"/>
              <w:bottom w:val="single" w:sz="4" w:space="0" w:color="auto"/>
            </w:tcBorders>
            <w:vAlign w:val="center"/>
          </w:tcPr>
          <w:p w14:paraId="6B576F53" w14:textId="19CE75CF" w:rsidR="00712C59" w:rsidRPr="006070EA" w:rsidRDefault="00712C59" w:rsidP="00712C59">
            <w:pPr>
              <w:pStyle w:val="Bezmezer"/>
              <w:jc w:val="center"/>
              <w:rPr>
                <w:rFonts w:asciiTheme="majorHAnsi" w:hAnsiTheme="majorHAnsi" w:cstheme="majorHAnsi"/>
                <w:lang w:val="cs-CZ"/>
              </w:rPr>
            </w:pPr>
          </w:p>
        </w:tc>
        <w:tc>
          <w:tcPr>
            <w:tcW w:w="1456" w:type="dxa"/>
            <w:vMerge/>
            <w:tcBorders>
              <w:top w:val="single" w:sz="4" w:space="0" w:color="auto"/>
              <w:bottom w:val="single" w:sz="4" w:space="0" w:color="auto"/>
            </w:tcBorders>
            <w:shd w:val="clear" w:color="auto" w:fill="auto"/>
            <w:vAlign w:val="center"/>
          </w:tcPr>
          <w:p w14:paraId="1456B0C7" w14:textId="77777777" w:rsidR="00712C59" w:rsidRPr="006070EA" w:rsidRDefault="00712C59" w:rsidP="00712C59">
            <w:pPr>
              <w:pStyle w:val="Bezmezer"/>
              <w:jc w:val="center"/>
              <w:rPr>
                <w:rFonts w:asciiTheme="majorHAnsi" w:hAnsiTheme="majorHAnsi" w:cstheme="majorHAnsi"/>
                <w:lang w:val="cs-CZ"/>
              </w:rPr>
            </w:pPr>
          </w:p>
        </w:tc>
        <w:tc>
          <w:tcPr>
            <w:tcW w:w="1135" w:type="dxa"/>
            <w:vMerge/>
            <w:tcBorders>
              <w:top w:val="single" w:sz="4" w:space="0" w:color="auto"/>
              <w:bottom w:val="single" w:sz="4" w:space="0" w:color="auto"/>
            </w:tcBorders>
            <w:shd w:val="clear" w:color="auto" w:fill="auto"/>
            <w:vAlign w:val="center"/>
          </w:tcPr>
          <w:p w14:paraId="5CC86BE0" w14:textId="6F320B3D" w:rsidR="00712C59" w:rsidRPr="006070EA" w:rsidRDefault="00712C59" w:rsidP="00712C59">
            <w:pPr>
              <w:pStyle w:val="Bezmezer"/>
              <w:jc w:val="center"/>
              <w:rPr>
                <w:rFonts w:asciiTheme="majorHAnsi" w:hAnsiTheme="majorHAnsi" w:cstheme="majorHAnsi"/>
                <w:lang w:val="cs-CZ"/>
              </w:rPr>
            </w:pPr>
          </w:p>
        </w:tc>
        <w:tc>
          <w:tcPr>
            <w:tcW w:w="1187" w:type="dxa"/>
            <w:tcBorders>
              <w:top w:val="single" w:sz="4" w:space="0" w:color="auto"/>
              <w:bottom w:val="single" w:sz="4" w:space="0" w:color="auto"/>
            </w:tcBorders>
            <w:shd w:val="clear" w:color="auto" w:fill="auto"/>
            <w:vAlign w:val="center"/>
          </w:tcPr>
          <w:p w14:paraId="0FDF6950" w14:textId="749FB65F" w:rsidR="00712C59" w:rsidRPr="006070EA" w:rsidRDefault="00712C59" w:rsidP="00712C59">
            <w:pPr>
              <w:pStyle w:val="Bezmezer"/>
              <w:jc w:val="center"/>
              <w:rPr>
                <w:rFonts w:asciiTheme="majorHAnsi" w:hAnsiTheme="majorHAnsi" w:cstheme="majorHAnsi"/>
                <w:lang w:val="cs-CZ"/>
              </w:rPr>
            </w:pPr>
            <w:r w:rsidRPr="006070EA">
              <w:rPr>
                <w:rFonts w:asciiTheme="majorHAnsi" w:hAnsiTheme="majorHAnsi" w:cstheme="majorHAnsi"/>
                <w:lang w:val="cs-CZ"/>
              </w:rPr>
              <w:t>464</w:t>
            </w:r>
          </w:p>
        </w:tc>
        <w:tc>
          <w:tcPr>
            <w:tcW w:w="1217" w:type="dxa"/>
            <w:tcBorders>
              <w:top w:val="single" w:sz="4" w:space="0" w:color="auto"/>
              <w:bottom w:val="single" w:sz="4" w:space="0" w:color="auto"/>
            </w:tcBorders>
            <w:shd w:val="clear" w:color="auto" w:fill="auto"/>
            <w:vAlign w:val="center"/>
          </w:tcPr>
          <w:p w14:paraId="08D7DBFC" w14:textId="06AFF7E4" w:rsidR="00712C59" w:rsidRPr="006070EA" w:rsidRDefault="00712C59" w:rsidP="00712C59">
            <w:pPr>
              <w:pStyle w:val="Bezmezer"/>
              <w:jc w:val="center"/>
              <w:rPr>
                <w:rFonts w:asciiTheme="majorHAnsi" w:hAnsiTheme="majorHAnsi" w:cstheme="majorHAnsi"/>
                <w:lang w:val="cs-CZ"/>
              </w:rPr>
            </w:pPr>
            <w:r w:rsidRPr="006070EA">
              <w:rPr>
                <w:rFonts w:asciiTheme="majorHAnsi" w:hAnsiTheme="majorHAnsi" w:cstheme="majorHAnsi"/>
                <w:lang w:val="cs-CZ"/>
              </w:rPr>
              <w:t>3715</w:t>
            </w:r>
          </w:p>
        </w:tc>
        <w:tc>
          <w:tcPr>
            <w:tcW w:w="1228" w:type="dxa"/>
            <w:tcBorders>
              <w:top w:val="single" w:sz="4" w:space="0" w:color="auto"/>
              <w:bottom w:val="single" w:sz="4" w:space="0" w:color="auto"/>
            </w:tcBorders>
            <w:shd w:val="clear" w:color="auto" w:fill="auto"/>
            <w:vAlign w:val="center"/>
          </w:tcPr>
          <w:p w14:paraId="5C1F15AE" w14:textId="62497A7F" w:rsidR="00712C59" w:rsidRPr="006070EA" w:rsidRDefault="00712C59" w:rsidP="00712C59">
            <w:pPr>
              <w:pStyle w:val="Bezmezer"/>
              <w:jc w:val="center"/>
              <w:rPr>
                <w:rFonts w:asciiTheme="majorHAnsi" w:hAnsiTheme="majorHAnsi" w:cstheme="majorHAnsi"/>
                <w:lang w:val="cs-CZ"/>
              </w:rPr>
            </w:pPr>
            <w:r w:rsidRPr="006070EA">
              <w:rPr>
                <w:rFonts w:asciiTheme="majorHAnsi" w:hAnsiTheme="majorHAnsi" w:cstheme="majorHAnsi"/>
                <w:lang w:val="cs-CZ"/>
              </w:rPr>
              <w:t>25</w:t>
            </w:r>
          </w:p>
        </w:tc>
        <w:tc>
          <w:tcPr>
            <w:tcW w:w="1123" w:type="dxa"/>
            <w:tcBorders>
              <w:top w:val="single" w:sz="4" w:space="0" w:color="auto"/>
              <w:bottom w:val="single" w:sz="4" w:space="0" w:color="auto"/>
            </w:tcBorders>
            <w:shd w:val="clear" w:color="auto" w:fill="auto"/>
            <w:vAlign w:val="center"/>
          </w:tcPr>
          <w:p w14:paraId="2F8FAAD3" w14:textId="2A1B1BBE" w:rsidR="00712C59" w:rsidRPr="006070EA" w:rsidRDefault="00712C59" w:rsidP="00712C59">
            <w:pPr>
              <w:pStyle w:val="Bezmezer"/>
              <w:jc w:val="center"/>
              <w:rPr>
                <w:rFonts w:asciiTheme="majorHAnsi" w:hAnsiTheme="majorHAnsi" w:cstheme="majorHAnsi"/>
                <w:b/>
                <w:lang w:val="cs-CZ"/>
              </w:rPr>
            </w:pPr>
            <w:r w:rsidRPr="006070EA">
              <w:rPr>
                <w:rFonts w:asciiTheme="majorHAnsi" w:hAnsiTheme="majorHAnsi" w:cstheme="majorHAnsi"/>
                <w:b/>
                <w:lang w:val="cs-CZ"/>
              </w:rPr>
              <w:t>4204</w:t>
            </w:r>
          </w:p>
        </w:tc>
      </w:tr>
      <w:tr w:rsidR="0062147C" w:rsidRPr="006070EA" w14:paraId="646E1C3F" w14:textId="77777777" w:rsidTr="00DD69E4">
        <w:trPr>
          <w:trHeight w:val="283"/>
          <w:jc w:val="center"/>
        </w:trPr>
        <w:tc>
          <w:tcPr>
            <w:tcW w:w="737" w:type="dxa"/>
            <w:tcBorders>
              <w:top w:val="single" w:sz="4" w:space="0" w:color="auto"/>
              <w:bottom w:val="single" w:sz="4" w:space="0" w:color="auto"/>
            </w:tcBorders>
            <w:shd w:val="clear" w:color="auto" w:fill="auto"/>
            <w:vAlign w:val="center"/>
          </w:tcPr>
          <w:p w14:paraId="5B83C26A" w14:textId="3DBC42A7" w:rsidR="00712C59" w:rsidRPr="006070EA" w:rsidRDefault="00712C59" w:rsidP="00712C59">
            <w:pPr>
              <w:pStyle w:val="Bezmezer"/>
              <w:jc w:val="center"/>
              <w:rPr>
                <w:rFonts w:asciiTheme="majorHAnsi" w:hAnsiTheme="majorHAnsi" w:cstheme="majorHAnsi"/>
                <w:lang w:val="cs-CZ"/>
              </w:rPr>
            </w:pPr>
            <w:r w:rsidRPr="006070EA">
              <w:rPr>
                <w:rFonts w:asciiTheme="majorHAnsi" w:hAnsiTheme="majorHAnsi" w:cstheme="majorHAnsi"/>
                <w:lang w:val="cs-CZ"/>
              </w:rPr>
              <w:t>2010</w:t>
            </w:r>
          </w:p>
        </w:tc>
        <w:tc>
          <w:tcPr>
            <w:tcW w:w="1020" w:type="dxa"/>
            <w:vMerge w:val="restart"/>
            <w:tcBorders>
              <w:top w:val="single" w:sz="4" w:space="0" w:color="auto"/>
              <w:bottom w:val="single" w:sz="4" w:space="0" w:color="auto"/>
            </w:tcBorders>
            <w:vAlign w:val="center"/>
          </w:tcPr>
          <w:p w14:paraId="68C6476E" w14:textId="2586E289" w:rsidR="00712C59" w:rsidRPr="006070EA" w:rsidRDefault="00712C59" w:rsidP="00712C59">
            <w:pPr>
              <w:pStyle w:val="Bezmezer"/>
              <w:jc w:val="center"/>
              <w:rPr>
                <w:rFonts w:asciiTheme="majorHAnsi" w:hAnsiTheme="majorHAnsi" w:cstheme="majorHAnsi"/>
                <w:lang w:val="cs-CZ"/>
              </w:rPr>
            </w:pPr>
            <w:r w:rsidRPr="006070EA">
              <w:rPr>
                <w:rFonts w:asciiTheme="majorHAnsi" w:hAnsiTheme="majorHAnsi" w:cstheme="majorHAnsi"/>
                <w:lang w:val="cs-CZ"/>
              </w:rPr>
              <w:t>1-5760</w:t>
            </w:r>
          </w:p>
        </w:tc>
        <w:tc>
          <w:tcPr>
            <w:tcW w:w="1456" w:type="dxa"/>
            <w:vMerge w:val="restart"/>
            <w:tcBorders>
              <w:top w:val="single" w:sz="4" w:space="0" w:color="auto"/>
              <w:bottom w:val="single" w:sz="4" w:space="0" w:color="auto"/>
            </w:tcBorders>
            <w:shd w:val="clear" w:color="auto" w:fill="auto"/>
            <w:vAlign w:val="center"/>
          </w:tcPr>
          <w:p w14:paraId="19AF2885" w14:textId="71A81E07" w:rsidR="00712C59" w:rsidRPr="006070EA" w:rsidRDefault="00712C59" w:rsidP="00712C59">
            <w:pPr>
              <w:pStyle w:val="Bezmezer"/>
              <w:jc w:val="center"/>
              <w:rPr>
                <w:rFonts w:asciiTheme="majorHAnsi" w:hAnsiTheme="majorHAnsi" w:cstheme="majorHAnsi"/>
                <w:lang w:val="cs-CZ"/>
              </w:rPr>
            </w:pPr>
            <w:r w:rsidRPr="006070EA">
              <w:rPr>
                <w:rFonts w:asciiTheme="majorHAnsi" w:hAnsiTheme="majorHAnsi" w:cstheme="majorHAnsi"/>
                <w:lang w:val="cs-CZ"/>
              </w:rPr>
              <w:t>Hronětice – Kamenné Zboží</w:t>
            </w:r>
          </w:p>
        </w:tc>
        <w:tc>
          <w:tcPr>
            <w:tcW w:w="1135" w:type="dxa"/>
            <w:vMerge w:val="restart"/>
            <w:tcBorders>
              <w:top w:val="single" w:sz="4" w:space="0" w:color="auto"/>
              <w:bottom w:val="single" w:sz="4" w:space="0" w:color="auto"/>
            </w:tcBorders>
            <w:shd w:val="clear" w:color="auto" w:fill="auto"/>
            <w:vAlign w:val="center"/>
          </w:tcPr>
          <w:p w14:paraId="6FB23CD2" w14:textId="5970743D" w:rsidR="00712C59" w:rsidRPr="006070EA" w:rsidRDefault="00712C59" w:rsidP="00712C59">
            <w:pPr>
              <w:pStyle w:val="Bezmezer"/>
              <w:jc w:val="center"/>
              <w:rPr>
                <w:rFonts w:asciiTheme="majorHAnsi" w:hAnsiTheme="majorHAnsi" w:cstheme="majorHAnsi"/>
                <w:lang w:val="cs-CZ"/>
              </w:rPr>
            </w:pPr>
            <w:r w:rsidRPr="006070EA">
              <w:rPr>
                <w:rFonts w:asciiTheme="majorHAnsi" w:hAnsiTheme="majorHAnsi" w:cstheme="majorHAnsi"/>
                <w:lang w:val="cs-CZ"/>
              </w:rPr>
              <w:t>III/3318</w:t>
            </w:r>
          </w:p>
        </w:tc>
        <w:tc>
          <w:tcPr>
            <w:tcW w:w="1187" w:type="dxa"/>
            <w:tcBorders>
              <w:top w:val="single" w:sz="4" w:space="0" w:color="auto"/>
              <w:bottom w:val="single" w:sz="4" w:space="0" w:color="auto"/>
            </w:tcBorders>
            <w:shd w:val="clear" w:color="auto" w:fill="auto"/>
            <w:vAlign w:val="center"/>
          </w:tcPr>
          <w:p w14:paraId="23D44192" w14:textId="402ED235" w:rsidR="00712C59" w:rsidRPr="006070EA" w:rsidRDefault="00712C59" w:rsidP="00712C59">
            <w:pPr>
              <w:pStyle w:val="Bezmezer"/>
              <w:jc w:val="center"/>
              <w:rPr>
                <w:rFonts w:asciiTheme="majorHAnsi" w:hAnsiTheme="majorHAnsi" w:cstheme="majorHAnsi"/>
                <w:lang w:val="cs-CZ"/>
              </w:rPr>
            </w:pPr>
            <w:r w:rsidRPr="006070EA">
              <w:rPr>
                <w:rFonts w:asciiTheme="majorHAnsi" w:hAnsiTheme="majorHAnsi" w:cstheme="majorHAnsi"/>
                <w:lang w:val="cs-CZ"/>
              </w:rPr>
              <w:t>66</w:t>
            </w:r>
          </w:p>
        </w:tc>
        <w:tc>
          <w:tcPr>
            <w:tcW w:w="1217" w:type="dxa"/>
            <w:tcBorders>
              <w:top w:val="single" w:sz="4" w:space="0" w:color="auto"/>
              <w:bottom w:val="single" w:sz="4" w:space="0" w:color="auto"/>
            </w:tcBorders>
            <w:shd w:val="clear" w:color="auto" w:fill="auto"/>
            <w:vAlign w:val="center"/>
          </w:tcPr>
          <w:p w14:paraId="20E44C7E" w14:textId="2D82BE95" w:rsidR="00712C59" w:rsidRPr="006070EA" w:rsidRDefault="00712C59" w:rsidP="00712C59">
            <w:pPr>
              <w:pStyle w:val="Bezmezer"/>
              <w:jc w:val="center"/>
              <w:rPr>
                <w:rFonts w:asciiTheme="majorHAnsi" w:hAnsiTheme="majorHAnsi" w:cstheme="majorHAnsi"/>
                <w:lang w:val="cs-CZ"/>
              </w:rPr>
            </w:pPr>
            <w:r w:rsidRPr="006070EA">
              <w:rPr>
                <w:rFonts w:asciiTheme="majorHAnsi" w:hAnsiTheme="majorHAnsi" w:cstheme="majorHAnsi"/>
                <w:lang w:val="cs-CZ"/>
              </w:rPr>
              <w:t>514</w:t>
            </w:r>
          </w:p>
        </w:tc>
        <w:tc>
          <w:tcPr>
            <w:tcW w:w="1228" w:type="dxa"/>
            <w:tcBorders>
              <w:top w:val="single" w:sz="4" w:space="0" w:color="auto"/>
              <w:bottom w:val="single" w:sz="4" w:space="0" w:color="auto"/>
            </w:tcBorders>
            <w:shd w:val="clear" w:color="auto" w:fill="auto"/>
            <w:vAlign w:val="center"/>
          </w:tcPr>
          <w:p w14:paraId="71573811" w14:textId="32529140" w:rsidR="00712C59" w:rsidRPr="006070EA" w:rsidRDefault="00712C59" w:rsidP="00712C59">
            <w:pPr>
              <w:pStyle w:val="Bezmezer"/>
              <w:jc w:val="center"/>
              <w:rPr>
                <w:rFonts w:asciiTheme="majorHAnsi" w:hAnsiTheme="majorHAnsi" w:cstheme="majorHAnsi"/>
                <w:lang w:val="cs-CZ"/>
              </w:rPr>
            </w:pPr>
            <w:r w:rsidRPr="006070EA">
              <w:rPr>
                <w:rFonts w:asciiTheme="majorHAnsi" w:hAnsiTheme="majorHAnsi" w:cstheme="majorHAnsi"/>
                <w:lang w:val="cs-CZ"/>
              </w:rPr>
              <w:t>15</w:t>
            </w:r>
          </w:p>
        </w:tc>
        <w:tc>
          <w:tcPr>
            <w:tcW w:w="1123" w:type="dxa"/>
            <w:tcBorders>
              <w:top w:val="single" w:sz="4" w:space="0" w:color="auto"/>
              <w:bottom w:val="single" w:sz="4" w:space="0" w:color="auto"/>
            </w:tcBorders>
            <w:shd w:val="clear" w:color="auto" w:fill="auto"/>
            <w:vAlign w:val="center"/>
          </w:tcPr>
          <w:p w14:paraId="3A0ECA27" w14:textId="4DBF4AD7" w:rsidR="00712C59" w:rsidRPr="006070EA" w:rsidRDefault="00712C59" w:rsidP="00712C59">
            <w:pPr>
              <w:pStyle w:val="Bezmezer"/>
              <w:jc w:val="center"/>
              <w:rPr>
                <w:rFonts w:asciiTheme="majorHAnsi" w:hAnsiTheme="majorHAnsi" w:cstheme="majorHAnsi"/>
                <w:b/>
                <w:lang w:val="cs-CZ"/>
              </w:rPr>
            </w:pPr>
            <w:r w:rsidRPr="006070EA">
              <w:rPr>
                <w:rFonts w:asciiTheme="majorHAnsi" w:hAnsiTheme="majorHAnsi" w:cstheme="majorHAnsi"/>
                <w:b/>
                <w:lang w:val="cs-CZ"/>
              </w:rPr>
              <w:t>595</w:t>
            </w:r>
          </w:p>
        </w:tc>
      </w:tr>
      <w:tr w:rsidR="0062147C" w:rsidRPr="006070EA" w14:paraId="143036F9" w14:textId="77777777" w:rsidTr="00DD69E4">
        <w:trPr>
          <w:trHeight w:val="283"/>
          <w:jc w:val="center"/>
        </w:trPr>
        <w:tc>
          <w:tcPr>
            <w:tcW w:w="737" w:type="dxa"/>
            <w:tcBorders>
              <w:top w:val="single" w:sz="4" w:space="0" w:color="auto"/>
              <w:bottom w:val="nil"/>
            </w:tcBorders>
            <w:shd w:val="clear" w:color="auto" w:fill="auto"/>
            <w:vAlign w:val="center"/>
          </w:tcPr>
          <w:p w14:paraId="6A4304A5" w14:textId="5D5992BE" w:rsidR="00712C59" w:rsidRPr="006070EA" w:rsidRDefault="00712C59" w:rsidP="00712C59">
            <w:pPr>
              <w:pStyle w:val="Bezmezer"/>
              <w:jc w:val="center"/>
              <w:rPr>
                <w:rFonts w:asciiTheme="majorHAnsi" w:hAnsiTheme="majorHAnsi" w:cstheme="majorHAnsi"/>
                <w:lang w:val="cs-CZ"/>
              </w:rPr>
            </w:pPr>
            <w:r w:rsidRPr="006070EA">
              <w:rPr>
                <w:rFonts w:asciiTheme="majorHAnsi" w:hAnsiTheme="majorHAnsi" w:cstheme="majorHAnsi"/>
                <w:lang w:val="cs-CZ"/>
              </w:rPr>
              <w:t>2016</w:t>
            </w:r>
          </w:p>
        </w:tc>
        <w:tc>
          <w:tcPr>
            <w:tcW w:w="1020" w:type="dxa"/>
            <w:vMerge/>
            <w:tcBorders>
              <w:top w:val="single" w:sz="4" w:space="0" w:color="auto"/>
              <w:bottom w:val="nil"/>
            </w:tcBorders>
            <w:vAlign w:val="center"/>
          </w:tcPr>
          <w:p w14:paraId="28161066" w14:textId="77777777" w:rsidR="00712C59" w:rsidRPr="006070EA" w:rsidRDefault="00712C59" w:rsidP="00712C59">
            <w:pPr>
              <w:pStyle w:val="Bezmezer"/>
              <w:jc w:val="center"/>
              <w:rPr>
                <w:rFonts w:asciiTheme="majorHAnsi" w:hAnsiTheme="majorHAnsi" w:cstheme="majorHAnsi"/>
                <w:lang w:val="cs-CZ"/>
              </w:rPr>
            </w:pPr>
          </w:p>
        </w:tc>
        <w:tc>
          <w:tcPr>
            <w:tcW w:w="1456" w:type="dxa"/>
            <w:vMerge/>
            <w:tcBorders>
              <w:top w:val="single" w:sz="4" w:space="0" w:color="auto"/>
              <w:bottom w:val="nil"/>
            </w:tcBorders>
            <w:shd w:val="clear" w:color="auto" w:fill="auto"/>
            <w:vAlign w:val="center"/>
          </w:tcPr>
          <w:p w14:paraId="717FE674" w14:textId="77777777" w:rsidR="00712C59" w:rsidRPr="006070EA" w:rsidRDefault="00712C59" w:rsidP="00712C59">
            <w:pPr>
              <w:pStyle w:val="Bezmezer"/>
              <w:jc w:val="center"/>
              <w:rPr>
                <w:rFonts w:asciiTheme="majorHAnsi" w:hAnsiTheme="majorHAnsi" w:cstheme="majorHAnsi"/>
                <w:lang w:val="cs-CZ"/>
              </w:rPr>
            </w:pPr>
          </w:p>
        </w:tc>
        <w:tc>
          <w:tcPr>
            <w:tcW w:w="1135" w:type="dxa"/>
            <w:vMerge/>
            <w:tcBorders>
              <w:top w:val="single" w:sz="4" w:space="0" w:color="auto"/>
              <w:bottom w:val="nil"/>
            </w:tcBorders>
            <w:shd w:val="clear" w:color="auto" w:fill="auto"/>
            <w:vAlign w:val="center"/>
          </w:tcPr>
          <w:p w14:paraId="52B8E255" w14:textId="77777777" w:rsidR="00712C59" w:rsidRPr="006070EA" w:rsidRDefault="00712C59" w:rsidP="00712C59">
            <w:pPr>
              <w:pStyle w:val="Bezmezer"/>
              <w:jc w:val="center"/>
              <w:rPr>
                <w:rFonts w:asciiTheme="majorHAnsi" w:hAnsiTheme="majorHAnsi" w:cstheme="majorHAnsi"/>
                <w:lang w:val="cs-CZ"/>
              </w:rPr>
            </w:pPr>
          </w:p>
        </w:tc>
        <w:tc>
          <w:tcPr>
            <w:tcW w:w="1187" w:type="dxa"/>
            <w:tcBorders>
              <w:top w:val="single" w:sz="4" w:space="0" w:color="auto"/>
              <w:bottom w:val="nil"/>
            </w:tcBorders>
            <w:shd w:val="clear" w:color="auto" w:fill="auto"/>
            <w:vAlign w:val="center"/>
          </w:tcPr>
          <w:p w14:paraId="19CFA9D4" w14:textId="72F46CC4" w:rsidR="00712C59" w:rsidRPr="006070EA" w:rsidRDefault="00712C59" w:rsidP="00712C59">
            <w:pPr>
              <w:pStyle w:val="Bezmezer"/>
              <w:jc w:val="center"/>
              <w:rPr>
                <w:rFonts w:asciiTheme="majorHAnsi" w:hAnsiTheme="majorHAnsi" w:cstheme="majorHAnsi"/>
                <w:lang w:val="cs-CZ"/>
              </w:rPr>
            </w:pPr>
            <w:r w:rsidRPr="006070EA">
              <w:rPr>
                <w:rFonts w:asciiTheme="majorHAnsi" w:hAnsiTheme="majorHAnsi" w:cstheme="majorHAnsi"/>
                <w:lang w:val="cs-CZ"/>
              </w:rPr>
              <w:t>110</w:t>
            </w:r>
          </w:p>
        </w:tc>
        <w:tc>
          <w:tcPr>
            <w:tcW w:w="1217" w:type="dxa"/>
            <w:tcBorders>
              <w:top w:val="single" w:sz="4" w:space="0" w:color="auto"/>
              <w:bottom w:val="nil"/>
            </w:tcBorders>
            <w:shd w:val="clear" w:color="auto" w:fill="auto"/>
            <w:vAlign w:val="center"/>
          </w:tcPr>
          <w:p w14:paraId="4EB2E06A" w14:textId="2DBC29E9" w:rsidR="00712C59" w:rsidRPr="006070EA" w:rsidRDefault="00712C59" w:rsidP="00712C59">
            <w:pPr>
              <w:pStyle w:val="Bezmezer"/>
              <w:jc w:val="center"/>
              <w:rPr>
                <w:rFonts w:asciiTheme="majorHAnsi" w:hAnsiTheme="majorHAnsi" w:cstheme="majorHAnsi"/>
                <w:lang w:val="cs-CZ"/>
              </w:rPr>
            </w:pPr>
            <w:r w:rsidRPr="006070EA">
              <w:rPr>
                <w:rFonts w:asciiTheme="majorHAnsi" w:hAnsiTheme="majorHAnsi" w:cstheme="majorHAnsi"/>
                <w:lang w:val="cs-CZ"/>
              </w:rPr>
              <w:t>745</w:t>
            </w:r>
          </w:p>
        </w:tc>
        <w:tc>
          <w:tcPr>
            <w:tcW w:w="1228" w:type="dxa"/>
            <w:tcBorders>
              <w:top w:val="single" w:sz="4" w:space="0" w:color="auto"/>
              <w:bottom w:val="nil"/>
            </w:tcBorders>
            <w:shd w:val="clear" w:color="auto" w:fill="auto"/>
            <w:vAlign w:val="center"/>
          </w:tcPr>
          <w:p w14:paraId="3F581767" w14:textId="26A08D76" w:rsidR="00712C59" w:rsidRPr="006070EA" w:rsidRDefault="00712C59" w:rsidP="00712C59">
            <w:pPr>
              <w:pStyle w:val="Bezmezer"/>
              <w:jc w:val="center"/>
              <w:rPr>
                <w:rFonts w:asciiTheme="majorHAnsi" w:hAnsiTheme="majorHAnsi" w:cstheme="majorHAnsi"/>
                <w:lang w:val="cs-CZ"/>
              </w:rPr>
            </w:pPr>
            <w:r w:rsidRPr="006070EA">
              <w:rPr>
                <w:rFonts w:asciiTheme="majorHAnsi" w:hAnsiTheme="majorHAnsi" w:cstheme="majorHAnsi"/>
                <w:lang w:val="cs-CZ"/>
              </w:rPr>
              <w:t>2</w:t>
            </w:r>
          </w:p>
        </w:tc>
        <w:tc>
          <w:tcPr>
            <w:tcW w:w="1123" w:type="dxa"/>
            <w:tcBorders>
              <w:top w:val="single" w:sz="4" w:space="0" w:color="auto"/>
              <w:bottom w:val="nil"/>
            </w:tcBorders>
            <w:shd w:val="clear" w:color="auto" w:fill="auto"/>
            <w:vAlign w:val="center"/>
          </w:tcPr>
          <w:p w14:paraId="31869C8A" w14:textId="11258EB6" w:rsidR="00712C59" w:rsidRPr="006070EA" w:rsidRDefault="00712C59" w:rsidP="00712C59">
            <w:pPr>
              <w:pStyle w:val="Bezmezer"/>
              <w:jc w:val="center"/>
              <w:rPr>
                <w:rFonts w:asciiTheme="majorHAnsi" w:hAnsiTheme="majorHAnsi" w:cstheme="majorHAnsi"/>
                <w:b/>
                <w:lang w:val="cs-CZ"/>
              </w:rPr>
            </w:pPr>
            <w:r w:rsidRPr="006070EA">
              <w:rPr>
                <w:rFonts w:asciiTheme="majorHAnsi" w:hAnsiTheme="majorHAnsi" w:cstheme="majorHAnsi"/>
                <w:b/>
                <w:lang w:val="cs-CZ"/>
              </w:rPr>
              <w:t>857</w:t>
            </w:r>
          </w:p>
        </w:tc>
      </w:tr>
    </w:tbl>
    <w:p w14:paraId="666FC1A0" w14:textId="2A16A6C6" w:rsidR="00213A5E" w:rsidRPr="006070EA" w:rsidRDefault="00213A5E" w:rsidP="00213A5E">
      <w:pPr>
        <w:pStyle w:val="Atext"/>
        <w:rPr>
          <w:rFonts w:asciiTheme="majorHAnsi" w:hAnsiTheme="majorHAnsi" w:cstheme="majorHAnsi"/>
        </w:rPr>
      </w:pPr>
      <w:r w:rsidRPr="006070EA">
        <w:rPr>
          <w:rFonts w:asciiTheme="majorHAnsi" w:hAnsiTheme="majorHAnsi" w:cstheme="majorHAnsi"/>
        </w:rPr>
        <w:t xml:space="preserve">Na ostatních silnicích nebylo v řešeném území sčítání dopravy prováděno. </w:t>
      </w:r>
    </w:p>
    <w:p w14:paraId="23BB8714" w14:textId="013EA114" w:rsidR="00D83C88" w:rsidRPr="006070EA" w:rsidRDefault="0062147C" w:rsidP="00EC3C28">
      <w:pPr>
        <w:pStyle w:val="Atext"/>
        <w:keepNext/>
        <w:spacing w:after="0"/>
        <w:rPr>
          <w:rFonts w:asciiTheme="majorHAnsi" w:hAnsiTheme="majorHAnsi" w:cstheme="majorHAnsi"/>
        </w:rPr>
      </w:pPr>
      <w:r w:rsidRPr="006070EA">
        <w:rPr>
          <w:rFonts w:asciiTheme="majorHAnsi" w:hAnsiTheme="majorHAnsi" w:cstheme="majorHAnsi"/>
          <w:szCs w:val="24"/>
          <w:lang w:eastAsia="cs-CZ"/>
        </w:rPr>
        <w:t>Z výsledků posledních dvou sčítání dopravy je zřejmé, že v řešeném území dochází k zvýšení dopravní zátěže. Na části silnice II. třídy II/331 v úseku Kostomlaty nad Labem – Nymburk došlo ke zvýšení počtu projíždějících vozidel v průměru o 300 vozidel denně. Zvýšení intenzity dopravy je pozorováno také na měřeném úseku silnice III. třídy z Hronětic na Kamenné Zboží, kde mezi lety 2010 a 2016 vzrostla intenzita dopravy o cca 260 vozidel za den.</w:t>
      </w:r>
    </w:p>
    <w:p w14:paraId="6C39D5F1" w14:textId="23F21618" w:rsidR="00E92BC7" w:rsidRPr="006070EA" w:rsidRDefault="00E92BC7" w:rsidP="00730FDE">
      <w:pPr>
        <w:pStyle w:val="Atext"/>
        <w:spacing w:before="60" w:after="60"/>
        <w:rPr>
          <w:rFonts w:asciiTheme="majorHAnsi" w:hAnsiTheme="majorHAnsi" w:cstheme="majorHAnsi"/>
        </w:rPr>
      </w:pPr>
      <w:r w:rsidRPr="006070EA">
        <w:rPr>
          <w:rFonts w:asciiTheme="majorHAnsi" w:hAnsiTheme="majorHAnsi" w:cstheme="majorHAnsi"/>
        </w:rPr>
        <w:t xml:space="preserve">S ohledem na dopravní význam </w:t>
      </w:r>
      <w:r w:rsidR="0062147C" w:rsidRPr="006070EA">
        <w:rPr>
          <w:rFonts w:asciiTheme="majorHAnsi" w:hAnsiTheme="majorHAnsi" w:cstheme="majorHAnsi"/>
        </w:rPr>
        <w:t xml:space="preserve">ostatních </w:t>
      </w:r>
      <w:r w:rsidRPr="006070EA">
        <w:rPr>
          <w:rFonts w:asciiTheme="majorHAnsi" w:hAnsiTheme="majorHAnsi" w:cstheme="majorHAnsi"/>
        </w:rPr>
        <w:t xml:space="preserve">silnic III. třídy v řešeném území lze předpokládat, že intenzity dopravy </w:t>
      </w:r>
      <w:r w:rsidR="0062147C" w:rsidRPr="006070EA">
        <w:rPr>
          <w:rFonts w:asciiTheme="majorHAnsi" w:hAnsiTheme="majorHAnsi" w:cstheme="majorHAnsi"/>
        </w:rPr>
        <w:t xml:space="preserve">na nich </w:t>
      </w:r>
      <w:r w:rsidRPr="006070EA">
        <w:rPr>
          <w:rFonts w:asciiTheme="majorHAnsi" w:hAnsiTheme="majorHAnsi" w:cstheme="majorHAnsi"/>
        </w:rPr>
        <w:t xml:space="preserve">nepřesáhnou hodnotu </w:t>
      </w:r>
      <w:r w:rsidR="00EC3C28" w:rsidRPr="006070EA">
        <w:rPr>
          <w:rFonts w:asciiTheme="majorHAnsi" w:hAnsiTheme="majorHAnsi" w:cstheme="majorHAnsi"/>
        </w:rPr>
        <w:t>500</w:t>
      </w:r>
      <w:r w:rsidRPr="006070EA">
        <w:rPr>
          <w:rFonts w:asciiTheme="majorHAnsi" w:hAnsiTheme="majorHAnsi" w:cstheme="majorHAnsi"/>
        </w:rPr>
        <w:t xml:space="preserve"> vozidel za 24 hodin průměrného dne v roce.</w:t>
      </w:r>
    </w:p>
    <w:p w14:paraId="01D169ED" w14:textId="77777777" w:rsidR="00E92BC7" w:rsidRPr="006070EA" w:rsidRDefault="00E92BC7" w:rsidP="009E07E1">
      <w:pPr>
        <w:pStyle w:val="Anadpispodtren"/>
        <w:rPr>
          <w:rFonts w:asciiTheme="majorHAnsi" w:hAnsiTheme="majorHAnsi" w:cstheme="majorHAnsi"/>
        </w:rPr>
      </w:pPr>
      <w:r w:rsidRPr="006070EA">
        <w:rPr>
          <w:rFonts w:asciiTheme="majorHAnsi" w:hAnsiTheme="majorHAnsi" w:cstheme="majorHAnsi"/>
        </w:rPr>
        <w:t>Místní komunikace</w:t>
      </w:r>
    </w:p>
    <w:p w14:paraId="59D967D0" w14:textId="3EFA6DA1" w:rsidR="00E92BC7" w:rsidRPr="006070EA" w:rsidRDefault="00E92BC7" w:rsidP="009E07E1">
      <w:pPr>
        <w:pStyle w:val="Atext"/>
        <w:spacing w:before="60" w:after="60"/>
        <w:rPr>
          <w:rFonts w:asciiTheme="majorHAnsi" w:hAnsiTheme="majorHAnsi" w:cstheme="majorHAnsi"/>
        </w:rPr>
      </w:pPr>
      <w:r w:rsidRPr="006070EA">
        <w:rPr>
          <w:rFonts w:asciiTheme="majorHAnsi" w:hAnsiTheme="majorHAnsi" w:cstheme="majorHAnsi"/>
        </w:rPr>
        <w:t xml:space="preserve">Pro místní dopravu </w:t>
      </w:r>
      <w:r w:rsidR="00F30640" w:rsidRPr="006070EA">
        <w:rPr>
          <w:rFonts w:asciiTheme="majorHAnsi" w:hAnsiTheme="majorHAnsi" w:cstheme="majorHAnsi"/>
        </w:rPr>
        <w:t xml:space="preserve">v obci </w:t>
      </w:r>
      <w:r w:rsidRPr="006070EA">
        <w:rPr>
          <w:rFonts w:asciiTheme="majorHAnsi" w:hAnsiTheme="majorHAnsi" w:cstheme="majorHAnsi"/>
        </w:rPr>
        <w:t xml:space="preserve">jsou využívány úseky silnic III. třídy, které rovněž umožňují obsluhu jednotlivých objektů. Na tyto silnice navazují místní komunikace různé délky a proměnlivých parametrů. Stávající rozsah sítě místních komunikací je </w:t>
      </w:r>
      <w:r w:rsidRPr="006070EA">
        <w:rPr>
          <w:rFonts w:asciiTheme="majorHAnsi" w:hAnsiTheme="majorHAnsi" w:cstheme="majorHAnsi"/>
        </w:rPr>
        <w:lastRenderedPageBreak/>
        <w:t xml:space="preserve">územním plánem stabilizován. Komunikace mají většinou charakter cest se zpevněným nebo částečně zpevněným povrchem a vycházejí z terénních podmínek a uspořádání zástavby. </w:t>
      </w:r>
    </w:p>
    <w:p w14:paraId="047071AE" w14:textId="6BA338AC" w:rsidR="00E92BC7" w:rsidRPr="006070EA" w:rsidRDefault="00E92BC7" w:rsidP="009E07E1">
      <w:pPr>
        <w:pStyle w:val="Atext"/>
        <w:spacing w:before="60" w:after="60"/>
        <w:rPr>
          <w:rFonts w:asciiTheme="majorHAnsi" w:hAnsiTheme="majorHAnsi" w:cstheme="majorHAnsi"/>
        </w:rPr>
      </w:pPr>
      <w:r w:rsidRPr="006070EA">
        <w:rPr>
          <w:rFonts w:asciiTheme="majorHAnsi" w:hAnsiTheme="majorHAnsi" w:cstheme="majorHAnsi"/>
        </w:rPr>
        <w:t xml:space="preserve">Místní komunikace mimo zastavěná území jsou v územním plánu vymezeny jako plochy veřejných prostranství </w:t>
      </w:r>
      <w:r w:rsidR="00304DE8" w:rsidRPr="006070EA">
        <w:rPr>
          <w:rFonts w:asciiTheme="majorHAnsi" w:hAnsiTheme="majorHAnsi" w:cstheme="majorHAnsi"/>
        </w:rPr>
        <w:t xml:space="preserve">všeobecných </w:t>
      </w:r>
      <w:r w:rsidRPr="006070EA">
        <w:rPr>
          <w:rFonts w:asciiTheme="majorHAnsi" w:hAnsiTheme="majorHAnsi" w:cstheme="majorHAnsi"/>
        </w:rPr>
        <w:t>(P</w:t>
      </w:r>
      <w:r w:rsidR="00304DE8" w:rsidRPr="006070EA">
        <w:rPr>
          <w:rFonts w:asciiTheme="majorHAnsi" w:hAnsiTheme="majorHAnsi" w:cstheme="majorHAnsi"/>
        </w:rPr>
        <w:t>U</w:t>
      </w:r>
      <w:r w:rsidRPr="006070EA">
        <w:rPr>
          <w:rFonts w:asciiTheme="majorHAnsi" w:hAnsiTheme="majorHAnsi" w:cstheme="majorHAnsi"/>
        </w:rPr>
        <w:t xml:space="preserve">) nebo jsou zahrnuty v rámci dalších ploch s rozdílným způsobem využití. </w:t>
      </w:r>
      <w:r w:rsidR="00812AAD" w:rsidRPr="006070EA">
        <w:rPr>
          <w:rFonts w:asciiTheme="majorHAnsi" w:hAnsiTheme="majorHAnsi" w:cstheme="majorHAnsi"/>
        </w:rPr>
        <w:t>Pro jejich rozvoj je vymezena zastavitelná plocha Z</w:t>
      </w:r>
      <w:r w:rsidR="00304DE8" w:rsidRPr="006070EA">
        <w:rPr>
          <w:rFonts w:asciiTheme="majorHAnsi" w:hAnsiTheme="majorHAnsi" w:cstheme="majorHAnsi"/>
        </w:rPr>
        <w:t>.</w:t>
      </w:r>
      <w:r w:rsidR="00812AAD" w:rsidRPr="006070EA">
        <w:rPr>
          <w:rFonts w:asciiTheme="majorHAnsi" w:hAnsiTheme="majorHAnsi" w:cstheme="majorHAnsi"/>
        </w:rPr>
        <w:t>2</w:t>
      </w:r>
      <w:r w:rsidR="0079659D" w:rsidRPr="006070EA">
        <w:rPr>
          <w:rFonts w:asciiTheme="majorHAnsi" w:hAnsiTheme="majorHAnsi" w:cstheme="majorHAnsi"/>
        </w:rPr>
        <w:t>2</w:t>
      </w:r>
      <w:r w:rsidR="00812AAD" w:rsidRPr="006070EA">
        <w:rPr>
          <w:rFonts w:asciiTheme="majorHAnsi" w:hAnsiTheme="majorHAnsi" w:cstheme="majorHAnsi"/>
        </w:rPr>
        <w:t xml:space="preserve"> ve Vápensku. </w:t>
      </w:r>
      <w:r w:rsidRPr="006070EA">
        <w:rPr>
          <w:rFonts w:asciiTheme="majorHAnsi" w:hAnsiTheme="majorHAnsi" w:cstheme="majorHAnsi"/>
        </w:rPr>
        <w:t xml:space="preserve">Síť místních komunikací doplňují místní účelové komunikace, které umožňují obsluhu celého území obce. </w:t>
      </w:r>
    </w:p>
    <w:p w14:paraId="68C5E5E4" w14:textId="77777777" w:rsidR="00E92BC7" w:rsidRPr="006070EA" w:rsidRDefault="00E92BC7" w:rsidP="009E07E1">
      <w:pPr>
        <w:pStyle w:val="Anadpiskurzva"/>
        <w:rPr>
          <w:rFonts w:asciiTheme="majorHAnsi" w:hAnsiTheme="majorHAnsi" w:cstheme="majorHAnsi"/>
          <w:i w:val="0"/>
          <w:u w:val="single"/>
        </w:rPr>
      </w:pPr>
      <w:r w:rsidRPr="006070EA">
        <w:rPr>
          <w:rFonts w:asciiTheme="majorHAnsi" w:hAnsiTheme="majorHAnsi" w:cstheme="majorHAnsi"/>
          <w:i w:val="0"/>
          <w:u w:val="single"/>
        </w:rPr>
        <w:t>Silniční ochranná pásma</w:t>
      </w:r>
    </w:p>
    <w:p w14:paraId="0B115930" w14:textId="00AAEB1B" w:rsidR="00E92BC7" w:rsidRPr="006070EA" w:rsidRDefault="00E92BC7" w:rsidP="009E07E1">
      <w:pPr>
        <w:pStyle w:val="Atext"/>
        <w:spacing w:before="60" w:after="60"/>
        <w:rPr>
          <w:rFonts w:asciiTheme="majorHAnsi" w:hAnsiTheme="majorHAnsi" w:cstheme="majorHAnsi"/>
        </w:rPr>
      </w:pPr>
      <w:r w:rsidRPr="006070EA">
        <w:rPr>
          <w:rFonts w:asciiTheme="majorHAnsi" w:hAnsiTheme="majorHAnsi" w:cstheme="majorHAnsi"/>
        </w:rPr>
        <w:t>Problematiku silničního ochranného pásma upravuje zákon č. 13/1997 Sb., o pozemních komunikacích, ve znění pozdějších předpisů. Silniční ochranná pásma slouží k ochraně silnice a provozu na ní mimo souvisle zastavěné území obcí. Je</w:t>
      </w:r>
      <w:r w:rsidR="00447D82" w:rsidRPr="006070EA">
        <w:rPr>
          <w:rFonts w:asciiTheme="majorHAnsi" w:hAnsiTheme="majorHAnsi" w:cstheme="majorHAnsi"/>
        </w:rPr>
        <w:t> </w:t>
      </w:r>
      <w:r w:rsidRPr="006070EA">
        <w:rPr>
          <w:rFonts w:asciiTheme="majorHAnsi" w:hAnsiTheme="majorHAnsi" w:cstheme="majorHAnsi"/>
        </w:rPr>
        <w:t>v</w:t>
      </w:r>
      <w:r w:rsidR="00304DE8" w:rsidRPr="006070EA">
        <w:rPr>
          <w:rFonts w:asciiTheme="majorHAnsi" w:hAnsiTheme="majorHAnsi" w:cstheme="majorHAnsi"/>
        </w:rPr>
        <w:t> </w:t>
      </w:r>
      <w:r w:rsidRPr="006070EA">
        <w:rPr>
          <w:rFonts w:asciiTheme="majorHAnsi" w:hAnsiTheme="majorHAnsi" w:cstheme="majorHAnsi"/>
        </w:rPr>
        <w:t>nich zakázána nebo omezena stavební činnost, která by mohla ohrozit vlastní komunikaci nebo provoz na ní. Výjimky uděluje v odůvodněných případech příslušný silniční správní orgán.</w:t>
      </w:r>
    </w:p>
    <w:p w14:paraId="3397357E" w14:textId="77777777" w:rsidR="00E92BC7" w:rsidRPr="006070EA" w:rsidRDefault="00E92BC7" w:rsidP="009E07E1">
      <w:pPr>
        <w:pStyle w:val="Atext"/>
        <w:spacing w:before="60" w:after="60"/>
        <w:rPr>
          <w:rFonts w:asciiTheme="majorHAnsi" w:hAnsiTheme="majorHAnsi" w:cstheme="majorHAnsi"/>
        </w:rPr>
      </w:pPr>
      <w:r w:rsidRPr="006070EA">
        <w:rPr>
          <w:rFonts w:asciiTheme="majorHAnsi" w:hAnsiTheme="majorHAnsi" w:cstheme="majorHAnsi"/>
        </w:rPr>
        <w:t>Silničním ochranným pásmem se rozumí prostor ohraničený svislými plochami vedenými do výšky 50</w:t>
      </w:r>
      <w:r w:rsidR="00795F2C" w:rsidRPr="006070EA">
        <w:rPr>
          <w:rFonts w:asciiTheme="majorHAnsi" w:hAnsiTheme="majorHAnsi" w:cstheme="majorHAnsi"/>
        </w:rPr>
        <w:t> </w:t>
      </w:r>
      <w:r w:rsidRPr="006070EA">
        <w:rPr>
          <w:rFonts w:asciiTheme="majorHAnsi" w:hAnsiTheme="majorHAnsi" w:cstheme="majorHAnsi"/>
        </w:rPr>
        <w:t>m a ve vzdálenosti:</w:t>
      </w:r>
    </w:p>
    <w:p w14:paraId="4AEBFF4F" w14:textId="77777777" w:rsidR="00E92BC7" w:rsidRPr="006070EA" w:rsidRDefault="00E92BC7" w:rsidP="009E07E1">
      <w:pPr>
        <w:pStyle w:val="Atext"/>
        <w:spacing w:before="60" w:after="60"/>
        <w:rPr>
          <w:rFonts w:asciiTheme="majorHAnsi" w:hAnsiTheme="majorHAnsi" w:cstheme="majorHAnsi"/>
        </w:rPr>
      </w:pPr>
      <w:r w:rsidRPr="006070EA">
        <w:rPr>
          <w:rFonts w:asciiTheme="majorHAnsi" w:hAnsiTheme="majorHAnsi" w:cstheme="majorHAnsi"/>
        </w:rPr>
        <w:t xml:space="preserve">silnice </w:t>
      </w:r>
      <w:r w:rsidR="0065127D" w:rsidRPr="006070EA">
        <w:rPr>
          <w:rFonts w:asciiTheme="majorHAnsi" w:hAnsiTheme="majorHAnsi" w:cstheme="majorHAnsi"/>
        </w:rPr>
        <w:t xml:space="preserve">II. a </w:t>
      </w:r>
      <w:r w:rsidRPr="006070EA">
        <w:rPr>
          <w:rFonts w:asciiTheme="majorHAnsi" w:hAnsiTheme="majorHAnsi" w:cstheme="majorHAnsi"/>
        </w:rPr>
        <w:t>III. třídy</w:t>
      </w:r>
      <w:r w:rsidRPr="006070EA">
        <w:rPr>
          <w:rFonts w:asciiTheme="majorHAnsi" w:hAnsiTheme="majorHAnsi" w:cstheme="majorHAnsi"/>
        </w:rPr>
        <w:tab/>
      </w:r>
      <w:r w:rsidRPr="006070EA">
        <w:rPr>
          <w:rFonts w:asciiTheme="majorHAnsi" w:hAnsiTheme="majorHAnsi" w:cstheme="majorHAnsi"/>
        </w:rPr>
        <w:tab/>
        <w:t xml:space="preserve">15 m od osy </w:t>
      </w:r>
      <w:r w:rsidR="00795F2C" w:rsidRPr="006070EA">
        <w:rPr>
          <w:rFonts w:asciiTheme="majorHAnsi" w:hAnsiTheme="majorHAnsi" w:cstheme="majorHAnsi"/>
        </w:rPr>
        <w:t>komunikace</w:t>
      </w:r>
    </w:p>
    <w:p w14:paraId="5AAE600D" w14:textId="7738A831" w:rsidR="0065127D" w:rsidRPr="006070EA" w:rsidRDefault="0065127D" w:rsidP="0065127D">
      <w:pPr>
        <w:pStyle w:val="Atext"/>
        <w:spacing w:after="60"/>
        <w:ind w:left="567" w:hanging="567"/>
        <w:rPr>
          <w:rFonts w:asciiTheme="majorHAnsi" w:hAnsiTheme="majorHAnsi" w:cstheme="majorHAnsi"/>
          <w:i/>
        </w:rPr>
      </w:pPr>
      <w:r w:rsidRPr="006070EA">
        <w:rPr>
          <w:rFonts w:asciiTheme="majorHAnsi" w:hAnsiTheme="majorHAnsi" w:cstheme="majorHAnsi"/>
          <w:i/>
        </w:rPr>
        <w:t>Pozn.:</w:t>
      </w:r>
      <w:r w:rsidRPr="006070EA">
        <w:rPr>
          <w:rFonts w:asciiTheme="majorHAnsi" w:hAnsiTheme="majorHAnsi" w:cstheme="majorHAnsi"/>
          <w:i/>
        </w:rPr>
        <w:tab/>
        <w:t xml:space="preserve">Ochranná pásma silnic v řešeném území jsou graficky znázorněna ve Výkresu č. </w:t>
      </w:r>
      <w:r w:rsidR="00304DE8" w:rsidRPr="006070EA">
        <w:rPr>
          <w:rFonts w:asciiTheme="majorHAnsi" w:hAnsiTheme="majorHAnsi" w:cstheme="majorHAnsi"/>
          <w:i/>
        </w:rPr>
        <w:t>4</w:t>
      </w:r>
      <w:r w:rsidRPr="006070EA">
        <w:rPr>
          <w:rFonts w:asciiTheme="majorHAnsi" w:hAnsiTheme="majorHAnsi" w:cstheme="majorHAnsi"/>
          <w:i/>
        </w:rPr>
        <w:t xml:space="preserve"> grafické části Odůvodnění ÚP </w:t>
      </w:r>
      <w:r w:rsidR="0062147C" w:rsidRPr="006070EA">
        <w:rPr>
          <w:rFonts w:asciiTheme="majorHAnsi" w:hAnsiTheme="majorHAnsi" w:cstheme="majorHAnsi"/>
          <w:i/>
        </w:rPr>
        <w:t>Kostomlaty nad Labem</w:t>
      </w:r>
      <w:r w:rsidRPr="006070EA">
        <w:rPr>
          <w:rFonts w:asciiTheme="majorHAnsi" w:hAnsiTheme="majorHAnsi" w:cstheme="majorHAnsi"/>
          <w:i/>
        </w:rPr>
        <w:t xml:space="preserve"> (Koordinační výkres).</w:t>
      </w:r>
    </w:p>
    <w:p w14:paraId="6EA7B134" w14:textId="77777777" w:rsidR="00F23F27" w:rsidRPr="006070EA" w:rsidRDefault="00F23F27" w:rsidP="009E07E1">
      <w:pPr>
        <w:keepNext/>
        <w:shd w:val="clear" w:color="auto" w:fill="FFFFFF" w:themeFill="background1"/>
        <w:spacing w:before="120" w:after="120" w:line="240" w:lineRule="auto"/>
        <w:rPr>
          <w:rFonts w:asciiTheme="majorHAnsi" w:hAnsiTheme="majorHAnsi" w:cstheme="majorHAnsi"/>
          <w:b/>
          <w:sz w:val="18"/>
          <w:szCs w:val="18"/>
        </w:rPr>
      </w:pPr>
      <w:r w:rsidRPr="006070EA">
        <w:rPr>
          <w:rFonts w:asciiTheme="majorHAnsi" w:hAnsiTheme="majorHAnsi" w:cstheme="majorHAnsi"/>
          <w:b/>
          <w:sz w:val="18"/>
          <w:szCs w:val="18"/>
        </w:rPr>
        <w:t>Vliv na životní prostředí</w:t>
      </w:r>
    </w:p>
    <w:p w14:paraId="324619F8" w14:textId="77777777" w:rsidR="00F23F27" w:rsidRPr="006070EA" w:rsidRDefault="00F23F27" w:rsidP="009E07E1">
      <w:pPr>
        <w:spacing w:after="60" w:line="240" w:lineRule="auto"/>
        <w:ind w:firstLine="709"/>
        <w:jc w:val="both"/>
        <w:rPr>
          <w:rFonts w:asciiTheme="majorHAnsi" w:hAnsiTheme="majorHAnsi" w:cstheme="majorHAnsi"/>
          <w:sz w:val="18"/>
          <w:szCs w:val="18"/>
        </w:rPr>
      </w:pPr>
      <w:r w:rsidRPr="006070EA">
        <w:rPr>
          <w:rFonts w:asciiTheme="majorHAnsi" w:hAnsiTheme="majorHAnsi" w:cstheme="majorHAnsi"/>
          <w:sz w:val="18"/>
          <w:szCs w:val="18"/>
        </w:rPr>
        <w:t>Hluková zátěž z dopravy na pozemních komunikacích se stanoví dle Nařízení vlády č. 272/2011 Sb., o ochraně zdraví před nepříznivými účinky hluku a vibrací (dále také jen „nařízení vlády č. 272/2011 Sb.“). Dle uvedeného nařízení jsou stanoveny limitní hodnoty hluku stanovené pro jednotlivé druhy chráněného venkovního prostoru.</w:t>
      </w:r>
    </w:p>
    <w:p w14:paraId="465EFF28" w14:textId="39EBA764" w:rsidR="00F23F27" w:rsidRPr="006070EA" w:rsidRDefault="00F23F27" w:rsidP="009E07E1">
      <w:pPr>
        <w:spacing w:after="60" w:line="240" w:lineRule="auto"/>
        <w:ind w:firstLine="709"/>
        <w:jc w:val="both"/>
        <w:rPr>
          <w:rFonts w:asciiTheme="majorHAnsi" w:hAnsiTheme="majorHAnsi" w:cstheme="majorHAnsi"/>
          <w:sz w:val="18"/>
          <w:szCs w:val="18"/>
        </w:rPr>
      </w:pPr>
      <w:r w:rsidRPr="006070EA">
        <w:rPr>
          <w:rFonts w:asciiTheme="majorHAnsi" w:hAnsiTheme="majorHAnsi" w:cstheme="majorHAnsi"/>
          <w:sz w:val="18"/>
          <w:szCs w:val="18"/>
        </w:rPr>
        <w:t>Hygienický limit v ekvivalentní hladině akustického tlaku A je stanoven součtem základní hladiny akustického tlaku A L</w:t>
      </w:r>
      <w:r w:rsidRPr="006070EA">
        <w:rPr>
          <w:rFonts w:asciiTheme="majorHAnsi" w:hAnsiTheme="majorHAnsi" w:cstheme="majorHAnsi"/>
          <w:sz w:val="18"/>
          <w:szCs w:val="18"/>
          <w:vertAlign w:val="subscript"/>
        </w:rPr>
        <w:t>Aeq,T</w:t>
      </w:r>
      <w:r w:rsidRPr="006070EA">
        <w:rPr>
          <w:rFonts w:asciiTheme="majorHAnsi" w:hAnsiTheme="majorHAnsi" w:cstheme="majorHAnsi"/>
          <w:sz w:val="18"/>
          <w:szCs w:val="18"/>
        </w:rPr>
        <w:t xml:space="preserve"> = 50 dB a korekcí přihlížejících ke druhu chráněného prostoru a denní a noční době podle přílohy č. 3 k nařízení vlády č.</w:t>
      </w:r>
      <w:r w:rsidR="00304DE8" w:rsidRPr="006070EA">
        <w:rPr>
          <w:rFonts w:asciiTheme="majorHAnsi" w:hAnsiTheme="majorHAnsi" w:cstheme="majorHAnsi"/>
          <w:sz w:val="18"/>
          <w:szCs w:val="18"/>
        </w:rPr>
        <w:t> </w:t>
      </w:r>
      <w:r w:rsidRPr="006070EA">
        <w:rPr>
          <w:rFonts w:asciiTheme="majorHAnsi" w:hAnsiTheme="majorHAnsi" w:cstheme="majorHAnsi"/>
          <w:sz w:val="18"/>
          <w:szCs w:val="18"/>
        </w:rPr>
        <w:t>272/2011 Sb. Dle uvedeného předpisu se pro hluk z dopravy na pozemních komunikacích ekvivalentní hladina akustického tlaku A L</w:t>
      </w:r>
      <w:r w:rsidRPr="006070EA">
        <w:rPr>
          <w:rFonts w:asciiTheme="majorHAnsi" w:hAnsiTheme="majorHAnsi" w:cstheme="majorHAnsi"/>
          <w:sz w:val="18"/>
          <w:szCs w:val="18"/>
          <w:vertAlign w:val="subscript"/>
        </w:rPr>
        <w:t>Aeq,T</w:t>
      </w:r>
      <w:r w:rsidRPr="006070EA">
        <w:rPr>
          <w:rFonts w:asciiTheme="majorHAnsi" w:hAnsiTheme="majorHAnsi" w:cstheme="majorHAnsi"/>
          <w:sz w:val="18"/>
          <w:szCs w:val="18"/>
        </w:rPr>
        <w:t xml:space="preserve"> stanoví pro celou denní (L</w:t>
      </w:r>
      <w:r w:rsidRPr="006070EA">
        <w:rPr>
          <w:rFonts w:asciiTheme="majorHAnsi" w:hAnsiTheme="majorHAnsi" w:cstheme="majorHAnsi"/>
          <w:sz w:val="18"/>
          <w:szCs w:val="18"/>
          <w:vertAlign w:val="subscript"/>
        </w:rPr>
        <w:t>Aeq,16h</w:t>
      </w:r>
      <w:r w:rsidRPr="006070EA">
        <w:rPr>
          <w:rFonts w:asciiTheme="majorHAnsi" w:hAnsiTheme="majorHAnsi" w:cstheme="majorHAnsi"/>
          <w:sz w:val="18"/>
          <w:szCs w:val="18"/>
        </w:rPr>
        <w:t>) a celou noční dobu (L</w:t>
      </w:r>
      <w:r w:rsidRPr="006070EA">
        <w:rPr>
          <w:rFonts w:asciiTheme="majorHAnsi" w:hAnsiTheme="majorHAnsi" w:cstheme="majorHAnsi"/>
          <w:sz w:val="18"/>
          <w:szCs w:val="18"/>
          <w:vertAlign w:val="subscript"/>
        </w:rPr>
        <w:t>Aeq,8h</w:t>
      </w:r>
      <w:r w:rsidRPr="006070EA">
        <w:rPr>
          <w:rFonts w:asciiTheme="majorHAnsi" w:hAnsiTheme="majorHAnsi" w:cstheme="majorHAnsi"/>
          <w:sz w:val="18"/>
          <w:szCs w:val="18"/>
        </w:rPr>
        <w:t>).</w:t>
      </w:r>
    </w:p>
    <w:p w14:paraId="456F86FC" w14:textId="77777777" w:rsidR="00F23F27" w:rsidRPr="006070EA" w:rsidRDefault="00F23F27" w:rsidP="009E07E1">
      <w:pPr>
        <w:spacing w:after="60" w:line="240" w:lineRule="auto"/>
        <w:ind w:firstLine="709"/>
        <w:jc w:val="both"/>
        <w:rPr>
          <w:rFonts w:asciiTheme="majorHAnsi" w:hAnsiTheme="majorHAnsi" w:cstheme="majorHAnsi"/>
          <w:sz w:val="18"/>
          <w:szCs w:val="18"/>
        </w:rPr>
      </w:pPr>
      <w:r w:rsidRPr="006070EA">
        <w:rPr>
          <w:rFonts w:asciiTheme="majorHAnsi" w:hAnsiTheme="majorHAnsi" w:cstheme="majorHAnsi"/>
          <w:sz w:val="18"/>
          <w:szCs w:val="18"/>
        </w:rPr>
        <w:t>V následující tabulce jsou uvedeny nejvyšší přípustné hodnoty hluku v chráněném venkovním prostoru u pozemních komunikací (doplněná tabulka z přílohy č. 3 k nařízení vlády č. 272/2011 Sb.) pro denní a noční dobu.</w:t>
      </w:r>
    </w:p>
    <w:tbl>
      <w:tblPr>
        <w:tblStyle w:val="Mkatabulky"/>
        <w:tblW w:w="9071" w:type="dxa"/>
        <w:jc w:val="center"/>
        <w:tblBorders>
          <w:top w:val="none" w:sz="0" w:space="0" w:color="auto"/>
          <w:left w:val="none" w:sz="0" w:space="0" w:color="auto"/>
          <w:bottom w:val="none" w:sz="0" w:space="0" w:color="auto"/>
          <w:right w:val="none" w:sz="0" w:space="0" w:color="auto"/>
        </w:tblBorders>
        <w:tblLayout w:type="fixed"/>
        <w:tblLook w:val="04A0" w:firstRow="1" w:lastRow="0" w:firstColumn="1" w:lastColumn="0" w:noHBand="0" w:noVBand="1"/>
      </w:tblPr>
      <w:tblGrid>
        <w:gridCol w:w="5102"/>
        <w:gridCol w:w="1701"/>
        <w:gridCol w:w="567"/>
        <w:gridCol w:w="567"/>
        <w:gridCol w:w="567"/>
        <w:gridCol w:w="567"/>
      </w:tblGrid>
      <w:tr w:rsidR="0062147C" w:rsidRPr="006070EA" w14:paraId="31BDA674" w14:textId="77777777" w:rsidTr="00AD6D48">
        <w:trPr>
          <w:trHeight w:val="255"/>
          <w:tblHeader/>
          <w:jc w:val="center"/>
        </w:trPr>
        <w:tc>
          <w:tcPr>
            <w:tcW w:w="5102" w:type="dxa"/>
            <w:vMerge w:val="restart"/>
            <w:tcBorders>
              <w:top w:val="nil"/>
              <w:bottom w:val="single" w:sz="12" w:space="0" w:color="auto"/>
              <w:right w:val="single" w:sz="12" w:space="0" w:color="auto"/>
            </w:tcBorders>
            <w:shd w:val="clear" w:color="auto" w:fill="auto"/>
            <w:vAlign w:val="center"/>
          </w:tcPr>
          <w:p w14:paraId="629A4923" w14:textId="77777777" w:rsidR="00F23F27" w:rsidRPr="006070EA" w:rsidRDefault="00F23F27" w:rsidP="009E07E1">
            <w:pPr>
              <w:jc w:val="center"/>
              <w:rPr>
                <w:rFonts w:asciiTheme="majorHAnsi" w:hAnsiTheme="majorHAnsi" w:cstheme="majorHAnsi"/>
                <w:b/>
                <w:sz w:val="18"/>
                <w:szCs w:val="18"/>
              </w:rPr>
            </w:pPr>
            <w:r w:rsidRPr="006070EA">
              <w:rPr>
                <w:rFonts w:asciiTheme="majorHAnsi" w:hAnsiTheme="majorHAnsi" w:cstheme="majorHAnsi"/>
                <w:b/>
                <w:sz w:val="18"/>
                <w:szCs w:val="18"/>
              </w:rPr>
              <w:t>způsob využití území</w:t>
            </w:r>
          </w:p>
        </w:tc>
        <w:tc>
          <w:tcPr>
            <w:tcW w:w="1701" w:type="dxa"/>
            <w:vMerge w:val="restart"/>
            <w:tcBorders>
              <w:top w:val="nil"/>
              <w:left w:val="single" w:sz="12" w:space="0" w:color="auto"/>
              <w:bottom w:val="single" w:sz="12" w:space="0" w:color="auto"/>
              <w:right w:val="single" w:sz="12" w:space="0" w:color="auto"/>
            </w:tcBorders>
            <w:shd w:val="clear" w:color="auto" w:fill="auto"/>
            <w:vAlign w:val="center"/>
          </w:tcPr>
          <w:p w14:paraId="53F4AA84" w14:textId="77777777" w:rsidR="00F23F27" w:rsidRPr="006070EA" w:rsidRDefault="00F23F27" w:rsidP="009E07E1">
            <w:pPr>
              <w:jc w:val="center"/>
              <w:rPr>
                <w:rFonts w:asciiTheme="majorHAnsi" w:hAnsiTheme="majorHAnsi" w:cstheme="majorHAnsi"/>
                <w:b/>
                <w:sz w:val="18"/>
                <w:szCs w:val="18"/>
              </w:rPr>
            </w:pPr>
            <w:r w:rsidRPr="006070EA">
              <w:rPr>
                <w:rFonts w:asciiTheme="majorHAnsi" w:hAnsiTheme="majorHAnsi" w:cstheme="majorHAnsi"/>
                <w:b/>
                <w:sz w:val="18"/>
                <w:szCs w:val="18"/>
              </w:rPr>
              <w:t>denní doba</w:t>
            </w:r>
          </w:p>
        </w:tc>
        <w:tc>
          <w:tcPr>
            <w:tcW w:w="2268" w:type="dxa"/>
            <w:gridSpan w:val="4"/>
            <w:tcBorders>
              <w:top w:val="nil"/>
              <w:left w:val="single" w:sz="12" w:space="0" w:color="auto"/>
              <w:bottom w:val="single" w:sz="12" w:space="0" w:color="auto"/>
            </w:tcBorders>
            <w:shd w:val="clear" w:color="auto" w:fill="auto"/>
            <w:vAlign w:val="center"/>
          </w:tcPr>
          <w:p w14:paraId="6C3E6BE2" w14:textId="77777777" w:rsidR="00F23F27" w:rsidRPr="006070EA" w:rsidRDefault="00F23F27" w:rsidP="009E07E1">
            <w:pPr>
              <w:jc w:val="center"/>
              <w:rPr>
                <w:rFonts w:asciiTheme="majorHAnsi" w:hAnsiTheme="majorHAnsi" w:cstheme="majorHAnsi"/>
                <w:b/>
                <w:sz w:val="18"/>
                <w:szCs w:val="18"/>
              </w:rPr>
            </w:pPr>
            <w:r w:rsidRPr="006070EA">
              <w:rPr>
                <w:rFonts w:asciiTheme="majorHAnsi" w:hAnsiTheme="majorHAnsi" w:cstheme="majorHAnsi"/>
                <w:b/>
                <w:sz w:val="18"/>
                <w:szCs w:val="18"/>
              </w:rPr>
              <w:t>korekce (dB)</w:t>
            </w:r>
          </w:p>
        </w:tc>
      </w:tr>
      <w:tr w:rsidR="0062147C" w:rsidRPr="006070EA" w14:paraId="29684192" w14:textId="77777777" w:rsidTr="00AD6D48">
        <w:trPr>
          <w:tblHeader/>
          <w:jc w:val="center"/>
        </w:trPr>
        <w:tc>
          <w:tcPr>
            <w:tcW w:w="5102" w:type="dxa"/>
            <w:vMerge/>
            <w:tcBorders>
              <w:top w:val="single" w:sz="12" w:space="0" w:color="auto"/>
              <w:bottom w:val="single" w:sz="12" w:space="0" w:color="auto"/>
              <w:right w:val="single" w:sz="12" w:space="0" w:color="auto"/>
            </w:tcBorders>
            <w:shd w:val="clear" w:color="auto" w:fill="auto"/>
            <w:vAlign w:val="center"/>
          </w:tcPr>
          <w:p w14:paraId="53A7729A" w14:textId="77777777" w:rsidR="00F23F27" w:rsidRPr="006070EA" w:rsidRDefault="00F23F27" w:rsidP="009E07E1">
            <w:pPr>
              <w:jc w:val="center"/>
              <w:rPr>
                <w:rFonts w:asciiTheme="majorHAnsi" w:hAnsiTheme="majorHAnsi" w:cstheme="majorHAnsi"/>
                <w:b/>
                <w:sz w:val="18"/>
                <w:szCs w:val="18"/>
              </w:rPr>
            </w:pPr>
          </w:p>
        </w:tc>
        <w:tc>
          <w:tcPr>
            <w:tcW w:w="1701" w:type="dxa"/>
            <w:vMerge/>
            <w:tcBorders>
              <w:top w:val="single" w:sz="12" w:space="0" w:color="auto"/>
              <w:left w:val="single" w:sz="12" w:space="0" w:color="auto"/>
              <w:bottom w:val="single" w:sz="12" w:space="0" w:color="auto"/>
              <w:right w:val="single" w:sz="12" w:space="0" w:color="auto"/>
            </w:tcBorders>
            <w:shd w:val="clear" w:color="auto" w:fill="auto"/>
            <w:vAlign w:val="center"/>
          </w:tcPr>
          <w:p w14:paraId="59E45C34" w14:textId="77777777" w:rsidR="00F23F27" w:rsidRPr="006070EA" w:rsidRDefault="00F23F27" w:rsidP="009E07E1">
            <w:pPr>
              <w:jc w:val="center"/>
              <w:rPr>
                <w:rFonts w:asciiTheme="majorHAnsi" w:hAnsiTheme="majorHAnsi" w:cstheme="majorHAnsi"/>
                <w:b/>
                <w:sz w:val="18"/>
                <w:szCs w:val="18"/>
              </w:rPr>
            </w:pPr>
          </w:p>
        </w:tc>
        <w:tc>
          <w:tcPr>
            <w:tcW w:w="567" w:type="dxa"/>
            <w:tcBorders>
              <w:top w:val="single" w:sz="12" w:space="0" w:color="auto"/>
              <w:left w:val="single" w:sz="12" w:space="0" w:color="auto"/>
              <w:bottom w:val="single" w:sz="12" w:space="0" w:color="auto"/>
              <w:right w:val="single" w:sz="12" w:space="0" w:color="auto"/>
            </w:tcBorders>
            <w:shd w:val="clear" w:color="auto" w:fill="auto"/>
            <w:vAlign w:val="center"/>
          </w:tcPr>
          <w:p w14:paraId="28B22410" w14:textId="77777777" w:rsidR="00F23F27" w:rsidRPr="006070EA" w:rsidRDefault="00F23F27" w:rsidP="009E07E1">
            <w:pPr>
              <w:jc w:val="center"/>
              <w:rPr>
                <w:rFonts w:asciiTheme="majorHAnsi" w:hAnsiTheme="majorHAnsi" w:cstheme="majorHAnsi"/>
                <w:b/>
                <w:sz w:val="18"/>
                <w:szCs w:val="18"/>
              </w:rPr>
            </w:pPr>
            <w:r w:rsidRPr="006070EA">
              <w:rPr>
                <w:rFonts w:asciiTheme="majorHAnsi" w:hAnsiTheme="majorHAnsi" w:cstheme="majorHAnsi"/>
                <w:b/>
                <w:sz w:val="18"/>
                <w:szCs w:val="18"/>
              </w:rPr>
              <w:t>1</w:t>
            </w:r>
          </w:p>
        </w:tc>
        <w:tc>
          <w:tcPr>
            <w:tcW w:w="567" w:type="dxa"/>
            <w:tcBorders>
              <w:top w:val="single" w:sz="12" w:space="0" w:color="auto"/>
              <w:left w:val="single" w:sz="12" w:space="0" w:color="auto"/>
              <w:bottom w:val="single" w:sz="12" w:space="0" w:color="auto"/>
              <w:right w:val="single" w:sz="12" w:space="0" w:color="auto"/>
            </w:tcBorders>
            <w:shd w:val="clear" w:color="auto" w:fill="auto"/>
            <w:vAlign w:val="center"/>
          </w:tcPr>
          <w:p w14:paraId="551E463D" w14:textId="77777777" w:rsidR="00F23F27" w:rsidRPr="006070EA" w:rsidRDefault="00F23F27" w:rsidP="009E07E1">
            <w:pPr>
              <w:jc w:val="center"/>
              <w:rPr>
                <w:rFonts w:asciiTheme="majorHAnsi" w:hAnsiTheme="majorHAnsi" w:cstheme="majorHAnsi"/>
                <w:b/>
                <w:sz w:val="18"/>
                <w:szCs w:val="18"/>
              </w:rPr>
            </w:pPr>
            <w:r w:rsidRPr="006070EA">
              <w:rPr>
                <w:rFonts w:asciiTheme="majorHAnsi" w:hAnsiTheme="majorHAnsi" w:cstheme="majorHAnsi"/>
                <w:b/>
                <w:sz w:val="18"/>
                <w:szCs w:val="18"/>
              </w:rPr>
              <w:t>2</w:t>
            </w:r>
          </w:p>
        </w:tc>
        <w:tc>
          <w:tcPr>
            <w:tcW w:w="567" w:type="dxa"/>
            <w:tcBorders>
              <w:top w:val="single" w:sz="12" w:space="0" w:color="auto"/>
              <w:left w:val="single" w:sz="12" w:space="0" w:color="auto"/>
              <w:bottom w:val="single" w:sz="12" w:space="0" w:color="auto"/>
              <w:right w:val="single" w:sz="12" w:space="0" w:color="auto"/>
            </w:tcBorders>
            <w:shd w:val="clear" w:color="auto" w:fill="auto"/>
            <w:vAlign w:val="center"/>
          </w:tcPr>
          <w:p w14:paraId="0579767E" w14:textId="77777777" w:rsidR="00F23F27" w:rsidRPr="006070EA" w:rsidRDefault="00F23F27" w:rsidP="009E07E1">
            <w:pPr>
              <w:jc w:val="center"/>
              <w:rPr>
                <w:rFonts w:asciiTheme="majorHAnsi" w:hAnsiTheme="majorHAnsi" w:cstheme="majorHAnsi"/>
                <w:b/>
                <w:sz w:val="18"/>
                <w:szCs w:val="18"/>
              </w:rPr>
            </w:pPr>
            <w:r w:rsidRPr="006070EA">
              <w:rPr>
                <w:rFonts w:asciiTheme="majorHAnsi" w:hAnsiTheme="majorHAnsi" w:cstheme="majorHAnsi"/>
                <w:b/>
                <w:sz w:val="18"/>
                <w:szCs w:val="18"/>
              </w:rPr>
              <w:t>3</w:t>
            </w:r>
          </w:p>
        </w:tc>
        <w:tc>
          <w:tcPr>
            <w:tcW w:w="567" w:type="dxa"/>
            <w:tcBorders>
              <w:top w:val="single" w:sz="12" w:space="0" w:color="auto"/>
              <w:left w:val="single" w:sz="12" w:space="0" w:color="auto"/>
              <w:bottom w:val="single" w:sz="12" w:space="0" w:color="auto"/>
            </w:tcBorders>
            <w:shd w:val="clear" w:color="auto" w:fill="auto"/>
            <w:vAlign w:val="center"/>
          </w:tcPr>
          <w:p w14:paraId="1FC37B92" w14:textId="77777777" w:rsidR="00F23F27" w:rsidRPr="006070EA" w:rsidRDefault="00F23F27" w:rsidP="009E07E1">
            <w:pPr>
              <w:jc w:val="center"/>
              <w:rPr>
                <w:rFonts w:asciiTheme="majorHAnsi" w:hAnsiTheme="majorHAnsi" w:cstheme="majorHAnsi"/>
                <w:b/>
                <w:sz w:val="18"/>
                <w:szCs w:val="18"/>
              </w:rPr>
            </w:pPr>
            <w:r w:rsidRPr="006070EA">
              <w:rPr>
                <w:rFonts w:asciiTheme="majorHAnsi" w:hAnsiTheme="majorHAnsi" w:cstheme="majorHAnsi"/>
                <w:b/>
                <w:sz w:val="18"/>
                <w:szCs w:val="18"/>
              </w:rPr>
              <w:t>4</w:t>
            </w:r>
          </w:p>
        </w:tc>
      </w:tr>
      <w:tr w:rsidR="0062147C" w:rsidRPr="006070EA" w14:paraId="32BBE33C" w14:textId="77777777" w:rsidTr="00AD6D48">
        <w:trPr>
          <w:jc w:val="center"/>
        </w:trPr>
        <w:tc>
          <w:tcPr>
            <w:tcW w:w="5102" w:type="dxa"/>
            <w:vMerge w:val="restart"/>
            <w:tcBorders>
              <w:top w:val="single" w:sz="12" w:space="0" w:color="auto"/>
            </w:tcBorders>
            <w:vAlign w:val="center"/>
          </w:tcPr>
          <w:p w14:paraId="1FA833FD" w14:textId="77777777" w:rsidR="00F23F27" w:rsidRPr="006070EA" w:rsidRDefault="00F23F27" w:rsidP="009E07E1">
            <w:pPr>
              <w:rPr>
                <w:rFonts w:asciiTheme="majorHAnsi" w:hAnsiTheme="majorHAnsi" w:cstheme="majorHAnsi"/>
                <w:sz w:val="18"/>
                <w:szCs w:val="18"/>
              </w:rPr>
            </w:pPr>
            <w:r w:rsidRPr="006070EA">
              <w:rPr>
                <w:rFonts w:asciiTheme="majorHAnsi" w:hAnsiTheme="majorHAnsi" w:cstheme="majorHAnsi"/>
                <w:sz w:val="18"/>
                <w:szCs w:val="18"/>
              </w:rPr>
              <w:t>chráněný venkovní prostor staveb lůžkových zdravotnických zařízení včetně lázní</w:t>
            </w:r>
          </w:p>
        </w:tc>
        <w:tc>
          <w:tcPr>
            <w:tcW w:w="1701" w:type="dxa"/>
            <w:tcBorders>
              <w:top w:val="single" w:sz="12" w:space="0" w:color="auto"/>
            </w:tcBorders>
            <w:vAlign w:val="center"/>
          </w:tcPr>
          <w:p w14:paraId="12DF425C" w14:textId="77777777" w:rsidR="00F23F27" w:rsidRPr="006070EA" w:rsidRDefault="00F23F27" w:rsidP="009E07E1">
            <w:pPr>
              <w:jc w:val="center"/>
              <w:rPr>
                <w:rFonts w:asciiTheme="majorHAnsi" w:hAnsiTheme="majorHAnsi" w:cstheme="majorHAnsi"/>
                <w:sz w:val="18"/>
                <w:szCs w:val="18"/>
              </w:rPr>
            </w:pPr>
            <w:r w:rsidRPr="006070EA">
              <w:rPr>
                <w:rFonts w:asciiTheme="majorHAnsi" w:hAnsiTheme="majorHAnsi" w:cstheme="majorHAnsi"/>
                <w:sz w:val="18"/>
                <w:szCs w:val="18"/>
              </w:rPr>
              <w:t>6:00 – 22:00</w:t>
            </w:r>
          </w:p>
        </w:tc>
        <w:tc>
          <w:tcPr>
            <w:tcW w:w="567" w:type="dxa"/>
            <w:tcBorders>
              <w:top w:val="single" w:sz="12" w:space="0" w:color="auto"/>
            </w:tcBorders>
            <w:vAlign w:val="center"/>
          </w:tcPr>
          <w:p w14:paraId="1A0187E9" w14:textId="77777777" w:rsidR="00F23F27" w:rsidRPr="006070EA" w:rsidRDefault="00F23F27" w:rsidP="009E07E1">
            <w:pPr>
              <w:jc w:val="center"/>
              <w:rPr>
                <w:rFonts w:asciiTheme="majorHAnsi" w:hAnsiTheme="majorHAnsi" w:cstheme="majorHAnsi"/>
                <w:sz w:val="18"/>
                <w:szCs w:val="18"/>
              </w:rPr>
            </w:pPr>
            <w:r w:rsidRPr="006070EA">
              <w:rPr>
                <w:rFonts w:asciiTheme="majorHAnsi" w:hAnsiTheme="majorHAnsi" w:cstheme="majorHAnsi"/>
                <w:sz w:val="18"/>
                <w:szCs w:val="18"/>
              </w:rPr>
              <w:t>45</w:t>
            </w:r>
          </w:p>
        </w:tc>
        <w:tc>
          <w:tcPr>
            <w:tcW w:w="567" w:type="dxa"/>
            <w:tcBorders>
              <w:top w:val="single" w:sz="12" w:space="0" w:color="auto"/>
            </w:tcBorders>
            <w:vAlign w:val="center"/>
          </w:tcPr>
          <w:p w14:paraId="47C7A9DF" w14:textId="77777777" w:rsidR="00F23F27" w:rsidRPr="006070EA" w:rsidRDefault="00F23F27" w:rsidP="009E07E1">
            <w:pPr>
              <w:jc w:val="center"/>
              <w:rPr>
                <w:rFonts w:asciiTheme="majorHAnsi" w:hAnsiTheme="majorHAnsi" w:cstheme="majorHAnsi"/>
                <w:sz w:val="18"/>
                <w:szCs w:val="18"/>
              </w:rPr>
            </w:pPr>
            <w:r w:rsidRPr="006070EA">
              <w:rPr>
                <w:rFonts w:asciiTheme="majorHAnsi" w:hAnsiTheme="majorHAnsi" w:cstheme="majorHAnsi"/>
                <w:sz w:val="18"/>
                <w:szCs w:val="18"/>
              </w:rPr>
              <w:t>50</w:t>
            </w:r>
          </w:p>
        </w:tc>
        <w:tc>
          <w:tcPr>
            <w:tcW w:w="567" w:type="dxa"/>
            <w:tcBorders>
              <w:top w:val="single" w:sz="12" w:space="0" w:color="auto"/>
            </w:tcBorders>
            <w:vAlign w:val="center"/>
          </w:tcPr>
          <w:p w14:paraId="51CC9AA4" w14:textId="77777777" w:rsidR="00F23F27" w:rsidRPr="006070EA" w:rsidRDefault="00F23F27" w:rsidP="009E07E1">
            <w:pPr>
              <w:jc w:val="center"/>
              <w:rPr>
                <w:rFonts w:asciiTheme="majorHAnsi" w:hAnsiTheme="majorHAnsi" w:cstheme="majorHAnsi"/>
                <w:sz w:val="18"/>
                <w:szCs w:val="18"/>
              </w:rPr>
            </w:pPr>
            <w:r w:rsidRPr="006070EA">
              <w:rPr>
                <w:rFonts w:asciiTheme="majorHAnsi" w:hAnsiTheme="majorHAnsi" w:cstheme="majorHAnsi"/>
                <w:sz w:val="18"/>
                <w:szCs w:val="18"/>
              </w:rPr>
              <w:t>55</w:t>
            </w:r>
          </w:p>
        </w:tc>
        <w:tc>
          <w:tcPr>
            <w:tcW w:w="567" w:type="dxa"/>
            <w:tcBorders>
              <w:top w:val="single" w:sz="12" w:space="0" w:color="auto"/>
            </w:tcBorders>
            <w:vAlign w:val="center"/>
          </w:tcPr>
          <w:p w14:paraId="31555C1F" w14:textId="77777777" w:rsidR="00F23F27" w:rsidRPr="006070EA" w:rsidRDefault="00F23F27" w:rsidP="009E07E1">
            <w:pPr>
              <w:jc w:val="center"/>
              <w:rPr>
                <w:rFonts w:asciiTheme="majorHAnsi" w:hAnsiTheme="majorHAnsi" w:cstheme="majorHAnsi"/>
                <w:sz w:val="18"/>
                <w:szCs w:val="18"/>
              </w:rPr>
            </w:pPr>
            <w:r w:rsidRPr="006070EA">
              <w:rPr>
                <w:rFonts w:asciiTheme="majorHAnsi" w:hAnsiTheme="majorHAnsi" w:cstheme="majorHAnsi"/>
                <w:sz w:val="18"/>
                <w:szCs w:val="18"/>
              </w:rPr>
              <w:t>65</w:t>
            </w:r>
          </w:p>
        </w:tc>
      </w:tr>
      <w:tr w:rsidR="0062147C" w:rsidRPr="006070EA" w14:paraId="6E798F9C" w14:textId="77777777" w:rsidTr="000C01C1">
        <w:trPr>
          <w:jc w:val="center"/>
        </w:trPr>
        <w:tc>
          <w:tcPr>
            <w:tcW w:w="5102" w:type="dxa"/>
            <w:vMerge/>
            <w:vAlign w:val="center"/>
          </w:tcPr>
          <w:p w14:paraId="6D0943B2" w14:textId="77777777" w:rsidR="00F23F27" w:rsidRPr="006070EA" w:rsidRDefault="00F23F27" w:rsidP="009E07E1">
            <w:pPr>
              <w:rPr>
                <w:rFonts w:asciiTheme="majorHAnsi" w:hAnsiTheme="majorHAnsi" w:cstheme="majorHAnsi"/>
                <w:sz w:val="18"/>
                <w:szCs w:val="18"/>
              </w:rPr>
            </w:pPr>
          </w:p>
        </w:tc>
        <w:tc>
          <w:tcPr>
            <w:tcW w:w="1701" w:type="dxa"/>
            <w:vAlign w:val="center"/>
          </w:tcPr>
          <w:p w14:paraId="1776E7C5" w14:textId="77777777" w:rsidR="00F23F27" w:rsidRPr="006070EA" w:rsidRDefault="00F23F27" w:rsidP="009E07E1">
            <w:pPr>
              <w:jc w:val="center"/>
              <w:rPr>
                <w:rFonts w:asciiTheme="majorHAnsi" w:hAnsiTheme="majorHAnsi" w:cstheme="majorHAnsi"/>
                <w:sz w:val="18"/>
                <w:szCs w:val="18"/>
              </w:rPr>
            </w:pPr>
            <w:r w:rsidRPr="006070EA">
              <w:rPr>
                <w:rFonts w:asciiTheme="majorHAnsi" w:hAnsiTheme="majorHAnsi" w:cstheme="majorHAnsi"/>
                <w:sz w:val="18"/>
                <w:szCs w:val="18"/>
              </w:rPr>
              <w:t>22:00 – 6:00</w:t>
            </w:r>
          </w:p>
        </w:tc>
        <w:tc>
          <w:tcPr>
            <w:tcW w:w="567" w:type="dxa"/>
            <w:vAlign w:val="center"/>
          </w:tcPr>
          <w:p w14:paraId="47A63DD1" w14:textId="77777777" w:rsidR="00F23F27" w:rsidRPr="006070EA" w:rsidRDefault="00F23F27" w:rsidP="009E07E1">
            <w:pPr>
              <w:jc w:val="center"/>
              <w:rPr>
                <w:rFonts w:asciiTheme="majorHAnsi" w:hAnsiTheme="majorHAnsi" w:cstheme="majorHAnsi"/>
                <w:sz w:val="18"/>
                <w:szCs w:val="18"/>
              </w:rPr>
            </w:pPr>
            <w:r w:rsidRPr="006070EA">
              <w:rPr>
                <w:rFonts w:asciiTheme="majorHAnsi" w:hAnsiTheme="majorHAnsi" w:cstheme="majorHAnsi"/>
                <w:sz w:val="18"/>
                <w:szCs w:val="18"/>
              </w:rPr>
              <w:t>35</w:t>
            </w:r>
          </w:p>
        </w:tc>
        <w:tc>
          <w:tcPr>
            <w:tcW w:w="567" w:type="dxa"/>
            <w:vAlign w:val="center"/>
          </w:tcPr>
          <w:p w14:paraId="4F9E5F2E" w14:textId="77777777" w:rsidR="00F23F27" w:rsidRPr="006070EA" w:rsidRDefault="00F23F27" w:rsidP="009E07E1">
            <w:pPr>
              <w:jc w:val="center"/>
              <w:rPr>
                <w:rFonts w:asciiTheme="majorHAnsi" w:hAnsiTheme="majorHAnsi" w:cstheme="majorHAnsi"/>
                <w:sz w:val="18"/>
                <w:szCs w:val="18"/>
              </w:rPr>
            </w:pPr>
            <w:r w:rsidRPr="006070EA">
              <w:rPr>
                <w:rFonts w:asciiTheme="majorHAnsi" w:hAnsiTheme="majorHAnsi" w:cstheme="majorHAnsi"/>
                <w:sz w:val="18"/>
                <w:szCs w:val="18"/>
              </w:rPr>
              <w:t>40</w:t>
            </w:r>
          </w:p>
        </w:tc>
        <w:tc>
          <w:tcPr>
            <w:tcW w:w="567" w:type="dxa"/>
            <w:vAlign w:val="center"/>
          </w:tcPr>
          <w:p w14:paraId="09B642E7" w14:textId="77777777" w:rsidR="00F23F27" w:rsidRPr="006070EA" w:rsidRDefault="00F23F27" w:rsidP="009E07E1">
            <w:pPr>
              <w:jc w:val="center"/>
              <w:rPr>
                <w:rFonts w:asciiTheme="majorHAnsi" w:hAnsiTheme="majorHAnsi" w:cstheme="majorHAnsi"/>
                <w:sz w:val="18"/>
                <w:szCs w:val="18"/>
              </w:rPr>
            </w:pPr>
            <w:r w:rsidRPr="006070EA">
              <w:rPr>
                <w:rFonts w:asciiTheme="majorHAnsi" w:hAnsiTheme="majorHAnsi" w:cstheme="majorHAnsi"/>
                <w:sz w:val="18"/>
                <w:szCs w:val="18"/>
              </w:rPr>
              <w:t>45</w:t>
            </w:r>
          </w:p>
        </w:tc>
        <w:tc>
          <w:tcPr>
            <w:tcW w:w="567" w:type="dxa"/>
            <w:vAlign w:val="center"/>
          </w:tcPr>
          <w:p w14:paraId="30314D91" w14:textId="77777777" w:rsidR="00F23F27" w:rsidRPr="006070EA" w:rsidRDefault="00F23F27" w:rsidP="009E07E1">
            <w:pPr>
              <w:jc w:val="center"/>
              <w:rPr>
                <w:rFonts w:asciiTheme="majorHAnsi" w:hAnsiTheme="majorHAnsi" w:cstheme="majorHAnsi"/>
                <w:sz w:val="18"/>
                <w:szCs w:val="18"/>
              </w:rPr>
            </w:pPr>
            <w:r w:rsidRPr="006070EA">
              <w:rPr>
                <w:rFonts w:asciiTheme="majorHAnsi" w:hAnsiTheme="majorHAnsi" w:cstheme="majorHAnsi"/>
                <w:sz w:val="18"/>
                <w:szCs w:val="18"/>
              </w:rPr>
              <w:t>55</w:t>
            </w:r>
          </w:p>
        </w:tc>
      </w:tr>
      <w:tr w:rsidR="0062147C" w:rsidRPr="006070EA" w14:paraId="1917F4E5" w14:textId="77777777" w:rsidTr="000C01C1">
        <w:trPr>
          <w:jc w:val="center"/>
        </w:trPr>
        <w:tc>
          <w:tcPr>
            <w:tcW w:w="5102" w:type="dxa"/>
            <w:vMerge w:val="restart"/>
            <w:vAlign w:val="center"/>
          </w:tcPr>
          <w:p w14:paraId="48874F01" w14:textId="77777777" w:rsidR="00F23F27" w:rsidRPr="006070EA" w:rsidRDefault="00F23F27" w:rsidP="009E07E1">
            <w:pPr>
              <w:rPr>
                <w:rFonts w:asciiTheme="majorHAnsi" w:hAnsiTheme="majorHAnsi" w:cstheme="majorHAnsi"/>
                <w:sz w:val="18"/>
                <w:szCs w:val="18"/>
              </w:rPr>
            </w:pPr>
            <w:r w:rsidRPr="006070EA">
              <w:rPr>
                <w:rFonts w:asciiTheme="majorHAnsi" w:hAnsiTheme="majorHAnsi" w:cstheme="majorHAnsi"/>
                <w:sz w:val="18"/>
                <w:szCs w:val="18"/>
              </w:rPr>
              <w:t>chráněný venkovní prostor lůžkových zdravotnických zařízení včetně lázní</w:t>
            </w:r>
          </w:p>
        </w:tc>
        <w:tc>
          <w:tcPr>
            <w:tcW w:w="1701" w:type="dxa"/>
            <w:vAlign w:val="center"/>
          </w:tcPr>
          <w:p w14:paraId="09EEB29B" w14:textId="77777777" w:rsidR="00F23F27" w:rsidRPr="006070EA" w:rsidRDefault="00F23F27" w:rsidP="009E07E1">
            <w:pPr>
              <w:jc w:val="center"/>
              <w:rPr>
                <w:rFonts w:asciiTheme="majorHAnsi" w:hAnsiTheme="majorHAnsi" w:cstheme="majorHAnsi"/>
                <w:sz w:val="18"/>
                <w:szCs w:val="18"/>
              </w:rPr>
            </w:pPr>
            <w:r w:rsidRPr="006070EA">
              <w:rPr>
                <w:rFonts w:asciiTheme="majorHAnsi" w:hAnsiTheme="majorHAnsi" w:cstheme="majorHAnsi"/>
                <w:sz w:val="18"/>
                <w:szCs w:val="18"/>
              </w:rPr>
              <w:t>6:00 – 22:00</w:t>
            </w:r>
          </w:p>
        </w:tc>
        <w:tc>
          <w:tcPr>
            <w:tcW w:w="567" w:type="dxa"/>
            <w:vAlign w:val="center"/>
          </w:tcPr>
          <w:p w14:paraId="2546A499" w14:textId="77777777" w:rsidR="00F23F27" w:rsidRPr="006070EA" w:rsidRDefault="00F23F27" w:rsidP="009E07E1">
            <w:pPr>
              <w:jc w:val="center"/>
              <w:rPr>
                <w:rFonts w:asciiTheme="majorHAnsi" w:hAnsiTheme="majorHAnsi" w:cstheme="majorHAnsi"/>
                <w:sz w:val="18"/>
                <w:szCs w:val="18"/>
              </w:rPr>
            </w:pPr>
            <w:r w:rsidRPr="006070EA">
              <w:rPr>
                <w:rFonts w:asciiTheme="majorHAnsi" w:hAnsiTheme="majorHAnsi" w:cstheme="majorHAnsi"/>
                <w:sz w:val="18"/>
                <w:szCs w:val="18"/>
              </w:rPr>
              <w:t>50</w:t>
            </w:r>
          </w:p>
        </w:tc>
        <w:tc>
          <w:tcPr>
            <w:tcW w:w="567" w:type="dxa"/>
            <w:vAlign w:val="center"/>
          </w:tcPr>
          <w:p w14:paraId="22255594" w14:textId="77777777" w:rsidR="00F23F27" w:rsidRPr="006070EA" w:rsidRDefault="00F23F27" w:rsidP="009E07E1">
            <w:pPr>
              <w:jc w:val="center"/>
              <w:rPr>
                <w:rFonts w:asciiTheme="majorHAnsi" w:hAnsiTheme="majorHAnsi" w:cstheme="majorHAnsi"/>
                <w:sz w:val="18"/>
                <w:szCs w:val="18"/>
              </w:rPr>
            </w:pPr>
            <w:r w:rsidRPr="006070EA">
              <w:rPr>
                <w:rFonts w:asciiTheme="majorHAnsi" w:hAnsiTheme="majorHAnsi" w:cstheme="majorHAnsi"/>
                <w:sz w:val="18"/>
                <w:szCs w:val="18"/>
              </w:rPr>
              <w:t>50</w:t>
            </w:r>
          </w:p>
        </w:tc>
        <w:tc>
          <w:tcPr>
            <w:tcW w:w="567" w:type="dxa"/>
            <w:vAlign w:val="center"/>
          </w:tcPr>
          <w:p w14:paraId="0D50D9FF" w14:textId="77777777" w:rsidR="00F23F27" w:rsidRPr="006070EA" w:rsidRDefault="00F23F27" w:rsidP="009E07E1">
            <w:pPr>
              <w:jc w:val="center"/>
              <w:rPr>
                <w:rFonts w:asciiTheme="majorHAnsi" w:hAnsiTheme="majorHAnsi" w:cstheme="majorHAnsi"/>
                <w:sz w:val="18"/>
                <w:szCs w:val="18"/>
              </w:rPr>
            </w:pPr>
            <w:r w:rsidRPr="006070EA">
              <w:rPr>
                <w:rFonts w:asciiTheme="majorHAnsi" w:hAnsiTheme="majorHAnsi" w:cstheme="majorHAnsi"/>
                <w:sz w:val="18"/>
                <w:szCs w:val="18"/>
              </w:rPr>
              <w:t>55</w:t>
            </w:r>
          </w:p>
        </w:tc>
        <w:tc>
          <w:tcPr>
            <w:tcW w:w="567" w:type="dxa"/>
            <w:vAlign w:val="center"/>
          </w:tcPr>
          <w:p w14:paraId="71C7CD32" w14:textId="77777777" w:rsidR="00F23F27" w:rsidRPr="006070EA" w:rsidRDefault="00F23F27" w:rsidP="009E07E1">
            <w:pPr>
              <w:jc w:val="center"/>
              <w:rPr>
                <w:rFonts w:asciiTheme="majorHAnsi" w:hAnsiTheme="majorHAnsi" w:cstheme="majorHAnsi"/>
                <w:sz w:val="18"/>
                <w:szCs w:val="18"/>
              </w:rPr>
            </w:pPr>
            <w:r w:rsidRPr="006070EA">
              <w:rPr>
                <w:rFonts w:asciiTheme="majorHAnsi" w:hAnsiTheme="majorHAnsi" w:cstheme="majorHAnsi"/>
                <w:sz w:val="18"/>
                <w:szCs w:val="18"/>
              </w:rPr>
              <w:t>65</w:t>
            </w:r>
          </w:p>
        </w:tc>
      </w:tr>
      <w:tr w:rsidR="0062147C" w:rsidRPr="006070EA" w14:paraId="5461AFF6" w14:textId="77777777" w:rsidTr="000C01C1">
        <w:trPr>
          <w:jc w:val="center"/>
        </w:trPr>
        <w:tc>
          <w:tcPr>
            <w:tcW w:w="5102" w:type="dxa"/>
            <w:vMerge/>
            <w:vAlign w:val="center"/>
          </w:tcPr>
          <w:p w14:paraId="471AC73D" w14:textId="77777777" w:rsidR="00F23F27" w:rsidRPr="006070EA" w:rsidRDefault="00F23F27" w:rsidP="009E07E1">
            <w:pPr>
              <w:rPr>
                <w:rFonts w:asciiTheme="majorHAnsi" w:hAnsiTheme="majorHAnsi" w:cstheme="majorHAnsi"/>
                <w:sz w:val="18"/>
                <w:szCs w:val="18"/>
              </w:rPr>
            </w:pPr>
          </w:p>
        </w:tc>
        <w:tc>
          <w:tcPr>
            <w:tcW w:w="1701" w:type="dxa"/>
            <w:vAlign w:val="center"/>
          </w:tcPr>
          <w:p w14:paraId="695A4507" w14:textId="77777777" w:rsidR="00F23F27" w:rsidRPr="006070EA" w:rsidRDefault="00F23F27" w:rsidP="009E07E1">
            <w:pPr>
              <w:jc w:val="center"/>
              <w:rPr>
                <w:rFonts w:asciiTheme="majorHAnsi" w:hAnsiTheme="majorHAnsi" w:cstheme="majorHAnsi"/>
                <w:sz w:val="18"/>
                <w:szCs w:val="18"/>
              </w:rPr>
            </w:pPr>
            <w:r w:rsidRPr="006070EA">
              <w:rPr>
                <w:rFonts w:asciiTheme="majorHAnsi" w:hAnsiTheme="majorHAnsi" w:cstheme="majorHAnsi"/>
                <w:sz w:val="18"/>
                <w:szCs w:val="18"/>
              </w:rPr>
              <w:t>22:00 – 6:00</w:t>
            </w:r>
          </w:p>
        </w:tc>
        <w:tc>
          <w:tcPr>
            <w:tcW w:w="567" w:type="dxa"/>
            <w:vAlign w:val="center"/>
          </w:tcPr>
          <w:p w14:paraId="4716FD87" w14:textId="77777777" w:rsidR="00F23F27" w:rsidRPr="006070EA" w:rsidRDefault="00F23F27" w:rsidP="009E07E1">
            <w:pPr>
              <w:jc w:val="center"/>
              <w:rPr>
                <w:rFonts w:asciiTheme="majorHAnsi" w:hAnsiTheme="majorHAnsi" w:cstheme="majorHAnsi"/>
                <w:sz w:val="18"/>
                <w:szCs w:val="18"/>
              </w:rPr>
            </w:pPr>
            <w:r w:rsidRPr="006070EA">
              <w:rPr>
                <w:rFonts w:asciiTheme="majorHAnsi" w:hAnsiTheme="majorHAnsi" w:cstheme="majorHAnsi"/>
                <w:sz w:val="18"/>
                <w:szCs w:val="18"/>
              </w:rPr>
              <w:t>40</w:t>
            </w:r>
          </w:p>
        </w:tc>
        <w:tc>
          <w:tcPr>
            <w:tcW w:w="567" w:type="dxa"/>
            <w:vAlign w:val="center"/>
          </w:tcPr>
          <w:p w14:paraId="5808F1AB" w14:textId="77777777" w:rsidR="00F23F27" w:rsidRPr="006070EA" w:rsidRDefault="00F23F27" w:rsidP="009E07E1">
            <w:pPr>
              <w:jc w:val="center"/>
              <w:rPr>
                <w:rFonts w:asciiTheme="majorHAnsi" w:hAnsiTheme="majorHAnsi" w:cstheme="majorHAnsi"/>
                <w:sz w:val="18"/>
                <w:szCs w:val="18"/>
              </w:rPr>
            </w:pPr>
            <w:r w:rsidRPr="006070EA">
              <w:rPr>
                <w:rFonts w:asciiTheme="majorHAnsi" w:hAnsiTheme="majorHAnsi" w:cstheme="majorHAnsi"/>
                <w:sz w:val="18"/>
                <w:szCs w:val="18"/>
              </w:rPr>
              <w:t>40</w:t>
            </w:r>
          </w:p>
        </w:tc>
        <w:tc>
          <w:tcPr>
            <w:tcW w:w="567" w:type="dxa"/>
            <w:vAlign w:val="center"/>
          </w:tcPr>
          <w:p w14:paraId="6A2C0DDA" w14:textId="77777777" w:rsidR="00F23F27" w:rsidRPr="006070EA" w:rsidRDefault="00F23F27" w:rsidP="009E07E1">
            <w:pPr>
              <w:jc w:val="center"/>
              <w:rPr>
                <w:rFonts w:asciiTheme="majorHAnsi" w:hAnsiTheme="majorHAnsi" w:cstheme="majorHAnsi"/>
                <w:sz w:val="18"/>
                <w:szCs w:val="18"/>
              </w:rPr>
            </w:pPr>
            <w:r w:rsidRPr="006070EA">
              <w:rPr>
                <w:rFonts w:asciiTheme="majorHAnsi" w:hAnsiTheme="majorHAnsi" w:cstheme="majorHAnsi"/>
                <w:sz w:val="18"/>
                <w:szCs w:val="18"/>
              </w:rPr>
              <w:t>45</w:t>
            </w:r>
          </w:p>
        </w:tc>
        <w:tc>
          <w:tcPr>
            <w:tcW w:w="567" w:type="dxa"/>
            <w:vAlign w:val="center"/>
          </w:tcPr>
          <w:p w14:paraId="371C5124" w14:textId="77777777" w:rsidR="00F23F27" w:rsidRPr="006070EA" w:rsidRDefault="00F23F27" w:rsidP="009E07E1">
            <w:pPr>
              <w:jc w:val="center"/>
              <w:rPr>
                <w:rFonts w:asciiTheme="majorHAnsi" w:hAnsiTheme="majorHAnsi" w:cstheme="majorHAnsi"/>
                <w:sz w:val="18"/>
                <w:szCs w:val="18"/>
              </w:rPr>
            </w:pPr>
            <w:r w:rsidRPr="006070EA">
              <w:rPr>
                <w:rFonts w:asciiTheme="majorHAnsi" w:hAnsiTheme="majorHAnsi" w:cstheme="majorHAnsi"/>
                <w:sz w:val="18"/>
                <w:szCs w:val="18"/>
              </w:rPr>
              <w:t>55</w:t>
            </w:r>
          </w:p>
        </w:tc>
      </w:tr>
      <w:tr w:rsidR="0062147C" w:rsidRPr="006070EA" w14:paraId="57CF4688" w14:textId="77777777" w:rsidTr="000C01C1">
        <w:trPr>
          <w:jc w:val="center"/>
        </w:trPr>
        <w:tc>
          <w:tcPr>
            <w:tcW w:w="5102" w:type="dxa"/>
            <w:vMerge w:val="restart"/>
            <w:vAlign w:val="center"/>
          </w:tcPr>
          <w:p w14:paraId="42A8610F" w14:textId="77777777" w:rsidR="00F23F27" w:rsidRPr="006070EA" w:rsidRDefault="00F23F27" w:rsidP="009E07E1">
            <w:pPr>
              <w:rPr>
                <w:rFonts w:asciiTheme="majorHAnsi" w:hAnsiTheme="majorHAnsi" w:cstheme="majorHAnsi"/>
                <w:sz w:val="18"/>
                <w:szCs w:val="18"/>
              </w:rPr>
            </w:pPr>
            <w:r w:rsidRPr="006070EA">
              <w:rPr>
                <w:rFonts w:asciiTheme="majorHAnsi" w:hAnsiTheme="majorHAnsi" w:cstheme="majorHAnsi"/>
                <w:sz w:val="18"/>
                <w:szCs w:val="18"/>
              </w:rPr>
              <w:t>chráněný venkovní prostor ostatních staveb a chráněný ostatní venkovní prostor</w:t>
            </w:r>
          </w:p>
        </w:tc>
        <w:tc>
          <w:tcPr>
            <w:tcW w:w="1701" w:type="dxa"/>
            <w:vAlign w:val="center"/>
          </w:tcPr>
          <w:p w14:paraId="50A05D7B" w14:textId="77777777" w:rsidR="00F23F27" w:rsidRPr="006070EA" w:rsidRDefault="00F23F27" w:rsidP="009E07E1">
            <w:pPr>
              <w:jc w:val="center"/>
              <w:rPr>
                <w:rFonts w:asciiTheme="majorHAnsi" w:hAnsiTheme="majorHAnsi" w:cstheme="majorHAnsi"/>
                <w:sz w:val="18"/>
                <w:szCs w:val="18"/>
              </w:rPr>
            </w:pPr>
            <w:r w:rsidRPr="006070EA">
              <w:rPr>
                <w:rFonts w:asciiTheme="majorHAnsi" w:hAnsiTheme="majorHAnsi" w:cstheme="majorHAnsi"/>
                <w:sz w:val="18"/>
                <w:szCs w:val="18"/>
              </w:rPr>
              <w:t>6:00 – 22:00</w:t>
            </w:r>
          </w:p>
        </w:tc>
        <w:tc>
          <w:tcPr>
            <w:tcW w:w="567" w:type="dxa"/>
            <w:vAlign w:val="center"/>
          </w:tcPr>
          <w:p w14:paraId="332F1A24" w14:textId="77777777" w:rsidR="00F23F27" w:rsidRPr="006070EA" w:rsidRDefault="00F23F27" w:rsidP="009E07E1">
            <w:pPr>
              <w:jc w:val="center"/>
              <w:rPr>
                <w:rFonts w:asciiTheme="majorHAnsi" w:hAnsiTheme="majorHAnsi" w:cstheme="majorHAnsi"/>
                <w:sz w:val="18"/>
                <w:szCs w:val="18"/>
              </w:rPr>
            </w:pPr>
            <w:r w:rsidRPr="006070EA">
              <w:rPr>
                <w:rFonts w:asciiTheme="majorHAnsi" w:hAnsiTheme="majorHAnsi" w:cstheme="majorHAnsi"/>
                <w:sz w:val="18"/>
                <w:szCs w:val="18"/>
              </w:rPr>
              <w:t>50</w:t>
            </w:r>
          </w:p>
        </w:tc>
        <w:tc>
          <w:tcPr>
            <w:tcW w:w="567" w:type="dxa"/>
            <w:vAlign w:val="center"/>
          </w:tcPr>
          <w:p w14:paraId="310AA47B" w14:textId="77777777" w:rsidR="00F23F27" w:rsidRPr="006070EA" w:rsidRDefault="00F23F27" w:rsidP="009E07E1">
            <w:pPr>
              <w:jc w:val="center"/>
              <w:rPr>
                <w:rFonts w:asciiTheme="majorHAnsi" w:hAnsiTheme="majorHAnsi" w:cstheme="majorHAnsi"/>
                <w:sz w:val="18"/>
                <w:szCs w:val="18"/>
              </w:rPr>
            </w:pPr>
            <w:r w:rsidRPr="006070EA">
              <w:rPr>
                <w:rFonts w:asciiTheme="majorHAnsi" w:hAnsiTheme="majorHAnsi" w:cstheme="majorHAnsi"/>
                <w:sz w:val="18"/>
                <w:szCs w:val="18"/>
              </w:rPr>
              <w:t>55</w:t>
            </w:r>
          </w:p>
        </w:tc>
        <w:tc>
          <w:tcPr>
            <w:tcW w:w="567" w:type="dxa"/>
            <w:vAlign w:val="center"/>
          </w:tcPr>
          <w:p w14:paraId="0054CE84" w14:textId="77777777" w:rsidR="00F23F27" w:rsidRPr="006070EA" w:rsidRDefault="00F23F27" w:rsidP="009E07E1">
            <w:pPr>
              <w:jc w:val="center"/>
              <w:rPr>
                <w:rFonts w:asciiTheme="majorHAnsi" w:hAnsiTheme="majorHAnsi" w:cstheme="majorHAnsi"/>
                <w:sz w:val="18"/>
                <w:szCs w:val="18"/>
              </w:rPr>
            </w:pPr>
            <w:r w:rsidRPr="006070EA">
              <w:rPr>
                <w:rFonts w:asciiTheme="majorHAnsi" w:hAnsiTheme="majorHAnsi" w:cstheme="majorHAnsi"/>
                <w:sz w:val="18"/>
                <w:szCs w:val="18"/>
              </w:rPr>
              <w:t>60</w:t>
            </w:r>
          </w:p>
        </w:tc>
        <w:tc>
          <w:tcPr>
            <w:tcW w:w="567" w:type="dxa"/>
            <w:vAlign w:val="center"/>
          </w:tcPr>
          <w:p w14:paraId="50834A89" w14:textId="77777777" w:rsidR="00F23F27" w:rsidRPr="006070EA" w:rsidRDefault="00F23F27" w:rsidP="009E07E1">
            <w:pPr>
              <w:jc w:val="center"/>
              <w:rPr>
                <w:rFonts w:asciiTheme="majorHAnsi" w:hAnsiTheme="majorHAnsi" w:cstheme="majorHAnsi"/>
                <w:sz w:val="18"/>
                <w:szCs w:val="18"/>
              </w:rPr>
            </w:pPr>
            <w:r w:rsidRPr="006070EA">
              <w:rPr>
                <w:rFonts w:asciiTheme="majorHAnsi" w:hAnsiTheme="majorHAnsi" w:cstheme="majorHAnsi"/>
                <w:sz w:val="18"/>
                <w:szCs w:val="18"/>
              </w:rPr>
              <w:t>70</w:t>
            </w:r>
          </w:p>
        </w:tc>
      </w:tr>
      <w:tr w:rsidR="0062147C" w:rsidRPr="006070EA" w14:paraId="0CC152DD" w14:textId="77777777" w:rsidTr="000C01C1">
        <w:trPr>
          <w:jc w:val="center"/>
        </w:trPr>
        <w:tc>
          <w:tcPr>
            <w:tcW w:w="5102" w:type="dxa"/>
            <w:vMerge/>
            <w:vAlign w:val="center"/>
          </w:tcPr>
          <w:p w14:paraId="45D1B2B0" w14:textId="77777777" w:rsidR="00F23F27" w:rsidRPr="006070EA" w:rsidRDefault="00F23F27" w:rsidP="009E07E1">
            <w:pPr>
              <w:rPr>
                <w:rFonts w:asciiTheme="majorHAnsi" w:hAnsiTheme="majorHAnsi" w:cstheme="majorHAnsi"/>
                <w:sz w:val="18"/>
                <w:szCs w:val="18"/>
              </w:rPr>
            </w:pPr>
          </w:p>
        </w:tc>
        <w:tc>
          <w:tcPr>
            <w:tcW w:w="1701" w:type="dxa"/>
            <w:vAlign w:val="center"/>
          </w:tcPr>
          <w:p w14:paraId="18C0D744" w14:textId="77777777" w:rsidR="00F23F27" w:rsidRPr="006070EA" w:rsidRDefault="00F23F27" w:rsidP="009E07E1">
            <w:pPr>
              <w:jc w:val="center"/>
              <w:rPr>
                <w:rFonts w:asciiTheme="majorHAnsi" w:hAnsiTheme="majorHAnsi" w:cstheme="majorHAnsi"/>
                <w:sz w:val="18"/>
                <w:szCs w:val="18"/>
              </w:rPr>
            </w:pPr>
            <w:r w:rsidRPr="006070EA">
              <w:rPr>
                <w:rFonts w:asciiTheme="majorHAnsi" w:hAnsiTheme="majorHAnsi" w:cstheme="majorHAnsi"/>
                <w:sz w:val="18"/>
                <w:szCs w:val="18"/>
              </w:rPr>
              <w:t>22:00 – 6:00</w:t>
            </w:r>
          </w:p>
        </w:tc>
        <w:tc>
          <w:tcPr>
            <w:tcW w:w="567" w:type="dxa"/>
            <w:vAlign w:val="center"/>
          </w:tcPr>
          <w:p w14:paraId="390F1090" w14:textId="77777777" w:rsidR="00F23F27" w:rsidRPr="006070EA" w:rsidRDefault="00F23F27" w:rsidP="009E07E1">
            <w:pPr>
              <w:jc w:val="center"/>
              <w:rPr>
                <w:rFonts w:asciiTheme="majorHAnsi" w:hAnsiTheme="majorHAnsi" w:cstheme="majorHAnsi"/>
                <w:sz w:val="18"/>
                <w:szCs w:val="18"/>
              </w:rPr>
            </w:pPr>
            <w:r w:rsidRPr="006070EA">
              <w:rPr>
                <w:rFonts w:asciiTheme="majorHAnsi" w:hAnsiTheme="majorHAnsi" w:cstheme="majorHAnsi"/>
                <w:sz w:val="18"/>
                <w:szCs w:val="18"/>
              </w:rPr>
              <w:t>40</w:t>
            </w:r>
          </w:p>
        </w:tc>
        <w:tc>
          <w:tcPr>
            <w:tcW w:w="567" w:type="dxa"/>
            <w:vAlign w:val="center"/>
          </w:tcPr>
          <w:p w14:paraId="11FB3B62" w14:textId="77777777" w:rsidR="00F23F27" w:rsidRPr="006070EA" w:rsidRDefault="00F23F27" w:rsidP="009E07E1">
            <w:pPr>
              <w:jc w:val="center"/>
              <w:rPr>
                <w:rFonts w:asciiTheme="majorHAnsi" w:hAnsiTheme="majorHAnsi" w:cstheme="majorHAnsi"/>
                <w:sz w:val="18"/>
                <w:szCs w:val="18"/>
              </w:rPr>
            </w:pPr>
            <w:r w:rsidRPr="006070EA">
              <w:rPr>
                <w:rFonts w:asciiTheme="majorHAnsi" w:hAnsiTheme="majorHAnsi" w:cstheme="majorHAnsi"/>
                <w:sz w:val="18"/>
                <w:szCs w:val="18"/>
              </w:rPr>
              <w:t>45</w:t>
            </w:r>
          </w:p>
        </w:tc>
        <w:tc>
          <w:tcPr>
            <w:tcW w:w="567" w:type="dxa"/>
            <w:vAlign w:val="center"/>
          </w:tcPr>
          <w:p w14:paraId="6E21D49F" w14:textId="77777777" w:rsidR="00F23F27" w:rsidRPr="006070EA" w:rsidRDefault="00F23F27" w:rsidP="009E07E1">
            <w:pPr>
              <w:jc w:val="center"/>
              <w:rPr>
                <w:rFonts w:asciiTheme="majorHAnsi" w:hAnsiTheme="majorHAnsi" w:cstheme="majorHAnsi"/>
                <w:sz w:val="18"/>
                <w:szCs w:val="18"/>
              </w:rPr>
            </w:pPr>
            <w:r w:rsidRPr="006070EA">
              <w:rPr>
                <w:rFonts w:asciiTheme="majorHAnsi" w:hAnsiTheme="majorHAnsi" w:cstheme="majorHAnsi"/>
                <w:sz w:val="18"/>
                <w:szCs w:val="18"/>
              </w:rPr>
              <w:t>50</w:t>
            </w:r>
          </w:p>
        </w:tc>
        <w:tc>
          <w:tcPr>
            <w:tcW w:w="567" w:type="dxa"/>
            <w:vAlign w:val="center"/>
          </w:tcPr>
          <w:p w14:paraId="22E6D68B" w14:textId="77777777" w:rsidR="00F23F27" w:rsidRPr="006070EA" w:rsidRDefault="00F23F27" w:rsidP="009E07E1">
            <w:pPr>
              <w:jc w:val="center"/>
              <w:rPr>
                <w:rFonts w:asciiTheme="majorHAnsi" w:hAnsiTheme="majorHAnsi" w:cstheme="majorHAnsi"/>
                <w:sz w:val="18"/>
                <w:szCs w:val="18"/>
              </w:rPr>
            </w:pPr>
            <w:r w:rsidRPr="006070EA">
              <w:rPr>
                <w:rFonts w:asciiTheme="majorHAnsi" w:hAnsiTheme="majorHAnsi" w:cstheme="majorHAnsi"/>
                <w:sz w:val="18"/>
                <w:szCs w:val="18"/>
              </w:rPr>
              <w:t>60</w:t>
            </w:r>
          </w:p>
        </w:tc>
      </w:tr>
    </w:tbl>
    <w:p w14:paraId="6F949CE2" w14:textId="77777777" w:rsidR="00F23F27" w:rsidRPr="006070EA" w:rsidRDefault="00F23F27" w:rsidP="00DF1BB0">
      <w:pPr>
        <w:keepNext/>
        <w:spacing w:before="120" w:after="60" w:line="240" w:lineRule="auto"/>
        <w:ind w:firstLine="709"/>
        <w:jc w:val="both"/>
        <w:rPr>
          <w:rFonts w:asciiTheme="majorHAnsi" w:hAnsiTheme="majorHAnsi" w:cstheme="majorHAnsi"/>
          <w:sz w:val="18"/>
          <w:szCs w:val="18"/>
        </w:rPr>
      </w:pPr>
      <w:r w:rsidRPr="006070EA">
        <w:rPr>
          <w:rFonts w:asciiTheme="majorHAnsi" w:hAnsiTheme="majorHAnsi" w:cstheme="majorHAnsi"/>
          <w:i/>
          <w:sz w:val="18"/>
          <w:szCs w:val="18"/>
        </w:rPr>
        <w:t>Body limitních hladin hluku</w:t>
      </w:r>
      <w:r w:rsidRPr="006070EA">
        <w:rPr>
          <w:rFonts w:asciiTheme="majorHAnsi" w:hAnsiTheme="majorHAnsi" w:cstheme="majorHAnsi"/>
          <w:sz w:val="18"/>
          <w:szCs w:val="18"/>
        </w:rPr>
        <w:t>:</w:t>
      </w:r>
    </w:p>
    <w:p w14:paraId="33537793" w14:textId="77777777" w:rsidR="00F23F27" w:rsidRPr="006070EA" w:rsidRDefault="00F23F27" w:rsidP="0036779E">
      <w:pPr>
        <w:pStyle w:val="Odstavecseseznamem"/>
        <w:numPr>
          <w:ilvl w:val="2"/>
          <w:numId w:val="6"/>
        </w:numPr>
        <w:spacing w:after="60" w:line="240" w:lineRule="auto"/>
        <w:ind w:left="993" w:hanging="284"/>
        <w:jc w:val="both"/>
        <w:rPr>
          <w:rFonts w:asciiTheme="majorHAnsi" w:hAnsiTheme="majorHAnsi" w:cstheme="majorHAnsi"/>
          <w:sz w:val="18"/>
          <w:szCs w:val="18"/>
        </w:rPr>
      </w:pPr>
      <w:r w:rsidRPr="006070EA">
        <w:rPr>
          <w:rFonts w:asciiTheme="majorHAnsi" w:hAnsiTheme="majorHAnsi" w:cstheme="majorHAnsi"/>
          <w:sz w:val="18"/>
          <w:szCs w:val="18"/>
        </w:rPr>
        <w:t>Použije se pro hluk z provozu stacionárních zdrojů, z veřejné produkce hudby, pro hluk na účelových komunikacích a hluk ze železničních stanic zajišťujících vlakotvorné práce, zejm. rozřaďování a sestava nákladních vlaků, prohlídky vlaků a opravy vozů.</w:t>
      </w:r>
    </w:p>
    <w:p w14:paraId="241F046B" w14:textId="77777777" w:rsidR="00F23F27" w:rsidRPr="006070EA" w:rsidRDefault="00F23F27" w:rsidP="0036779E">
      <w:pPr>
        <w:pStyle w:val="Odstavecseseznamem"/>
        <w:numPr>
          <w:ilvl w:val="2"/>
          <w:numId w:val="6"/>
        </w:numPr>
        <w:spacing w:before="120" w:after="60" w:line="240" w:lineRule="auto"/>
        <w:ind w:left="993" w:hanging="284"/>
        <w:jc w:val="both"/>
        <w:rPr>
          <w:rFonts w:asciiTheme="majorHAnsi" w:hAnsiTheme="majorHAnsi" w:cstheme="majorHAnsi"/>
          <w:sz w:val="18"/>
          <w:szCs w:val="18"/>
        </w:rPr>
      </w:pPr>
      <w:r w:rsidRPr="006070EA">
        <w:rPr>
          <w:rFonts w:asciiTheme="majorHAnsi" w:hAnsiTheme="majorHAnsi" w:cstheme="majorHAnsi"/>
          <w:sz w:val="18"/>
          <w:szCs w:val="18"/>
        </w:rPr>
        <w:t>Použije se pro hluk z dopravy na silnicích III. třídy a místních komunikacích III. třídy a drah.</w:t>
      </w:r>
    </w:p>
    <w:p w14:paraId="54F93152" w14:textId="77777777" w:rsidR="00F23F27" w:rsidRPr="006070EA" w:rsidRDefault="00F23F27" w:rsidP="0036779E">
      <w:pPr>
        <w:pStyle w:val="Odstavecseseznamem"/>
        <w:numPr>
          <w:ilvl w:val="2"/>
          <w:numId w:val="6"/>
        </w:numPr>
        <w:spacing w:before="120" w:after="60" w:line="240" w:lineRule="auto"/>
        <w:ind w:left="993" w:hanging="284"/>
        <w:jc w:val="both"/>
        <w:rPr>
          <w:rFonts w:asciiTheme="majorHAnsi" w:hAnsiTheme="majorHAnsi" w:cstheme="majorHAnsi"/>
          <w:sz w:val="18"/>
          <w:szCs w:val="18"/>
        </w:rPr>
      </w:pPr>
      <w:r w:rsidRPr="006070EA">
        <w:rPr>
          <w:rFonts w:asciiTheme="majorHAnsi" w:hAnsiTheme="majorHAnsi" w:cstheme="majorHAnsi"/>
          <w:sz w:val="18"/>
          <w:szCs w:val="18"/>
        </w:rPr>
        <w:t>Použije se pro hluk z dopravy na dálnicích, silnicích I. a II. třídy a místních komunikacích I. a II. třídy v území, kde je hluk z dopravy na těchto komunikací převažující nad hlukem z dopravy na ostatních pozemních komunikacích. Použije se pro hluk z dopravy na drahách v ochranném pásmu dráhy.</w:t>
      </w:r>
    </w:p>
    <w:p w14:paraId="76E5F652" w14:textId="77777777" w:rsidR="00F23F27" w:rsidRPr="006070EA" w:rsidRDefault="00F23F27" w:rsidP="0036779E">
      <w:pPr>
        <w:pStyle w:val="Odstavecseseznamem"/>
        <w:numPr>
          <w:ilvl w:val="2"/>
          <w:numId w:val="6"/>
        </w:numPr>
        <w:spacing w:before="120" w:after="60" w:line="240" w:lineRule="auto"/>
        <w:ind w:left="993" w:hanging="284"/>
        <w:jc w:val="both"/>
        <w:rPr>
          <w:rFonts w:asciiTheme="majorHAnsi" w:hAnsiTheme="majorHAnsi" w:cstheme="majorHAnsi"/>
          <w:sz w:val="18"/>
          <w:szCs w:val="18"/>
        </w:rPr>
      </w:pPr>
      <w:r w:rsidRPr="006070EA">
        <w:rPr>
          <w:rFonts w:asciiTheme="majorHAnsi" w:hAnsiTheme="majorHAnsi" w:cstheme="majorHAnsi"/>
          <w:sz w:val="18"/>
          <w:szCs w:val="18"/>
        </w:rPr>
        <w:t>Použije se v případě staré hlukové zátěže z dopravy na pozemních komunikacích s výjimkou účelových komunikací a drahách uvedených v bodu 3. Tato korekce zůstává zachována i po položení nového povrchu vozovky, prováděné údržbě a rekonstrukci železničních drah nebo rozšíření vozovek při zachování směrového nebo výškového vedení pozemní komunikace nebo dráhy, při kterém nesmí dojít ke zhoršení stávající hlučnosti v chráněném venkovním prostoru a pro krátkodobé objízdné trasy. Tato korekce se dále použije i v chráněných venkovních prostorech staveb při umístění bytu v přístavbě nebo nástavbě stávajícího obytného objektu nebo víceúčelového objektu nebo v případě výstavby ojedinělého obytného nebo víceúčelového objektu v rámci dostavby proluk.</w:t>
      </w:r>
    </w:p>
    <w:p w14:paraId="6F279854" w14:textId="46270F56" w:rsidR="00F23F27" w:rsidRPr="006070EA" w:rsidRDefault="00F23F27" w:rsidP="009E07E1">
      <w:pPr>
        <w:spacing w:after="60" w:line="240" w:lineRule="auto"/>
        <w:ind w:firstLine="709"/>
        <w:jc w:val="both"/>
        <w:rPr>
          <w:rFonts w:asciiTheme="majorHAnsi" w:hAnsiTheme="majorHAnsi" w:cstheme="majorHAnsi"/>
          <w:sz w:val="18"/>
          <w:szCs w:val="18"/>
        </w:rPr>
      </w:pPr>
      <w:r w:rsidRPr="006070EA">
        <w:rPr>
          <w:rFonts w:asciiTheme="majorHAnsi" w:hAnsiTheme="majorHAnsi" w:cstheme="majorHAnsi"/>
          <w:sz w:val="18"/>
          <w:szCs w:val="18"/>
        </w:rPr>
        <w:t xml:space="preserve">Nebudou-li splněny limity hlukové zátěže podle § 12 nařízení vlády č. 272/2011 Sb. v zastavitelných plochách v blízkosti silnic III. třídy, bude zřejmé, že překročení limitů hlukové zátěže pochází z provozu na těchto silnicích a stavebník bude následně povinen v rámci stavby provést taková opatření, která povedou k odstranění negativních vlivů z provozu po silnicích, učiní tak na vlastní náklady. Tato podmínka se vztahuje na všechny případné stavby na zastavitelných plochách, které by mohly být ohroženy hlukem ze silnice III. třídy, nikoli jen na ty, které se vyskytují v jejich ochranném pásmu. Podmínka provedení výše uvedených opatření na náklady stavebníka se vztahuje i na případy, kdy by výstavba na zastavitelných plochách </w:t>
      </w:r>
      <w:r w:rsidRPr="006070EA">
        <w:rPr>
          <w:rFonts w:asciiTheme="majorHAnsi" w:hAnsiTheme="majorHAnsi" w:cstheme="majorHAnsi"/>
          <w:sz w:val="18"/>
          <w:szCs w:val="18"/>
        </w:rPr>
        <w:lastRenderedPageBreak/>
        <w:t>způsobila ve spojení s dopravou na předmětných silnicích (např. odrazem) ohrožení nepříznivými účinky hluku v zastavěném území.</w:t>
      </w:r>
    </w:p>
    <w:p w14:paraId="53080DB9" w14:textId="419F5758" w:rsidR="00A6707D" w:rsidRPr="006070EA" w:rsidRDefault="00A6707D" w:rsidP="00A6707D">
      <w:pPr>
        <w:spacing w:after="60" w:line="240" w:lineRule="auto"/>
        <w:ind w:firstLine="709"/>
        <w:jc w:val="both"/>
        <w:rPr>
          <w:rFonts w:asciiTheme="majorHAnsi" w:hAnsiTheme="majorHAnsi" w:cstheme="majorHAnsi"/>
          <w:sz w:val="18"/>
          <w:szCs w:val="18"/>
        </w:rPr>
      </w:pPr>
      <w:r w:rsidRPr="006070EA">
        <w:rPr>
          <w:rFonts w:asciiTheme="majorHAnsi" w:hAnsiTheme="majorHAnsi" w:cstheme="majorHAnsi"/>
          <w:sz w:val="18"/>
          <w:szCs w:val="18"/>
        </w:rPr>
        <w:t xml:space="preserve">Podmínka prokázání plnění hygienických limitů hluku v chráněném venkovním prostoru staveb platí zároveň pro další zdroje hluku v území, zejména železniční trať č. 023 a stacionární zdroje hluku (např. zemědělská výroba). </w:t>
      </w:r>
    </w:p>
    <w:p w14:paraId="5D0BC81F" w14:textId="77777777" w:rsidR="00E92BC7" w:rsidRPr="006070EA" w:rsidRDefault="00E92BC7" w:rsidP="009E07E1">
      <w:pPr>
        <w:pStyle w:val="Anadpispodtren"/>
        <w:rPr>
          <w:rFonts w:asciiTheme="majorHAnsi" w:hAnsiTheme="majorHAnsi" w:cstheme="majorHAnsi"/>
          <w:b/>
          <w:sz w:val="20"/>
          <w:u w:val="none"/>
        </w:rPr>
      </w:pPr>
      <w:r w:rsidRPr="006070EA">
        <w:rPr>
          <w:rFonts w:asciiTheme="majorHAnsi" w:hAnsiTheme="majorHAnsi" w:cstheme="majorHAnsi"/>
          <w:b/>
          <w:sz w:val="20"/>
          <w:u w:val="none"/>
        </w:rPr>
        <w:t xml:space="preserve">Odůvodnění navrhovaného řešení </w:t>
      </w:r>
    </w:p>
    <w:p w14:paraId="57ADA08D" w14:textId="71364C2B" w:rsidR="00D448B0" w:rsidRPr="006070EA" w:rsidRDefault="00D448B0" w:rsidP="00D448B0">
      <w:pPr>
        <w:keepNext/>
        <w:suppressAutoHyphens/>
        <w:spacing w:before="120" w:after="120" w:line="240" w:lineRule="auto"/>
        <w:jc w:val="right"/>
        <w:rPr>
          <w:rFonts w:asciiTheme="majorHAnsi" w:eastAsia="Times New Roman" w:hAnsiTheme="majorHAnsi" w:cstheme="majorHAnsi"/>
          <w:bCs/>
          <w:i/>
          <w:iCs/>
          <w:snapToGrid w:val="0"/>
          <w:sz w:val="18"/>
          <w:szCs w:val="20"/>
          <w:u w:val="single"/>
          <w:lang w:eastAsia="ar-SA"/>
        </w:rPr>
      </w:pPr>
      <w:r w:rsidRPr="006070EA">
        <w:rPr>
          <w:rFonts w:asciiTheme="majorHAnsi" w:eastAsia="Times New Roman" w:hAnsiTheme="majorHAnsi" w:cstheme="majorHAnsi"/>
          <w:bCs/>
          <w:i/>
          <w:iCs/>
          <w:snapToGrid w:val="0"/>
          <w:sz w:val="18"/>
          <w:szCs w:val="20"/>
          <w:u w:val="single"/>
          <w:lang w:eastAsia="ar-SA"/>
        </w:rPr>
        <w:t xml:space="preserve">Odůvodnění odst. </w:t>
      </w:r>
      <w:r w:rsidRPr="006070EA">
        <w:rPr>
          <w:rFonts w:asciiTheme="majorHAnsi" w:eastAsia="Times New Roman" w:hAnsiTheme="majorHAnsi" w:cstheme="majorHAnsi"/>
          <w:b/>
          <w:bCs/>
          <w:i/>
          <w:iCs/>
          <w:snapToGrid w:val="0"/>
          <w:sz w:val="18"/>
          <w:szCs w:val="20"/>
          <w:u w:val="single"/>
          <w:lang w:eastAsia="ar-SA"/>
        </w:rPr>
        <w:t xml:space="preserve">(20) </w:t>
      </w:r>
      <w:r w:rsidRPr="006070EA">
        <w:rPr>
          <w:rFonts w:asciiTheme="majorHAnsi" w:eastAsia="Times New Roman" w:hAnsiTheme="majorHAnsi" w:cstheme="majorHAnsi"/>
          <w:bCs/>
          <w:i/>
          <w:iCs/>
          <w:snapToGrid w:val="0"/>
          <w:sz w:val="18"/>
          <w:szCs w:val="20"/>
          <w:u w:val="single"/>
          <w:lang w:eastAsia="ar-SA"/>
        </w:rPr>
        <w:t>výrokové části</w:t>
      </w:r>
    </w:p>
    <w:p w14:paraId="35FFECB9" w14:textId="298610D3" w:rsidR="000D5AA5" w:rsidRPr="006070EA" w:rsidRDefault="000D5AA5" w:rsidP="000D5AA5">
      <w:pPr>
        <w:pStyle w:val="Atext"/>
        <w:rPr>
          <w:rFonts w:asciiTheme="majorHAnsi" w:hAnsiTheme="majorHAnsi" w:cstheme="majorHAnsi"/>
        </w:rPr>
      </w:pPr>
      <w:r w:rsidRPr="006070EA">
        <w:rPr>
          <w:rFonts w:asciiTheme="majorHAnsi" w:hAnsiTheme="majorHAnsi" w:cstheme="majorHAnsi"/>
        </w:rPr>
        <w:t xml:space="preserve">Systém silniční dopravy představuje síť pozemních komunikací ve smyslu zákona č. 13/1997 Sb., kde jsou pozemní komunikace dle § 2 definovány jako dopravní cesta určená k užití silničními a jinými vozidly a chodci, včetně pevných zařízení nutných pro zajištění tohoto užití a jeho bezpečnosti. Pozemní komunikace se dělí na kategorie dálnice, silnice, místní komunikace a účelové komunikace. Z hlediska základní komunikační sítě Územní plán hovoří tedy o silnicích a vybraných koridorech místních komunikací. </w:t>
      </w:r>
    </w:p>
    <w:p w14:paraId="280945F9" w14:textId="60B32672" w:rsidR="00E92BC7" w:rsidRPr="006070EA" w:rsidRDefault="00E92BC7" w:rsidP="000D5AA5">
      <w:pPr>
        <w:pStyle w:val="Atext"/>
        <w:rPr>
          <w:rFonts w:asciiTheme="majorHAnsi" w:hAnsiTheme="majorHAnsi" w:cstheme="majorHAnsi"/>
        </w:rPr>
      </w:pPr>
      <w:r w:rsidRPr="006070EA">
        <w:rPr>
          <w:rFonts w:asciiTheme="majorHAnsi" w:hAnsiTheme="majorHAnsi" w:cstheme="majorHAnsi"/>
        </w:rPr>
        <w:t>V souladu s § 9, odst. 2 a 3 vyhl. č. 501/2006 Sb., ve znění pozdějších předpisů, jsou pozemky silnic</w:t>
      </w:r>
      <w:r w:rsidR="000A790B" w:rsidRPr="006070EA">
        <w:rPr>
          <w:rFonts w:asciiTheme="majorHAnsi" w:hAnsiTheme="majorHAnsi" w:cstheme="majorHAnsi"/>
        </w:rPr>
        <w:t xml:space="preserve"> II.</w:t>
      </w:r>
      <w:r w:rsidR="00460AE5" w:rsidRPr="006070EA">
        <w:rPr>
          <w:rFonts w:asciiTheme="majorHAnsi" w:hAnsiTheme="majorHAnsi" w:cstheme="majorHAnsi"/>
        </w:rPr>
        <w:t> </w:t>
      </w:r>
      <w:r w:rsidR="000A790B" w:rsidRPr="006070EA">
        <w:rPr>
          <w:rFonts w:asciiTheme="majorHAnsi" w:hAnsiTheme="majorHAnsi" w:cstheme="majorHAnsi"/>
        </w:rPr>
        <w:t>a </w:t>
      </w:r>
      <w:r w:rsidRPr="006070EA">
        <w:rPr>
          <w:rFonts w:asciiTheme="majorHAnsi" w:hAnsiTheme="majorHAnsi" w:cstheme="majorHAnsi"/>
        </w:rPr>
        <w:t>III.</w:t>
      </w:r>
      <w:r w:rsidR="00460AE5" w:rsidRPr="006070EA">
        <w:rPr>
          <w:rFonts w:asciiTheme="majorHAnsi" w:hAnsiTheme="majorHAnsi" w:cstheme="majorHAnsi"/>
        </w:rPr>
        <w:t> </w:t>
      </w:r>
      <w:r w:rsidRPr="006070EA">
        <w:rPr>
          <w:rFonts w:asciiTheme="majorHAnsi" w:hAnsiTheme="majorHAnsi" w:cstheme="majorHAnsi"/>
        </w:rPr>
        <w:t xml:space="preserve">třídy zahrnuty do ploch </w:t>
      </w:r>
      <w:r w:rsidR="00892475" w:rsidRPr="006070EA">
        <w:rPr>
          <w:rFonts w:asciiTheme="majorHAnsi" w:hAnsiTheme="majorHAnsi" w:cstheme="majorHAnsi"/>
          <w:i/>
        </w:rPr>
        <w:t>doprava</w:t>
      </w:r>
      <w:r w:rsidRPr="006070EA">
        <w:rPr>
          <w:rFonts w:asciiTheme="majorHAnsi" w:hAnsiTheme="majorHAnsi" w:cstheme="majorHAnsi"/>
          <w:i/>
        </w:rPr>
        <w:t xml:space="preserve"> silniční</w:t>
      </w:r>
      <w:r w:rsidRPr="006070EA">
        <w:rPr>
          <w:rFonts w:asciiTheme="majorHAnsi" w:hAnsiTheme="majorHAnsi" w:cstheme="majorHAnsi"/>
        </w:rPr>
        <w:t xml:space="preserve"> (DS). Důvodem je zejména intenzita dopravy a</w:t>
      </w:r>
      <w:r w:rsidR="00BD33CF" w:rsidRPr="006070EA">
        <w:rPr>
          <w:rFonts w:asciiTheme="majorHAnsi" w:hAnsiTheme="majorHAnsi" w:cstheme="majorHAnsi"/>
        </w:rPr>
        <w:t> </w:t>
      </w:r>
      <w:r w:rsidRPr="006070EA">
        <w:rPr>
          <w:rFonts w:asciiTheme="majorHAnsi" w:hAnsiTheme="majorHAnsi" w:cstheme="majorHAnsi"/>
        </w:rPr>
        <w:t xml:space="preserve">její negativní vlivy, které vylučují začlenění těchto pozemků do ploch jiného způsobu využití. Vymezení ploch </w:t>
      </w:r>
      <w:r w:rsidR="00892475" w:rsidRPr="006070EA">
        <w:rPr>
          <w:rFonts w:asciiTheme="majorHAnsi" w:hAnsiTheme="majorHAnsi" w:cstheme="majorHAnsi"/>
          <w:i/>
        </w:rPr>
        <w:t>dopravy</w:t>
      </w:r>
      <w:r w:rsidRPr="006070EA">
        <w:rPr>
          <w:rFonts w:asciiTheme="majorHAnsi" w:hAnsiTheme="majorHAnsi" w:cstheme="majorHAnsi"/>
          <w:i/>
        </w:rPr>
        <w:t xml:space="preserve"> silniční</w:t>
      </w:r>
      <w:r w:rsidRPr="006070EA">
        <w:rPr>
          <w:rFonts w:asciiTheme="majorHAnsi" w:hAnsiTheme="majorHAnsi" w:cstheme="majorHAnsi"/>
        </w:rPr>
        <w:t xml:space="preserve"> (DS) je také nezbytné k zajištění dopravní přístupnosti ostatních ploch (např.</w:t>
      </w:r>
      <w:r w:rsidR="00BD33CF" w:rsidRPr="006070EA">
        <w:rPr>
          <w:rFonts w:asciiTheme="majorHAnsi" w:hAnsiTheme="majorHAnsi" w:cstheme="majorHAnsi"/>
        </w:rPr>
        <w:t> </w:t>
      </w:r>
      <w:r w:rsidRPr="006070EA">
        <w:rPr>
          <w:rFonts w:asciiTheme="majorHAnsi" w:hAnsiTheme="majorHAnsi" w:cstheme="majorHAnsi"/>
        </w:rPr>
        <w:t xml:space="preserve">ploch bydlení, </w:t>
      </w:r>
      <w:r w:rsidR="00460AE5" w:rsidRPr="006070EA">
        <w:rPr>
          <w:rFonts w:asciiTheme="majorHAnsi" w:hAnsiTheme="majorHAnsi" w:cstheme="majorHAnsi"/>
        </w:rPr>
        <w:t xml:space="preserve">smíšených venkovských, </w:t>
      </w:r>
      <w:r w:rsidRPr="006070EA">
        <w:rPr>
          <w:rFonts w:asciiTheme="majorHAnsi" w:hAnsiTheme="majorHAnsi" w:cstheme="majorHAnsi"/>
        </w:rPr>
        <w:t>výroby, občanského vybavení atd.).</w:t>
      </w:r>
    </w:p>
    <w:p w14:paraId="06CE2CD7" w14:textId="7129ECA5" w:rsidR="00E92BC7" w:rsidRPr="006070EA" w:rsidRDefault="00E92BC7" w:rsidP="000D5AA5">
      <w:pPr>
        <w:pStyle w:val="Atext"/>
        <w:rPr>
          <w:rFonts w:asciiTheme="majorHAnsi" w:hAnsiTheme="majorHAnsi" w:cstheme="majorHAnsi"/>
        </w:rPr>
      </w:pPr>
      <w:r w:rsidRPr="006070EA">
        <w:rPr>
          <w:rFonts w:asciiTheme="majorHAnsi" w:hAnsiTheme="majorHAnsi" w:cstheme="majorHAnsi"/>
        </w:rPr>
        <w:t>Místní komunikace jsou v územním plánu zařazeny převážně do ploch veřejných prostranství (P</w:t>
      </w:r>
      <w:r w:rsidR="00892475" w:rsidRPr="006070EA">
        <w:rPr>
          <w:rFonts w:asciiTheme="majorHAnsi" w:hAnsiTheme="majorHAnsi" w:cstheme="majorHAnsi"/>
        </w:rPr>
        <w:t>U</w:t>
      </w:r>
      <w:r w:rsidRPr="006070EA">
        <w:rPr>
          <w:rFonts w:asciiTheme="majorHAnsi" w:hAnsiTheme="majorHAnsi" w:cstheme="majorHAnsi"/>
        </w:rPr>
        <w:t xml:space="preserve">). Jejich dopravní funkce je zejména v zastavěném území doplněna ostatními funkcemi (pobytovou, rekreační, společenskou apod.). Součástí veřejných prostranství jsou vegetační plochy, liniové výsadby apod. </w:t>
      </w:r>
    </w:p>
    <w:p w14:paraId="2E9ADD3E" w14:textId="77777777" w:rsidR="00E92BC7" w:rsidRPr="006070EA" w:rsidRDefault="00E92BC7" w:rsidP="000D5AA5">
      <w:pPr>
        <w:pStyle w:val="Atext"/>
        <w:rPr>
          <w:rFonts w:asciiTheme="majorHAnsi" w:hAnsiTheme="majorHAnsi" w:cstheme="majorHAnsi"/>
        </w:rPr>
      </w:pPr>
      <w:r w:rsidRPr="006070EA">
        <w:rPr>
          <w:rFonts w:asciiTheme="majorHAnsi" w:hAnsiTheme="majorHAnsi" w:cstheme="majorHAnsi"/>
        </w:rPr>
        <w:t xml:space="preserve">Účelové komunikace jsou s ohledem na jejich dopravní význam </w:t>
      </w:r>
      <w:r w:rsidR="000A790B" w:rsidRPr="006070EA">
        <w:rPr>
          <w:rFonts w:asciiTheme="majorHAnsi" w:hAnsiTheme="majorHAnsi" w:cstheme="majorHAnsi"/>
        </w:rPr>
        <w:t xml:space="preserve">zpravidla </w:t>
      </w:r>
      <w:r w:rsidRPr="006070EA">
        <w:rPr>
          <w:rFonts w:asciiTheme="majorHAnsi" w:hAnsiTheme="majorHAnsi" w:cstheme="majorHAnsi"/>
        </w:rPr>
        <w:t xml:space="preserve">součástí navazujících ploch s rozdílným způsobem využití. Jejich začlenění do ostatních ploch s rozdílným způsobem využití </w:t>
      </w:r>
      <w:r w:rsidR="000A790B" w:rsidRPr="006070EA">
        <w:rPr>
          <w:rFonts w:asciiTheme="majorHAnsi" w:hAnsiTheme="majorHAnsi" w:cstheme="majorHAnsi"/>
        </w:rPr>
        <w:t>nevylučuje</w:t>
      </w:r>
      <w:r w:rsidRPr="006070EA">
        <w:rPr>
          <w:rFonts w:asciiTheme="majorHAnsi" w:hAnsiTheme="majorHAnsi" w:cstheme="majorHAnsi"/>
        </w:rPr>
        <w:t xml:space="preserve"> využívání pro dopravní účely.</w:t>
      </w:r>
    </w:p>
    <w:p w14:paraId="69150B4E" w14:textId="0F4412A2" w:rsidR="00460AE5" w:rsidRPr="006070EA" w:rsidRDefault="00460AE5" w:rsidP="000D5AA5">
      <w:pPr>
        <w:pStyle w:val="Atext"/>
        <w:rPr>
          <w:rFonts w:asciiTheme="majorHAnsi" w:hAnsiTheme="majorHAnsi" w:cstheme="majorHAnsi"/>
          <w:i/>
        </w:rPr>
      </w:pPr>
      <w:r w:rsidRPr="006070EA">
        <w:rPr>
          <w:rFonts w:asciiTheme="majorHAnsi" w:hAnsiTheme="majorHAnsi" w:cstheme="majorHAnsi"/>
        </w:rPr>
        <w:t xml:space="preserve">Záměry na opravu a modernizaci dílčích úseků silnic v řešeném území jsou územním plánem podpořeny stanovenými podmínkami využití v rámci ploch </w:t>
      </w:r>
      <w:r w:rsidR="00892475" w:rsidRPr="006070EA">
        <w:rPr>
          <w:rFonts w:asciiTheme="majorHAnsi" w:hAnsiTheme="majorHAnsi" w:cstheme="majorHAnsi"/>
          <w:i/>
        </w:rPr>
        <w:t>dopravy</w:t>
      </w:r>
      <w:r w:rsidRPr="006070EA">
        <w:rPr>
          <w:rFonts w:asciiTheme="majorHAnsi" w:hAnsiTheme="majorHAnsi" w:cstheme="majorHAnsi"/>
          <w:i/>
        </w:rPr>
        <w:t xml:space="preserve"> silniční</w:t>
      </w:r>
      <w:r w:rsidRPr="006070EA">
        <w:rPr>
          <w:rFonts w:asciiTheme="majorHAnsi" w:hAnsiTheme="majorHAnsi" w:cstheme="majorHAnsi"/>
        </w:rPr>
        <w:t xml:space="preserve"> (DS). </w:t>
      </w:r>
    </w:p>
    <w:p w14:paraId="675F8C78" w14:textId="77777777" w:rsidR="00E92BC7" w:rsidRPr="006070EA" w:rsidRDefault="00E92BC7" w:rsidP="000D5AA5">
      <w:pPr>
        <w:pStyle w:val="Atext"/>
        <w:rPr>
          <w:rFonts w:asciiTheme="majorHAnsi" w:hAnsiTheme="majorHAnsi" w:cstheme="majorHAnsi"/>
        </w:rPr>
      </w:pPr>
      <w:r w:rsidRPr="006070EA">
        <w:rPr>
          <w:rFonts w:asciiTheme="majorHAnsi" w:hAnsiTheme="majorHAnsi" w:cstheme="majorHAnsi"/>
        </w:rPr>
        <w:t xml:space="preserve">Veškeré zastavitelné plochy jsou vymezeny ve vazbě na stávající komunikační skelet v území. Pro jednotlivé zastavitelné plochy budou zřízeny, resp. prodlouženy místní komunikace, které naváží na stávající dopravní systém území. Způsob napojení je nutno řešit v souvislosti se způsobem zástavby jednotlivých, zejména rozsáhlejších zastavitelných ploch. Dopravní řešení v rámci zastavitelných ploch bude navrženo s ohledem na způsob jejich zastavění a bude řešeno v navazujících řízeních. </w:t>
      </w:r>
    </w:p>
    <w:p w14:paraId="579CCF54" w14:textId="77777777" w:rsidR="00E92BC7" w:rsidRPr="006070EA" w:rsidRDefault="00E92BC7" w:rsidP="000D5AA5">
      <w:pPr>
        <w:pStyle w:val="Atext"/>
        <w:rPr>
          <w:rFonts w:asciiTheme="majorHAnsi" w:hAnsiTheme="majorHAnsi" w:cstheme="majorHAnsi"/>
        </w:rPr>
      </w:pPr>
      <w:r w:rsidRPr="006070EA">
        <w:rPr>
          <w:rFonts w:asciiTheme="majorHAnsi" w:hAnsiTheme="majorHAnsi" w:cstheme="majorHAnsi"/>
        </w:rPr>
        <w:t>Při návrhu parcelace zastavitelných ploch je nutné stanovit dostatečný prostor pro vedení komunikací, chodníků a</w:t>
      </w:r>
      <w:r w:rsidR="000A790B" w:rsidRPr="006070EA">
        <w:rPr>
          <w:rFonts w:asciiTheme="majorHAnsi" w:hAnsiTheme="majorHAnsi" w:cstheme="majorHAnsi"/>
        </w:rPr>
        <w:t> </w:t>
      </w:r>
      <w:r w:rsidRPr="006070EA">
        <w:rPr>
          <w:rFonts w:asciiTheme="majorHAnsi" w:hAnsiTheme="majorHAnsi" w:cstheme="majorHAnsi"/>
        </w:rPr>
        <w:t>inženýrských sítí o minimální šířce 9 m mezi oploceními. Je též nutno respektovat požadavky na plochy pro výstavbu křižovatek (napojení) a potřebných rozhledových polí. Ke každé stavbě rodinného domu nebo stavbě pro rodinnou rekreaci nebo souvislé skupině těchto staveb musí vést zpevněná pozemní komunikace šířky nejméně 2,5 m a končící nejdále 50 m od stavby. Dopravní připojení staveb musí splňovat požadavky na dopravní obslužnost, parkování a přístup požární techniky. Úpravy dopravní sítě je nutno realizovat s ohledem na zajištění řádného příjezdu a průjezdu mobilní techniky hasičských záchranných sborů.</w:t>
      </w:r>
    </w:p>
    <w:p w14:paraId="35CAAD65" w14:textId="1FB89C0B" w:rsidR="00E92BC7" w:rsidRPr="006070EA" w:rsidRDefault="00E92BC7" w:rsidP="000D5AA5">
      <w:pPr>
        <w:pStyle w:val="Atext"/>
        <w:rPr>
          <w:rFonts w:asciiTheme="majorHAnsi" w:hAnsiTheme="majorHAnsi" w:cstheme="majorHAnsi"/>
        </w:rPr>
      </w:pPr>
      <w:r w:rsidRPr="006070EA">
        <w:rPr>
          <w:rFonts w:asciiTheme="majorHAnsi" w:hAnsiTheme="majorHAnsi" w:cstheme="majorHAnsi"/>
        </w:rPr>
        <w:t xml:space="preserve">Při navrhování a realizaci všech dopravních staveb je nutno dodržet požadované parametry a ustanovení příslušných platných ČSN </w:t>
      </w:r>
      <w:r w:rsidR="000A790B" w:rsidRPr="006070EA">
        <w:rPr>
          <w:rFonts w:asciiTheme="majorHAnsi" w:hAnsiTheme="majorHAnsi" w:cstheme="majorHAnsi"/>
        </w:rPr>
        <w:t xml:space="preserve">a souvisejících předpisů. Šířka </w:t>
      </w:r>
      <w:r w:rsidRPr="006070EA">
        <w:rPr>
          <w:rFonts w:asciiTheme="majorHAnsi" w:hAnsiTheme="majorHAnsi" w:cstheme="majorHAnsi"/>
        </w:rPr>
        <w:t>veřejných prostranstv</w:t>
      </w:r>
      <w:r w:rsidR="00DE2ABD" w:rsidRPr="006070EA">
        <w:rPr>
          <w:rFonts w:asciiTheme="majorHAnsi" w:hAnsiTheme="majorHAnsi" w:cstheme="majorHAnsi"/>
        </w:rPr>
        <w:t>í, jejichž součástí je komunikace,</w:t>
      </w:r>
      <w:r w:rsidRPr="006070EA">
        <w:rPr>
          <w:rFonts w:asciiTheme="majorHAnsi" w:hAnsiTheme="majorHAnsi" w:cstheme="majorHAnsi"/>
        </w:rPr>
        <w:t xml:space="preserve"> musí být v</w:t>
      </w:r>
      <w:r w:rsidR="000A790B" w:rsidRPr="006070EA">
        <w:rPr>
          <w:rFonts w:asciiTheme="majorHAnsi" w:hAnsiTheme="majorHAnsi" w:cstheme="majorHAnsi"/>
        </w:rPr>
        <w:t> </w:t>
      </w:r>
      <w:r w:rsidRPr="006070EA">
        <w:rPr>
          <w:rFonts w:asciiTheme="majorHAnsi" w:hAnsiTheme="majorHAnsi" w:cstheme="majorHAnsi"/>
        </w:rPr>
        <w:t>souladu s § 22 vyhlášky č. 501/2006 Sb. Nejmenší šířka veřejného prostranství, jehož součástí je pozemní komunikace zpřístupňující pozemek bytového domu, je 12 m. Při jednosměrném provozu lze tuto šířku snížit až na 10,5 m. Nejmenší šířka veřejného prostranství, jehož součástí je pozemní komunikace zpřístupňující pozemek rodinného domu, je 8 m. Při</w:t>
      </w:r>
      <w:r w:rsidR="000A790B" w:rsidRPr="006070EA">
        <w:rPr>
          <w:rFonts w:asciiTheme="majorHAnsi" w:hAnsiTheme="majorHAnsi" w:cstheme="majorHAnsi"/>
        </w:rPr>
        <w:t> </w:t>
      </w:r>
      <w:r w:rsidRPr="006070EA">
        <w:rPr>
          <w:rFonts w:asciiTheme="majorHAnsi" w:hAnsiTheme="majorHAnsi" w:cstheme="majorHAnsi"/>
        </w:rPr>
        <w:t xml:space="preserve">jednosměrném provozu lze tuto šířku snížit až na 6,5 m. </w:t>
      </w:r>
    </w:p>
    <w:p w14:paraId="27DAA26F" w14:textId="5FDCCC34" w:rsidR="00D448B0" w:rsidRPr="006070EA" w:rsidRDefault="00D448B0" w:rsidP="00D448B0">
      <w:pPr>
        <w:pStyle w:val="Atext"/>
        <w:keepNext/>
        <w:ind w:firstLine="0"/>
        <w:jc w:val="right"/>
        <w:rPr>
          <w:rFonts w:asciiTheme="majorHAnsi" w:hAnsiTheme="majorHAnsi" w:cstheme="majorHAnsi"/>
          <w:i/>
          <w:snapToGrid w:val="0"/>
          <w:u w:val="single"/>
        </w:rPr>
      </w:pPr>
      <w:r w:rsidRPr="006070EA">
        <w:rPr>
          <w:rFonts w:asciiTheme="majorHAnsi" w:hAnsiTheme="majorHAnsi" w:cstheme="majorHAnsi"/>
          <w:i/>
          <w:snapToGrid w:val="0"/>
          <w:u w:val="single"/>
        </w:rPr>
        <w:t xml:space="preserve">Odůvodnění odst. </w:t>
      </w:r>
      <w:r w:rsidRPr="006070EA">
        <w:rPr>
          <w:rFonts w:asciiTheme="majorHAnsi" w:hAnsiTheme="majorHAnsi" w:cstheme="majorHAnsi"/>
          <w:b/>
          <w:i/>
          <w:snapToGrid w:val="0"/>
          <w:u w:val="single"/>
        </w:rPr>
        <w:t>(</w:t>
      </w:r>
      <w:r w:rsidR="00F75A32" w:rsidRPr="006070EA">
        <w:rPr>
          <w:rFonts w:asciiTheme="majorHAnsi" w:hAnsiTheme="majorHAnsi" w:cstheme="majorHAnsi"/>
          <w:b/>
          <w:i/>
          <w:snapToGrid w:val="0"/>
          <w:u w:val="single"/>
        </w:rPr>
        <w:t>21</w:t>
      </w:r>
      <w:r w:rsidRPr="006070EA">
        <w:rPr>
          <w:rFonts w:asciiTheme="majorHAnsi" w:hAnsiTheme="majorHAnsi" w:cstheme="majorHAnsi"/>
          <w:b/>
          <w:i/>
          <w:snapToGrid w:val="0"/>
          <w:u w:val="single"/>
        </w:rPr>
        <w:t>)</w:t>
      </w:r>
      <w:r w:rsidR="00F75A32" w:rsidRPr="006070EA">
        <w:rPr>
          <w:rFonts w:asciiTheme="majorHAnsi" w:hAnsiTheme="majorHAnsi" w:cstheme="majorHAnsi"/>
          <w:b/>
          <w:i/>
          <w:snapToGrid w:val="0"/>
          <w:u w:val="single"/>
        </w:rPr>
        <w:t xml:space="preserve"> </w:t>
      </w:r>
      <w:r w:rsidRPr="006070EA">
        <w:rPr>
          <w:rFonts w:asciiTheme="majorHAnsi" w:hAnsiTheme="majorHAnsi" w:cstheme="majorHAnsi"/>
          <w:i/>
          <w:snapToGrid w:val="0"/>
          <w:u w:val="single"/>
        </w:rPr>
        <w:t>výrokové části</w:t>
      </w:r>
    </w:p>
    <w:p w14:paraId="040903E6" w14:textId="1B86B203" w:rsidR="000D5AA5" w:rsidRPr="00A76411" w:rsidRDefault="000D5AA5" w:rsidP="000D5AA5">
      <w:pPr>
        <w:pStyle w:val="Atext"/>
        <w:rPr>
          <w:rFonts w:asciiTheme="majorHAnsi" w:hAnsiTheme="majorHAnsi" w:cstheme="majorHAnsi"/>
        </w:rPr>
      </w:pPr>
      <w:r w:rsidRPr="00A76411">
        <w:rPr>
          <w:rFonts w:asciiTheme="majorHAnsi" w:hAnsiTheme="majorHAnsi" w:cstheme="majorHAnsi"/>
        </w:rPr>
        <w:t>Podrobné odůvodnění vymezení zastaviteln</w:t>
      </w:r>
      <w:r w:rsidR="00244BC2" w:rsidRPr="00A76411">
        <w:rPr>
          <w:rFonts w:asciiTheme="majorHAnsi" w:hAnsiTheme="majorHAnsi" w:cstheme="majorHAnsi"/>
        </w:rPr>
        <w:t>ých</w:t>
      </w:r>
      <w:r w:rsidRPr="00A76411">
        <w:rPr>
          <w:rFonts w:asciiTheme="majorHAnsi" w:hAnsiTheme="majorHAnsi" w:cstheme="majorHAnsi"/>
        </w:rPr>
        <w:t xml:space="preserve"> ploch pro rozvoj silniční dopravy je součástí komplexního zdůvodnění přijatého řešení a podrobně je uvedeno v kapitole 11.3.3. Odůvodnění vymezení směrů zajištění prostupnosti území veřejným prostranstvím je uvedeno v kapitole 11.4.2.</w:t>
      </w:r>
    </w:p>
    <w:p w14:paraId="1C0CBBD4" w14:textId="2C08E9DF" w:rsidR="00F75A32" w:rsidRPr="006070EA" w:rsidRDefault="00F75A32" w:rsidP="00F75A32">
      <w:pPr>
        <w:pStyle w:val="Atext"/>
        <w:rPr>
          <w:rFonts w:asciiTheme="majorHAnsi" w:hAnsiTheme="majorHAnsi" w:cstheme="majorHAnsi"/>
        </w:rPr>
      </w:pPr>
      <w:r w:rsidRPr="00A76411">
        <w:rPr>
          <w:rFonts w:asciiTheme="majorHAnsi" w:hAnsiTheme="majorHAnsi" w:cstheme="majorHAnsi"/>
        </w:rPr>
        <w:t xml:space="preserve">Dalším dopravním záměrem, řešeným v ÚP Kostomlaty nad Labem, je přeložka silnice III. třídy III/3317 a její mimoúrovňové křížení se železniční tratí. Tento záměr je řešen v rámci koridoru </w:t>
      </w:r>
      <w:r w:rsidR="00244BC2" w:rsidRPr="00A76411">
        <w:rPr>
          <w:rFonts w:asciiTheme="majorHAnsi" w:hAnsiTheme="majorHAnsi" w:cstheme="majorHAnsi"/>
        </w:rPr>
        <w:t xml:space="preserve">dopravní infrastruktury pro </w:t>
      </w:r>
      <w:r w:rsidR="00E82842" w:rsidRPr="00A76411">
        <w:rPr>
          <w:rFonts w:asciiTheme="majorHAnsi" w:hAnsiTheme="majorHAnsi" w:cstheme="majorHAnsi"/>
        </w:rPr>
        <w:t>doprav</w:t>
      </w:r>
      <w:r w:rsidR="00244BC2" w:rsidRPr="00A76411">
        <w:rPr>
          <w:rFonts w:asciiTheme="majorHAnsi" w:hAnsiTheme="majorHAnsi" w:cstheme="majorHAnsi"/>
        </w:rPr>
        <w:t>u</w:t>
      </w:r>
      <w:r w:rsidR="00E82842" w:rsidRPr="00A76411">
        <w:rPr>
          <w:rFonts w:asciiTheme="majorHAnsi" w:hAnsiTheme="majorHAnsi" w:cstheme="majorHAnsi"/>
        </w:rPr>
        <w:t xml:space="preserve"> drážní</w:t>
      </w:r>
      <w:r w:rsidRPr="00A76411">
        <w:rPr>
          <w:rFonts w:asciiTheme="majorHAnsi" w:hAnsiTheme="majorHAnsi" w:cstheme="majorHAnsi"/>
        </w:rPr>
        <w:t xml:space="preserve"> </w:t>
      </w:r>
      <w:r w:rsidR="00E82842" w:rsidRPr="00A76411">
        <w:rPr>
          <w:rFonts w:asciiTheme="majorHAnsi" w:hAnsiTheme="majorHAnsi" w:cstheme="majorHAnsi"/>
        </w:rPr>
        <w:t>CN</w:t>
      </w:r>
      <w:r w:rsidR="00244BC2" w:rsidRPr="00A76411">
        <w:rPr>
          <w:rFonts w:asciiTheme="majorHAnsi" w:hAnsiTheme="majorHAnsi" w:cstheme="majorHAnsi"/>
        </w:rPr>
        <w:t>Z</w:t>
      </w:r>
      <w:r w:rsidR="00E82842" w:rsidRPr="00A76411">
        <w:rPr>
          <w:rFonts w:asciiTheme="majorHAnsi" w:hAnsiTheme="majorHAnsi" w:cstheme="majorHAnsi"/>
        </w:rPr>
        <w:t>.</w:t>
      </w:r>
      <w:r w:rsidR="00244BC2" w:rsidRPr="00A76411">
        <w:rPr>
          <w:rFonts w:asciiTheme="majorHAnsi" w:hAnsiTheme="majorHAnsi" w:cstheme="majorHAnsi"/>
        </w:rPr>
        <w:t xml:space="preserve">D322, vymezeném v souladu se ZÚR SK, </w:t>
      </w:r>
      <w:r w:rsidRPr="00A76411">
        <w:rPr>
          <w:rFonts w:asciiTheme="majorHAnsi" w:hAnsiTheme="majorHAnsi" w:cstheme="majorHAnsi"/>
        </w:rPr>
        <w:t>pro modernizaci železniční trati Lysá nad Labem – Nymbur</w:t>
      </w:r>
      <w:r w:rsidR="00244BC2" w:rsidRPr="00A76411">
        <w:rPr>
          <w:rFonts w:asciiTheme="majorHAnsi" w:hAnsiTheme="majorHAnsi" w:cstheme="majorHAnsi"/>
        </w:rPr>
        <w:t>k a v rámci koridorů dopravní infrastruktury CNU.KD1</w:t>
      </w:r>
      <w:r w:rsidR="00C208DE" w:rsidRPr="00A76411">
        <w:rPr>
          <w:rFonts w:asciiTheme="majorHAnsi" w:hAnsiTheme="majorHAnsi" w:cstheme="majorHAnsi"/>
        </w:rPr>
        <w:t>,</w:t>
      </w:r>
      <w:r w:rsidR="00244BC2" w:rsidRPr="00A76411">
        <w:rPr>
          <w:rFonts w:asciiTheme="majorHAnsi" w:hAnsiTheme="majorHAnsi" w:cstheme="majorHAnsi"/>
        </w:rPr>
        <w:t xml:space="preserve"> CNU.KD2</w:t>
      </w:r>
      <w:r w:rsidR="00C208DE" w:rsidRPr="00A76411">
        <w:rPr>
          <w:rFonts w:asciiTheme="majorHAnsi" w:hAnsiTheme="majorHAnsi" w:cstheme="majorHAnsi"/>
        </w:rPr>
        <w:t>, CNU.KD3</w:t>
      </w:r>
      <w:r w:rsidR="00244BC2" w:rsidRPr="00A76411">
        <w:rPr>
          <w:rFonts w:asciiTheme="majorHAnsi" w:hAnsiTheme="majorHAnsi" w:cstheme="majorHAnsi"/>
        </w:rPr>
        <w:t xml:space="preserve"> vymezených pro stavby související s modernizací železniční trati v koridoru CNZ.D322</w:t>
      </w:r>
      <w:r w:rsidRPr="00A76411">
        <w:rPr>
          <w:rFonts w:asciiTheme="majorHAnsi" w:hAnsiTheme="majorHAnsi" w:cstheme="majorHAnsi"/>
        </w:rPr>
        <w:t xml:space="preserve">, blíže viz oddíl Železniční doprava této kapitoly Odůvodnění, resp. také kapitola 4 </w:t>
      </w:r>
      <w:r w:rsidRPr="00A76411">
        <w:rPr>
          <w:rFonts w:asciiTheme="majorHAnsi" w:hAnsiTheme="majorHAnsi" w:cstheme="majorHAnsi"/>
          <w:i/>
          <w:iCs w:val="0"/>
        </w:rPr>
        <w:t>Výčet záležitostí nadmístního významu, které nejsou řešeny v zásadách územního rozvoje</w:t>
      </w:r>
      <w:r w:rsidRPr="00A76411">
        <w:rPr>
          <w:rFonts w:asciiTheme="majorHAnsi" w:hAnsiTheme="majorHAnsi" w:cstheme="majorHAnsi"/>
        </w:rPr>
        <w:t>.</w:t>
      </w:r>
    </w:p>
    <w:p w14:paraId="4280AD0B" w14:textId="5BBCDD42" w:rsidR="00D448B0" w:rsidRPr="006070EA" w:rsidRDefault="00D448B0" w:rsidP="00D448B0">
      <w:pPr>
        <w:pStyle w:val="Atext"/>
        <w:rPr>
          <w:rFonts w:asciiTheme="majorHAnsi" w:hAnsiTheme="majorHAnsi" w:cstheme="majorHAnsi"/>
        </w:rPr>
      </w:pPr>
      <w:r w:rsidRPr="006070EA">
        <w:rPr>
          <w:rFonts w:asciiTheme="majorHAnsi" w:hAnsiTheme="majorHAnsi" w:cstheme="majorHAnsi"/>
        </w:rPr>
        <w:t>Koridory dopravní infrastruktury jsou vymezeny v případech, kdy přesné umístění dopravní stavby není známo a je nutné jej prověřit a zpřesnit v rámci podrobnějších podkladů a dokumentací, případně pro zajištění dostatečného prostoru pro realizaci souvisejících staveb a opatření. Vymezení překryvného koridoru nad odlišnými plochami s</w:t>
      </w:r>
      <w:r w:rsidR="00E82842" w:rsidRPr="006070EA">
        <w:rPr>
          <w:rFonts w:asciiTheme="majorHAnsi" w:hAnsiTheme="majorHAnsi" w:cstheme="majorHAnsi"/>
        </w:rPr>
        <w:t> </w:t>
      </w:r>
      <w:r w:rsidRPr="006070EA">
        <w:rPr>
          <w:rFonts w:asciiTheme="majorHAnsi" w:hAnsiTheme="majorHAnsi" w:cstheme="majorHAnsi"/>
        </w:rPr>
        <w:t>rozdílným způsobem využití představuje způsob, jak vytvořit předpoklady pro umístění dopravní stavby v</w:t>
      </w:r>
      <w:r w:rsidR="00F75A32" w:rsidRPr="006070EA">
        <w:rPr>
          <w:rFonts w:asciiTheme="majorHAnsi" w:hAnsiTheme="majorHAnsi" w:cstheme="majorHAnsi"/>
        </w:rPr>
        <w:t> </w:t>
      </w:r>
      <w:r w:rsidRPr="006070EA">
        <w:rPr>
          <w:rFonts w:asciiTheme="majorHAnsi" w:hAnsiTheme="majorHAnsi" w:cstheme="majorHAnsi"/>
        </w:rPr>
        <w:t xml:space="preserve">optimální poloze bez nutnosti změny ÚP; jedná se </w:t>
      </w:r>
      <w:r w:rsidRPr="006070EA">
        <w:rPr>
          <w:rFonts w:asciiTheme="majorHAnsi" w:hAnsiTheme="majorHAnsi" w:cstheme="majorHAnsi"/>
        </w:rPr>
        <w:lastRenderedPageBreak/>
        <w:t>o výhodnější variantu</w:t>
      </w:r>
      <w:r w:rsidR="00106C28" w:rsidRPr="006070EA">
        <w:rPr>
          <w:rFonts w:asciiTheme="majorHAnsi" w:hAnsiTheme="majorHAnsi" w:cstheme="majorHAnsi"/>
        </w:rPr>
        <w:t>,</w:t>
      </w:r>
      <w:r w:rsidRPr="006070EA">
        <w:rPr>
          <w:rFonts w:asciiTheme="majorHAnsi" w:hAnsiTheme="majorHAnsi" w:cstheme="majorHAnsi"/>
        </w:rPr>
        <w:t xml:space="preserve"> než je varianta vymezení konkrétní užší zastavitelné plochy či plochy přestavby, která se uplatní v</w:t>
      </w:r>
      <w:r w:rsidR="00244BC2">
        <w:rPr>
          <w:rFonts w:asciiTheme="majorHAnsi" w:hAnsiTheme="majorHAnsi" w:cstheme="majorHAnsi"/>
        </w:rPr>
        <w:t> </w:t>
      </w:r>
      <w:r w:rsidRPr="006070EA">
        <w:rPr>
          <w:rFonts w:asciiTheme="majorHAnsi" w:hAnsiTheme="majorHAnsi" w:cstheme="majorHAnsi"/>
        </w:rPr>
        <w:t xml:space="preserve">případě, kdy je trasa dopravní stavby již podrobněji prověřena. </w:t>
      </w:r>
    </w:p>
    <w:p w14:paraId="5D7B4859" w14:textId="77777777" w:rsidR="00D448B0" w:rsidRPr="006070EA" w:rsidRDefault="00D448B0" w:rsidP="00D448B0">
      <w:pPr>
        <w:pStyle w:val="Atext"/>
        <w:rPr>
          <w:rFonts w:asciiTheme="majorHAnsi" w:hAnsiTheme="majorHAnsi" w:cstheme="majorHAnsi"/>
        </w:rPr>
      </w:pPr>
      <w:r w:rsidRPr="006070EA">
        <w:rPr>
          <w:rFonts w:asciiTheme="majorHAnsi" w:hAnsiTheme="majorHAnsi" w:cstheme="majorHAnsi"/>
        </w:rPr>
        <w:t xml:space="preserve">Pro rozhodování o změnách v území v rozsahu jednotlivých vymezených koridorů jsou stanoveny podmínky využití koridorů, zajišťující ochranu území pro účely realizace staveb, pro něž jsou koridory vymezeny. </w:t>
      </w:r>
    </w:p>
    <w:p w14:paraId="3B6ADA67" w14:textId="77777777" w:rsidR="00AC1557" w:rsidRPr="006070EA" w:rsidRDefault="0059411A" w:rsidP="00795EBA">
      <w:pPr>
        <w:keepNext/>
        <w:shd w:val="clear" w:color="auto" w:fill="F2F2F2" w:themeFill="background1" w:themeFillShade="F2"/>
        <w:spacing w:before="120" w:after="60" w:line="240" w:lineRule="auto"/>
        <w:jc w:val="both"/>
        <w:rPr>
          <w:rFonts w:asciiTheme="majorHAnsi" w:hAnsiTheme="majorHAnsi" w:cstheme="majorHAnsi"/>
          <w:b/>
          <w:sz w:val="20"/>
        </w:rPr>
      </w:pPr>
      <w:r w:rsidRPr="006070EA">
        <w:rPr>
          <w:rFonts w:asciiTheme="majorHAnsi" w:hAnsiTheme="majorHAnsi" w:cstheme="majorHAnsi"/>
          <w:b/>
          <w:sz w:val="20"/>
        </w:rPr>
        <w:t>Doprava v klidu</w:t>
      </w:r>
    </w:p>
    <w:p w14:paraId="0D496BAD" w14:textId="6D8F807E" w:rsidR="00AC1557" w:rsidRPr="006070EA" w:rsidRDefault="00AC1557" w:rsidP="009E07E1">
      <w:pPr>
        <w:pStyle w:val="Atext"/>
        <w:keepNext/>
        <w:ind w:firstLine="0"/>
        <w:jc w:val="right"/>
        <w:rPr>
          <w:rFonts w:asciiTheme="majorHAnsi" w:hAnsiTheme="majorHAnsi" w:cstheme="majorHAnsi"/>
          <w:i/>
          <w:snapToGrid w:val="0"/>
          <w:u w:val="single"/>
        </w:rPr>
      </w:pPr>
      <w:r w:rsidRPr="006070EA">
        <w:rPr>
          <w:rFonts w:asciiTheme="majorHAnsi" w:hAnsiTheme="majorHAnsi" w:cstheme="majorHAnsi"/>
          <w:i/>
          <w:snapToGrid w:val="0"/>
          <w:u w:val="single"/>
        </w:rPr>
        <w:t xml:space="preserve">Odůvodnění odst. </w:t>
      </w:r>
      <w:r w:rsidRPr="006070EA">
        <w:rPr>
          <w:rFonts w:asciiTheme="majorHAnsi" w:hAnsiTheme="majorHAnsi" w:cstheme="majorHAnsi"/>
          <w:b/>
          <w:i/>
          <w:snapToGrid w:val="0"/>
          <w:u w:val="single"/>
        </w:rPr>
        <w:t>(</w:t>
      </w:r>
      <w:r w:rsidR="00936D5A" w:rsidRPr="006070EA">
        <w:rPr>
          <w:rFonts w:asciiTheme="majorHAnsi" w:hAnsiTheme="majorHAnsi" w:cstheme="majorHAnsi"/>
          <w:b/>
          <w:i/>
          <w:snapToGrid w:val="0"/>
          <w:u w:val="single"/>
        </w:rPr>
        <w:t>2</w:t>
      </w:r>
      <w:r w:rsidR="00244BC2">
        <w:rPr>
          <w:rFonts w:asciiTheme="majorHAnsi" w:hAnsiTheme="majorHAnsi" w:cstheme="majorHAnsi"/>
          <w:b/>
          <w:i/>
          <w:snapToGrid w:val="0"/>
          <w:u w:val="single"/>
        </w:rPr>
        <w:t>2)</w:t>
      </w:r>
      <w:r w:rsidRPr="006070EA">
        <w:rPr>
          <w:rFonts w:asciiTheme="majorHAnsi" w:hAnsiTheme="majorHAnsi" w:cstheme="majorHAnsi"/>
          <w:b/>
          <w:i/>
          <w:snapToGrid w:val="0"/>
          <w:u w:val="single"/>
        </w:rPr>
        <w:t xml:space="preserve"> </w:t>
      </w:r>
      <w:r w:rsidRPr="006070EA">
        <w:rPr>
          <w:rFonts w:asciiTheme="majorHAnsi" w:hAnsiTheme="majorHAnsi" w:cstheme="majorHAnsi"/>
          <w:i/>
          <w:snapToGrid w:val="0"/>
          <w:u w:val="single"/>
        </w:rPr>
        <w:t>výrokové části</w:t>
      </w:r>
    </w:p>
    <w:p w14:paraId="54B47F8C" w14:textId="41B6D139" w:rsidR="001A2008" w:rsidRPr="006070EA" w:rsidRDefault="001A2008" w:rsidP="00D430EF">
      <w:pPr>
        <w:keepNext/>
        <w:keepLines/>
        <w:spacing w:after="60" w:line="240" w:lineRule="auto"/>
        <w:ind w:firstLine="709"/>
        <w:jc w:val="both"/>
        <w:rPr>
          <w:rFonts w:asciiTheme="majorHAnsi" w:hAnsiTheme="majorHAnsi" w:cstheme="majorHAnsi"/>
          <w:sz w:val="18"/>
        </w:rPr>
      </w:pPr>
      <w:r w:rsidRPr="006070EA">
        <w:rPr>
          <w:rFonts w:asciiTheme="majorHAnsi" w:hAnsiTheme="majorHAnsi" w:cstheme="majorHAnsi"/>
          <w:sz w:val="18"/>
        </w:rPr>
        <w:t xml:space="preserve">Parkování a odstavování vozidel je v řešeném území uskutečňováno převážně na soukromých pozemcích, případně v profilu místních komunikací, tedy zejména v rámci ploch </w:t>
      </w:r>
      <w:r w:rsidRPr="006070EA">
        <w:rPr>
          <w:rFonts w:asciiTheme="majorHAnsi" w:hAnsiTheme="majorHAnsi" w:cstheme="majorHAnsi"/>
          <w:i/>
          <w:sz w:val="18"/>
        </w:rPr>
        <w:t>veřejných prostranství</w:t>
      </w:r>
      <w:r w:rsidR="00E82842" w:rsidRPr="006070EA">
        <w:rPr>
          <w:rFonts w:asciiTheme="majorHAnsi" w:hAnsiTheme="majorHAnsi" w:cstheme="majorHAnsi"/>
          <w:i/>
          <w:sz w:val="18"/>
        </w:rPr>
        <w:t xml:space="preserve"> všeobecných</w:t>
      </w:r>
      <w:r w:rsidRPr="006070EA">
        <w:rPr>
          <w:rFonts w:asciiTheme="majorHAnsi" w:hAnsiTheme="majorHAnsi" w:cstheme="majorHAnsi"/>
          <w:sz w:val="18"/>
        </w:rPr>
        <w:t xml:space="preserve"> (P</w:t>
      </w:r>
      <w:r w:rsidR="00E82842" w:rsidRPr="006070EA">
        <w:rPr>
          <w:rFonts w:asciiTheme="majorHAnsi" w:hAnsiTheme="majorHAnsi" w:cstheme="majorHAnsi"/>
          <w:sz w:val="18"/>
        </w:rPr>
        <w:t>U</w:t>
      </w:r>
      <w:r w:rsidRPr="006070EA">
        <w:rPr>
          <w:rFonts w:asciiTheme="majorHAnsi" w:hAnsiTheme="majorHAnsi" w:cstheme="majorHAnsi"/>
          <w:sz w:val="18"/>
        </w:rPr>
        <w:t xml:space="preserve">) a ploch </w:t>
      </w:r>
      <w:r w:rsidR="00E82842" w:rsidRPr="006070EA">
        <w:rPr>
          <w:rFonts w:asciiTheme="majorHAnsi" w:hAnsiTheme="majorHAnsi" w:cstheme="majorHAnsi"/>
          <w:i/>
          <w:sz w:val="18"/>
        </w:rPr>
        <w:t xml:space="preserve">dopravy </w:t>
      </w:r>
      <w:r w:rsidRPr="006070EA">
        <w:rPr>
          <w:rFonts w:asciiTheme="majorHAnsi" w:hAnsiTheme="majorHAnsi" w:cstheme="majorHAnsi"/>
          <w:i/>
          <w:sz w:val="18"/>
        </w:rPr>
        <w:t xml:space="preserve">silniční </w:t>
      </w:r>
      <w:r w:rsidRPr="006070EA">
        <w:rPr>
          <w:rFonts w:asciiTheme="majorHAnsi" w:hAnsiTheme="majorHAnsi" w:cstheme="majorHAnsi"/>
          <w:sz w:val="18"/>
        </w:rPr>
        <w:t xml:space="preserve">(DS). Individuální odstavování vozidel lze v rámci přípustného využití realizovat </w:t>
      </w:r>
      <w:r w:rsidR="00C13E46" w:rsidRPr="006070EA">
        <w:rPr>
          <w:rFonts w:asciiTheme="majorHAnsi" w:hAnsiTheme="majorHAnsi" w:cstheme="majorHAnsi"/>
          <w:sz w:val="18"/>
        </w:rPr>
        <w:t xml:space="preserve">také </w:t>
      </w:r>
      <w:r w:rsidRPr="006070EA">
        <w:rPr>
          <w:rFonts w:asciiTheme="majorHAnsi" w:hAnsiTheme="majorHAnsi" w:cstheme="majorHAnsi"/>
          <w:sz w:val="18"/>
        </w:rPr>
        <w:t>v </w:t>
      </w:r>
      <w:r w:rsidR="00C13E46" w:rsidRPr="006070EA">
        <w:rPr>
          <w:rFonts w:asciiTheme="majorHAnsi" w:hAnsiTheme="majorHAnsi" w:cstheme="majorHAnsi"/>
          <w:sz w:val="18"/>
        </w:rPr>
        <w:t>rámci ploch</w:t>
      </w:r>
      <w:r w:rsidRPr="006070EA">
        <w:rPr>
          <w:rFonts w:asciiTheme="majorHAnsi" w:hAnsiTheme="majorHAnsi" w:cstheme="majorHAnsi"/>
          <w:sz w:val="18"/>
        </w:rPr>
        <w:t xml:space="preserve"> s rozdílným způsobem využití, zejména v plochách bydlení (B</w:t>
      </w:r>
      <w:r w:rsidR="00936D5A" w:rsidRPr="006070EA">
        <w:rPr>
          <w:rFonts w:asciiTheme="majorHAnsi" w:hAnsiTheme="majorHAnsi" w:cstheme="majorHAnsi"/>
          <w:sz w:val="18"/>
        </w:rPr>
        <w:t>I</w:t>
      </w:r>
      <w:r w:rsidR="00E82842" w:rsidRPr="006070EA">
        <w:rPr>
          <w:rFonts w:asciiTheme="majorHAnsi" w:hAnsiTheme="majorHAnsi" w:cstheme="majorHAnsi"/>
          <w:sz w:val="18"/>
        </w:rPr>
        <w:t>, BH</w:t>
      </w:r>
      <w:r w:rsidRPr="006070EA">
        <w:rPr>
          <w:rFonts w:asciiTheme="majorHAnsi" w:hAnsiTheme="majorHAnsi" w:cstheme="majorHAnsi"/>
          <w:sz w:val="18"/>
        </w:rPr>
        <w:t xml:space="preserve">), </w:t>
      </w:r>
      <w:r w:rsidR="00CE5114" w:rsidRPr="006070EA">
        <w:rPr>
          <w:rFonts w:asciiTheme="majorHAnsi" w:hAnsiTheme="majorHAnsi" w:cstheme="majorHAnsi"/>
          <w:sz w:val="18"/>
        </w:rPr>
        <w:t>plochách smíšených obytných (SV</w:t>
      </w:r>
      <w:r w:rsidR="00936D5A" w:rsidRPr="006070EA">
        <w:rPr>
          <w:rFonts w:asciiTheme="majorHAnsi" w:hAnsiTheme="majorHAnsi" w:cstheme="majorHAnsi"/>
          <w:sz w:val="18"/>
        </w:rPr>
        <w:t>, SM</w:t>
      </w:r>
      <w:r w:rsidR="00CE5114" w:rsidRPr="006070EA">
        <w:rPr>
          <w:rFonts w:asciiTheme="majorHAnsi" w:hAnsiTheme="majorHAnsi" w:cstheme="majorHAnsi"/>
          <w:sz w:val="18"/>
        </w:rPr>
        <w:t xml:space="preserve">), </w:t>
      </w:r>
      <w:r w:rsidRPr="006070EA">
        <w:rPr>
          <w:rFonts w:asciiTheme="majorHAnsi" w:hAnsiTheme="majorHAnsi" w:cstheme="majorHAnsi"/>
          <w:sz w:val="18"/>
        </w:rPr>
        <w:t>plochách výroby (V</w:t>
      </w:r>
      <w:r w:rsidR="00C13E46" w:rsidRPr="006070EA">
        <w:rPr>
          <w:rFonts w:asciiTheme="majorHAnsi" w:hAnsiTheme="majorHAnsi" w:cstheme="majorHAnsi"/>
          <w:sz w:val="18"/>
        </w:rPr>
        <w:t>Z</w:t>
      </w:r>
      <w:r w:rsidR="00936D5A" w:rsidRPr="006070EA">
        <w:rPr>
          <w:rFonts w:asciiTheme="majorHAnsi" w:hAnsiTheme="majorHAnsi" w:cstheme="majorHAnsi"/>
          <w:sz w:val="18"/>
        </w:rPr>
        <w:t>, VL</w:t>
      </w:r>
      <w:r w:rsidRPr="006070EA">
        <w:rPr>
          <w:rFonts w:asciiTheme="majorHAnsi" w:hAnsiTheme="majorHAnsi" w:cstheme="majorHAnsi"/>
          <w:sz w:val="18"/>
        </w:rPr>
        <w:t>) a občanského vybavení</w:t>
      </w:r>
      <w:r w:rsidR="00C13E46" w:rsidRPr="006070EA">
        <w:rPr>
          <w:rFonts w:asciiTheme="majorHAnsi" w:hAnsiTheme="majorHAnsi" w:cstheme="majorHAnsi"/>
          <w:sz w:val="18"/>
        </w:rPr>
        <w:t> </w:t>
      </w:r>
      <w:r w:rsidRPr="006070EA">
        <w:rPr>
          <w:rFonts w:asciiTheme="majorHAnsi" w:hAnsiTheme="majorHAnsi" w:cstheme="majorHAnsi"/>
          <w:sz w:val="18"/>
        </w:rPr>
        <w:t>(OV,</w:t>
      </w:r>
      <w:r w:rsidR="00C13E46" w:rsidRPr="006070EA">
        <w:rPr>
          <w:rFonts w:asciiTheme="majorHAnsi" w:hAnsiTheme="majorHAnsi" w:cstheme="majorHAnsi"/>
          <w:sz w:val="18"/>
        </w:rPr>
        <w:t> </w:t>
      </w:r>
      <w:r w:rsidR="00936D5A" w:rsidRPr="006070EA">
        <w:rPr>
          <w:rFonts w:asciiTheme="majorHAnsi" w:hAnsiTheme="majorHAnsi" w:cstheme="majorHAnsi"/>
          <w:sz w:val="18"/>
        </w:rPr>
        <w:t>OH</w:t>
      </w:r>
      <w:r w:rsidRPr="006070EA">
        <w:rPr>
          <w:rFonts w:asciiTheme="majorHAnsi" w:hAnsiTheme="majorHAnsi" w:cstheme="majorHAnsi"/>
          <w:sz w:val="18"/>
        </w:rPr>
        <w:t xml:space="preserve">). </w:t>
      </w:r>
    </w:p>
    <w:p w14:paraId="2B8E0470" w14:textId="628FFAB7" w:rsidR="00AC1557" w:rsidRPr="006070EA" w:rsidRDefault="00C13E46" w:rsidP="00CE5114">
      <w:pPr>
        <w:spacing w:after="60" w:line="240" w:lineRule="auto"/>
        <w:ind w:firstLine="709"/>
        <w:jc w:val="both"/>
        <w:rPr>
          <w:rFonts w:asciiTheme="majorHAnsi" w:hAnsiTheme="majorHAnsi" w:cstheme="majorHAnsi"/>
          <w:sz w:val="18"/>
        </w:rPr>
      </w:pPr>
      <w:r w:rsidRPr="006070EA">
        <w:rPr>
          <w:rFonts w:asciiTheme="majorHAnsi" w:hAnsiTheme="majorHAnsi" w:cstheme="majorHAnsi"/>
          <w:sz w:val="18"/>
        </w:rPr>
        <w:t xml:space="preserve">V centrální části obce se nacházejí plochy pro parkování s kapacitou </w:t>
      </w:r>
      <w:r w:rsidR="00936D5A" w:rsidRPr="006070EA">
        <w:rPr>
          <w:rFonts w:asciiTheme="majorHAnsi" w:hAnsiTheme="majorHAnsi" w:cstheme="majorHAnsi"/>
          <w:sz w:val="18"/>
        </w:rPr>
        <w:t xml:space="preserve">více </w:t>
      </w:r>
      <w:r w:rsidRPr="006070EA">
        <w:rPr>
          <w:rFonts w:asciiTheme="majorHAnsi" w:hAnsiTheme="majorHAnsi" w:cstheme="majorHAnsi"/>
          <w:sz w:val="18"/>
        </w:rPr>
        <w:t>vozidel, lokalizované zejména ve vazbě na objekty občanské vybavenosti</w:t>
      </w:r>
      <w:r w:rsidR="0022024B" w:rsidRPr="006070EA">
        <w:rPr>
          <w:rFonts w:asciiTheme="majorHAnsi" w:hAnsiTheme="majorHAnsi" w:cstheme="majorHAnsi"/>
          <w:sz w:val="18"/>
        </w:rPr>
        <w:t xml:space="preserve">. </w:t>
      </w:r>
      <w:r w:rsidRPr="006070EA">
        <w:rPr>
          <w:rFonts w:asciiTheme="majorHAnsi" w:hAnsiTheme="majorHAnsi" w:cstheme="majorHAnsi"/>
          <w:sz w:val="18"/>
        </w:rPr>
        <w:t>Plochy</w:t>
      </w:r>
      <w:r w:rsidR="0022024B" w:rsidRPr="006070EA">
        <w:rPr>
          <w:rFonts w:asciiTheme="majorHAnsi" w:hAnsiTheme="majorHAnsi" w:cstheme="majorHAnsi"/>
          <w:sz w:val="18"/>
        </w:rPr>
        <w:t> </w:t>
      </w:r>
      <w:r w:rsidRPr="006070EA">
        <w:rPr>
          <w:rFonts w:asciiTheme="majorHAnsi" w:hAnsiTheme="majorHAnsi" w:cstheme="majorHAnsi"/>
          <w:sz w:val="18"/>
        </w:rPr>
        <w:t>pro parkování neindividuálního charakteru lze nalézt také u objektů bytových domů.</w:t>
      </w:r>
      <w:r w:rsidR="0022024B" w:rsidRPr="006070EA">
        <w:rPr>
          <w:rFonts w:asciiTheme="majorHAnsi" w:hAnsiTheme="majorHAnsi" w:cstheme="majorHAnsi"/>
          <w:sz w:val="18"/>
        </w:rPr>
        <w:t xml:space="preserve"> </w:t>
      </w:r>
      <w:r w:rsidR="00AC1557" w:rsidRPr="006070EA">
        <w:rPr>
          <w:rFonts w:asciiTheme="majorHAnsi" w:hAnsiTheme="majorHAnsi" w:cstheme="majorHAnsi"/>
          <w:sz w:val="18"/>
        </w:rPr>
        <w:t>Garážová stání jsou reprezentována převážně objekty individuálních garáží na soukromých pozemcích.</w:t>
      </w:r>
    </w:p>
    <w:p w14:paraId="024D09B8" w14:textId="77777777" w:rsidR="00AC1557" w:rsidRPr="006070EA" w:rsidRDefault="00AC1557" w:rsidP="009E07E1">
      <w:pPr>
        <w:spacing w:after="60" w:line="240" w:lineRule="auto"/>
        <w:ind w:firstLine="709"/>
        <w:jc w:val="both"/>
        <w:rPr>
          <w:rFonts w:asciiTheme="majorHAnsi" w:hAnsiTheme="majorHAnsi" w:cstheme="majorHAnsi"/>
          <w:sz w:val="18"/>
        </w:rPr>
      </w:pPr>
      <w:r w:rsidRPr="006070EA">
        <w:rPr>
          <w:rFonts w:asciiTheme="majorHAnsi" w:hAnsiTheme="majorHAnsi" w:cstheme="majorHAnsi"/>
          <w:sz w:val="18"/>
        </w:rPr>
        <w:t xml:space="preserve">Plochy pro odstavování vozidel jsou zajišťovány na pozemcích se související zástavbou, doplňkově pro krátkodobé parkování a stání na dispozičně a architektonicky upravených plochách, veřejných prostranstvích, ve vybraných úsecích v přidružených pásech podél komunikací. U nových ploch pro bydlení budou veškeré nároky na parkování zajišťovány na pozemcích, které budou součástí staveb. </w:t>
      </w:r>
    </w:p>
    <w:p w14:paraId="607A80D4" w14:textId="731E0FBE" w:rsidR="00AC1557" w:rsidRPr="006070EA" w:rsidRDefault="00AC1557" w:rsidP="009E07E1">
      <w:pPr>
        <w:spacing w:after="60" w:line="240" w:lineRule="auto"/>
        <w:ind w:firstLine="709"/>
        <w:jc w:val="both"/>
        <w:rPr>
          <w:rFonts w:asciiTheme="majorHAnsi" w:hAnsiTheme="majorHAnsi" w:cstheme="majorHAnsi"/>
          <w:sz w:val="18"/>
        </w:rPr>
      </w:pPr>
      <w:r w:rsidRPr="006070EA">
        <w:rPr>
          <w:rFonts w:asciiTheme="majorHAnsi" w:hAnsiTheme="majorHAnsi" w:cstheme="majorHAnsi"/>
          <w:sz w:val="18"/>
        </w:rPr>
        <w:t>Dostatečné plochy pro parkování a odstavování osobních vozidel je nutno dimenzovat u všech potenciálních cílů dopravy, ploch bydlení a ploch občanského vybavení. Potřeba parkovacích a odstavných stání se stanoví výpočtem dle normy ČSN 73 6110 a změny Z1 73 6110.</w:t>
      </w:r>
    </w:p>
    <w:p w14:paraId="634EE6D4" w14:textId="315588FF" w:rsidR="00936D5A" w:rsidRPr="006070EA" w:rsidRDefault="00936D5A" w:rsidP="009E07E1">
      <w:pPr>
        <w:spacing w:after="60" w:line="240" w:lineRule="auto"/>
        <w:ind w:firstLine="709"/>
        <w:jc w:val="both"/>
        <w:rPr>
          <w:rFonts w:asciiTheme="majorHAnsi" w:hAnsiTheme="majorHAnsi" w:cstheme="majorHAnsi"/>
          <w:sz w:val="18"/>
        </w:rPr>
      </w:pPr>
      <w:r w:rsidRPr="006070EA">
        <w:rPr>
          <w:rFonts w:asciiTheme="majorHAnsi" w:hAnsiTheme="majorHAnsi" w:cstheme="majorHAnsi"/>
          <w:sz w:val="18"/>
        </w:rPr>
        <w:t>Klimatická situace se mění a důsledkem jsou kromě prokazatelně zvyšující se teploty i častější přívalové srážky a jiné častější náhlé meteorologické jevy či sucho. V souvislosti s těmito změnami existuje škála tzv. adaptačních opatření na změnu klimatu, mezi které patří výsadba stromů, která jednak umožní produkci kyslíku a akumulaci vody, ale také zastínění velkých ploch, které by se jinak nadměrně ohřívaly. Vzhledem k dlouhodobému nedostatku vody v krajině a zároveň možnosti snížit dimenze odvodnění do kanalizace se jako nejlepší řešení jeví alespoň část vody nechat vsáknout v místě. Vzhledem k nezpevněnému povrchu navíc nedochází k nadměrnému ohřívání asfaltobetonových či cementobetonových ploch. Ve vztahu k výše uvedenému stanovuje územní plán podmínku výsadby stromů v plochách parkovišť na terénu (min. 1 strom na 5 parkovacích stání).</w:t>
      </w:r>
    </w:p>
    <w:p w14:paraId="56AD2C91" w14:textId="6741E30A" w:rsidR="00AB1F4C" w:rsidRPr="006070EA" w:rsidRDefault="0038021B" w:rsidP="009E07E1">
      <w:pPr>
        <w:keepNext/>
        <w:shd w:val="clear" w:color="auto" w:fill="F2F2F2" w:themeFill="background1" w:themeFillShade="F2"/>
        <w:spacing w:before="120" w:after="120" w:line="240" w:lineRule="auto"/>
        <w:rPr>
          <w:rFonts w:asciiTheme="majorHAnsi" w:hAnsiTheme="majorHAnsi" w:cstheme="majorHAnsi"/>
          <w:b/>
          <w:sz w:val="20"/>
        </w:rPr>
      </w:pPr>
      <w:r w:rsidRPr="006070EA">
        <w:rPr>
          <w:rFonts w:asciiTheme="majorHAnsi" w:hAnsiTheme="majorHAnsi" w:cstheme="majorHAnsi"/>
          <w:b/>
          <w:sz w:val="20"/>
        </w:rPr>
        <w:t>Doprava drážní (železniční)</w:t>
      </w:r>
    </w:p>
    <w:p w14:paraId="4C93A891" w14:textId="24C0AEF4" w:rsidR="00121854" w:rsidRPr="006070EA" w:rsidRDefault="00121854" w:rsidP="009E07E1">
      <w:pPr>
        <w:pStyle w:val="Atext"/>
        <w:keepNext/>
        <w:ind w:firstLine="0"/>
        <w:jc w:val="right"/>
        <w:rPr>
          <w:rFonts w:asciiTheme="majorHAnsi" w:hAnsiTheme="majorHAnsi" w:cstheme="majorHAnsi"/>
          <w:i/>
          <w:snapToGrid w:val="0"/>
          <w:u w:val="single"/>
        </w:rPr>
      </w:pPr>
      <w:r w:rsidRPr="006070EA">
        <w:rPr>
          <w:rFonts w:asciiTheme="majorHAnsi" w:hAnsiTheme="majorHAnsi" w:cstheme="majorHAnsi"/>
          <w:i/>
          <w:snapToGrid w:val="0"/>
          <w:u w:val="single"/>
        </w:rPr>
        <w:t xml:space="preserve">Odůvodnění odst. </w:t>
      </w:r>
      <w:r w:rsidRPr="006070EA">
        <w:rPr>
          <w:rFonts w:asciiTheme="majorHAnsi" w:hAnsiTheme="majorHAnsi" w:cstheme="majorHAnsi"/>
          <w:b/>
          <w:i/>
          <w:snapToGrid w:val="0"/>
          <w:u w:val="single"/>
        </w:rPr>
        <w:t>(</w:t>
      </w:r>
      <w:r w:rsidR="0038021B" w:rsidRPr="006070EA">
        <w:rPr>
          <w:rFonts w:asciiTheme="majorHAnsi" w:hAnsiTheme="majorHAnsi" w:cstheme="majorHAnsi"/>
          <w:b/>
          <w:i/>
          <w:snapToGrid w:val="0"/>
          <w:u w:val="single"/>
        </w:rPr>
        <w:t>2</w:t>
      </w:r>
      <w:r w:rsidR="00244BC2">
        <w:rPr>
          <w:rFonts w:asciiTheme="majorHAnsi" w:hAnsiTheme="majorHAnsi" w:cstheme="majorHAnsi"/>
          <w:b/>
          <w:i/>
          <w:snapToGrid w:val="0"/>
          <w:u w:val="single"/>
        </w:rPr>
        <w:t>3</w:t>
      </w:r>
      <w:r w:rsidRPr="006070EA">
        <w:rPr>
          <w:rFonts w:asciiTheme="majorHAnsi" w:hAnsiTheme="majorHAnsi" w:cstheme="majorHAnsi"/>
          <w:b/>
          <w:i/>
          <w:snapToGrid w:val="0"/>
          <w:u w:val="single"/>
        </w:rPr>
        <w:t xml:space="preserve">) </w:t>
      </w:r>
      <w:r w:rsidRPr="006070EA">
        <w:rPr>
          <w:rFonts w:asciiTheme="majorHAnsi" w:hAnsiTheme="majorHAnsi" w:cstheme="majorHAnsi"/>
          <w:i/>
          <w:snapToGrid w:val="0"/>
          <w:u w:val="single"/>
        </w:rPr>
        <w:t>výrokové části</w:t>
      </w:r>
    </w:p>
    <w:p w14:paraId="57B6A01C" w14:textId="77777777" w:rsidR="0022024B" w:rsidRPr="006070EA" w:rsidRDefault="0022024B" w:rsidP="0022024B">
      <w:pPr>
        <w:spacing w:before="120" w:after="120" w:line="240" w:lineRule="auto"/>
        <w:jc w:val="both"/>
        <w:rPr>
          <w:rFonts w:asciiTheme="majorHAnsi" w:hAnsiTheme="majorHAnsi" w:cstheme="majorHAnsi"/>
          <w:b/>
          <w:sz w:val="18"/>
          <w:szCs w:val="18"/>
        </w:rPr>
      </w:pPr>
      <w:r w:rsidRPr="006070EA">
        <w:rPr>
          <w:rFonts w:asciiTheme="majorHAnsi" w:hAnsiTheme="majorHAnsi" w:cstheme="majorHAnsi"/>
          <w:b/>
          <w:sz w:val="18"/>
          <w:szCs w:val="18"/>
        </w:rPr>
        <w:t>Popis stávající situace</w:t>
      </w:r>
    </w:p>
    <w:p w14:paraId="6BBF22CE" w14:textId="2F45A2C1" w:rsidR="00812AAD" w:rsidRPr="006070EA" w:rsidRDefault="00812AAD" w:rsidP="00812AAD">
      <w:pPr>
        <w:autoSpaceDE w:val="0"/>
        <w:autoSpaceDN w:val="0"/>
        <w:adjustRightInd w:val="0"/>
        <w:spacing w:before="120" w:after="120"/>
        <w:jc w:val="both"/>
        <w:rPr>
          <w:rFonts w:asciiTheme="majorHAnsi" w:hAnsiTheme="majorHAnsi" w:cstheme="majorHAnsi"/>
          <w:sz w:val="18"/>
          <w:szCs w:val="20"/>
          <w:lang w:eastAsia="cs-CZ"/>
        </w:rPr>
      </w:pPr>
      <w:r w:rsidRPr="006070EA">
        <w:rPr>
          <w:rFonts w:asciiTheme="majorHAnsi" w:hAnsiTheme="majorHAnsi" w:cstheme="majorHAnsi"/>
          <w:sz w:val="18"/>
          <w:szCs w:val="20"/>
          <w:lang w:eastAsia="cs-CZ"/>
        </w:rPr>
        <w:tab/>
      </w:r>
      <w:r w:rsidRPr="006070EA">
        <w:rPr>
          <w:rFonts w:asciiTheme="majorHAnsi" w:hAnsiTheme="majorHAnsi" w:cstheme="majorHAnsi"/>
          <w:sz w:val="18"/>
          <w:lang w:eastAsia="cs-CZ"/>
        </w:rPr>
        <w:t xml:space="preserve">Řešeným územím prochází celostátní dráha č. 231 </w:t>
      </w:r>
      <w:r w:rsidR="0038021B" w:rsidRPr="006070EA">
        <w:rPr>
          <w:rFonts w:asciiTheme="majorHAnsi" w:hAnsiTheme="majorHAnsi" w:cstheme="majorHAnsi"/>
          <w:sz w:val="18"/>
          <w:lang w:eastAsia="cs-CZ"/>
        </w:rPr>
        <w:t>Praha – Lysá nad Labem – Kolín.</w:t>
      </w:r>
    </w:p>
    <w:p w14:paraId="282D7D7B" w14:textId="4D96864A" w:rsidR="0038021B" w:rsidRPr="006070EA" w:rsidRDefault="0038021B" w:rsidP="00DE2ABD">
      <w:pPr>
        <w:spacing w:after="60" w:line="240" w:lineRule="auto"/>
        <w:ind w:firstLine="709"/>
        <w:jc w:val="both"/>
        <w:rPr>
          <w:rFonts w:asciiTheme="majorHAnsi" w:hAnsiTheme="majorHAnsi" w:cstheme="majorHAnsi"/>
          <w:sz w:val="18"/>
          <w:szCs w:val="20"/>
        </w:rPr>
      </w:pPr>
      <w:r w:rsidRPr="006070EA">
        <w:rPr>
          <w:rFonts w:asciiTheme="majorHAnsi" w:hAnsiTheme="majorHAnsi" w:cstheme="majorHAnsi"/>
          <w:sz w:val="18"/>
          <w:szCs w:val="20"/>
        </w:rPr>
        <w:t>Železniční trať Praha – Lysá nad Labem – Kolín o délce 73 km spojuje Prahu a Kolín přes Nymburk. V jízdním řádě pro cestující je uváděna pod označením 231, úsek Praha – Lysá nad Labem je vyčleněn společně s tratí Lysá nad Labem – Milovice pod označením 232. Trať je součástí celostátní dráhy a jejím provozovatelem je Správa železnic. Je významnou součástí Pražské integrované dopravy, v rámci které zde jezdí v celé trati vlaky „Eska Praha“ označované jako linka S2, v úseku Praha – Lysá nad Labem (– Milovice) S22 a ve špičce je doplňuje linka S9 (Benešov –) Praha – Lysá nad Labem</w:t>
      </w:r>
    </w:p>
    <w:p w14:paraId="062073EA" w14:textId="4734B937" w:rsidR="0022024B" w:rsidRPr="006070EA" w:rsidRDefault="0022024B" w:rsidP="00DE2ABD">
      <w:pPr>
        <w:spacing w:after="60" w:line="240" w:lineRule="auto"/>
        <w:ind w:firstLine="709"/>
        <w:jc w:val="both"/>
        <w:rPr>
          <w:rFonts w:asciiTheme="majorHAnsi" w:hAnsiTheme="majorHAnsi" w:cstheme="majorHAnsi"/>
          <w:sz w:val="18"/>
          <w:szCs w:val="20"/>
        </w:rPr>
      </w:pPr>
      <w:r w:rsidRPr="006070EA">
        <w:rPr>
          <w:rFonts w:asciiTheme="majorHAnsi" w:hAnsiTheme="majorHAnsi" w:cstheme="majorHAnsi"/>
          <w:sz w:val="18"/>
          <w:szCs w:val="20"/>
        </w:rPr>
        <w:t xml:space="preserve">Grafické znázornění průběhu trati č. </w:t>
      </w:r>
      <w:r w:rsidR="0038021B" w:rsidRPr="006070EA">
        <w:rPr>
          <w:rFonts w:asciiTheme="majorHAnsi" w:hAnsiTheme="majorHAnsi" w:cstheme="majorHAnsi"/>
          <w:sz w:val="18"/>
          <w:szCs w:val="20"/>
        </w:rPr>
        <w:t>231</w:t>
      </w:r>
      <w:r w:rsidRPr="006070EA">
        <w:rPr>
          <w:rFonts w:asciiTheme="majorHAnsi" w:hAnsiTheme="majorHAnsi" w:cstheme="majorHAnsi"/>
          <w:sz w:val="18"/>
          <w:szCs w:val="20"/>
        </w:rPr>
        <w:t xml:space="preserve"> a její postavení v širším železničním systému poskytuje obr. níže</w:t>
      </w:r>
      <w:r w:rsidR="0038021B" w:rsidRPr="006070EA">
        <w:rPr>
          <w:rFonts w:asciiTheme="majorHAnsi" w:hAnsiTheme="majorHAnsi" w:cstheme="majorHAnsi"/>
          <w:sz w:val="18"/>
          <w:szCs w:val="20"/>
        </w:rPr>
        <w:t xml:space="preserve"> (trať je znázorněna červenou linií)</w:t>
      </w:r>
      <w:r w:rsidRPr="006070EA">
        <w:rPr>
          <w:rFonts w:asciiTheme="majorHAnsi" w:hAnsiTheme="majorHAnsi" w:cstheme="majorHAnsi"/>
          <w:sz w:val="18"/>
          <w:szCs w:val="20"/>
        </w:rPr>
        <w:t>.</w:t>
      </w:r>
    </w:p>
    <w:p w14:paraId="260B942D" w14:textId="13267794" w:rsidR="0022024B" w:rsidRPr="006070EA" w:rsidRDefault="0022024B" w:rsidP="00244BC2">
      <w:pPr>
        <w:keepNext/>
        <w:spacing w:after="60" w:line="240" w:lineRule="auto"/>
        <w:jc w:val="both"/>
        <w:rPr>
          <w:rFonts w:asciiTheme="majorHAnsi" w:hAnsiTheme="majorHAnsi" w:cstheme="majorHAnsi"/>
          <w:i/>
          <w:sz w:val="18"/>
          <w:szCs w:val="20"/>
        </w:rPr>
      </w:pPr>
      <w:r w:rsidRPr="006070EA">
        <w:rPr>
          <w:rFonts w:asciiTheme="majorHAnsi" w:hAnsiTheme="majorHAnsi" w:cstheme="majorHAnsi"/>
          <w:i/>
          <w:sz w:val="18"/>
          <w:szCs w:val="20"/>
        </w:rPr>
        <w:t xml:space="preserve">Obr.: Trasa železniční trati č. </w:t>
      </w:r>
      <w:r w:rsidR="0038021B" w:rsidRPr="006070EA">
        <w:rPr>
          <w:rFonts w:asciiTheme="majorHAnsi" w:hAnsiTheme="majorHAnsi" w:cstheme="majorHAnsi"/>
          <w:i/>
          <w:sz w:val="18"/>
          <w:szCs w:val="20"/>
        </w:rPr>
        <w:t>231</w:t>
      </w:r>
    </w:p>
    <w:p w14:paraId="254056B8" w14:textId="511684FB" w:rsidR="0022024B" w:rsidRPr="006070EA" w:rsidRDefault="0038021B" w:rsidP="0022024B">
      <w:pPr>
        <w:spacing w:after="60" w:line="240" w:lineRule="auto"/>
        <w:jc w:val="both"/>
        <w:rPr>
          <w:rFonts w:asciiTheme="majorHAnsi" w:hAnsiTheme="majorHAnsi" w:cstheme="majorHAnsi"/>
          <w:i/>
          <w:sz w:val="18"/>
          <w:szCs w:val="20"/>
        </w:rPr>
      </w:pPr>
      <w:r w:rsidRPr="006070EA">
        <w:rPr>
          <w:rFonts w:asciiTheme="majorHAnsi" w:hAnsiTheme="majorHAnsi" w:cstheme="majorHAnsi"/>
          <w:noProof/>
        </w:rPr>
        <w:drawing>
          <wp:inline distT="0" distB="0" distL="0" distR="0" wp14:anchorId="32B88E48" wp14:editId="5E03B703">
            <wp:extent cx="5759450" cy="1924050"/>
            <wp:effectExtent l="0" t="0" r="0" b="0"/>
            <wp:docPr id="22" name="Obrázek 22" descr="Obsah obrázku map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Obrázek 22" descr="Obsah obrázku mapa&#10;&#10;Popis byl vytvořen automaticky"/>
                    <pic:cNvPicPr>
                      <a:picLocks noChangeAspect="1" noChangeArrowheads="1"/>
                    </pic:cNvPicPr>
                  </pic:nvPicPr>
                  <pic:blipFill rotWithShape="1">
                    <a:blip r:embed="rId49">
                      <a:extLst>
                        <a:ext uri="{28A0092B-C50C-407E-A947-70E740481C1C}">
                          <a14:useLocalDpi xmlns:a14="http://schemas.microsoft.com/office/drawing/2010/main" val="0"/>
                        </a:ext>
                      </a:extLst>
                    </a:blip>
                    <a:srcRect b="7510"/>
                    <a:stretch/>
                  </pic:blipFill>
                  <pic:spPr bwMode="auto">
                    <a:xfrm>
                      <a:off x="0" y="0"/>
                      <a:ext cx="5759450" cy="1924050"/>
                    </a:xfrm>
                    <a:prstGeom prst="rect">
                      <a:avLst/>
                    </a:prstGeom>
                    <a:noFill/>
                    <a:ln>
                      <a:noFill/>
                    </a:ln>
                    <a:extLst>
                      <a:ext uri="{53640926-AAD7-44D8-BBD7-CCE9431645EC}">
                        <a14:shadowObscured xmlns:a14="http://schemas.microsoft.com/office/drawing/2010/main"/>
                      </a:ext>
                    </a:extLst>
                  </pic:spPr>
                </pic:pic>
              </a:graphicData>
            </a:graphic>
          </wp:inline>
        </w:drawing>
      </w:r>
    </w:p>
    <w:p w14:paraId="52EFD6AD" w14:textId="33D0EB0D" w:rsidR="0038021B" w:rsidRPr="006070EA" w:rsidRDefault="0022024B" w:rsidP="0038021B">
      <w:pPr>
        <w:spacing w:after="60" w:line="240" w:lineRule="auto"/>
        <w:ind w:firstLine="709"/>
        <w:jc w:val="right"/>
        <w:rPr>
          <w:rFonts w:asciiTheme="majorHAnsi" w:hAnsiTheme="majorHAnsi" w:cstheme="majorHAnsi"/>
          <w:i/>
          <w:sz w:val="18"/>
          <w:szCs w:val="20"/>
        </w:rPr>
      </w:pPr>
      <w:r w:rsidRPr="006070EA">
        <w:rPr>
          <w:rFonts w:asciiTheme="majorHAnsi" w:hAnsiTheme="majorHAnsi" w:cstheme="majorHAnsi"/>
          <w:i/>
          <w:sz w:val="18"/>
          <w:szCs w:val="20"/>
        </w:rPr>
        <w:t>Zdroj: www.</w:t>
      </w:r>
      <w:r w:rsidR="0038021B" w:rsidRPr="006070EA">
        <w:rPr>
          <w:rFonts w:asciiTheme="majorHAnsi" w:hAnsiTheme="majorHAnsi" w:cstheme="majorHAnsi"/>
          <w:i/>
          <w:sz w:val="18"/>
          <w:szCs w:val="20"/>
        </w:rPr>
        <w:t>mapy.cz</w:t>
      </w:r>
    </w:p>
    <w:p w14:paraId="5F282C8B" w14:textId="09DEB331" w:rsidR="0022024B" w:rsidRPr="006070EA" w:rsidRDefault="0022024B" w:rsidP="0022024B">
      <w:pPr>
        <w:spacing w:before="120" w:after="60" w:line="240" w:lineRule="auto"/>
        <w:ind w:firstLine="709"/>
        <w:jc w:val="both"/>
        <w:rPr>
          <w:rFonts w:asciiTheme="majorHAnsi" w:hAnsiTheme="majorHAnsi" w:cstheme="majorHAnsi"/>
          <w:sz w:val="18"/>
          <w:szCs w:val="20"/>
        </w:rPr>
      </w:pPr>
      <w:r w:rsidRPr="006070EA">
        <w:rPr>
          <w:rFonts w:asciiTheme="majorHAnsi" w:hAnsiTheme="majorHAnsi" w:cstheme="majorHAnsi"/>
          <w:sz w:val="18"/>
          <w:szCs w:val="20"/>
        </w:rPr>
        <w:lastRenderedPageBreak/>
        <w:t xml:space="preserve">V řešeném území je na železniční trati provozována železniční stanice </w:t>
      </w:r>
      <w:r w:rsidR="0038021B" w:rsidRPr="006070EA">
        <w:rPr>
          <w:rFonts w:asciiTheme="majorHAnsi" w:hAnsiTheme="majorHAnsi" w:cstheme="majorHAnsi"/>
          <w:i/>
          <w:sz w:val="18"/>
          <w:szCs w:val="20"/>
        </w:rPr>
        <w:t>Kostomlaty nad Labem</w:t>
      </w:r>
      <w:r w:rsidRPr="006070EA">
        <w:rPr>
          <w:rFonts w:asciiTheme="majorHAnsi" w:hAnsiTheme="majorHAnsi" w:cstheme="majorHAnsi"/>
          <w:sz w:val="18"/>
          <w:szCs w:val="20"/>
        </w:rPr>
        <w:t xml:space="preserve">. </w:t>
      </w:r>
      <w:r w:rsidR="0038021B" w:rsidRPr="006070EA">
        <w:rPr>
          <w:rFonts w:asciiTheme="majorHAnsi" w:hAnsiTheme="majorHAnsi" w:cstheme="majorHAnsi"/>
          <w:sz w:val="18"/>
          <w:szCs w:val="20"/>
        </w:rPr>
        <w:t>Ostatní sídla v řešeném území nejsou drážní dopravou dostupné.</w:t>
      </w:r>
    </w:p>
    <w:p w14:paraId="2341A9BD" w14:textId="77777777" w:rsidR="00AB1F4C" w:rsidRPr="006070EA" w:rsidRDefault="0022024B" w:rsidP="00E82842">
      <w:pPr>
        <w:keepNext/>
        <w:spacing w:before="120" w:after="120" w:line="240" w:lineRule="auto"/>
        <w:jc w:val="both"/>
        <w:rPr>
          <w:rFonts w:asciiTheme="majorHAnsi" w:hAnsiTheme="majorHAnsi" w:cstheme="majorHAnsi"/>
          <w:sz w:val="18"/>
          <w:u w:val="single"/>
        </w:rPr>
      </w:pPr>
      <w:r w:rsidRPr="006070EA">
        <w:rPr>
          <w:rFonts w:asciiTheme="majorHAnsi" w:hAnsiTheme="majorHAnsi" w:cstheme="majorHAnsi"/>
          <w:sz w:val="18"/>
          <w:u w:val="single"/>
        </w:rPr>
        <w:t>Železniční o</w:t>
      </w:r>
      <w:r w:rsidR="00AB1F4C" w:rsidRPr="006070EA">
        <w:rPr>
          <w:rFonts w:asciiTheme="majorHAnsi" w:hAnsiTheme="majorHAnsi" w:cstheme="majorHAnsi"/>
          <w:sz w:val="18"/>
          <w:u w:val="single"/>
        </w:rPr>
        <w:t>chranná pásma</w:t>
      </w:r>
    </w:p>
    <w:p w14:paraId="291977F3" w14:textId="77777777" w:rsidR="00AB1F4C" w:rsidRPr="006070EA" w:rsidRDefault="00AB1F4C" w:rsidP="00DE2ABD">
      <w:pPr>
        <w:spacing w:after="60" w:line="240" w:lineRule="auto"/>
        <w:ind w:firstLine="709"/>
        <w:jc w:val="both"/>
        <w:rPr>
          <w:rFonts w:asciiTheme="majorHAnsi" w:hAnsiTheme="majorHAnsi" w:cstheme="majorHAnsi"/>
          <w:sz w:val="18"/>
        </w:rPr>
      </w:pPr>
      <w:r w:rsidRPr="006070EA">
        <w:rPr>
          <w:rFonts w:asciiTheme="majorHAnsi" w:hAnsiTheme="majorHAnsi" w:cstheme="majorHAnsi"/>
          <w:sz w:val="18"/>
        </w:rPr>
        <w:t xml:space="preserve">Železniční ochranné pásmo je stanoveno zákonem č. 266/1994 Sb., o drahách, ve znění pozdějších předpisů, a tvoří ho prostor po obou stranách dráhy do vzdálenosti 60 m od osy krajní koleje, nejméně však do vzdálenosti 30 m od hranic obvodu dráhy. </w:t>
      </w:r>
    </w:p>
    <w:p w14:paraId="511B7945" w14:textId="77777777" w:rsidR="00AB1F4C" w:rsidRPr="006070EA" w:rsidRDefault="00AB1F4C" w:rsidP="009E07E1">
      <w:pPr>
        <w:spacing w:after="60" w:line="240" w:lineRule="auto"/>
        <w:ind w:firstLine="709"/>
        <w:jc w:val="both"/>
        <w:rPr>
          <w:rFonts w:asciiTheme="majorHAnsi" w:hAnsiTheme="majorHAnsi" w:cstheme="majorHAnsi"/>
          <w:sz w:val="18"/>
        </w:rPr>
      </w:pPr>
      <w:r w:rsidRPr="006070EA">
        <w:rPr>
          <w:rFonts w:asciiTheme="majorHAnsi" w:hAnsiTheme="majorHAnsi" w:cstheme="majorHAnsi"/>
          <w:sz w:val="18"/>
        </w:rPr>
        <w:t>Případnou výstavbu nových obytných objektů je třeba situovat mimo ochranné pásmo dráhy, dále je nutné respektovat vyhlášku č. 177/1995 Sb. – stavební a technický řád drah – a postupovat ve smyslu ustanovení zákona č. 266/1994 Sb., o drahách, ve znění pozdějších předpisů.</w:t>
      </w:r>
    </w:p>
    <w:p w14:paraId="26083DA9" w14:textId="0D3CFA0A" w:rsidR="00AB1F4C" w:rsidRPr="006070EA" w:rsidRDefault="00AB1F4C" w:rsidP="009E07E1">
      <w:pPr>
        <w:spacing w:after="60" w:line="240" w:lineRule="auto"/>
        <w:jc w:val="both"/>
        <w:rPr>
          <w:rFonts w:asciiTheme="majorHAnsi" w:hAnsiTheme="majorHAnsi" w:cstheme="majorHAnsi"/>
          <w:sz w:val="18"/>
        </w:rPr>
      </w:pPr>
      <w:r w:rsidRPr="006070EA">
        <w:rPr>
          <w:rFonts w:asciiTheme="majorHAnsi" w:hAnsiTheme="majorHAnsi" w:cstheme="majorHAnsi"/>
          <w:sz w:val="18"/>
        </w:rPr>
        <w:tab/>
        <w:t>V ochranném pásmu je dovoleno stavět pouze drážní stavy, výjimky lze udělit pro stavby pozemních komunikací, vodních děl, zařízení vedení, měřických znaků a signálů a jen v odůvodněných případech pro ostatní pozemní stavby. Výjimky povoluje drážní správní orgán, který současně stanoví podmínky.</w:t>
      </w:r>
    </w:p>
    <w:p w14:paraId="79F5F813" w14:textId="7BAE5F60" w:rsidR="00E71236" w:rsidRPr="006070EA" w:rsidRDefault="00E71236" w:rsidP="00E71236">
      <w:pPr>
        <w:suppressAutoHyphens/>
        <w:spacing w:before="120" w:after="60" w:line="240" w:lineRule="auto"/>
        <w:ind w:left="567" w:hanging="567"/>
        <w:jc w:val="both"/>
        <w:rPr>
          <w:rFonts w:asciiTheme="majorHAnsi" w:eastAsia="Times New Roman" w:hAnsiTheme="majorHAnsi" w:cstheme="majorHAnsi"/>
          <w:bCs/>
          <w:i/>
          <w:iCs/>
          <w:sz w:val="18"/>
          <w:szCs w:val="20"/>
          <w:lang w:eastAsia="ar-SA"/>
        </w:rPr>
      </w:pPr>
      <w:r w:rsidRPr="006070EA">
        <w:rPr>
          <w:rFonts w:asciiTheme="majorHAnsi" w:eastAsia="Times New Roman" w:hAnsiTheme="majorHAnsi" w:cstheme="majorHAnsi"/>
          <w:bCs/>
          <w:i/>
          <w:iCs/>
          <w:sz w:val="18"/>
          <w:szCs w:val="20"/>
          <w:lang w:eastAsia="ar-SA"/>
        </w:rPr>
        <w:t>Pozn.:</w:t>
      </w:r>
      <w:r w:rsidRPr="006070EA">
        <w:rPr>
          <w:rFonts w:asciiTheme="majorHAnsi" w:eastAsia="Times New Roman" w:hAnsiTheme="majorHAnsi" w:cstheme="majorHAnsi"/>
          <w:bCs/>
          <w:i/>
          <w:iCs/>
          <w:sz w:val="18"/>
          <w:szCs w:val="20"/>
          <w:lang w:eastAsia="ar-SA"/>
        </w:rPr>
        <w:tab/>
        <w:t xml:space="preserve">Ochranné pásmo železniční trati v řešeném území je graficky znázorněno ve Výkresu č. </w:t>
      </w:r>
      <w:r w:rsidR="00E82842" w:rsidRPr="006070EA">
        <w:rPr>
          <w:rFonts w:asciiTheme="majorHAnsi" w:eastAsia="Times New Roman" w:hAnsiTheme="majorHAnsi" w:cstheme="majorHAnsi"/>
          <w:bCs/>
          <w:i/>
          <w:iCs/>
          <w:sz w:val="18"/>
          <w:szCs w:val="20"/>
          <w:lang w:eastAsia="ar-SA"/>
        </w:rPr>
        <w:t>4</w:t>
      </w:r>
      <w:r w:rsidRPr="006070EA">
        <w:rPr>
          <w:rFonts w:asciiTheme="majorHAnsi" w:eastAsia="Times New Roman" w:hAnsiTheme="majorHAnsi" w:cstheme="majorHAnsi"/>
          <w:bCs/>
          <w:i/>
          <w:iCs/>
          <w:sz w:val="18"/>
          <w:szCs w:val="20"/>
          <w:lang w:eastAsia="ar-SA"/>
        </w:rPr>
        <w:t xml:space="preserve"> grafické části Odůvodnění ÚP Kostomlaty nad Labem (Koordinační výkres).</w:t>
      </w:r>
    </w:p>
    <w:p w14:paraId="25323DF5" w14:textId="77777777" w:rsidR="00846ED7" w:rsidRPr="006070EA" w:rsidRDefault="00846ED7" w:rsidP="009E07E1">
      <w:pPr>
        <w:pStyle w:val="Anadpispodtren"/>
        <w:rPr>
          <w:rFonts w:asciiTheme="majorHAnsi" w:hAnsiTheme="majorHAnsi" w:cstheme="majorHAnsi"/>
          <w:b/>
          <w:u w:val="none"/>
        </w:rPr>
      </w:pPr>
      <w:r w:rsidRPr="006070EA">
        <w:rPr>
          <w:rFonts w:asciiTheme="majorHAnsi" w:hAnsiTheme="majorHAnsi" w:cstheme="majorHAnsi"/>
          <w:b/>
          <w:u w:val="none"/>
        </w:rPr>
        <w:t xml:space="preserve">Odůvodnění navrhovaného řešení </w:t>
      </w:r>
    </w:p>
    <w:p w14:paraId="137FB760" w14:textId="6AB6C737" w:rsidR="00846ED7" w:rsidRPr="006070EA" w:rsidRDefault="00846ED7" w:rsidP="009E07E1">
      <w:pPr>
        <w:pStyle w:val="Atext"/>
        <w:spacing w:before="60" w:after="60"/>
        <w:rPr>
          <w:rFonts w:asciiTheme="majorHAnsi" w:hAnsiTheme="majorHAnsi" w:cstheme="majorHAnsi"/>
        </w:rPr>
      </w:pPr>
      <w:r w:rsidRPr="006070EA">
        <w:rPr>
          <w:rFonts w:asciiTheme="majorHAnsi" w:hAnsiTheme="majorHAnsi" w:cstheme="majorHAnsi"/>
        </w:rPr>
        <w:t xml:space="preserve">V souladu s § 9, odst. 2 a </w:t>
      </w:r>
      <w:r w:rsidR="00741649" w:rsidRPr="006070EA">
        <w:rPr>
          <w:rFonts w:asciiTheme="majorHAnsi" w:hAnsiTheme="majorHAnsi" w:cstheme="majorHAnsi"/>
        </w:rPr>
        <w:t xml:space="preserve">4 </w:t>
      </w:r>
      <w:r w:rsidRPr="006070EA">
        <w:rPr>
          <w:rFonts w:asciiTheme="majorHAnsi" w:hAnsiTheme="majorHAnsi" w:cstheme="majorHAnsi"/>
        </w:rPr>
        <w:t xml:space="preserve">vyhl. č. 501/2006 Sb., ve znění pozdějších předpisů, jsou pozemky železnice zahrnuty do ploch </w:t>
      </w:r>
      <w:r w:rsidR="00E82842" w:rsidRPr="006070EA">
        <w:rPr>
          <w:rFonts w:asciiTheme="majorHAnsi" w:hAnsiTheme="majorHAnsi" w:cstheme="majorHAnsi"/>
        </w:rPr>
        <w:t>dopravy drážní</w:t>
      </w:r>
      <w:r w:rsidRPr="006070EA">
        <w:rPr>
          <w:rFonts w:asciiTheme="majorHAnsi" w:hAnsiTheme="majorHAnsi" w:cstheme="majorHAnsi"/>
        </w:rPr>
        <w:t xml:space="preserve"> (D</w:t>
      </w:r>
      <w:r w:rsidR="00E82842" w:rsidRPr="006070EA">
        <w:rPr>
          <w:rFonts w:asciiTheme="majorHAnsi" w:hAnsiTheme="majorHAnsi" w:cstheme="majorHAnsi"/>
        </w:rPr>
        <w:t>D</w:t>
      </w:r>
      <w:r w:rsidRPr="006070EA">
        <w:rPr>
          <w:rFonts w:asciiTheme="majorHAnsi" w:hAnsiTheme="majorHAnsi" w:cstheme="majorHAnsi"/>
        </w:rPr>
        <w:t xml:space="preserve">). </w:t>
      </w:r>
      <w:r w:rsidR="00741649" w:rsidRPr="006070EA">
        <w:rPr>
          <w:rFonts w:asciiTheme="majorHAnsi" w:hAnsiTheme="majorHAnsi" w:cstheme="majorHAnsi"/>
        </w:rPr>
        <w:t>Dle vyhlášky plochy drážní dopravy zahrnují zpravidla obvod dráhy, včetně náspů, zářezů, opěrných zdí, mostů, kolejišť a doprovodné zeleně, dále pozemky zařízení pro drážní dopravu, například stanice, zastávky, nástupiště a přístupové cesty, provozní budovy a pozemky dep, opraven, vozoven, překladišť a</w:t>
      </w:r>
      <w:r w:rsidR="00DE2ABD" w:rsidRPr="006070EA">
        <w:rPr>
          <w:rFonts w:asciiTheme="majorHAnsi" w:hAnsiTheme="majorHAnsi" w:cstheme="majorHAnsi"/>
        </w:rPr>
        <w:t> </w:t>
      </w:r>
      <w:r w:rsidR="00741649" w:rsidRPr="006070EA">
        <w:rPr>
          <w:rFonts w:asciiTheme="majorHAnsi" w:hAnsiTheme="majorHAnsi" w:cstheme="majorHAnsi"/>
        </w:rPr>
        <w:t xml:space="preserve">správních budov. </w:t>
      </w:r>
      <w:r w:rsidRPr="006070EA">
        <w:rPr>
          <w:rFonts w:asciiTheme="majorHAnsi" w:hAnsiTheme="majorHAnsi" w:cstheme="majorHAnsi"/>
        </w:rPr>
        <w:t xml:space="preserve">Důvodem </w:t>
      </w:r>
      <w:r w:rsidR="00741649" w:rsidRPr="006070EA">
        <w:rPr>
          <w:rFonts w:asciiTheme="majorHAnsi" w:hAnsiTheme="majorHAnsi" w:cstheme="majorHAnsi"/>
        </w:rPr>
        <w:t xml:space="preserve">pro vymezení je také </w:t>
      </w:r>
      <w:r w:rsidRPr="006070EA">
        <w:rPr>
          <w:rFonts w:asciiTheme="majorHAnsi" w:hAnsiTheme="majorHAnsi" w:cstheme="majorHAnsi"/>
        </w:rPr>
        <w:t xml:space="preserve">intenzita </w:t>
      </w:r>
      <w:r w:rsidR="008F5A25" w:rsidRPr="006070EA">
        <w:rPr>
          <w:rFonts w:asciiTheme="majorHAnsi" w:hAnsiTheme="majorHAnsi" w:cstheme="majorHAnsi"/>
        </w:rPr>
        <w:t xml:space="preserve">železniční </w:t>
      </w:r>
      <w:r w:rsidRPr="006070EA">
        <w:rPr>
          <w:rFonts w:asciiTheme="majorHAnsi" w:hAnsiTheme="majorHAnsi" w:cstheme="majorHAnsi"/>
        </w:rPr>
        <w:t xml:space="preserve">dopravy a její </w:t>
      </w:r>
      <w:r w:rsidR="008F5A25" w:rsidRPr="006070EA">
        <w:rPr>
          <w:rFonts w:asciiTheme="majorHAnsi" w:hAnsiTheme="majorHAnsi" w:cstheme="majorHAnsi"/>
        </w:rPr>
        <w:t>forma</w:t>
      </w:r>
      <w:r w:rsidRPr="006070EA">
        <w:rPr>
          <w:rFonts w:asciiTheme="majorHAnsi" w:hAnsiTheme="majorHAnsi" w:cstheme="majorHAnsi"/>
        </w:rPr>
        <w:t xml:space="preserve">, které vylučují začlenění těchto pozemků do ploch jiného způsobu využití. </w:t>
      </w:r>
    </w:p>
    <w:p w14:paraId="6F623575" w14:textId="4284E170" w:rsidR="00E71236" w:rsidRPr="006070EA" w:rsidRDefault="00E71236" w:rsidP="009E07E1">
      <w:pPr>
        <w:pStyle w:val="Atext"/>
        <w:spacing w:before="60" w:after="60"/>
        <w:rPr>
          <w:rFonts w:asciiTheme="majorHAnsi" w:hAnsiTheme="majorHAnsi" w:cstheme="majorHAnsi"/>
        </w:rPr>
      </w:pPr>
      <w:r w:rsidRPr="006070EA">
        <w:rPr>
          <w:rFonts w:asciiTheme="majorHAnsi" w:hAnsiTheme="majorHAnsi" w:cstheme="majorHAnsi"/>
        </w:rPr>
        <w:t>Za účelem zvýšení bezpečnosti dopravy územní plán stanovuje zajistit kvalitativní a bezpečnostní úpravy úrovňových křížení železniční trati se silnicemi a ostatními pozemními komunikacemi. V této souvislosti je akcentována potřeba zajištění podmínek pro rozvoj opatření, souvisejících s provozem na železniční trati. Konkrétně je územním plánem stanoveno v případě realizace úrovňového či mimoúrovňového křížení železniční trati se silnicí nebo s jinou pozemní komunikací použít podmínky pro plochy s rozdílným způsobem využití DZ, DS nebo PV podle konkrétní stavby dopravní infrastruktury bez ohledu na to, která plocha je uvedena v hlavním výkrese dokumentace. Vzhledem k trvale rostoucímu počtu cestujících v osobní dopravě, což dokládají statistiky Českých drah i Ministerstva dopravy ČR (nárůst počtu cestujících ČD z 162,9 milionů za rok 2009 na 179,2</w:t>
      </w:r>
      <w:r w:rsidR="00244BC2">
        <w:rPr>
          <w:rFonts w:asciiTheme="majorHAnsi" w:hAnsiTheme="majorHAnsi" w:cstheme="majorHAnsi"/>
        </w:rPr>
        <w:t> </w:t>
      </w:r>
      <w:r w:rsidRPr="006070EA">
        <w:rPr>
          <w:rFonts w:asciiTheme="majorHAnsi" w:hAnsiTheme="majorHAnsi" w:cstheme="majorHAnsi"/>
        </w:rPr>
        <w:t>milionu za rok 2018), rostoucímu vládnímu tlaku na rozvoj udržitelné dopravy například prostřednictvím Dopravní politiky ČR pro období 2021-2027 s výhledem do roku 2050 lze v budoucnu očekávat tlak na rozvoj dnešní železniční sítě.</w:t>
      </w:r>
    </w:p>
    <w:p w14:paraId="2A1DE238" w14:textId="20CF7163" w:rsidR="00936D5A" w:rsidRPr="006070EA" w:rsidRDefault="00936D5A" w:rsidP="00936D5A">
      <w:pPr>
        <w:pStyle w:val="Atext"/>
        <w:keepNext/>
        <w:ind w:firstLine="0"/>
        <w:jc w:val="right"/>
        <w:rPr>
          <w:rFonts w:asciiTheme="majorHAnsi" w:hAnsiTheme="majorHAnsi" w:cstheme="majorHAnsi"/>
          <w:i/>
          <w:snapToGrid w:val="0"/>
          <w:u w:val="single"/>
        </w:rPr>
      </w:pPr>
      <w:r w:rsidRPr="006070EA">
        <w:rPr>
          <w:rFonts w:asciiTheme="majorHAnsi" w:hAnsiTheme="majorHAnsi" w:cstheme="majorHAnsi"/>
          <w:i/>
          <w:snapToGrid w:val="0"/>
          <w:u w:val="single"/>
        </w:rPr>
        <w:t xml:space="preserve">Odůvodnění odst. </w:t>
      </w:r>
      <w:r w:rsidRPr="006070EA">
        <w:rPr>
          <w:rFonts w:asciiTheme="majorHAnsi" w:hAnsiTheme="majorHAnsi" w:cstheme="majorHAnsi"/>
          <w:b/>
          <w:i/>
          <w:snapToGrid w:val="0"/>
          <w:u w:val="single"/>
        </w:rPr>
        <w:t>(</w:t>
      </w:r>
      <w:r w:rsidR="00244BC2">
        <w:rPr>
          <w:rFonts w:asciiTheme="majorHAnsi" w:hAnsiTheme="majorHAnsi" w:cstheme="majorHAnsi"/>
          <w:b/>
          <w:i/>
          <w:snapToGrid w:val="0"/>
          <w:u w:val="single"/>
        </w:rPr>
        <w:t>24</w:t>
      </w:r>
      <w:r w:rsidRPr="006070EA">
        <w:rPr>
          <w:rFonts w:asciiTheme="majorHAnsi" w:hAnsiTheme="majorHAnsi" w:cstheme="majorHAnsi"/>
          <w:b/>
          <w:i/>
          <w:snapToGrid w:val="0"/>
          <w:u w:val="single"/>
        </w:rPr>
        <w:t xml:space="preserve">) </w:t>
      </w:r>
      <w:r w:rsidRPr="006070EA">
        <w:rPr>
          <w:rFonts w:asciiTheme="majorHAnsi" w:hAnsiTheme="majorHAnsi" w:cstheme="majorHAnsi"/>
          <w:i/>
          <w:snapToGrid w:val="0"/>
          <w:u w:val="single"/>
        </w:rPr>
        <w:t>výrokové části</w:t>
      </w:r>
    </w:p>
    <w:p w14:paraId="5DED8AAB" w14:textId="77777777" w:rsidR="00C01BC8" w:rsidRPr="00A76411" w:rsidRDefault="00E71236" w:rsidP="00E71236">
      <w:pPr>
        <w:pStyle w:val="Atext"/>
        <w:rPr>
          <w:rFonts w:asciiTheme="majorHAnsi" w:hAnsiTheme="majorHAnsi" w:cstheme="majorHAnsi"/>
        </w:rPr>
      </w:pPr>
      <w:r w:rsidRPr="00A76411">
        <w:rPr>
          <w:rFonts w:asciiTheme="majorHAnsi" w:hAnsiTheme="majorHAnsi" w:cstheme="majorHAnsi"/>
        </w:rPr>
        <w:t>Ve vazbě na výše uvedené a s</w:t>
      </w:r>
      <w:r w:rsidR="00244BC2" w:rsidRPr="00A76411">
        <w:rPr>
          <w:rFonts w:asciiTheme="majorHAnsi" w:hAnsiTheme="majorHAnsi" w:cstheme="majorHAnsi"/>
        </w:rPr>
        <w:t xml:space="preserve"> přihlédnutím </w:t>
      </w:r>
      <w:r w:rsidRPr="00A76411">
        <w:rPr>
          <w:rFonts w:asciiTheme="majorHAnsi" w:hAnsiTheme="majorHAnsi" w:cstheme="majorHAnsi"/>
        </w:rPr>
        <w:t>k požadavku zadání ÚP a poskytnut</w:t>
      </w:r>
      <w:r w:rsidR="00244BC2" w:rsidRPr="00A76411">
        <w:rPr>
          <w:rFonts w:asciiTheme="majorHAnsi" w:hAnsiTheme="majorHAnsi" w:cstheme="majorHAnsi"/>
        </w:rPr>
        <w:t>ým</w:t>
      </w:r>
      <w:r w:rsidRPr="00A76411">
        <w:rPr>
          <w:rFonts w:asciiTheme="majorHAnsi" w:hAnsiTheme="majorHAnsi" w:cstheme="majorHAnsi"/>
        </w:rPr>
        <w:t xml:space="preserve"> oborov</w:t>
      </w:r>
      <w:r w:rsidR="00244BC2" w:rsidRPr="00A76411">
        <w:rPr>
          <w:rFonts w:asciiTheme="majorHAnsi" w:hAnsiTheme="majorHAnsi" w:cstheme="majorHAnsi"/>
        </w:rPr>
        <w:t>ým</w:t>
      </w:r>
      <w:r w:rsidRPr="00A76411">
        <w:rPr>
          <w:rFonts w:asciiTheme="majorHAnsi" w:hAnsiTheme="majorHAnsi" w:cstheme="majorHAnsi"/>
        </w:rPr>
        <w:t xml:space="preserve"> podklad</w:t>
      </w:r>
      <w:r w:rsidR="00244BC2" w:rsidRPr="00A76411">
        <w:rPr>
          <w:rFonts w:asciiTheme="majorHAnsi" w:hAnsiTheme="majorHAnsi" w:cstheme="majorHAnsi"/>
        </w:rPr>
        <w:t>ům</w:t>
      </w:r>
      <w:r w:rsidRPr="00A76411">
        <w:rPr>
          <w:rFonts w:asciiTheme="majorHAnsi" w:hAnsiTheme="majorHAnsi" w:cstheme="majorHAnsi"/>
        </w:rPr>
        <w:t xml:space="preserve"> vymezuje Územní plán koridor </w:t>
      </w:r>
      <w:r w:rsidR="00244BC2" w:rsidRPr="00A76411">
        <w:rPr>
          <w:rFonts w:asciiTheme="majorHAnsi" w:hAnsiTheme="majorHAnsi" w:cstheme="majorHAnsi"/>
        </w:rPr>
        <w:t xml:space="preserve">dopravní infrastruktury pro </w:t>
      </w:r>
      <w:r w:rsidR="00E82842" w:rsidRPr="00A76411">
        <w:rPr>
          <w:rFonts w:asciiTheme="majorHAnsi" w:hAnsiTheme="majorHAnsi" w:cstheme="majorHAnsi"/>
        </w:rPr>
        <w:t>doprav</w:t>
      </w:r>
      <w:r w:rsidR="00244BC2" w:rsidRPr="00A76411">
        <w:rPr>
          <w:rFonts w:asciiTheme="majorHAnsi" w:hAnsiTheme="majorHAnsi" w:cstheme="majorHAnsi"/>
        </w:rPr>
        <w:t>u</w:t>
      </w:r>
      <w:r w:rsidR="00E82842" w:rsidRPr="00A76411">
        <w:rPr>
          <w:rFonts w:asciiTheme="majorHAnsi" w:hAnsiTheme="majorHAnsi" w:cstheme="majorHAnsi"/>
        </w:rPr>
        <w:t xml:space="preserve"> drážní </w:t>
      </w:r>
      <w:r w:rsidR="00E82842" w:rsidRPr="00A76411">
        <w:rPr>
          <w:rFonts w:asciiTheme="majorHAnsi" w:hAnsiTheme="majorHAnsi" w:cstheme="majorHAnsi"/>
          <w:b/>
          <w:bCs w:val="0"/>
        </w:rPr>
        <w:t>CN</w:t>
      </w:r>
      <w:r w:rsidR="00244BC2" w:rsidRPr="00A76411">
        <w:rPr>
          <w:rFonts w:asciiTheme="majorHAnsi" w:hAnsiTheme="majorHAnsi" w:cstheme="majorHAnsi"/>
          <w:b/>
          <w:bCs w:val="0"/>
        </w:rPr>
        <w:t>Z</w:t>
      </w:r>
      <w:r w:rsidR="00E82842" w:rsidRPr="00A76411">
        <w:rPr>
          <w:rFonts w:asciiTheme="majorHAnsi" w:hAnsiTheme="majorHAnsi" w:cstheme="majorHAnsi"/>
          <w:b/>
          <w:bCs w:val="0"/>
        </w:rPr>
        <w:t>.</w:t>
      </w:r>
      <w:r w:rsidR="00244BC2" w:rsidRPr="00A76411">
        <w:rPr>
          <w:rFonts w:asciiTheme="majorHAnsi" w:hAnsiTheme="majorHAnsi" w:cstheme="majorHAnsi"/>
          <w:b/>
          <w:bCs w:val="0"/>
        </w:rPr>
        <w:t>D322</w:t>
      </w:r>
      <w:r w:rsidRPr="00A76411">
        <w:rPr>
          <w:rFonts w:asciiTheme="majorHAnsi" w:hAnsiTheme="majorHAnsi" w:cstheme="majorHAnsi"/>
        </w:rPr>
        <w:t xml:space="preserve"> pro modernizaci železniční trati č. 231 (traťový úsek Nymburk – Lysá nad Labem) a pro realizaci souvisejících dopravních staveb</w:t>
      </w:r>
      <w:r w:rsidR="00244BC2" w:rsidRPr="00A76411">
        <w:rPr>
          <w:rFonts w:asciiTheme="majorHAnsi" w:hAnsiTheme="majorHAnsi" w:cstheme="majorHAnsi"/>
        </w:rPr>
        <w:t>, který je vymezen v souladu se ZÚR SK, ve které je záměr vymezen pod ozn</w:t>
      </w:r>
      <w:r w:rsidR="00C01BC8" w:rsidRPr="00A76411">
        <w:rPr>
          <w:rFonts w:asciiTheme="majorHAnsi" w:hAnsiTheme="majorHAnsi" w:cstheme="majorHAnsi"/>
        </w:rPr>
        <w:t>.</w:t>
      </w:r>
      <w:r w:rsidR="00244BC2" w:rsidRPr="00A76411">
        <w:rPr>
          <w:rFonts w:asciiTheme="majorHAnsi" w:hAnsiTheme="majorHAnsi" w:cstheme="majorHAnsi"/>
        </w:rPr>
        <w:t xml:space="preserve"> D322 (koridor pro železniční tratě č. 231 a č.072 Kolín – Lysá nad Labem – Liběchov (hranice kraje), včetně Libické spojky (trať č. 020), modernizace). </w:t>
      </w:r>
    </w:p>
    <w:p w14:paraId="1DEDA206" w14:textId="60E770CE" w:rsidR="00936D5A" w:rsidRPr="00A76411" w:rsidRDefault="00C01BC8" w:rsidP="00E71236">
      <w:pPr>
        <w:pStyle w:val="Atext"/>
        <w:rPr>
          <w:rFonts w:asciiTheme="majorHAnsi" w:hAnsiTheme="majorHAnsi" w:cstheme="majorHAnsi"/>
        </w:rPr>
      </w:pPr>
      <w:r w:rsidRPr="00A76411">
        <w:rPr>
          <w:rFonts w:asciiTheme="majorHAnsi" w:hAnsiTheme="majorHAnsi" w:cstheme="majorHAnsi"/>
        </w:rPr>
        <w:t xml:space="preserve">Územní plán řeší současně dopravní stavby související s plánovanou modernizací železniční trati v koridoru CNZ.D322, </w:t>
      </w:r>
      <w:r w:rsidR="00E71236" w:rsidRPr="00A76411">
        <w:rPr>
          <w:rFonts w:asciiTheme="majorHAnsi" w:hAnsiTheme="majorHAnsi" w:cstheme="majorHAnsi"/>
        </w:rPr>
        <w:t xml:space="preserve">včetně přeložky silnice III. třídy III/3317 </w:t>
      </w:r>
      <w:r w:rsidR="00086CF3" w:rsidRPr="00A76411">
        <w:rPr>
          <w:rFonts w:asciiTheme="majorHAnsi" w:hAnsiTheme="majorHAnsi" w:cstheme="majorHAnsi"/>
        </w:rPr>
        <w:t xml:space="preserve">(ve třech variantách) </w:t>
      </w:r>
      <w:r w:rsidR="00E71236" w:rsidRPr="00A76411">
        <w:rPr>
          <w:rFonts w:asciiTheme="majorHAnsi" w:hAnsiTheme="majorHAnsi" w:cstheme="majorHAnsi"/>
        </w:rPr>
        <w:t xml:space="preserve">a její mimoúrovňové křížení se železniční tratí č. 231. </w:t>
      </w:r>
      <w:r w:rsidRPr="00A76411">
        <w:rPr>
          <w:rFonts w:asciiTheme="majorHAnsi" w:hAnsiTheme="majorHAnsi" w:cstheme="majorHAnsi"/>
        </w:rPr>
        <w:t xml:space="preserve">Pro tyto a další související dopravní stavby vymezuje územní plán spolu s koridorem CNZ.D322 dále také koridory dopravní infrastruktury </w:t>
      </w:r>
      <w:r w:rsidRPr="00A76411">
        <w:rPr>
          <w:rFonts w:asciiTheme="majorHAnsi" w:hAnsiTheme="majorHAnsi" w:cstheme="majorHAnsi"/>
          <w:b/>
          <w:bCs w:val="0"/>
        </w:rPr>
        <w:t>CNU.KD1</w:t>
      </w:r>
      <w:r w:rsidR="00C208DE" w:rsidRPr="00A76411">
        <w:rPr>
          <w:rFonts w:asciiTheme="majorHAnsi" w:hAnsiTheme="majorHAnsi" w:cstheme="majorHAnsi"/>
        </w:rPr>
        <w:t>,</w:t>
      </w:r>
      <w:r w:rsidRPr="00A76411">
        <w:rPr>
          <w:rFonts w:asciiTheme="majorHAnsi" w:hAnsiTheme="majorHAnsi" w:cstheme="majorHAnsi"/>
        </w:rPr>
        <w:t xml:space="preserve"> </w:t>
      </w:r>
      <w:r w:rsidRPr="00A76411">
        <w:rPr>
          <w:rFonts w:asciiTheme="majorHAnsi" w:hAnsiTheme="majorHAnsi" w:cstheme="majorHAnsi"/>
          <w:b/>
          <w:bCs w:val="0"/>
        </w:rPr>
        <w:t>CNU.KD2</w:t>
      </w:r>
      <w:r w:rsidR="00C208DE" w:rsidRPr="00A76411">
        <w:rPr>
          <w:rFonts w:asciiTheme="majorHAnsi" w:hAnsiTheme="majorHAnsi" w:cstheme="majorHAnsi"/>
          <w:b/>
          <w:bCs w:val="0"/>
        </w:rPr>
        <w:t xml:space="preserve"> </w:t>
      </w:r>
      <w:r w:rsidR="00C208DE" w:rsidRPr="00A76411">
        <w:rPr>
          <w:rFonts w:asciiTheme="majorHAnsi" w:hAnsiTheme="majorHAnsi" w:cstheme="majorHAnsi"/>
        </w:rPr>
        <w:t>a</w:t>
      </w:r>
      <w:r w:rsidR="00C208DE" w:rsidRPr="00A76411">
        <w:rPr>
          <w:rFonts w:asciiTheme="majorHAnsi" w:hAnsiTheme="majorHAnsi" w:cstheme="majorHAnsi"/>
          <w:b/>
          <w:bCs w:val="0"/>
        </w:rPr>
        <w:t xml:space="preserve"> CNU.KD3</w:t>
      </w:r>
      <w:r w:rsidRPr="00A76411">
        <w:rPr>
          <w:rFonts w:asciiTheme="majorHAnsi" w:hAnsiTheme="majorHAnsi" w:cstheme="majorHAnsi"/>
        </w:rPr>
        <w:t xml:space="preserve">, které jsou vymezeny na základě podkladů Správy železnic, s. p., konkrétně technické studie zpracované projekční kanceláří SUDOP, a.s. Koridor CNU.KD1 pro přeložku silnice III/3317 je vymezen v rozsahu umožňujícím realizaci komunikace ve třech různých variantách, protože v současné době není známo přesné umístění všech dopravních staveb souvisejících se záměrem modernizace železniční trati, a je  nutné je prověřit a zpřesnit v rámci navazujících podrobnějších podkladů a dokumentací. </w:t>
      </w:r>
    </w:p>
    <w:p w14:paraId="41E2B360" w14:textId="27D7C208" w:rsidR="00086CF3" w:rsidRPr="00A76411" w:rsidRDefault="00086CF3" w:rsidP="00E71236">
      <w:pPr>
        <w:pStyle w:val="Atext"/>
        <w:rPr>
          <w:rFonts w:asciiTheme="majorHAnsi" w:hAnsiTheme="majorHAnsi" w:cstheme="majorHAnsi"/>
        </w:rPr>
      </w:pPr>
      <w:r w:rsidRPr="00A76411">
        <w:rPr>
          <w:rFonts w:asciiTheme="majorHAnsi" w:hAnsiTheme="majorHAnsi" w:cstheme="majorHAnsi"/>
        </w:rPr>
        <w:t xml:space="preserve">Koridor </w:t>
      </w:r>
      <w:r w:rsidR="00E82842" w:rsidRPr="00A76411">
        <w:rPr>
          <w:rFonts w:asciiTheme="majorHAnsi" w:hAnsiTheme="majorHAnsi" w:cstheme="majorHAnsi"/>
        </w:rPr>
        <w:t>CN</w:t>
      </w:r>
      <w:r w:rsidR="001E189B" w:rsidRPr="00A76411">
        <w:rPr>
          <w:rFonts w:asciiTheme="majorHAnsi" w:hAnsiTheme="majorHAnsi" w:cstheme="majorHAnsi"/>
        </w:rPr>
        <w:t>Z</w:t>
      </w:r>
      <w:r w:rsidR="00E82842" w:rsidRPr="00A76411">
        <w:rPr>
          <w:rFonts w:asciiTheme="majorHAnsi" w:hAnsiTheme="majorHAnsi" w:cstheme="majorHAnsi"/>
        </w:rPr>
        <w:t>.</w:t>
      </w:r>
      <w:r w:rsidR="001E189B" w:rsidRPr="00A76411">
        <w:rPr>
          <w:rFonts w:asciiTheme="majorHAnsi" w:hAnsiTheme="majorHAnsi" w:cstheme="majorHAnsi"/>
        </w:rPr>
        <w:t>D322</w:t>
      </w:r>
      <w:r w:rsidRPr="00A76411">
        <w:rPr>
          <w:rFonts w:asciiTheme="majorHAnsi" w:hAnsiTheme="majorHAnsi" w:cstheme="majorHAnsi"/>
        </w:rPr>
        <w:t xml:space="preserve"> pro modernizaci železniční trati a </w:t>
      </w:r>
      <w:r w:rsidR="001E189B" w:rsidRPr="00A76411">
        <w:rPr>
          <w:rFonts w:asciiTheme="majorHAnsi" w:hAnsiTheme="majorHAnsi" w:cstheme="majorHAnsi"/>
        </w:rPr>
        <w:t xml:space="preserve">související koridory dopravní infrastruktury CNU.KD1 a CNU.KD2, zahrnující </w:t>
      </w:r>
      <w:r w:rsidRPr="00A76411">
        <w:rPr>
          <w:rFonts w:asciiTheme="majorHAnsi" w:hAnsiTheme="majorHAnsi" w:cstheme="majorHAnsi"/>
        </w:rPr>
        <w:t>variantní řešení přeložky silnice III/3317</w:t>
      </w:r>
      <w:r w:rsidR="001E189B" w:rsidRPr="00A76411">
        <w:rPr>
          <w:rFonts w:asciiTheme="majorHAnsi" w:hAnsiTheme="majorHAnsi" w:cstheme="majorHAnsi"/>
        </w:rPr>
        <w:t>,</w:t>
      </w:r>
      <w:r w:rsidRPr="00A76411">
        <w:rPr>
          <w:rFonts w:asciiTheme="majorHAnsi" w:hAnsiTheme="majorHAnsi" w:cstheme="majorHAnsi"/>
        </w:rPr>
        <w:t xml:space="preserve"> j</w:t>
      </w:r>
      <w:r w:rsidR="001E189B" w:rsidRPr="00A76411">
        <w:rPr>
          <w:rFonts w:asciiTheme="majorHAnsi" w:hAnsiTheme="majorHAnsi" w:cstheme="majorHAnsi"/>
        </w:rPr>
        <w:t>sou vymezeny v rozsahu</w:t>
      </w:r>
      <w:r w:rsidRPr="00A76411">
        <w:rPr>
          <w:rFonts w:asciiTheme="majorHAnsi" w:hAnsiTheme="majorHAnsi" w:cstheme="majorHAnsi"/>
        </w:rPr>
        <w:t xml:space="preserve"> </w:t>
      </w:r>
      <w:r w:rsidR="001E189B" w:rsidRPr="00A76411">
        <w:rPr>
          <w:rFonts w:asciiTheme="majorHAnsi" w:hAnsiTheme="majorHAnsi" w:cstheme="majorHAnsi"/>
        </w:rPr>
        <w:t xml:space="preserve">o souhrnné </w:t>
      </w:r>
      <w:r w:rsidRPr="00A76411">
        <w:rPr>
          <w:rFonts w:asciiTheme="majorHAnsi" w:hAnsiTheme="majorHAnsi" w:cstheme="majorHAnsi"/>
        </w:rPr>
        <w:t xml:space="preserve">výměře </w:t>
      </w:r>
      <w:r w:rsidR="00A25D55" w:rsidRPr="00A76411">
        <w:rPr>
          <w:rFonts w:asciiTheme="majorHAnsi" w:hAnsiTheme="majorHAnsi" w:cstheme="majorHAnsi"/>
        </w:rPr>
        <w:t>cca 54,3 ha. Tato výměra zahrnuje všechny tři varianty přeložky silnice III/3317, přičemž při realizaci záměru ve výsledné zvolené variantě pozbývají podmínky pro rozhodování v</w:t>
      </w:r>
      <w:r w:rsidR="001E189B" w:rsidRPr="00A76411">
        <w:rPr>
          <w:rFonts w:asciiTheme="majorHAnsi" w:hAnsiTheme="majorHAnsi" w:cstheme="majorHAnsi"/>
        </w:rPr>
        <w:t xml:space="preserve"> daném </w:t>
      </w:r>
      <w:r w:rsidR="00A25D55" w:rsidRPr="00A76411">
        <w:rPr>
          <w:rFonts w:asciiTheme="majorHAnsi" w:hAnsiTheme="majorHAnsi" w:cstheme="majorHAnsi"/>
        </w:rPr>
        <w:t xml:space="preserve">koridoru </w:t>
      </w:r>
      <w:r w:rsidR="001E189B" w:rsidRPr="00A76411">
        <w:rPr>
          <w:rFonts w:asciiTheme="majorHAnsi" w:hAnsiTheme="majorHAnsi" w:cstheme="majorHAnsi"/>
        </w:rPr>
        <w:t xml:space="preserve">dopravní infrastruktury </w:t>
      </w:r>
      <w:r w:rsidR="00A25D55" w:rsidRPr="00A76411">
        <w:rPr>
          <w:rFonts w:asciiTheme="majorHAnsi" w:hAnsiTheme="majorHAnsi" w:cstheme="majorHAnsi"/>
        </w:rPr>
        <w:t xml:space="preserve">platnosti, tzn. že po modernizaci železniční trati a po realizaci přeložky silnice III/3317 nebude možné </w:t>
      </w:r>
      <w:r w:rsidR="001E189B" w:rsidRPr="00A76411">
        <w:rPr>
          <w:rFonts w:asciiTheme="majorHAnsi" w:hAnsiTheme="majorHAnsi" w:cstheme="majorHAnsi"/>
        </w:rPr>
        <w:t xml:space="preserve">zbývající části vymezených </w:t>
      </w:r>
      <w:r w:rsidR="00A25D55" w:rsidRPr="00A76411">
        <w:rPr>
          <w:rFonts w:asciiTheme="majorHAnsi" w:hAnsiTheme="majorHAnsi" w:cstheme="majorHAnsi"/>
        </w:rPr>
        <w:t>koridor</w:t>
      </w:r>
      <w:r w:rsidR="001E189B" w:rsidRPr="00A76411">
        <w:rPr>
          <w:rFonts w:asciiTheme="majorHAnsi" w:hAnsiTheme="majorHAnsi" w:cstheme="majorHAnsi"/>
        </w:rPr>
        <w:t>ů</w:t>
      </w:r>
      <w:r w:rsidR="00A25D55" w:rsidRPr="00A76411">
        <w:rPr>
          <w:rFonts w:asciiTheme="majorHAnsi" w:hAnsiTheme="majorHAnsi" w:cstheme="majorHAnsi"/>
        </w:rPr>
        <w:t xml:space="preserve"> využít pro další záměr.</w:t>
      </w:r>
      <w:r w:rsidR="00C208DE" w:rsidRPr="00A76411">
        <w:rPr>
          <w:rFonts w:asciiTheme="majorHAnsi" w:hAnsiTheme="majorHAnsi" w:cstheme="majorHAnsi"/>
        </w:rPr>
        <w:t xml:space="preserve"> Koridor CNU.KD3 je vymezen za účelem umožnění propojení místních komunikací ve východní části sídla (místní komunikace a ul. K Přejezdu).</w:t>
      </w:r>
    </w:p>
    <w:p w14:paraId="2F0CD00F" w14:textId="29C1FF4A" w:rsidR="001E189B" w:rsidRPr="00A76411" w:rsidRDefault="001E189B" w:rsidP="001E189B">
      <w:pPr>
        <w:spacing w:before="120" w:after="120"/>
        <w:jc w:val="both"/>
        <w:rPr>
          <w:rFonts w:asciiTheme="majorHAnsi" w:hAnsiTheme="majorHAnsi" w:cstheme="majorHAnsi"/>
          <w:i/>
          <w:iCs/>
          <w:snapToGrid w:val="0"/>
          <w:sz w:val="18"/>
          <w:szCs w:val="18"/>
        </w:rPr>
      </w:pPr>
      <w:r w:rsidRPr="00A76411">
        <w:rPr>
          <w:rFonts w:asciiTheme="majorHAnsi" w:hAnsiTheme="majorHAnsi" w:cstheme="majorHAnsi"/>
          <w:i/>
          <w:iCs/>
          <w:snapToGrid w:val="0"/>
          <w:sz w:val="18"/>
          <w:szCs w:val="18"/>
        </w:rPr>
        <w:t>Souhrnné doplnění odůvodnění potřebnosti vymezení koridorů CNZ.D322, CNU.KD1</w:t>
      </w:r>
      <w:r w:rsidR="00C208DE" w:rsidRPr="00A76411">
        <w:rPr>
          <w:rFonts w:asciiTheme="majorHAnsi" w:hAnsiTheme="majorHAnsi" w:cstheme="majorHAnsi"/>
          <w:i/>
          <w:iCs/>
          <w:snapToGrid w:val="0"/>
          <w:sz w:val="18"/>
          <w:szCs w:val="18"/>
        </w:rPr>
        <w:t>,</w:t>
      </w:r>
      <w:r w:rsidRPr="00A76411">
        <w:rPr>
          <w:rFonts w:asciiTheme="majorHAnsi" w:hAnsiTheme="majorHAnsi" w:cstheme="majorHAnsi"/>
          <w:i/>
          <w:iCs/>
          <w:snapToGrid w:val="0"/>
          <w:sz w:val="18"/>
          <w:szCs w:val="18"/>
        </w:rPr>
        <w:t xml:space="preserve"> CNU.KD2</w:t>
      </w:r>
      <w:r w:rsidR="00C208DE" w:rsidRPr="00A76411">
        <w:rPr>
          <w:rFonts w:asciiTheme="majorHAnsi" w:hAnsiTheme="majorHAnsi" w:cstheme="majorHAnsi"/>
          <w:i/>
          <w:iCs/>
          <w:snapToGrid w:val="0"/>
          <w:sz w:val="18"/>
          <w:szCs w:val="18"/>
        </w:rPr>
        <w:t xml:space="preserve"> a CNU.KD3</w:t>
      </w:r>
    </w:p>
    <w:p w14:paraId="750F8BFC" w14:textId="6C7F596C" w:rsidR="001E189B" w:rsidRPr="00A76411" w:rsidRDefault="001E189B" w:rsidP="001E189B">
      <w:pPr>
        <w:spacing w:before="120" w:after="120"/>
        <w:ind w:firstLine="709"/>
        <w:jc w:val="both"/>
        <w:rPr>
          <w:rFonts w:asciiTheme="majorHAnsi" w:hAnsiTheme="majorHAnsi" w:cstheme="majorHAnsi"/>
          <w:snapToGrid w:val="0"/>
          <w:sz w:val="18"/>
          <w:szCs w:val="18"/>
        </w:rPr>
      </w:pPr>
      <w:r w:rsidRPr="00A76411">
        <w:rPr>
          <w:rFonts w:asciiTheme="majorHAnsi" w:hAnsiTheme="majorHAnsi" w:cstheme="majorHAnsi"/>
          <w:snapToGrid w:val="0"/>
          <w:sz w:val="18"/>
          <w:szCs w:val="18"/>
        </w:rPr>
        <w:t xml:space="preserve">Výše uvedené koridory jsou zpřesněny a vymezeny na základě oborového podkladu k záměru modernizace traťového úseku Nymburk (mimo) – Lysá nad Labem (mimo). V širších souvislostech záměr navazuje na plánované úpravy na železničních tratí na trase Praha – Nymburk – Lysá nad Labem – Velký Osek – Chlumec nad Cidlinou – Hradec Králové, přičemž v území sousedního Královéhradeckého kraje je záměr optimalizace navazující železniční trati č. 020 zahrnut v Zásadách územního rozvoje Královéhradeckého kraje (koridor DZ4, zpracována studie proveditelnosti). V ZÚR Středočeského kraje je předmětný </w:t>
      </w:r>
      <w:r w:rsidRPr="00A76411">
        <w:rPr>
          <w:rFonts w:asciiTheme="majorHAnsi" w:hAnsiTheme="majorHAnsi" w:cstheme="majorHAnsi"/>
          <w:snapToGrid w:val="0"/>
          <w:sz w:val="18"/>
          <w:szCs w:val="18"/>
        </w:rPr>
        <w:lastRenderedPageBreak/>
        <w:t>záměr evidován pod označením D322, podrobněji viz kapitola 3.2 obsahující vyhodnocení souladu územního plánu s nadřazenou územně plánovací dokumentací na úrovni kraje.</w:t>
      </w:r>
    </w:p>
    <w:p w14:paraId="707A45AB" w14:textId="77777777" w:rsidR="001E189B" w:rsidRPr="00A76411" w:rsidRDefault="001E189B" w:rsidP="001E189B">
      <w:pPr>
        <w:spacing w:before="120" w:after="120"/>
        <w:ind w:firstLine="709"/>
        <w:jc w:val="both"/>
        <w:rPr>
          <w:rFonts w:asciiTheme="majorHAnsi" w:hAnsiTheme="majorHAnsi" w:cstheme="majorHAnsi"/>
          <w:snapToGrid w:val="0"/>
          <w:sz w:val="18"/>
          <w:szCs w:val="18"/>
        </w:rPr>
      </w:pPr>
      <w:r w:rsidRPr="00A76411">
        <w:rPr>
          <w:rFonts w:asciiTheme="majorHAnsi" w:hAnsiTheme="majorHAnsi" w:cstheme="majorHAnsi"/>
          <w:snapToGrid w:val="0"/>
          <w:sz w:val="18"/>
          <w:szCs w:val="18"/>
        </w:rPr>
        <w:t>Pro uvedený záměr modernizace traťového úseku Nymburk (mimo) – Lysá nad Labem (mimo) vydala Správa železnic informační leták (únor 2020, dostupné online z </w:t>
      </w:r>
      <w:hyperlink r:id="rId50" w:history="1">
        <w:r w:rsidRPr="00A76411">
          <w:rPr>
            <w:rStyle w:val="Hypertextovodkaz"/>
            <w:rFonts w:asciiTheme="majorHAnsi" w:hAnsiTheme="majorHAnsi" w:cstheme="majorHAnsi"/>
            <w:snapToGrid w:val="0"/>
            <w:sz w:val="18"/>
            <w:szCs w:val="18"/>
          </w:rPr>
          <w:t>www.szdc.cz</w:t>
        </w:r>
      </w:hyperlink>
      <w:r w:rsidRPr="00A76411">
        <w:rPr>
          <w:rFonts w:asciiTheme="majorHAnsi" w:hAnsiTheme="majorHAnsi" w:cstheme="majorHAnsi"/>
          <w:snapToGrid w:val="0"/>
          <w:sz w:val="18"/>
          <w:szCs w:val="18"/>
        </w:rPr>
        <w:t>), popisující záměr (kód stavby S-08) následovně (citace kurzívou):</w:t>
      </w:r>
    </w:p>
    <w:p w14:paraId="1DCFAC88" w14:textId="77777777" w:rsidR="001E189B" w:rsidRPr="00A76411" w:rsidRDefault="001E189B" w:rsidP="001E189B">
      <w:pPr>
        <w:spacing w:before="120" w:after="120"/>
        <w:ind w:firstLine="709"/>
        <w:jc w:val="both"/>
        <w:rPr>
          <w:rFonts w:asciiTheme="majorHAnsi" w:hAnsiTheme="majorHAnsi" w:cstheme="majorHAnsi"/>
          <w:i/>
          <w:iCs/>
          <w:snapToGrid w:val="0"/>
          <w:sz w:val="18"/>
          <w:szCs w:val="18"/>
        </w:rPr>
      </w:pPr>
      <w:r w:rsidRPr="00A76411">
        <w:rPr>
          <w:rFonts w:asciiTheme="majorHAnsi" w:hAnsiTheme="majorHAnsi" w:cstheme="majorHAnsi"/>
          <w:i/>
          <w:iCs/>
          <w:snapToGrid w:val="0"/>
          <w:sz w:val="18"/>
          <w:szCs w:val="18"/>
        </w:rPr>
        <w:t>V rámci stavebních prací bude provedena kompletní rekonstrukce všech komponentů železniční dopravní cesty včetně zastávek. Příznivé směrové poměry na většině traťového úseku umožní zvýšit rychlost vlaků až na 160 km/h. Cílem stavby je především vybudování nových nástupišť ve stanici Kostomlaty nad Labem, dále zajištění potřebných parametrů trati pro nákladní dopravu, tedy zejména dostatečné délky staničních kolejí, zrychlení osobní dopravy zvýšením traťové rychlosti, zřízení nové výhybny pro zmírnění dopadu výlukové činnosti, snížení hlukové zátěže a zrušení co největšího počtu železničních přejezdů. Projekt bude spolufinancovaný EU v rámci Operačního programu Doprava.</w:t>
      </w:r>
    </w:p>
    <w:p w14:paraId="431A972D" w14:textId="77777777" w:rsidR="001E189B" w:rsidRPr="00A76411" w:rsidRDefault="001E189B" w:rsidP="001E189B">
      <w:pPr>
        <w:spacing w:before="120" w:after="120"/>
        <w:ind w:firstLine="709"/>
        <w:jc w:val="both"/>
        <w:rPr>
          <w:rFonts w:asciiTheme="majorHAnsi" w:hAnsiTheme="majorHAnsi" w:cstheme="majorHAnsi"/>
          <w:snapToGrid w:val="0"/>
          <w:sz w:val="18"/>
          <w:szCs w:val="18"/>
        </w:rPr>
      </w:pPr>
      <w:r w:rsidRPr="00A76411">
        <w:rPr>
          <w:rFonts w:asciiTheme="majorHAnsi" w:hAnsiTheme="majorHAnsi" w:cstheme="majorHAnsi"/>
          <w:snapToGrid w:val="0"/>
          <w:sz w:val="18"/>
          <w:szCs w:val="18"/>
        </w:rPr>
        <w:t>Součástí stavby bude v řešeném území realizace nových mimoúrovňových přístupných nástupišť a přestavba kolejiště na místním nádraží. Trasu řešené stavby modernizace železniční trati zobrazuje graficky níže uvedený obrázek:</w:t>
      </w:r>
    </w:p>
    <w:p w14:paraId="6E2674E8" w14:textId="77777777" w:rsidR="001E189B" w:rsidRPr="00A76411" w:rsidRDefault="001E189B" w:rsidP="001E189B">
      <w:pPr>
        <w:spacing w:before="120" w:after="120"/>
        <w:jc w:val="both"/>
        <w:rPr>
          <w:rFonts w:asciiTheme="majorHAnsi" w:hAnsiTheme="majorHAnsi" w:cstheme="majorHAnsi"/>
          <w:snapToGrid w:val="0"/>
          <w:sz w:val="18"/>
          <w:szCs w:val="18"/>
        </w:rPr>
      </w:pPr>
      <w:r w:rsidRPr="00A76411">
        <w:rPr>
          <w:rFonts w:asciiTheme="majorHAnsi" w:hAnsiTheme="majorHAnsi" w:cstheme="majorHAnsi"/>
          <w:noProof/>
          <w:snapToGrid w:val="0"/>
          <w:sz w:val="18"/>
          <w:szCs w:val="18"/>
        </w:rPr>
        <w:drawing>
          <wp:inline distT="0" distB="0" distL="0" distR="0" wp14:anchorId="2A60E1F4" wp14:editId="201AA099">
            <wp:extent cx="5759450" cy="3236595"/>
            <wp:effectExtent l="0" t="0" r="0" b="1905"/>
            <wp:docPr id="13" name="Obrázek 13" descr="Obsah obrázku mapa, text, atlas&#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Obrázek 13" descr="Obsah obrázku mapa, text, atlas&#10;&#10;Popis byl vytvořen automaticky"/>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59450" cy="3236595"/>
                    </a:xfrm>
                    <a:prstGeom prst="rect">
                      <a:avLst/>
                    </a:prstGeom>
                    <a:noFill/>
                    <a:ln>
                      <a:noFill/>
                    </a:ln>
                  </pic:spPr>
                </pic:pic>
              </a:graphicData>
            </a:graphic>
          </wp:inline>
        </w:drawing>
      </w:r>
    </w:p>
    <w:p w14:paraId="545FE722" w14:textId="77777777" w:rsidR="001E189B" w:rsidRPr="00A76411" w:rsidRDefault="001E189B" w:rsidP="001E189B">
      <w:pPr>
        <w:spacing w:before="120" w:after="120"/>
        <w:jc w:val="both"/>
        <w:rPr>
          <w:rFonts w:asciiTheme="majorHAnsi" w:hAnsiTheme="majorHAnsi" w:cstheme="majorHAnsi"/>
          <w:i/>
          <w:iCs/>
          <w:snapToGrid w:val="0"/>
          <w:sz w:val="18"/>
          <w:szCs w:val="18"/>
        </w:rPr>
      </w:pPr>
      <w:r w:rsidRPr="00A76411">
        <w:rPr>
          <w:rFonts w:asciiTheme="majorHAnsi" w:hAnsiTheme="majorHAnsi" w:cstheme="majorHAnsi"/>
          <w:i/>
          <w:iCs/>
          <w:snapToGrid w:val="0"/>
          <w:sz w:val="18"/>
          <w:szCs w:val="18"/>
        </w:rPr>
        <w:t>Obr.: Trasa stavby Modernizace traťového úseku Nymburk – Lysá nad Labem (www.szdc.cz)</w:t>
      </w:r>
    </w:p>
    <w:p w14:paraId="7E32F11E" w14:textId="77777777" w:rsidR="001E189B" w:rsidRPr="00A76411" w:rsidRDefault="001E189B" w:rsidP="001E189B">
      <w:pPr>
        <w:spacing w:before="120" w:after="120"/>
        <w:jc w:val="both"/>
        <w:rPr>
          <w:rFonts w:asciiTheme="majorHAnsi" w:hAnsiTheme="majorHAnsi" w:cstheme="majorHAnsi"/>
          <w:i/>
          <w:iCs/>
          <w:snapToGrid w:val="0"/>
          <w:sz w:val="18"/>
          <w:szCs w:val="18"/>
        </w:rPr>
      </w:pPr>
      <w:r w:rsidRPr="00A76411">
        <w:rPr>
          <w:rFonts w:asciiTheme="majorHAnsi" w:hAnsiTheme="majorHAnsi" w:cstheme="majorHAnsi"/>
          <w:i/>
          <w:iCs/>
          <w:snapToGrid w:val="0"/>
          <w:sz w:val="18"/>
          <w:szCs w:val="18"/>
        </w:rPr>
        <w:t>Popis stavby:</w:t>
      </w:r>
    </w:p>
    <w:p w14:paraId="03591013" w14:textId="77777777" w:rsidR="001E189B" w:rsidRPr="00A76411" w:rsidRDefault="001E189B" w:rsidP="001E189B">
      <w:pPr>
        <w:spacing w:before="120" w:after="120"/>
        <w:ind w:firstLine="709"/>
        <w:jc w:val="both"/>
        <w:rPr>
          <w:rFonts w:asciiTheme="majorHAnsi" w:hAnsiTheme="majorHAnsi" w:cstheme="majorHAnsi"/>
          <w:i/>
          <w:iCs/>
          <w:snapToGrid w:val="0"/>
          <w:sz w:val="18"/>
          <w:szCs w:val="18"/>
        </w:rPr>
      </w:pPr>
      <w:r w:rsidRPr="00A76411">
        <w:rPr>
          <w:rFonts w:asciiTheme="majorHAnsi" w:hAnsiTheme="majorHAnsi" w:cstheme="majorHAnsi"/>
          <w:i/>
          <w:iCs/>
          <w:snapToGrid w:val="0"/>
          <w:sz w:val="18"/>
          <w:szCs w:val="18"/>
        </w:rPr>
        <w:t>Železniční trať mezi Nymburkem a Lysou nad Labem ve Středočeském kraji je dvoukolejná a elektrizovaná stejnosměrnou napěťovou soustavou 3 kV. Maximální rychlost vlaků je na tomto úseku 120 km/h. Leží zde tři zastávky a jedna stanice. Kolejiště ve stanici Kostomlaty nad Labem projde kompletní přestavbou, nově zde budou čtyři dopravní a jedna manipulační kolej. Tři nástupištní hrany budou ve výšce 550 mm nad temenem kolejnice. Pro zajištění bezbariérového přístupu na ostrovní nástupiště se zde postaví podchod s přístupovými chodníky. V blízkosti zastávky Stratov se vybuduje odbočka Hákov s obousměrným kolejovým propojením pro snížení dopadu výluk na provoz vlaků. Vzhledem k době uzavření železničních přejezdů jsou v zastávkách navrženy přístupové podchody pod kolejemi na nástupiště, vybavené přístupovými schodišti. Bezbariérový přístup bude zajištěn přes zachované přejezdy. Z dnešních 13 přejezdů by však mělo zůstat pouze pět, zbývajících osm se nahradí polními cestami nebo nadjezdy a přeložkami stávajících silnic II. a III. třídy.</w:t>
      </w:r>
    </w:p>
    <w:p w14:paraId="0ACA6C44" w14:textId="77777777" w:rsidR="001E189B" w:rsidRPr="00A76411" w:rsidRDefault="001E189B" w:rsidP="001E189B">
      <w:pPr>
        <w:spacing w:before="120" w:after="120"/>
        <w:ind w:firstLine="709"/>
        <w:jc w:val="both"/>
        <w:rPr>
          <w:rFonts w:asciiTheme="majorHAnsi" w:hAnsiTheme="majorHAnsi" w:cstheme="majorHAnsi"/>
          <w:i/>
          <w:iCs/>
          <w:snapToGrid w:val="0"/>
          <w:sz w:val="18"/>
          <w:szCs w:val="18"/>
        </w:rPr>
      </w:pPr>
      <w:r w:rsidRPr="00A76411">
        <w:rPr>
          <w:rFonts w:asciiTheme="majorHAnsi" w:hAnsiTheme="majorHAnsi" w:cstheme="majorHAnsi"/>
          <w:i/>
          <w:iCs/>
          <w:snapToGrid w:val="0"/>
          <w:sz w:val="18"/>
          <w:szCs w:val="18"/>
        </w:rPr>
        <w:t>V celém úseku proběhne rekonstrukce železničního spodku, svršku i trolejového vedení, nové bude i sdělovací a zabezpečovací zařízení. Na zastávce Kamenné Zboží budou nová vnější nástupiště dlouhá 200 metrů. Přístup na ně bude z nově vybudovaného chodníku, pod kolejištěm se postaví podchod. V Kostomlatech vznikne jedno ostrovní nástupiště mezi kolejemi dlouhé rovněž 200 metrů a dále vnější nástupiště u výpravní budovy. Na ně se cestující dostanou po přístupových chodnících, na ostrovní nástupiště pak podchodem. Ve Stratově nahradí nová nástupiště současná ve stávající poloze, přístup bude zajištěn podchodem pod tratí. Dvě nová vnější nástupiště s mimoúrovňovým přístupem vzniknou i na zastávce Ostrá. Oproti současnému stavu se posunou před přejezd, i zde se postaví pod tratí nový podchod. V rámci realizace projektu se přestaví interiér výpravní budovy v Kostomlatech nad Labem. Vymění se místnosti dopravní kanceláře a čekárny, nové umístění bude mít i pokladna. Jak v této stanici, tak i na nově zřízené odbočce a v některých zastávkách budou nové technologické objekty. Zastávky dostanou přístřešky, nástupiště zastřešení. Všude bude instalován nový orientační a informační systém.</w:t>
      </w:r>
    </w:p>
    <w:p w14:paraId="12A82B7F" w14:textId="7653776C" w:rsidR="001E189B" w:rsidRPr="00A76411" w:rsidRDefault="001E189B" w:rsidP="001E189B">
      <w:pPr>
        <w:spacing w:before="120" w:after="120"/>
        <w:ind w:firstLine="709"/>
        <w:jc w:val="both"/>
        <w:rPr>
          <w:rFonts w:asciiTheme="majorHAnsi" w:hAnsiTheme="majorHAnsi" w:cstheme="majorHAnsi"/>
          <w:snapToGrid w:val="0"/>
          <w:sz w:val="18"/>
          <w:szCs w:val="18"/>
        </w:rPr>
      </w:pPr>
      <w:r w:rsidRPr="00A76411">
        <w:rPr>
          <w:rFonts w:asciiTheme="majorHAnsi" w:hAnsiTheme="majorHAnsi" w:cstheme="majorHAnsi"/>
          <w:snapToGrid w:val="0"/>
          <w:sz w:val="18"/>
          <w:szCs w:val="18"/>
        </w:rPr>
        <w:lastRenderedPageBreak/>
        <w:t>Koridory CNU.KD1</w:t>
      </w:r>
      <w:r w:rsidR="00C208DE" w:rsidRPr="00A76411">
        <w:rPr>
          <w:rFonts w:asciiTheme="majorHAnsi" w:hAnsiTheme="majorHAnsi" w:cstheme="majorHAnsi"/>
          <w:snapToGrid w:val="0"/>
          <w:sz w:val="18"/>
          <w:szCs w:val="18"/>
        </w:rPr>
        <w:t>,</w:t>
      </w:r>
      <w:r w:rsidRPr="00A76411">
        <w:rPr>
          <w:rFonts w:asciiTheme="majorHAnsi" w:hAnsiTheme="majorHAnsi" w:cstheme="majorHAnsi"/>
          <w:snapToGrid w:val="0"/>
          <w:sz w:val="18"/>
          <w:szCs w:val="18"/>
        </w:rPr>
        <w:t xml:space="preserve"> CNU.KD2 </w:t>
      </w:r>
      <w:r w:rsidR="00C208DE" w:rsidRPr="00A76411">
        <w:rPr>
          <w:rFonts w:asciiTheme="majorHAnsi" w:hAnsiTheme="majorHAnsi" w:cstheme="majorHAnsi"/>
          <w:snapToGrid w:val="0"/>
          <w:sz w:val="18"/>
          <w:szCs w:val="18"/>
        </w:rPr>
        <w:t xml:space="preserve">a CNU.KD3 </w:t>
      </w:r>
      <w:r w:rsidRPr="00A76411">
        <w:rPr>
          <w:rFonts w:asciiTheme="majorHAnsi" w:hAnsiTheme="majorHAnsi" w:cstheme="majorHAnsi"/>
          <w:snapToGrid w:val="0"/>
          <w:sz w:val="18"/>
          <w:szCs w:val="18"/>
        </w:rPr>
        <w:t xml:space="preserve">vymezené pouze na území obce Kostomlaty nad Labem zahrnují území určené pro stavby související s plánovanou modernizací železniční trati </w:t>
      </w:r>
      <w:r w:rsidR="00402E8F" w:rsidRPr="00A76411">
        <w:rPr>
          <w:rFonts w:asciiTheme="majorHAnsi" w:hAnsiTheme="majorHAnsi" w:cstheme="majorHAnsi"/>
          <w:snapToGrid w:val="0"/>
          <w:sz w:val="18"/>
          <w:szCs w:val="18"/>
        </w:rPr>
        <w:t>v koridoru CNZ.D322</w:t>
      </w:r>
      <w:r w:rsidRPr="00A76411">
        <w:rPr>
          <w:rFonts w:asciiTheme="majorHAnsi" w:hAnsiTheme="majorHAnsi" w:cstheme="majorHAnsi"/>
          <w:snapToGrid w:val="0"/>
          <w:sz w:val="18"/>
          <w:szCs w:val="18"/>
        </w:rPr>
        <w:t xml:space="preserve">, </w:t>
      </w:r>
      <w:r w:rsidR="00402E8F" w:rsidRPr="00A76411">
        <w:rPr>
          <w:rFonts w:asciiTheme="majorHAnsi" w:hAnsiTheme="majorHAnsi" w:cstheme="majorHAnsi"/>
          <w:snapToGrid w:val="0"/>
          <w:sz w:val="18"/>
          <w:szCs w:val="18"/>
        </w:rPr>
        <w:t xml:space="preserve">zejména </w:t>
      </w:r>
      <w:r w:rsidRPr="00A76411">
        <w:rPr>
          <w:rFonts w:asciiTheme="majorHAnsi" w:hAnsiTheme="majorHAnsi" w:cstheme="majorHAnsi"/>
          <w:snapToGrid w:val="0"/>
          <w:sz w:val="18"/>
          <w:szCs w:val="18"/>
        </w:rPr>
        <w:t xml:space="preserve">přeložku silnice III. třídy III/3317, pro kterou je zpracován orientační návrh variantního řešení, jehož grafické vyjádření poskytuje obrázek níže: </w:t>
      </w:r>
    </w:p>
    <w:p w14:paraId="589962DA" w14:textId="77777777" w:rsidR="001E189B" w:rsidRPr="00A76411" w:rsidRDefault="001E189B" w:rsidP="001E189B">
      <w:pPr>
        <w:spacing w:before="120" w:after="120"/>
        <w:jc w:val="both"/>
        <w:rPr>
          <w:rFonts w:asciiTheme="majorHAnsi" w:hAnsiTheme="majorHAnsi" w:cstheme="majorHAnsi"/>
          <w:snapToGrid w:val="0"/>
          <w:color w:val="FF0000"/>
          <w:sz w:val="18"/>
          <w:szCs w:val="18"/>
        </w:rPr>
      </w:pPr>
      <w:r w:rsidRPr="00A76411">
        <w:rPr>
          <w:rFonts w:asciiTheme="majorHAnsi" w:hAnsiTheme="majorHAnsi" w:cstheme="majorHAnsi"/>
          <w:noProof/>
          <w:color w:val="FF0000"/>
          <w:sz w:val="18"/>
          <w:szCs w:val="18"/>
        </w:rPr>
        <mc:AlternateContent>
          <mc:Choice Requires="wps">
            <w:drawing>
              <wp:anchor distT="0" distB="0" distL="114300" distR="114300" simplePos="0" relativeHeight="251660800" behindDoc="0" locked="0" layoutInCell="1" allowOverlap="1" wp14:anchorId="7B1C60F3" wp14:editId="62E04CA9">
                <wp:simplePos x="0" y="0"/>
                <wp:positionH relativeFrom="column">
                  <wp:posOffset>213360</wp:posOffset>
                </wp:positionH>
                <wp:positionV relativeFrom="paragraph">
                  <wp:posOffset>264160</wp:posOffset>
                </wp:positionV>
                <wp:extent cx="314325" cy="828675"/>
                <wp:effectExtent l="0" t="19050" r="66675" b="28575"/>
                <wp:wrapNone/>
                <wp:docPr id="8" name="Šipka: dolů 8"/>
                <wp:cNvGraphicFramePr/>
                <a:graphic xmlns:a="http://schemas.openxmlformats.org/drawingml/2006/main">
                  <a:graphicData uri="http://schemas.microsoft.com/office/word/2010/wordprocessingShape">
                    <wps:wsp>
                      <wps:cNvSpPr/>
                      <wps:spPr>
                        <a:xfrm rot="11196244">
                          <a:off x="0" y="0"/>
                          <a:ext cx="314325" cy="828675"/>
                        </a:xfrm>
                        <a:prstGeom prst="downArrow">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4C460548"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Šipka: dolů 8" o:spid="_x0000_s1026" type="#_x0000_t67" style="position:absolute;margin-left:16.8pt;margin-top:20.8pt;width:24.75pt;height:65.25pt;rotation:-11363676fd;z-index:2516608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" adj="17503" fillcolor="white [3212]" strokecolor="black [3213]" strokeweight="1pt"/>
            </w:pict>
          </mc:Fallback>
        </mc:AlternateContent>
      </w:r>
      <w:r w:rsidRPr="00A76411">
        <w:rPr>
          <w:rFonts w:asciiTheme="majorHAnsi" w:hAnsiTheme="majorHAnsi" w:cstheme="majorHAnsi"/>
          <w:noProof/>
          <w:snapToGrid w:val="0"/>
          <w:color w:val="FF0000"/>
          <w:sz w:val="18"/>
          <w:szCs w:val="18"/>
        </w:rPr>
        <w:drawing>
          <wp:inline distT="0" distB="0" distL="0" distR="0" wp14:anchorId="0D8BC74B" wp14:editId="79274012">
            <wp:extent cx="5724525" cy="3419475"/>
            <wp:effectExtent l="0" t="0" r="9525" b="9525"/>
            <wp:docPr id="806080423" name="Obrázek 1" descr="Obsah obrázku text, mapa, snímek obrazovky&#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6080423" name="Obrázek 1" descr="Obsah obrázku text, mapa, snímek obrazovky&#10;&#10;Popis byl vytvořen automaticky"/>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24525" cy="3419475"/>
                    </a:xfrm>
                    <a:prstGeom prst="rect">
                      <a:avLst/>
                    </a:prstGeom>
                    <a:noFill/>
                    <a:ln>
                      <a:noFill/>
                    </a:ln>
                  </pic:spPr>
                </pic:pic>
              </a:graphicData>
            </a:graphic>
          </wp:inline>
        </w:drawing>
      </w:r>
    </w:p>
    <w:p w14:paraId="0F723C7C" w14:textId="3EB9728F" w:rsidR="001E189B" w:rsidRPr="00A76411" w:rsidRDefault="001E189B" w:rsidP="001E189B">
      <w:pPr>
        <w:spacing w:before="120" w:after="120"/>
        <w:ind w:firstLine="709"/>
        <w:jc w:val="both"/>
        <w:rPr>
          <w:rFonts w:asciiTheme="majorHAnsi" w:hAnsiTheme="majorHAnsi" w:cstheme="majorHAnsi"/>
          <w:snapToGrid w:val="0"/>
          <w:sz w:val="18"/>
          <w:szCs w:val="18"/>
        </w:rPr>
      </w:pPr>
      <w:r w:rsidRPr="00A76411">
        <w:rPr>
          <w:rFonts w:asciiTheme="majorHAnsi" w:hAnsiTheme="majorHAnsi" w:cstheme="majorHAnsi"/>
          <w:snapToGrid w:val="0"/>
          <w:sz w:val="18"/>
          <w:szCs w:val="18"/>
        </w:rPr>
        <w:t>Koridor CN</w:t>
      </w:r>
      <w:r w:rsidR="00402E8F" w:rsidRPr="00A76411">
        <w:rPr>
          <w:rFonts w:asciiTheme="majorHAnsi" w:hAnsiTheme="majorHAnsi" w:cstheme="majorHAnsi"/>
          <w:snapToGrid w:val="0"/>
          <w:sz w:val="18"/>
          <w:szCs w:val="18"/>
        </w:rPr>
        <w:t>U</w:t>
      </w:r>
      <w:r w:rsidRPr="00A76411">
        <w:rPr>
          <w:rFonts w:asciiTheme="majorHAnsi" w:hAnsiTheme="majorHAnsi" w:cstheme="majorHAnsi"/>
          <w:snapToGrid w:val="0"/>
          <w:sz w:val="18"/>
          <w:szCs w:val="18"/>
        </w:rPr>
        <w:t>.KD1 vytváří podmínky pro realizaci předmětné přeložky ve všech variantách, přičemž územní plán stanovuje, že podmínky pro rozhodování v koridoru pozbývají platnosti realizací staveb a opatření, pro něž je vymezen. Přesto, že je koridor CNU.KD1 vymezen tedy v širším rozsahu, po realizaci staveb, pro něž je určen, nebude dále omezeno využití ploch, které jsou jeho vymezením dotčeny (pokud nebudou využity pro realizaci souvisejících záměrů).</w:t>
      </w:r>
      <w:r w:rsidR="00402E8F" w:rsidRPr="00A76411">
        <w:rPr>
          <w:rFonts w:asciiTheme="majorHAnsi" w:hAnsiTheme="majorHAnsi" w:cstheme="majorHAnsi"/>
          <w:snapToGrid w:val="0"/>
          <w:sz w:val="18"/>
          <w:szCs w:val="18"/>
        </w:rPr>
        <w:t xml:space="preserve"> Koridor CNU.KD2 je vymezen pro napojení plánované přeložky, resp. jejího mimoúrovňového křížení se železniční tratí, na silnici II. třídy II/331.</w:t>
      </w:r>
      <w:r w:rsidR="00C208DE" w:rsidRPr="00A76411">
        <w:t xml:space="preserve"> </w:t>
      </w:r>
      <w:r w:rsidR="00C208DE" w:rsidRPr="00A76411">
        <w:rPr>
          <w:rFonts w:asciiTheme="majorHAnsi" w:hAnsiTheme="majorHAnsi" w:cstheme="majorHAnsi"/>
          <w:snapToGrid w:val="0"/>
          <w:sz w:val="18"/>
          <w:szCs w:val="18"/>
        </w:rPr>
        <w:t>Koridor CNU.KD3 je vymezen za účelem umožnění propojení místních komunikací ve východní části sídla (místní komunikace a ul. K Přejezdu).</w:t>
      </w:r>
    </w:p>
    <w:p w14:paraId="2C871B1E" w14:textId="4DEE5472" w:rsidR="001E189B" w:rsidRPr="006070EA" w:rsidRDefault="001E189B" w:rsidP="001E189B">
      <w:pPr>
        <w:spacing w:before="120" w:after="120"/>
        <w:ind w:firstLine="709"/>
        <w:jc w:val="both"/>
        <w:rPr>
          <w:rFonts w:asciiTheme="majorHAnsi" w:hAnsiTheme="majorHAnsi" w:cstheme="majorHAnsi"/>
          <w:snapToGrid w:val="0"/>
          <w:sz w:val="18"/>
          <w:szCs w:val="18"/>
        </w:rPr>
      </w:pPr>
      <w:r w:rsidRPr="00A76411">
        <w:rPr>
          <w:rFonts w:asciiTheme="majorHAnsi" w:hAnsiTheme="majorHAnsi" w:cstheme="majorHAnsi"/>
          <w:snapToGrid w:val="0"/>
          <w:sz w:val="18"/>
          <w:szCs w:val="18"/>
        </w:rPr>
        <w:t>Vymezení koridor</w:t>
      </w:r>
      <w:r w:rsidR="00402E8F" w:rsidRPr="00A76411">
        <w:rPr>
          <w:rFonts w:asciiTheme="majorHAnsi" w:hAnsiTheme="majorHAnsi" w:cstheme="majorHAnsi"/>
          <w:snapToGrid w:val="0"/>
          <w:sz w:val="18"/>
          <w:szCs w:val="18"/>
        </w:rPr>
        <w:t>ů</w:t>
      </w:r>
      <w:r w:rsidRPr="00A76411">
        <w:rPr>
          <w:rFonts w:asciiTheme="majorHAnsi" w:hAnsiTheme="majorHAnsi" w:cstheme="majorHAnsi"/>
          <w:snapToGrid w:val="0"/>
          <w:sz w:val="18"/>
          <w:szCs w:val="18"/>
        </w:rPr>
        <w:t xml:space="preserve"> CNU.KD1</w:t>
      </w:r>
      <w:r w:rsidR="00C208DE" w:rsidRPr="00A76411">
        <w:rPr>
          <w:rFonts w:asciiTheme="majorHAnsi" w:hAnsiTheme="majorHAnsi" w:cstheme="majorHAnsi"/>
          <w:snapToGrid w:val="0"/>
          <w:sz w:val="18"/>
          <w:szCs w:val="18"/>
        </w:rPr>
        <w:t>,</w:t>
      </w:r>
      <w:r w:rsidR="00402E8F" w:rsidRPr="00A76411">
        <w:rPr>
          <w:rFonts w:asciiTheme="majorHAnsi" w:hAnsiTheme="majorHAnsi" w:cstheme="majorHAnsi"/>
          <w:snapToGrid w:val="0"/>
          <w:sz w:val="18"/>
          <w:szCs w:val="18"/>
        </w:rPr>
        <w:t xml:space="preserve"> CNU.KD2</w:t>
      </w:r>
      <w:r w:rsidRPr="00A76411">
        <w:rPr>
          <w:rFonts w:asciiTheme="majorHAnsi" w:hAnsiTheme="majorHAnsi" w:cstheme="majorHAnsi"/>
          <w:snapToGrid w:val="0"/>
          <w:sz w:val="18"/>
          <w:szCs w:val="18"/>
        </w:rPr>
        <w:t xml:space="preserve"> </w:t>
      </w:r>
      <w:r w:rsidR="00C208DE" w:rsidRPr="00A76411">
        <w:rPr>
          <w:rFonts w:asciiTheme="majorHAnsi" w:hAnsiTheme="majorHAnsi" w:cstheme="majorHAnsi"/>
          <w:snapToGrid w:val="0"/>
          <w:sz w:val="18"/>
          <w:szCs w:val="18"/>
        </w:rPr>
        <w:t xml:space="preserve">a CNU.KD3 </w:t>
      </w:r>
      <w:r w:rsidRPr="00A76411">
        <w:rPr>
          <w:rFonts w:asciiTheme="majorHAnsi" w:hAnsiTheme="majorHAnsi" w:cstheme="majorHAnsi"/>
          <w:snapToGrid w:val="0"/>
          <w:sz w:val="18"/>
          <w:szCs w:val="18"/>
        </w:rPr>
        <w:t xml:space="preserve">je rovněž v souladu s požadavkem Zadání ÚP Kostomlaty nad Labem, které v kapitole </w:t>
      </w:r>
      <w:r w:rsidRPr="00A76411">
        <w:rPr>
          <w:rFonts w:asciiTheme="majorHAnsi" w:hAnsiTheme="majorHAnsi" w:cstheme="majorHAnsi"/>
          <w:i/>
          <w:iCs/>
          <w:snapToGrid w:val="0"/>
          <w:sz w:val="18"/>
          <w:szCs w:val="18"/>
        </w:rPr>
        <w:t xml:space="preserve">Požadavky na koncepci veřejné infrastruktury, zejména na prověření uspořádání veřejné infrastruktury a možnosti jejích změn </w:t>
      </w:r>
      <w:r w:rsidRPr="00A76411">
        <w:rPr>
          <w:rFonts w:asciiTheme="majorHAnsi" w:hAnsiTheme="majorHAnsi" w:cstheme="majorHAnsi"/>
          <w:snapToGrid w:val="0"/>
          <w:sz w:val="18"/>
          <w:szCs w:val="18"/>
        </w:rPr>
        <w:t>uvádí požadavek obce v oblasti dopravní infrastruktury ve znění: „Zvláštní důraz bude kladen na možnost řešení mimoúrovňového křížení železniční tratě v souladu s připravovanou „Modernizací traťového úseku Nymburk – Lysá nad Labem“.</w:t>
      </w:r>
    </w:p>
    <w:p w14:paraId="406D8C4F" w14:textId="624798E9" w:rsidR="00936D5A" w:rsidRPr="006070EA" w:rsidRDefault="00936D5A" w:rsidP="00936D5A">
      <w:pPr>
        <w:pStyle w:val="Atext"/>
        <w:rPr>
          <w:rFonts w:asciiTheme="majorHAnsi" w:hAnsiTheme="majorHAnsi" w:cstheme="majorHAnsi"/>
        </w:rPr>
      </w:pPr>
      <w:r w:rsidRPr="006070EA">
        <w:rPr>
          <w:rFonts w:asciiTheme="majorHAnsi" w:hAnsiTheme="majorHAnsi" w:cstheme="majorHAnsi"/>
        </w:rPr>
        <w:t>Koridor</w:t>
      </w:r>
      <w:r w:rsidR="001E189B">
        <w:rPr>
          <w:rFonts w:asciiTheme="majorHAnsi" w:hAnsiTheme="majorHAnsi" w:cstheme="majorHAnsi"/>
        </w:rPr>
        <w:t>y</w:t>
      </w:r>
      <w:r w:rsidRPr="006070EA">
        <w:rPr>
          <w:rFonts w:asciiTheme="majorHAnsi" w:hAnsiTheme="majorHAnsi" w:cstheme="majorHAnsi"/>
        </w:rPr>
        <w:t xml:space="preserve"> dopravní infrastruktury </w:t>
      </w:r>
      <w:r w:rsidR="00E71236" w:rsidRPr="006070EA">
        <w:rPr>
          <w:rFonts w:asciiTheme="majorHAnsi" w:hAnsiTheme="majorHAnsi" w:cstheme="majorHAnsi"/>
        </w:rPr>
        <w:t>j</w:t>
      </w:r>
      <w:r w:rsidR="001E189B">
        <w:rPr>
          <w:rFonts w:asciiTheme="majorHAnsi" w:hAnsiTheme="majorHAnsi" w:cstheme="majorHAnsi"/>
        </w:rPr>
        <w:t>sou</w:t>
      </w:r>
      <w:r w:rsidRPr="006070EA">
        <w:rPr>
          <w:rFonts w:asciiTheme="majorHAnsi" w:hAnsiTheme="majorHAnsi" w:cstheme="majorHAnsi"/>
        </w:rPr>
        <w:t xml:space="preserve"> vymezen</w:t>
      </w:r>
      <w:r w:rsidR="001E189B">
        <w:rPr>
          <w:rFonts w:asciiTheme="majorHAnsi" w:hAnsiTheme="majorHAnsi" w:cstheme="majorHAnsi"/>
        </w:rPr>
        <w:t>y</w:t>
      </w:r>
      <w:r w:rsidRPr="006070EA">
        <w:rPr>
          <w:rFonts w:asciiTheme="majorHAnsi" w:hAnsiTheme="majorHAnsi" w:cstheme="majorHAnsi"/>
        </w:rPr>
        <w:t xml:space="preserve"> </w:t>
      </w:r>
      <w:r w:rsidR="00AE3B5C" w:rsidRPr="006070EA">
        <w:rPr>
          <w:rFonts w:asciiTheme="majorHAnsi" w:hAnsiTheme="majorHAnsi" w:cstheme="majorHAnsi"/>
        </w:rPr>
        <w:t>vzhledem ke skutečnosti, že</w:t>
      </w:r>
      <w:r w:rsidRPr="006070EA">
        <w:rPr>
          <w:rFonts w:asciiTheme="majorHAnsi" w:hAnsiTheme="majorHAnsi" w:cstheme="majorHAnsi"/>
        </w:rPr>
        <w:t xml:space="preserve"> přesné umístění </w:t>
      </w:r>
      <w:r w:rsidR="00AE3B5C" w:rsidRPr="006070EA">
        <w:rPr>
          <w:rFonts w:asciiTheme="majorHAnsi" w:hAnsiTheme="majorHAnsi" w:cstheme="majorHAnsi"/>
        </w:rPr>
        <w:t xml:space="preserve">všech </w:t>
      </w:r>
      <w:r w:rsidRPr="006070EA">
        <w:rPr>
          <w:rFonts w:asciiTheme="majorHAnsi" w:hAnsiTheme="majorHAnsi" w:cstheme="majorHAnsi"/>
        </w:rPr>
        <w:t>dopravní</w:t>
      </w:r>
      <w:r w:rsidR="00AE3B5C" w:rsidRPr="006070EA">
        <w:rPr>
          <w:rFonts w:asciiTheme="majorHAnsi" w:hAnsiTheme="majorHAnsi" w:cstheme="majorHAnsi"/>
        </w:rPr>
        <w:t>ch</w:t>
      </w:r>
      <w:r w:rsidRPr="006070EA">
        <w:rPr>
          <w:rFonts w:asciiTheme="majorHAnsi" w:hAnsiTheme="majorHAnsi" w:cstheme="majorHAnsi"/>
        </w:rPr>
        <w:t xml:space="preserve"> stav</w:t>
      </w:r>
      <w:r w:rsidR="00AE3B5C" w:rsidRPr="006070EA">
        <w:rPr>
          <w:rFonts w:asciiTheme="majorHAnsi" w:hAnsiTheme="majorHAnsi" w:cstheme="majorHAnsi"/>
        </w:rPr>
        <w:t>eb, souvisejících se záměrem,</w:t>
      </w:r>
      <w:r w:rsidRPr="006070EA">
        <w:rPr>
          <w:rFonts w:asciiTheme="majorHAnsi" w:hAnsiTheme="majorHAnsi" w:cstheme="majorHAnsi"/>
        </w:rPr>
        <w:t xml:space="preserve"> ne</w:t>
      </w:r>
      <w:r w:rsidR="001E189B">
        <w:rPr>
          <w:rFonts w:asciiTheme="majorHAnsi" w:hAnsiTheme="majorHAnsi" w:cstheme="majorHAnsi"/>
        </w:rPr>
        <w:t>ní</w:t>
      </w:r>
      <w:r w:rsidRPr="006070EA">
        <w:rPr>
          <w:rFonts w:asciiTheme="majorHAnsi" w:hAnsiTheme="majorHAnsi" w:cstheme="majorHAnsi"/>
        </w:rPr>
        <w:t xml:space="preserve"> </w:t>
      </w:r>
      <w:r w:rsidR="00AE3B5C" w:rsidRPr="006070EA">
        <w:rPr>
          <w:rFonts w:asciiTheme="majorHAnsi" w:hAnsiTheme="majorHAnsi" w:cstheme="majorHAnsi"/>
        </w:rPr>
        <w:t xml:space="preserve">přesně </w:t>
      </w:r>
      <w:r w:rsidRPr="006070EA">
        <w:rPr>
          <w:rFonts w:asciiTheme="majorHAnsi" w:hAnsiTheme="majorHAnsi" w:cstheme="majorHAnsi"/>
        </w:rPr>
        <w:t>známo a je nutné je prověřit a zpřesnit v</w:t>
      </w:r>
      <w:r w:rsidR="00AE3B5C" w:rsidRPr="006070EA">
        <w:rPr>
          <w:rFonts w:asciiTheme="majorHAnsi" w:hAnsiTheme="majorHAnsi" w:cstheme="majorHAnsi"/>
        </w:rPr>
        <w:t> </w:t>
      </w:r>
      <w:r w:rsidRPr="006070EA">
        <w:rPr>
          <w:rFonts w:asciiTheme="majorHAnsi" w:hAnsiTheme="majorHAnsi" w:cstheme="majorHAnsi"/>
        </w:rPr>
        <w:t>rámci podrobnějších podkladů a</w:t>
      </w:r>
      <w:r w:rsidR="001E189B">
        <w:rPr>
          <w:rFonts w:asciiTheme="majorHAnsi" w:hAnsiTheme="majorHAnsi" w:cstheme="majorHAnsi"/>
        </w:rPr>
        <w:t> </w:t>
      </w:r>
      <w:r w:rsidRPr="006070EA">
        <w:rPr>
          <w:rFonts w:asciiTheme="majorHAnsi" w:hAnsiTheme="majorHAnsi" w:cstheme="majorHAnsi"/>
        </w:rPr>
        <w:t xml:space="preserve">dokumentací, </w:t>
      </w:r>
      <w:r w:rsidR="00AE3B5C" w:rsidRPr="006070EA">
        <w:rPr>
          <w:rFonts w:asciiTheme="majorHAnsi" w:hAnsiTheme="majorHAnsi" w:cstheme="majorHAnsi"/>
        </w:rPr>
        <w:t xml:space="preserve">a současně </w:t>
      </w:r>
      <w:r w:rsidRPr="006070EA">
        <w:rPr>
          <w:rFonts w:asciiTheme="majorHAnsi" w:hAnsiTheme="majorHAnsi" w:cstheme="majorHAnsi"/>
        </w:rPr>
        <w:t>pro zajištění dostatečného prostoru pro realizaci souvisejících staveb a</w:t>
      </w:r>
      <w:r w:rsidR="00E82842" w:rsidRPr="006070EA">
        <w:rPr>
          <w:rFonts w:asciiTheme="majorHAnsi" w:hAnsiTheme="majorHAnsi" w:cstheme="majorHAnsi"/>
        </w:rPr>
        <w:t> </w:t>
      </w:r>
      <w:r w:rsidRPr="006070EA">
        <w:rPr>
          <w:rFonts w:asciiTheme="majorHAnsi" w:hAnsiTheme="majorHAnsi" w:cstheme="majorHAnsi"/>
        </w:rPr>
        <w:t>opatření. Vymezení překryvného koridoru nad odlišnými plochami s rozdílným způsobem využití představuje způsob, jak vytvořit předpoklady pro umístění dopravní</w:t>
      </w:r>
      <w:r w:rsidR="00AE3B5C" w:rsidRPr="006070EA">
        <w:rPr>
          <w:rFonts w:asciiTheme="majorHAnsi" w:hAnsiTheme="majorHAnsi" w:cstheme="majorHAnsi"/>
        </w:rPr>
        <w:t>ch</w:t>
      </w:r>
      <w:r w:rsidRPr="006070EA">
        <w:rPr>
          <w:rFonts w:asciiTheme="majorHAnsi" w:hAnsiTheme="majorHAnsi" w:cstheme="majorHAnsi"/>
        </w:rPr>
        <w:t xml:space="preserve"> stav</w:t>
      </w:r>
      <w:r w:rsidR="00AE3B5C" w:rsidRPr="006070EA">
        <w:rPr>
          <w:rFonts w:asciiTheme="majorHAnsi" w:hAnsiTheme="majorHAnsi" w:cstheme="majorHAnsi"/>
        </w:rPr>
        <w:t>e</w:t>
      </w:r>
      <w:r w:rsidRPr="006070EA">
        <w:rPr>
          <w:rFonts w:asciiTheme="majorHAnsi" w:hAnsiTheme="majorHAnsi" w:cstheme="majorHAnsi"/>
        </w:rPr>
        <w:t>b v optimální poloze bez nutnosti změny ÚP; jedná se o výhodnější variantu</w:t>
      </w:r>
      <w:r w:rsidR="00AE3B5C" w:rsidRPr="006070EA">
        <w:rPr>
          <w:rFonts w:asciiTheme="majorHAnsi" w:hAnsiTheme="majorHAnsi" w:cstheme="majorHAnsi"/>
        </w:rPr>
        <w:t>,</w:t>
      </w:r>
      <w:r w:rsidRPr="006070EA">
        <w:rPr>
          <w:rFonts w:asciiTheme="majorHAnsi" w:hAnsiTheme="majorHAnsi" w:cstheme="majorHAnsi"/>
        </w:rPr>
        <w:t xml:space="preserve"> než je varianta vymezení konkrétní užší zastavitelné plochy či plochy přestavby, která se uplatní v případě, kdy je trasa dopravní stavby již podrobněji prověřena. </w:t>
      </w:r>
    </w:p>
    <w:p w14:paraId="45AC7B28" w14:textId="77777777" w:rsidR="00936D5A" w:rsidRPr="006070EA" w:rsidRDefault="00936D5A" w:rsidP="00936D5A">
      <w:pPr>
        <w:pStyle w:val="Atext"/>
        <w:rPr>
          <w:rFonts w:asciiTheme="majorHAnsi" w:hAnsiTheme="majorHAnsi" w:cstheme="majorHAnsi"/>
        </w:rPr>
      </w:pPr>
      <w:r w:rsidRPr="006070EA">
        <w:rPr>
          <w:rFonts w:asciiTheme="majorHAnsi" w:hAnsiTheme="majorHAnsi" w:cstheme="majorHAnsi"/>
        </w:rPr>
        <w:t xml:space="preserve">Pro rozhodování o změnách v území v rozsahu jednotlivých vymezených koridorů jsou stanoveny podmínky využití koridorů, zajišťující ochranu území pro účely realizace staveb, pro něž jsou koridory vymezeny. </w:t>
      </w:r>
    </w:p>
    <w:p w14:paraId="04FD79D0" w14:textId="52168B98" w:rsidR="00936D5A" w:rsidRPr="006070EA" w:rsidRDefault="00936D5A" w:rsidP="00936D5A">
      <w:pPr>
        <w:pStyle w:val="Atext"/>
        <w:keepNext/>
        <w:ind w:firstLine="0"/>
        <w:jc w:val="right"/>
        <w:rPr>
          <w:rFonts w:asciiTheme="majorHAnsi" w:hAnsiTheme="majorHAnsi" w:cstheme="majorHAnsi"/>
          <w:i/>
          <w:snapToGrid w:val="0"/>
          <w:u w:val="single"/>
        </w:rPr>
      </w:pPr>
      <w:r w:rsidRPr="006070EA">
        <w:rPr>
          <w:rFonts w:asciiTheme="majorHAnsi" w:hAnsiTheme="majorHAnsi" w:cstheme="majorHAnsi"/>
          <w:i/>
          <w:snapToGrid w:val="0"/>
          <w:u w:val="single"/>
        </w:rPr>
        <w:t xml:space="preserve">Odůvodnění odst. </w:t>
      </w:r>
      <w:r w:rsidRPr="006070EA">
        <w:rPr>
          <w:rFonts w:asciiTheme="majorHAnsi" w:hAnsiTheme="majorHAnsi" w:cstheme="majorHAnsi"/>
          <w:b/>
          <w:i/>
          <w:snapToGrid w:val="0"/>
          <w:u w:val="single"/>
        </w:rPr>
        <w:t>(</w:t>
      </w:r>
      <w:r w:rsidR="00AE3B5C" w:rsidRPr="006070EA">
        <w:rPr>
          <w:rFonts w:asciiTheme="majorHAnsi" w:hAnsiTheme="majorHAnsi" w:cstheme="majorHAnsi"/>
          <w:b/>
          <w:i/>
          <w:snapToGrid w:val="0"/>
          <w:u w:val="single"/>
        </w:rPr>
        <w:t>2</w:t>
      </w:r>
      <w:r w:rsidR="00402E8F">
        <w:rPr>
          <w:rFonts w:asciiTheme="majorHAnsi" w:hAnsiTheme="majorHAnsi" w:cstheme="majorHAnsi"/>
          <w:b/>
          <w:i/>
          <w:snapToGrid w:val="0"/>
          <w:u w:val="single"/>
        </w:rPr>
        <w:t>5</w:t>
      </w:r>
      <w:r w:rsidRPr="006070EA">
        <w:rPr>
          <w:rFonts w:asciiTheme="majorHAnsi" w:hAnsiTheme="majorHAnsi" w:cstheme="majorHAnsi"/>
          <w:b/>
          <w:i/>
          <w:snapToGrid w:val="0"/>
          <w:u w:val="single"/>
        </w:rPr>
        <w:t xml:space="preserve">) </w:t>
      </w:r>
      <w:r w:rsidRPr="006070EA">
        <w:rPr>
          <w:rFonts w:asciiTheme="majorHAnsi" w:hAnsiTheme="majorHAnsi" w:cstheme="majorHAnsi"/>
          <w:i/>
          <w:snapToGrid w:val="0"/>
          <w:u w:val="single"/>
        </w:rPr>
        <w:t>výrokové části</w:t>
      </w:r>
    </w:p>
    <w:p w14:paraId="0B36D098" w14:textId="77777777" w:rsidR="00936D5A" w:rsidRPr="006070EA" w:rsidRDefault="00936D5A" w:rsidP="00936D5A">
      <w:pPr>
        <w:pStyle w:val="Atext"/>
        <w:rPr>
          <w:rFonts w:asciiTheme="majorHAnsi" w:hAnsiTheme="majorHAnsi" w:cstheme="majorHAnsi"/>
        </w:rPr>
      </w:pPr>
      <w:r w:rsidRPr="006070EA">
        <w:rPr>
          <w:rFonts w:asciiTheme="majorHAnsi" w:hAnsiTheme="majorHAnsi" w:cstheme="majorHAnsi"/>
        </w:rPr>
        <w:t>Po realizaci stavby, pro kterou je koridor vymezen, podmínky stanovené v koridoru automaticky zanikají a platí pouze podmínky stanovené v plochách s rozdílným způsobem využití vymezených pod koridorem. Pokud by pro dopravní stavby byly vymezeny širší plochy s rozdílným způsobem využití nebo koridor nepřekryvný, bylo by po realizaci staveb nutné „zbytkové“ části území po dokončení dopravní stavby změnit (formou změny územního plánu) na požadované (případně i stabilizované) plochy s rozdílným způsobem využití. Z tohoto důvodu je řešení v podobě překryvného koridoru výhodnější a zajišťuje větší flexibilitu územního plánu v případě umisťování dopravních staveb.</w:t>
      </w:r>
    </w:p>
    <w:p w14:paraId="25AA8969" w14:textId="77777777" w:rsidR="00AB1F4C" w:rsidRPr="006070EA" w:rsidRDefault="000675FC" w:rsidP="009E07E1">
      <w:pPr>
        <w:keepNext/>
        <w:shd w:val="clear" w:color="auto" w:fill="F2F2F2" w:themeFill="background1" w:themeFillShade="F2"/>
        <w:spacing w:before="120" w:after="120" w:line="240" w:lineRule="auto"/>
        <w:rPr>
          <w:rFonts w:asciiTheme="majorHAnsi" w:hAnsiTheme="majorHAnsi" w:cstheme="majorHAnsi"/>
          <w:b/>
          <w:sz w:val="20"/>
        </w:rPr>
      </w:pPr>
      <w:r w:rsidRPr="006070EA">
        <w:rPr>
          <w:rFonts w:asciiTheme="majorHAnsi" w:hAnsiTheme="majorHAnsi" w:cstheme="majorHAnsi"/>
          <w:b/>
          <w:sz w:val="20"/>
        </w:rPr>
        <w:lastRenderedPageBreak/>
        <w:t>Veřejná hromadná doprava</w:t>
      </w:r>
    </w:p>
    <w:p w14:paraId="1A664914" w14:textId="33E1155E" w:rsidR="00121854" w:rsidRPr="006070EA" w:rsidRDefault="00121854" w:rsidP="009E07E1">
      <w:pPr>
        <w:pStyle w:val="Atext"/>
        <w:keepNext/>
        <w:ind w:firstLine="0"/>
        <w:jc w:val="right"/>
        <w:rPr>
          <w:rFonts w:asciiTheme="majorHAnsi" w:hAnsiTheme="majorHAnsi" w:cstheme="majorHAnsi"/>
          <w:i/>
          <w:snapToGrid w:val="0"/>
          <w:u w:val="single"/>
        </w:rPr>
      </w:pPr>
      <w:r w:rsidRPr="006070EA">
        <w:rPr>
          <w:rFonts w:asciiTheme="majorHAnsi" w:hAnsiTheme="majorHAnsi" w:cstheme="majorHAnsi"/>
          <w:i/>
          <w:snapToGrid w:val="0"/>
          <w:u w:val="single"/>
        </w:rPr>
        <w:t xml:space="preserve">Odůvodnění odst. </w:t>
      </w:r>
      <w:r w:rsidRPr="006070EA">
        <w:rPr>
          <w:rFonts w:asciiTheme="majorHAnsi" w:hAnsiTheme="majorHAnsi" w:cstheme="majorHAnsi"/>
          <w:b/>
          <w:i/>
          <w:snapToGrid w:val="0"/>
          <w:u w:val="single"/>
        </w:rPr>
        <w:t>(</w:t>
      </w:r>
      <w:r w:rsidR="007F6EAE">
        <w:rPr>
          <w:rFonts w:asciiTheme="majorHAnsi" w:hAnsiTheme="majorHAnsi" w:cstheme="majorHAnsi"/>
          <w:b/>
          <w:i/>
          <w:snapToGrid w:val="0"/>
          <w:u w:val="single"/>
        </w:rPr>
        <w:t>26</w:t>
      </w:r>
      <w:r w:rsidRPr="006070EA">
        <w:rPr>
          <w:rFonts w:asciiTheme="majorHAnsi" w:hAnsiTheme="majorHAnsi" w:cstheme="majorHAnsi"/>
          <w:b/>
          <w:i/>
          <w:snapToGrid w:val="0"/>
          <w:u w:val="single"/>
        </w:rPr>
        <w:t xml:space="preserve">) </w:t>
      </w:r>
      <w:r w:rsidRPr="006070EA">
        <w:rPr>
          <w:rFonts w:asciiTheme="majorHAnsi" w:hAnsiTheme="majorHAnsi" w:cstheme="majorHAnsi"/>
          <w:i/>
          <w:snapToGrid w:val="0"/>
          <w:u w:val="single"/>
        </w:rPr>
        <w:t>výrokové části</w:t>
      </w:r>
    </w:p>
    <w:p w14:paraId="610E4620" w14:textId="77777777" w:rsidR="00BC10CF" w:rsidRPr="006070EA" w:rsidRDefault="00BC10CF" w:rsidP="009E07E1">
      <w:pPr>
        <w:pStyle w:val="Anadpispodtren"/>
        <w:rPr>
          <w:rFonts w:asciiTheme="majorHAnsi" w:hAnsiTheme="majorHAnsi" w:cstheme="majorHAnsi"/>
          <w:b/>
          <w:sz w:val="20"/>
          <w:u w:val="none"/>
        </w:rPr>
      </w:pPr>
      <w:r w:rsidRPr="006070EA">
        <w:rPr>
          <w:rFonts w:asciiTheme="majorHAnsi" w:hAnsiTheme="majorHAnsi" w:cstheme="majorHAnsi"/>
          <w:b/>
          <w:sz w:val="20"/>
          <w:u w:val="none"/>
        </w:rPr>
        <w:t>Popis stávající situace</w:t>
      </w:r>
    </w:p>
    <w:p w14:paraId="1ED8BE8D" w14:textId="77777777" w:rsidR="00812AAD" w:rsidRPr="006070EA" w:rsidRDefault="00812AAD" w:rsidP="00812AAD">
      <w:pPr>
        <w:pStyle w:val="Atext"/>
        <w:rPr>
          <w:rFonts w:asciiTheme="majorHAnsi" w:hAnsiTheme="majorHAnsi" w:cstheme="majorHAnsi"/>
          <w:color w:val="000000"/>
        </w:rPr>
      </w:pPr>
      <w:r w:rsidRPr="006070EA">
        <w:rPr>
          <w:rFonts w:asciiTheme="majorHAnsi" w:hAnsiTheme="majorHAnsi" w:cstheme="majorHAnsi"/>
          <w:color w:val="000000"/>
        </w:rPr>
        <w:t xml:space="preserve">Hromadná doprava osob je na území obce zprostředkována autobusovou a železniční dopravou. </w:t>
      </w:r>
    </w:p>
    <w:p w14:paraId="7C12DEF7" w14:textId="77777777" w:rsidR="00812AAD" w:rsidRPr="006070EA" w:rsidRDefault="00812AAD" w:rsidP="00812AAD">
      <w:pPr>
        <w:pStyle w:val="Atext"/>
        <w:rPr>
          <w:rFonts w:asciiTheme="majorHAnsi" w:hAnsiTheme="majorHAnsi" w:cstheme="majorHAnsi"/>
          <w:color w:val="000000"/>
        </w:rPr>
      </w:pPr>
      <w:r w:rsidRPr="006070EA">
        <w:rPr>
          <w:rFonts w:asciiTheme="majorHAnsi" w:hAnsiTheme="majorHAnsi" w:cstheme="majorHAnsi"/>
          <w:color w:val="000000"/>
        </w:rPr>
        <w:t>Autobusová doprava je v řešeném území Kostomlat nad Labem zajišťována následujícími linkami a dopravci:</w:t>
      </w:r>
    </w:p>
    <w:tbl>
      <w:tblPr>
        <w:tblW w:w="0" w:type="auto"/>
        <w:jc w:val="center"/>
        <w:tblBorders>
          <w:insideH w:val="single" w:sz="4" w:space="0" w:color="auto"/>
          <w:insideV w:val="single" w:sz="4" w:space="0" w:color="auto"/>
        </w:tblBorders>
        <w:tblLook w:val="04A0" w:firstRow="1" w:lastRow="0" w:firstColumn="1" w:lastColumn="0" w:noHBand="0" w:noVBand="1"/>
      </w:tblPr>
      <w:tblGrid>
        <w:gridCol w:w="953"/>
        <w:gridCol w:w="5660"/>
        <w:gridCol w:w="2391"/>
      </w:tblGrid>
      <w:tr w:rsidR="00812AAD" w:rsidRPr="006070EA" w14:paraId="61B01DA0" w14:textId="77777777" w:rsidTr="00AE3B5C">
        <w:trPr>
          <w:cantSplit/>
          <w:trHeight w:val="283"/>
          <w:tblHeader/>
          <w:jc w:val="center"/>
        </w:trPr>
        <w:tc>
          <w:tcPr>
            <w:tcW w:w="953" w:type="dxa"/>
            <w:tcBorders>
              <w:top w:val="nil"/>
              <w:bottom w:val="single" w:sz="12" w:space="0" w:color="auto"/>
              <w:right w:val="single" w:sz="12" w:space="0" w:color="auto"/>
            </w:tcBorders>
            <w:shd w:val="clear" w:color="auto" w:fill="auto"/>
            <w:vAlign w:val="center"/>
          </w:tcPr>
          <w:p w14:paraId="7B00AF53" w14:textId="77777777" w:rsidR="00812AAD" w:rsidRPr="006070EA" w:rsidRDefault="00812AAD" w:rsidP="00F03B4A">
            <w:pPr>
              <w:pStyle w:val="Bezmezer"/>
              <w:keepNext/>
              <w:keepLines/>
              <w:jc w:val="center"/>
              <w:rPr>
                <w:rFonts w:asciiTheme="majorHAnsi" w:hAnsiTheme="majorHAnsi" w:cstheme="majorHAnsi"/>
                <w:b/>
                <w:color w:val="000000"/>
                <w:lang w:val="cs-CZ"/>
              </w:rPr>
            </w:pPr>
            <w:r w:rsidRPr="006070EA">
              <w:rPr>
                <w:rFonts w:asciiTheme="majorHAnsi" w:hAnsiTheme="majorHAnsi" w:cstheme="majorHAnsi"/>
                <w:b/>
                <w:color w:val="000000"/>
                <w:lang w:val="cs-CZ"/>
              </w:rPr>
              <w:t>číslo linky</w:t>
            </w:r>
          </w:p>
        </w:tc>
        <w:tc>
          <w:tcPr>
            <w:tcW w:w="5660" w:type="dxa"/>
            <w:tcBorders>
              <w:top w:val="nil"/>
              <w:left w:val="single" w:sz="12" w:space="0" w:color="auto"/>
              <w:bottom w:val="single" w:sz="12" w:space="0" w:color="auto"/>
              <w:right w:val="single" w:sz="12" w:space="0" w:color="auto"/>
            </w:tcBorders>
            <w:shd w:val="clear" w:color="auto" w:fill="auto"/>
            <w:vAlign w:val="center"/>
          </w:tcPr>
          <w:p w14:paraId="6452FE42" w14:textId="77777777" w:rsidR="00812AAD" w:rsidRPr="006070EA" w:rsidRDefault="00812AAD" w:rsidP="00F03B4A">
            <w:pPr>
              <w:pStyle w:val="Bezmezer"/>
              <w:keepNext/>
              <w:keepLines/>
              <w:jc w:val="center"/>
              <w:rPr>
                <w:rFonts w:asciiTheme="majorHAnsi" w:hAnsiTheme="majorHAnsi" w:cstheme="majorHAnsi"/>
                <w:b/>
                <w:color w:val="000000"/>
                <w:lang w:val="cs-CZ"/>
              </w:rPr>
            </w:pPr>
            <w:r w:rsidRPr="006070EA">
              <w:rPr>
                <w:rFonts w:asciiTheme="majorHAnsi" w:hAnsiTheme="majorHAnsi" w:cstheme="majorHAnsi"/>
                <w:b/>
                <w:color w:val="000000"/>
                <w:lang w:val="cs-CZ"/>
              </w:rPr>
              <w:t>trasa</w:t>
            </w:r>
          </w:p>
        </w:tc>
        <w:tc>
          <w:tcPr>
            <w:tcW w:w="2391" w:type="dxa"/>
            <w:tcBorders>
              <w:top w:val="nil"/>
              <w:left w:val="single" w:sz="12" w:space="0" w:color="auto"/>
              <w:bottom w:val="single" w:sz="12" w:space="0" w:color="auto"/>
            </w:tcBorders>
            <w:shd w:val="clear" w:color="auto" w:fill="auto"/>
            <w:vAlign w:val="center"/>
          </w:tcPr>
          <w:p w14:paraId="5EF11499" w14:textId="77777777" w:rsidR="00812AAD" w:rsidRPr="006070EA" w:rsidRDefault="00812AAD" w:rsidP="00F03B4A">
            <w:pPr>
              <w:pStyle w:val="Bezmezer"/>
              <w:keepNext/>
              <w:keepLines/>
              <w:jc w:val="center"/>
              <w:rPr>
                <w:rFonts w:asciiTheme="majorHAnsi" w:hAnsiTheme="majorHAnsi" w:cstheme="majorHAnsi"/>
                <w:b/>
                <w:color w:val="000000"/>
                <w:lang w:val="cs-CZ"/>
              </w:rPr>
            </w:pPr>
            <w:r w:rsidRPr="006070EA">
              <w:rPr>
                <w:rFonts w:asciiTheme="majorHAnsi" w:hAnsiTheme="majorHAnsi" w:cstheme="majorHAnsi"/>
                <w:b/>
                <w:color w:val="000000"/>
                <w:lang w:val="cs-CZ"/>
              </w:rPr>
              <w:t>dopravce</w:t>
            </w:r>
          </w:p>
        </w:tc>
      </w:tr>
      <w:tr w:rsidR="00812AAD" w:rsidRPr="006070EA" w14:paraId="43D28489" w14:textId="77777777" w:rsidTr="00AE3B5C">
        <w:trPr>
          <w:trHeight w:val="283"/>
          <w:jc w:val="center"/>
        </w:trPr>
        <w:tc>
          <w:tcPr>
            <w:tcW w:w="953" w:type="dxa"/>
            <w:tcBorders>
              <w:top w:val="single" w:sz="12" w:space="0" w:color="auto"/>
            </w:tcBorders>
            <w:shd w:val="clear" w:color="auto" w:fill="auto"/>
            <w:vAlign w:val="center"/>
          </w:tcPr>
          <w:p w14:paraId="3C6D807B" w14:textId="77777777" w:rsidR="00812AAD" w:rsidRPr="006070EA" w:rsidRDefault="00812AAD" w:rsidP="00F03B4A">
            <w:pPr>
              <w:pStyle w:val="Bezmezer"/>
              <w:keepNext/>
              <w:keepLines/>
              <w:jc w:val="center"/>
              <w:rPr>
                <w:rFonts w:asciiTheme="majorHAnsi" w:hAnsiTheme="majorHAnsi" w:cstheme="majorHAnsi"/>
                <w:color w:val="000000"/>
                <w:lang w:val="cs-CZ"/>
              </w:rPr>
            </w:pPr>
            <w:r w:rsidRPr="006070EA">
              <w:rPr>
                <w:rFonts w:asciiTheme="majorHAnsi" w:hAnsiTheme="majorHAnsi" w:cstheme="majorHAnsi"/>
                <w:color w:val="000000"/>
                <w:lang w:val="cs-CZ"/>
              </w:rPr>
              <w:t>497</w:t>
            </w:r>
          </w:p>
        </w:tc>
        <w:tc>
          <w:tcPr>
            <w:tcW w:w="5660" w:type="dxa"/>
            <w:tcBorders>
              <w:top w:val="single" w:sz="12" w:space="0" w:color="auto"/>
            </w:tcBorders>
            <w:shd w:val="clear" w:color="auto" w:fill="auto"/>
            <w:vAlign w:val="center"/>
          </w:tcPr>
          <w:p w14:paraId="4FE6C41A" w14:textId="47B8DA98" w:rsidR="00812AAD" w:rsidRPr="006070EA" w:rsidRDefault="00812AAD" w:rsidP="00F03B4A">
            <w:pPr>
              <w:pStyle w:val="Bezmezer"/>
              <w:keepNext/>
              <w:keepLines/>
              <w:jc w:val="center"/>
              <w:rPr>
                <w:rFonts w:asciiTheme="majorHAnsi" w:hAnsiTheme="majorHAnsi" w:cstheme="majorHAnsi"/>
                <w:color w:val="000000"/>
                <w:lang w:val="cs-CZ"/>
              </w:rPr>
            </w:pPr>
            <w:r w:rsidRPr="006070EA">
              <w:rPr>
                <w:rFonts w:asciiTheme="majorHAnsi" w:hAnsiTheme="majorHAnsi" w:cstheme="majorHAnsi"/>
                <w:color w:val="000000"/>
                <w:lang w:val="cs-CZ"/>
              </w:rPr>
              <w:t>Nymburk, Hlav. nádr. – Kostomlaty nad Labem, prodejna – Kostomlaty nad Labem, Kostomlaty nad Labem, Lány – Kostomlaty nad Labem, rozc. k Šibicům -  Kostomlaty nad Labem, Hronětice – Kostomlaty nad Labem, Vápensko - Milovice, žel.st</w:t>
            </w:r>
          </w:p>
        </w:tc>
        <w:tc>
          <w:tcPr>
            <w:tcW w:w="2391" w:type="dxa"/>
            <w:tcBorders>
              <w:top w:val="single" w:sz="12" w:space="0" w:color="auto"/>
            </w:tcBorders>
            <w:shd w:val="clear" w:color="auto" w:fill="auto"/>
            <w:vAlign w:val="center"/>
          </w:tcPr>
          <w:p w14:paraId="62FDF5FB" w14:textId="77777777" w:rsidR="00812AAD" w:rsidRPr="006070EA" w:rsidRDefault="00812AAD" w:rsidP="00F03B4A">
            <w:pPr>
              <w:pStyle w:val="Bezmezer"/>
              <w:keepNext/>
              <w:keepLines/>
              <w:jc w:val="center"/>
              <w:rPr>
                <w:rFonts w:asciiTheme="majorHAnsi" w:hAnsiTheme="majorHAnsi" w:cstheme="majorHAnsi"/>
                <w:color w:val="000000"/>
                <w:lang w:val="cs-CZ"/>
              </w:rPr>
            </w:pPr>
            <w:r w:rsidRPr="006070EA">
              <w:rPr>
                <w:rFonts w:asciiTheme="majorHAnsi" w:hAnsiTheme="majorHAnsi" w:cstheme="majorHAnsi"/>
                <w:color w:val="000000"/>
                <w:lang w:val="cs-CZ"/>
              </w:rPr>
              <w:t>ROPID</w:t>
            </w:r>
          </w:p>
        </w:tc>
      </w:tr>
      <w:tr w:rsidR="00812AAD" w:rsidRPr="006070EA" w14:paraId="141F3439" w14:textId="77777777" w:rsidTr="00AE3B5C">
        <w:trPr>
          <w:trHeight w:val="283"/>
          <w:jc w:val="center"/>
        </w:trPr>
        <w:tc>
          <w:tcPr>
            <w:tcW w:w="953" w:type="dxa"/>
            <w:shd w:val="clear" w:color="auto" w:fill="auto"/>
            <w:vAlign w:val="center"/>
          </w:tcPr>
          <w:p w14:paraId="7E335A40" w14:textId="77777777" w:rsidR="00812AAD" w:rsidRPr="006070EA" w:rsidRDefault="00812AAD" w:rsidP="00AE3B5C">
            <w:pPr>
              <w:pStyle w:val="Bezmezer"/>
              <w:jc w:val="center"/>
              <w:rPr>
                <w:rFonts w:asciiTheme="majorHAnsi" w:hAnsiTheme="majorHAnsi" w:cstheme="majorHAnsi"/>
                <w:color w:val="000000"/>
                <w:lang w:val="cs-CZ"/>
              </w:rPr>
            </w:pPr>
            <w:r w:rsidRPr="006070EA">
              <w:rPr>
                <w:rFonts w:asciiTheme="majorHAnsi" w:hAnsiTheme="majorHAnsi" w:cstheme="majorHAnsi"/>
                <w:color w:val="000000"/>
                <w:lang w:val="cs-CZ"/>
              </w:rPr>
              <w:t>480</w:t>
            </w:r>
          </w:p>
        </w:tc>
        <w:tc>
          <w:tcPr>
            <w:tcW w:w="5660" w:type="dxa"/>
            <w:shd w:val="clear" w:color="auto" w:fill="auto"/>
            <w:vAlign w:val="center"/>
          </w:tcPr>
          <w:p w14:paraId="131A4B54" w14:textId="77777777" w:rsidR="00812AAD" w:rsidRPr="006070EA" w:rsidRDefault="00812AAD" w:rsidP="00AE3B5C">
            <w:pPr>
              <w:pStyle w:val="Bezmezer"/>
              <w:jc w:val="center"/>
              <w:rPr>
                <w:rFonts w:asciiTheme="majorHAnsi" w:hAnsiTheme="majorHAnsi" w:cstheme="majorHAnsi"/>
                <w:color w:val="000000"/>
                <w:lang w:val="cs-CZ"/>
              </w:rPr>
            </w:pPr>
            <w:r w:rsidRPr="006070EA">
              <w:rPr>
                <w:rFonts w:asciiTheme="majorHAnsi" w:hAnsiTheme="majorHAnsi" w:cstheme="majorHAnsi"/>
                <w:color w:val="000000"/>
                <w:lang w:val="cs-CZ"/>
              </w:rPr>
              <w:t>Kostomlaty nad Labem, prodejna - Kostomlaty nad Labem – Kostomalty nad Labem, Rozkoš – Lysá nad Labem, žel.st.</w:t>
            </w:r>
          </w:p>
        </w:tc>
        <w:tc>
          <w:tcPr>
            <w:tcW w:w="2391" w:type="dxa"/>
            <w:shd w:val="clear" w:color="auto" w:fill="auto"/>
            <w:vAlign w:val="center"/>
          </w:tcPr>
          <w:p w14:paraId="72C89594" w14:textId="77777777" w:rsidR="00812AAD" w:rsidRPr="006070EA" w:rsidRDefault="00812AAD" w:rsidP="00AE3B5C">
            <w:pPr>
              <w:pStyle w:val="Bezmezer"/>
              <w:jc w:val="center"/>
              <w:rPr>
                <w:rFonts w:asciiTheme="majorHAnsi" w:hAnsiTheme="majorHAnsi" w:cstheme="majorHAnsi"/>
                <w:color w:val="000000"/>
                <w:lang w:val="cs-CZ"/>
              </w:rPr>
            </w:pPr>
            <w:r w:rsidRPr="006070EA">
              <w:rPr>
                <w:rFonts w:asciiTheme="majorHAnsi" w:hAnsiTheme="majorHAnsi" w:cstheme="majorHAnsi"/>
                <w:color w:val="000000"/>
                <w:lang w:val="cs-CZ"/>
              </w:rPr>
              <w:t>ROPID</w:t>
            </w:r>
          </w:p>
        </w:tc>
      </w:tr>
    </w:tbl>
    <w:p w14:paraId="3A92BA5E" w14:textId="6ACD82C6" w:rsidR="00812AAD" w:rsidRPr="006070EA" w:rsidRDefault="00812AAD" w:rsidP="00812AAD">
      <w:pPr>
        <w:pStyle w:val="Atext"/>
        <w:rPr>
          <w:rFonts w:asciiTheme="majorHAnsi" w:hAnsiTheme="majorHAnsi" w:cstheme="majorHAnsi"/>
          <w:color w:val="000000"/>
        </w:rPr>
      </w:pPr>
      <w:r w:rsidRPr="006070EA">
        <w:rPr>
          <w:rFonts w:asciiTheme="majorHAnsi" w:hAnsiTheme="majorHAnsi" w:cstheme="majorHAnsi"/>
          <w:color w:val="000000"/>
        </w:rPr>
        <w:t xml:space="preserve">Počet realizovaných spojů autobusové dopravy je 10 v běžném pracovním dni. Frekvence autobusových spojů v Kostomlatech nad Labem je nepravidelná, v brzkých ranních hodinách činí 1 spoj, v ranní špičce 2 spoje po hodině, dále 1 dopolední spoj, a zbylé spoje jsou časově situovány převážně během poledne a brzkého odpoledne. </w:t>
      </w:r>
      <w:r w:rsidR="00AE3B5C" w:rsidRPr="006070EA">
        <w:rPr>
          <w:rFonts w:asciiTheme="majorHAnsi" w:hAnsiTheme="majorHAnsi" w:cstheme="majorHAnsi"/>
          <w:color w:val="000000"/>
        </w:rPr>
        <w:t xml:space="preserve">Nedostatečné jsou </w:t>
      </w:r>
      <w:r w:rsidRPr="006070EA">
        <w:rPr>
          <w:rFonts w:asciiTheme="majorHAnsi" w:hAnsiTheme="majorHAnsi" w:cstheme="majorHAnsi"/>
          <w:color w:val="000000"/>
        </w:rPr>
        <w:t>spoj</w:t>
      </w:r>
      <w:r w:rsidR="00AE3B5C" w:rsidRPr="006070EA">
        <w:rPr>
          <w:rFonts w:asciiTheme="majorHAnsi" w:hAnsiTheme="majorHAnsi" w:cstheme="majorHAnsi"/>
          <w:color w:val="000000"/>
        </w:rPr>
        <w:t>e</w:t>
      </w:r>
      <w:r w:rsidRPr="006070EA">
        <w:rPr>
          <w:rFonts w:asciiTheme="majorHAnsi" w:hAnsiTheme="majorHAnsi" w:cstheme="majorHAnsi"/>
          <w:color w:val="000000"/>
        </w:rPr>
        <w:t xml:space="preserve"> po 17</w:t>
      </w:r>
      <w:r w:rsidR="00AE3B5C" w:rsidRPr="006070EA">
        <w:rPr>
          <w:rFonts w:asciiTheme="majorHAnsi" w:hAnsiTheme="majorHAnsi" w:cstheme="majorHAnsi"/>
          <w:color w:val="000000"/>
        </w:rPr>
        <w:t>.</w:t>
      </w:r>
      <w:r w:rsidRPr="006070EA">
        <w:rPr>
          <w:rFonts w:asciiTheme="majorHAnsi" w:hAnsiTheme="majorHAnsi" w:cstheme="majorHAnsi"/>
          <w:color w:val="000000"/>
        </w:rPr>
        <w:t xml:space="preserve"> hodině. Nejhůře je autobusovou dopravou dostupná sídelní část Rozkoš, kde chybí spoj v ranní špičce.</w:t>
      </w:r>
    </w:p>
    <w:p w14:paraId="2A0481D7" w14:textId="29763704" w:rsidR="00812AAD" w:rsidRPr="006070EA" w:rsidRDefault="00812AAD" w:rsidP="00812AAD">
      <w:pPr>
        <w:pStyle w:val="Atext"/>
        <w:rPr>
          <w:rFonts w:asciiTheme="majorHAnsi" w:hAnsiTheme="majorHAnsi" w:cstheme="majorHAnsi"/>
          <w:color w:val="000000"/>
        </w:rPr>
      </w:pPr>
      <w:r w:rsidRPr="006070EA">
        <w:rPr>
          <w:rFonts w:asciiTheme="majorHAnsi" w:hAnsiTheme="majorHAnsi" w:cstheme="majorHAnsi"/>
          <w:color w:val="000000"/>
        </w:rPr>
        <w:t>V řešeném území je provozováno celkem 7 autobusových zastávek: Kostomlaty nad Labem, prodejna</w:t>
      </w:r>
      <w:r w:rsidR="00AE3B5C" w:rsidRPr="006070EA">
        <w:rPr>
          <w:rFonts w:asciiTheme="majorHAnsi" w:hAnsiTheme="majorHAnsi" w:cstheme="majorHAnsi"/>
          <w:color w:val="000000"/>
        </w:rPr>
        <w:t>;</w:t>
      </w:r>
      <w:r w:rsidRPr="006070EA">
        <w:rPr>
          <w:rFonts w:asciiTheme="majorHAnsi" w:hAnsiTheme="majorHAnsi" w:cstheme="majorHAnsi"/>
          <w:color w:val="000000"/>
        </w:rPr>
        <w:t xml:space="preserve"> Kostomlaty nad Labem</w:t>
      </w:r>
      <w:r w:rsidR="00AE3B5C" w:rsidRPr="006070EA">
        <w:rPr>
          <w:rFonts w:asciiTheme="majorHAnsi" w:hAnsiTheme="majorHAnsi" w:cstheme="majorHAnsi"/>
          <w:color w:val="000000"/>
        </w:rPr>
        <w:t xml:space="preserve">; </w:t>
      </w:r>
      <w:r w:rsidRPr="006070EA">
        <w:rPr>
          <w:rFonts w:asciiTheme="majorHAnsi" w:hAnsiTheme="majorHAnsi" w:cstheme="majorHAnsi"/>
          <w:color w:val="000000"/>
        </w:rPr>
        <w:t>Kostomlaty nad Labem, Lány</w:t>
      </w:r>
      <w:r w:rsidR="00AE3B5C" w:rsidRPr="006070EA">
        <w:rPr>
          <w:rFonts w:asciiTheme="majorHAnsi" w:hAnsiTheme="majorHAnsi" w:cstheme="majorHAnsi"/>
          <w:color w:val="000000"/>
        </w:rPr>
        <w:t xml:space="preserve">; </w:t>
      </w:r>
      <w:r w:rsidRPr="006070EA">
        <w:rPr>
          <w:rFonts w:asciiTheme="majorHAnsi" w:hAnsiTheme="majorHAnsi" w:cstheme="majorHAnsi"/>
          <w:color w:val="000000"/>
        </w:rPr>
        <w:t>Kostomlaty nad Labem, rozc. k</w:t>
      </w:r>
      <w:r w:rsidR="00AE3B5C" w:rsidRPr="006070EA">
        <w:rPr>
          <w:rFonts w:asciiTheme="majorHAnsi" w:hAnsiTheme="majorHAnsi" w:cstheme="majorHAnsi"/>
          <w:color w:val="000000"/>
        </w:rPr>
        <w:t> </w:t>
      </w:r>
      <w:r w:rsidRPr="006070EA">
        <w:rPr>
          <w:rFonts w:asciiTheme="majorHAnsi" w:hAnsiTheme="majorHAnsi" w:cstheme="majorHAnsi"/>
          <w:color w:val="000000"/>
        </w:rPr>
        <w:t>Šibicům</w:t>
      </w:r>
      <w:r w:rsidR="00AE3B5C" w:rsidRPr="006070EA">
        <w:rPr>
          <w:rFonts w:asciiTheme="majorHAnsi" w:hAnsiTheme="majorHAnsi" w:cstheme="majorHAnsi"/>
          <w:color w:val="000000"/>
        </w:rPr>
        <w:t>;</w:t>
      </w:r>
      <w:r w:rsidRPr="006070EA">
        <w:rPr>
          <w:rFonts w:asciiTheme="majorHAnsi" w:hAnsiTheme="majorHAnsi" w:cstheme="majorHAnsi"/>
          <w:color w:val="000000"/>
        </w:rPr>
        <w:t xml:space="preserve"> Kostomlaty nad Labem, Hronětice</w:t>
      </w:r>
      <w:r w:rsidR="00AE3B5C" w:rsidRPr="006070EA">
        <w:rPr>
          <w:rFonts w:asciiTheme="majorHAnsi" w:hAnsiTheme="majorHAnsi" w:cstheme="majorHAnsi"/>
          <w:color w:val="000000"/>
        </w:rPr>
        <w:t>;</w:t>
      </w:r>
      <w:r w:rsidRPr="006070EA">
        <w:rPr>
          <w:rFonts w:asciiTheme="majorHAnsi" w:hAnsiTheme="majorHAnsi" w:cstheme="majorHAnsi"/>
          <w:color w:val="000000"/>
        </w:rPr>
        <w:t xml:space="preserve"> Kostomlaty nad Labem, Vápensko</w:t>
      </w:r>
      <w:r w:rsidR="00AE3B5C" w:rsidRPr="006070EA">
        <w:rPr>
          <w:rFonts w:asciiTheme="majorHAnsi" w:hAnsiTheme="majorHAnsi" w:cstheme="majorHAnsi"/>
          <w:color w:val="000000"/>
        </w:rPr>
        <w:t>;</w:t>
      </w:r>
      <w:r w:rsidRPr="006070EA">
        <w:rPr>
          <w:rFonts w:asciiTheme="majorHAnsi" w:hAnsiTheme="majorHAnsi" w:cstheme="majorHAnsi"/>
          <w:color w:val="000000"/>
        </w:rPr>
        <w:t xml:space="preserve"> Kostomlaty nad Labem, Rozkoš</w:t>
      </w:r>
      <w:r w:rsidR="00AE3B5C" w:rsidRPr="006070EA">
        <w:rPr>
          <w:rFonts w:asciiTheme="majorHAnsi" w:hAnsiTheme="majorHAnsi" w:cstheme="majorHAnsi"/>
          <w:color w:val="000000"/>
        </w:rPr>
        <w:t>.</w:t>
      </w:r>
    </w:p>
    <w:p w14:paraId="09F5D8D8" w14:textId="311E0B0F" w:rsidR="00812AAD" w:rsidRPr="006070EA" w:rsidRDefault="00812AAD" w:rsidP="00812AAD">
      <w:pPr>
        <w:pStyle w:val="Atext"/>
        <w:rPr>
          <w:rFonts w:asciiTheme="majorHAnsi" w:hAnsiTheme="majorHAnsi" w:cstheme="majorHAnsi"/>
          <w:color w:val="000000"/>
        </w:rPr>
      </w:pPr>
      <w:r w:rsidRPr="006070EA">
        <w:rPr>
          <w:rFonts w:asciiTheme="majorHAnsi" w:hAnsiTheme="majorHAnsi" w:cstheme="majorHAnsi"/>
          <w:color w:val="000000"/>
        </w:rPr>
        <w:t>Z polohy jednotlivých zastávek vyplývá, že všechny sídla jsou obsloužena veřejnou autobusovou dopravou. Docházkové vzdálenosti k jednotlivým zastávkám z uvedených sídel jsou vyhovující.</w:t>
      </w:r>
    </w:p>
    <w:p w14:paraId="21CBB760" w14:textId="77777777" w:rsidR="00AE3B5C" w:rsidRPr="006070EA" w:rsidRDefault="00AE3B5C" w:rsidP="00AE3B5C">
      <w:pPr>
        <w:pStyle w:val="Atext"/>
        <w:rPr>
          <w:rFonts w:asciiTheme="majorHAnsi" w:hAnsiTheme="majorHAnsi" w:cstheme="majorHAnsi"/>
          <w:color w:val="000000"/>
        </w:rPr>
      </w:pPr>
      <w:r w:rsidRPr="006070EA">
        <w:rPr>
          <w:rFonts w:asciiTheme="majorHAnsi" w:hAnsiTheme="majorHAnsi" w:cstheme="majorHAnsi"/>
          <w:color w:val="000000"/>
        </w:rPr>
        <w:t>Železniční doprava a její dostupnost v řešeném území je popásána v předchozím oddílu této kapitoly odůvodnění.</w:t>
      </w:r>
    </w:p>
    <w:p w14:paraId="1E510665" w14:textId="77777777" w:rsidR="00BC10CF" w:rsidRPr="006070EA" w:rsidRDefault="00BC10CF" w:rsidP="009E07E1">
      <w:pPr>
        <w:pStyle w:val="Anadpistun"/>
        <w:rPr>
          <w:rFonts w:asciiTheme="majorHAnsi" w:hAnsiTheme="majorHAnsi" w:cstheme="majorHAnsi"/>
        </w:rPr>
      </w:pPr>
      <w:r w:rsidRPr="006070EA">
        <w:rPr>
          <w:rFonts w:asciiTheme="majorHAnsi" w:hAnsiTheme="majorHAnsi" w:cstheme="majorHAnsi"/>
        </w:rPr>
        <w:t xml:space="preserve">Odůvodnění navrhovaného řešení </w:t>
      </w:r>
    </w:p>
    <w:p w14:paraId="590ADDDE" w14:textId="7009980A" w:rsidR="00AE3B5C" w:rsidRPr="006070EA" w:rsidRDefault="00AE3B5C" w:rsidP="00AE3B5C">
      <w:pPr>
        <w:pStyle w:val="Atext"/>
        <w:rPr>
          <w:rFonts w:asciiTheme="majorHAnsi" w:hAnsiTheme="majorHAnsi" w:cstheme="majorHAnsi"/>
        </w:rPr>
      </w:pPr>
      <w:r w:rsidRPr="006070EA">
        <w:rPr>
          <w:rFonts w:asciiTheme="majorHAnsi" w:hAnsiTheme="majorHAnsi" w:cstheme="majorHAnsi"/>
        </w:rPr>
        <w:t xml:space="preserve">Veřejná hromadná doprava osob je na území obce zajišťována autobusovou a drážní (železniční) dopravou. Pro ochranu a rozvoj provozu veřejné hromadné dopravy jsou vymezeny plochy dopravní infrastruktury v souladu s § 9, odst. 2, vyhlášky č. 501/2006 Sb., ve znění pozdějších předpisů a dále plochy veřejných prostranství v souladu s § 7, odst. 2, vyhlášky č. 501/2006 Sb., ve znění pozdějších předpisů, konkrétně se jedná o plochy </w:t>
      </w:r>
      <w:r w:rsidR="00E82842" w:rsidRPr="006070EA">
        <w:rPr>
          <w:rFonts w:asciiTheme="majorHAnsi" w:hAnsiTheme="majorHAnsi" w:cstheme="majorHAnsi"/>
        </w:rPr>
        <w:t>dopravy</w:t>
      </w:r>
      <w:r w:rsidRPr="006070EA">
        <w:rPr>
          <w:rFonts w:asciiTheme="majorHAnsi" w:hAnsiTheme="majorHAnsi" w:cstheme="majorHAnsi"/>
        </w:rPr>
        <w:t xml:space="preserve"> silniční (DS), </w:t>
      </w:r>
      <w:r w:rsidR="00E82842" w:rsidRPr="006070EA">
        <w:rPr>
          <w:rFonts w:asciiTheme="majorHAnsi" w:hAnsiTheme="majorHAnsi" w:cstheme="majorHAnsi"/>
        </w:rPr>
        <w:t>dopravy drážní</w:t>
      </w:r>
      <w:r w:rsidRPr="006070EA">
        <w:rPr>
          <w:rFonts w:asciiTheme="majorHAnsi" w:hAnsiTheme="majorHAnsi" w:cstheme="majorHAnsi"/>
        </w:rPr>
        <w:t xml:space="preserve"> (D</w:t>
      </w:r>
      <w:r w:rsidR="00E82842" w:rsidRPr="006070EA">
        <w:rPr>
          <w:rFonts w:asciiTheme="majorHAnsi" w:hAnsiTheme="majorHAnsi" w:cstheme="majorHAnsi"/>
        </w:rPr>
        <w:t>D</w:t>
      </w:r>
      <w:r w:rsidRPr="006070EA">
        <w:rPr>
          <w:rFonts w:asciiTheme="majorHAnsi" w:hAnsiTheme="majorHAnsi" w:cstheme="majorHAnsi"/>
        </w:rPr>
        <w:t>) a</w:t>
      </w:r>
      <w:r w:rsidR="00E82842" w:rsidRPr="006070EA">
        <w:rPr>
          <w:rFonts w:asciiTheme="majorHAnsi" w:hAnsiTheme="majorHAnsi" w:cstheme="majorHAnsi"/>
        </w:rPr>
        <w:t> </w:t>
      </w:r>
      <w:r w:rsidRPr="006070EA">
        <w:rPr>
          <w:rFonts w:asciiTheme="majorHAnsi" w:hAnsiTheme="majorHAnsi" w:cstheme="majorHAnsi"/>
        </w:rPr>
        <w:t xml:space="preserve">veřejných prostranství </w:t>
      </w:r>
      <w:r w:rsidR="00E82842" w:rsidRPr="006070EA">
        <w:rPr>
          <w:rFonts w:asciiTheme="majorHAnsi" w:hAnsiTheme="majorHAnsi" w:cstheme="majorHAnsi"/>
        </w:rPr>
        <w:t xml:space="preserve">všeobecných </w:t>
      </w:r>
      <w:r w:rsidRPr="006070EA">
        <w:rPr>
          <w:rFonts w:asciiTheme="majorHAnsi" w:hAnsiTheme="majorHAnsi" w:cstheme="majorHAnsi"/>
        </w:rPr>
        <w:t>(P</w:t>
      </w:r>
      <w:r w:rsidR="00E82842" w:rsidRPr="006070EA">
        <w:rPr>
          <w:rFonts w:asciiTheme="majorHAnsi" w:hAnsiTheme="majorHAnsi" w:cstheme="majorHAnsi"/>
        </w:rPr>
        <w:t>U</w:t>
      </w:r>
      <w:r w:rsidRPr="006070EA">
        <w:rPr>
          <w:rFonts w:asciiTheme="majorHAnsi" w:hAnsiTheme="majorHAnsi" w:cstheme="majorHAnsi"/>
        </w:rPr>
        <w:t>).</w:t>
      </w:r>
    </w:p>
    <w:p w14:paraId="3058A7C6" w14:textId="42659AF3" w:rsidR="00BC10CF" w:rsidRPr="006070EA" w:rsidRDefault="00BC10CF" w:rsidP="009E07E1">
      <w:pPr>
        <w:pStyle w:val="Atext"/>
        <w:spacing w:before="60" w:after="60"/>
        <w:rPr>
          <w:rFonts w:asciiTheme="majorHAnsi" w:hAnsiTheme="majorHAnsi" w:cstheme="majorHAnsi"/>
        </w:rPr>
      </w:pPr>
      <w:r w:rsidRPr="006070EA">
        <w:rPr>
          <w:rFonts w:asciiTheme="majorHAnsi" w:hAnsiTheme="majorHAnsi" w:cstheme="majorHAnsi"/>
        </w:rPr>
        <w:t xml:space="preserve">Na podpoře veřejné dopravy panuje obecná společenská shoda. Její zkvalitňování může vést ve svém důsledku ke snížení podílu dopravy individuální na přepravních objemech. Pozitivní důsledky snížení podílu individuální dopravy jsou prokazatelné (pozitivní vliv na veřejné zdraví, pokles dopravních nehod apod.). </w:t>
      </w:r>
    </w:p>
    <w:p w14:paraId="54293484" w14:textId="03691EAE" w:rsidR="00795F2C" w:rsidRPr="006070EA" w:rsidRDefault="00BC10CF" w:rsidP="009E07E1">
      <w:pPr>
        <w:pStyle w:val="Norml"/>
        <w:spacing w:before="60" w:after="60"/>
        <w:ind w:firstLine="709"/>
        <w:rPr>
          <w:rFonts w:asciiTheme="majorHAnsi" w:hAnsiTheme="majorHAnsi" w:cstheme="majorHAnsi"/>
        </w:rPr>
      </w:pPr>
      <w:r w:rsidRPr="006070EA">
        <w:rPr>
          <w:rFonts w:asciiTheme="majorHAnsi" w:hAnsiTheme="majorHAnsi" w:cstheme="majorHAnsi"/>
        </w:rPr>
        <w:t xml:space="preserve">Docházkové vzdálenosti k </w:t>
      </w:r>
      <w:r w:rsidR="00EE4D29" w:rsidRPr="006070EA">
        <w:rPr>
          <w:rFonts w:asciiTheme="majorHAnsi" w:hAnsiTheme="majorHAnsi" w:cstheme="majorHAnsi"/>
        </w:rPr>
        <w:t>zastávkám</w:t>
      </w:r>
      <w:r w:rsidRPr="006070EA">
        <w:rPr>
          <w:rFonts w:asciiTheme="majorHAnsi" w:hAnsiTheme="majorHAnsi" w:cstheme="majorHAnsi"/>
        </w:rPr>
        <w:t xml:space="preserve"> veřejné autobusové dopravy jsou s ohledem na místní podmínky vyhovující, vzhledem k požadavkům normy ČSN 73 6425-1 </w:t>
      </w:r>
      <w:r w:rsidR="00EE4D29" w:rsidRPr="006070EA">
        <w:rPr>
          <w:rFonts w:asciiTheme="majorHAnsi" w:hAnsiTheme="majorHAnsi" w:cstheme="majorHAnsi"/>
        </w:rPr>
        <w:t>(</w:t>
      </w:r>
      <w:r w:rsidRPr="006070EA">
        <w:rPr>
          <w:rFonts w:asciiTheme="majorHAnsi" w:hAnsiTheme="majorHAnsi" w:cstheme="majorHAnsi"/>
        </w:rPr>
        <w:t>maximální docházková vzdálenost 500 m</w:t>
      </w:r>
      <w:r w:rsidR="00EE4D29" w:rsidRPr="006070EA">
        <w:rPr>
          <w:rFonts w:asciiTheme="majorHAnsi" w:hAnsiTheme="majorHAnsi" w:cstheme="majorHAnsi"/>
        </w:rPr>
        <w:t>)</w:t>
      </w:r>
      <w:r w:rsidRPr="006070EA">
        <w:rPr>
          <w:rFonts w:asciiTheme="majorHAnsi" w:hAnsiTheme="majorHAnsi" w:cstheme="majorHAnsi"/>
        </w:rPr>
        <w:t xml:space="preserve">. Realizace nových zastávek autobusové hromadné dopravy je obecně umožněna zejména v plochách </w:t>
      </w:r>
      <w:r w:rsidR="00E82842" w:rsidRPr="006070EA">
        <w:rPr>
          <w:rFonts w:asciiTheme="majorHAnsi" w:hAnsiTheme="majorHAnsi" w:cstheme="majorHAnsi"/>
        </w:rPr>
        <w:t>dopravy</w:t>
      </w:r>
      <w:r w:rsidRPr="006070EA">
        <w:rPr>
          <w:rFonts w:asciiTheme="majorHAnsi" w:hAnsiTheme="majorHAnsi" w:cstheme="majorHAnsi"/>
        </w:rPr>
        <w:t xml:space="preserve"> silniční (DS) a v plochách veřejných prostranství </w:t>
      </w:r>
      <w:r w:rsidR="00E82842" w:rsidRPr="006070EA">
        <w:rPr>
          <w:rFonts w:asciiTheme="majorHAnsi" w:hAnsiTheme="majorHAnsi" w:cstheme="majorHAnsi"/>
        </w:rPr>
        <w:t xml:space="preserve">všeobecných </w:t>
      </w:r>
      <w:r w:rsidRPr="006070EA">
        <w:rPr>
          <w:rFonts w:asciiTheme="majorHAnsi" w:hAnsiTheme="majorHAnsi" w:cstheme="majorHAnsi"/>
        </w:rPr>
        <w:t>(PV).</w:t>
      </w:r>
      <w:r w:rsidR="00EE4D29" w:rsidRPr="006070EA">
        <w:rPr>
          <w:rFonts w:asciiTheme="majorHAnsi" w:hAnsiTheme="majorHAnsi" w:cstheme="majorHAnsi"/>
        </w:rPr>
        <w:t xml:space="preserve"> </w:t>
      </w:r>
    </w:p>
    <w:p w14:paraId="26886A00" w14:textId="654F8219" w:rsidR="008E0348" w:rsidRPr="006070EA" w:rsidRDefault="0031381C" w:rsidP="009E07E1">
      <w:pPr>
        <w:pStyle w:val="Norml"/>
        <w:spacing w:before="60" w:after="60"/>
        <w:ind w:firstLine="709"/>
        <w:rPr>
          <w:rFonts w:asciiTheme="majorHAnsi" w:hAnsiTheme="majorHAnsi" w:cstheme="majorHAnsi"/>
        </w:rPr>
      </w:pPr>
      <w:r w:rsidRPr="006070EA">
        <w:rPr>
          <w:rFonts w:asciiTheme="majorHAnsi" w:hAnsiTheme="majorHAnsi" w:cstheme="majorHAnsi"/>
        </w:rPr>
        <w:t xml:space="preserve">V obci je provozována železniční stanice na trati č. </w:t>
      </w:r>
      <w:r w:rsidR="008E0348" w:rsidRPr="006070EA">
        <w:rPr>
          <w:rFonts w:asciiTheme="majorHAnsi" w:hAnsiTheme="majorHAnsi" w:cstheme="majorHAnsi"/>
        </w:rPr>
        <w:t>231</w:t>
      </w:r>
      <w:r w:rsidRPr="006070EA">
        <w:rPr>
          <w:rFonts w:asciiTheme="majorHAnsi" w:hAnsiTheme="majorHAnsi" w:cstheme="majorHAnsi"/>
        </w:rPr>
        <w:t xml:space="preserve">, která je dostupná </w:t>
      </w:r>
      <w:r w:rsidR="008E0348" w:rsidRPr="006070EA">
        <w:rPr>
          <w:rFonts w:asciiTheme="majorHAnsi" w:hAnsiTheme="majorHAnsi" w:cstheme="majorHAnsi"/>
        </w:rPr>
        <w:t>zejména v sídlech Kostomlaty nad Labem a</w:t>
      </w:r>
      <w:r w:rsidR="00E82842" w:rsidRPr="006070EA">
        <w:rPr>
          <w:rFonts w:asciiTheme="majorHAnsi" w:hAnsiTheme="majorHAnsi" w:cstheme="majorHAnsi"/>
        </w:rPr>
        <w:t> </w:t>
      </w:r>
      <w:r w:rsidR="008E0348" w:rsidRPr="006070EA">
        <w:rPr>
          <w:rFonts w:asciiTheme="majorHAnsi" w:hAnsiTheme="majorHAnsi" w:cstheme="majorHAnsi"/>
        </w:rPr>
        <w:t>Lány (v jižní části)</w:t>
      </w:r>
      <w:r w:rsidRPr="006070EA">
        <w:rPr>
          <w:rFonts w:asciiTheme="majorHAnsi" w:hAnsiTheme="majorHAnsi" w:cstheme="majorHAnsi"/>
        </w:rPr>
        <w:t xml:space="preserve">. </w:t>
      </w:r>
      <w:r w:rsidR="008E0348" w:rsidRPr="006070EA">
        <w:rPr>
          <w:rFonts w:asciiTheme="majorHAnsi" w:hAnsiTheme="majorHAnsi" w:cstheme="majorHAnsi"/>
        </w:rPr>
        <w:t>Pro ostatní sídla v řešeném území je smysluplné pro dopravu k železniční stanici využít individuální dopravu. Snahou územního plánu je rozvoj veřejné hromadné dopravy koncipovat jako integrovaný systém při vzájemném propojení všech dostupných složek (autobusová doprava, kolejová doprava, zvláštní typy přepravy a další).</w:t>
      </w:r>
    </w:p>
    <w:p w14:paraId="18E8F716" w14:textId="77777777" w:rsidR="00AB1F4C" w:rsidRPr="006070EA" w:rsidRDefault="003B52C0" w:rsidP="009E07E1">
      <w:pPr>
        <w:keepNext/>
        <w:shd w:val="clear" w:color="auto" w:fill="F2F2F2" w:themeFill="background1" w:themeFillShade="F2"/>
        <w:spacing w:before="120" w:after="120" w:line="240" w:lineRule="auto"/>
        <w:rPr>
          <w:rFonts w:asciiTheme="majorHAnsi" w:hAnsiTheme="majorHAnsi" w:cstheme="majorHAnsi"/>
          <w:b/>
          <w:sz w:val="20"/>
        </w:rPr>
      </w:pPr>
      <w:r w:rsidRPr="006070EA">
        <w:rPr>
          <w:rFonts w:asciiTheme="majorHAnsi" w:hAnsiTheme="majorHAnsi" w:cstheme="majorHAnsi"/>
          <w:b/>
          <w:sz w:val="20"/>
        </w:rPr>
        <w:t>Bezmotorová doprava – pěší, cyklistická doprava</w:t>
      </w:r>
    </w:p>
    <w:p w14:paraId="3C5BC196" w14:textId="07E67D9E" w:rsidR="00121854" w:rsidRPr="006070EA" w:rsidRDefault="00121854" w:rsidP="009E07E1">
      <w:pPr>
        <w:pStyle w:val="Atext"/>
        <w:keepNext/>
        <w:ind w:firstLine="0"/>
        <w:jc w:val="right"/>
        <w:rPr>
          <w:rFonts w:asciiTheme="majorHAnsi" w:hAnsiTheme="majorHAnsi" w:cstheme="majorHAnsi"/>
          <w:i/>
          <w:snapToGrid w:val="0"/>
          <w:u w:val="single"/>
        </w:rPr>
      </w:pPr>
      <w:r w:rsidRPr="006070EA">
        <w:rPr>
          <w:rFonts w:asciiTheme="majorHAnsi" w:hAnsiTheme="majorHAnsi" w:cstheme="majorHAnsi"/>
          <w:i/>
          <w:snapToGrid w:val="0"/>
          <w:u w:val="single"/>
        </w:rPr>
        <w:t xml:space="preserve">Odůvodnění odst. </w:t>
      </w:r>
      <w:r w:rsidRPr="006070EA">
        <w:rPr>
          <w:rFonts w:asciiTheme="majorHAnsi" w:hAnsiTheme="majorHAnsi" w:cstheme="majorHAnsi"/>
          <w:b/>
          <w:i/>
          <w:snapToGrid w:val="0"/>
          <w:u w:val="single"/>
        </w:rPr>
        <w:t>(</w:t>
      </w:r>
      <w:r w:rsidR="00B41BC9" w:rsidRPr="006070EA">
        <w:rPr>
          <w:rFonts w:asciiTheme="majorHAnsi" w:hAnsiTheme="majorHAnsi" w:cstheme="majorHAnsi"/>
          <w:b/>
          <w:i/>
          <w:snapToGrid w:val="0"/>
          <w:u w:val="single"/>
        </w:rPr>
        <w:t>2</w:t>
      </w:r>
      <w:r w:rsidR="007F6EAE">
        <w:rPr>
          <w:rFonts w:asciiTheme="majorHAnsi" w:hAnsiTheme="majorHAnsi" w:cstheme="majorHAnsi"/>
          <w:b/>
          <w:i/>
          <w:snapToGrid w:val="0"/>
          <w:u w:val="single"/>
        </w:rPr>
        <w:t>7</w:t>
      </w:r>
      <w:r w:rsidRPr="006070EA">
        <w:rPr>
          <w:rFonts w:asciiTheme="majorHAnsi" w:hAnsiTheme="majorHAnsi" w:cstheme="majorHAnsi"/>
          <w:b/>
          <w:i/>
          <w:snapToGrid w:val="0"/>
          <w:u w:val="single"/>
        </w:rPr>
        <w:t xml:space="preserve">) </w:t>
      </w:r>
      <w:r w:rsidRPr="006070EA">
        <w:rPr>
          <w:rFonts w:asciiTheme="majorHAnsi" w:hAnsiTheme="majorHAnsi" w:cstheme="majorHAnsi"/>
          <w:i/>
          <w:snapToGrid w:val="0"/>
          <w:u w:val="single"/>
        </w:rPr>
        <w:t>výrokové části</w:t>
      </w:r>
    </w:p>
    <w:p w14:paraId="271E72FB" w14:textId="77777777" w:rsidR="00EE4D29" w:rsidRPr="006070EA" w:rsidRDefault="00EE4D29" w:rsidP="009E07E1">
      <w:pPr>
        <w:pStyle w:val="Anadpispodtren"/>
        <w:rPr>
          <w:rFonts w:asciiTheme="majorHAnsi" w:hAnsiTheme="majorHAnsi" w:cstheme="majorHAnsi"/>
          <w:b/>
          <w:u w:val="none"/>
        </w:rPr>
      </w:pPr>
      <w:r w:rsidRPr="006070EA">
        <w:rPr>
          <w:rFonts w:asciiTheme="majorHAnsi" w:hAnsiTheme="majorHAnsi" w:cstheme="majorHAnsi"/>
          <w:b/>
          <w:u w:val="none"/>
        </w:rPr>
        <w:t>Popis stávající situace</w:t>
      </w:r>
    </w:p>
    <w:p w14:paraId="562DD8B4" w14:textId="77777777" w:rsidR="00AB1F4C" w:rsidRPr="006070EA" w:rsidRDefault="00AB1F4C" w:rsidP="009E07E1">
      <w:pPr>
        <w:spacing w:after="60" w:line="240" w:lineRule="auto"/>
        <w:jc w:val="both"/>
        <w:rPr>
          <w:rFonts w:asciiTheme="majorHAnsi" w:hAnsiTheme="majorHAnsi" w:cstheme="majorHAnsi"/>
          <w:sz w:val="18"/>
          <w:u w:val="single"/>
        </w:rPr>
      </w:pPr>
      <w:r w:rsidRPr="006070EA">
        <w:rPr>
          <w:rFonts w:asciiTheme="majorHAnsi" w:hAnsiTheme="majorHAnsi" w:cstheme="majorHAnsi"/>
          <w:sz w:val="18"/>
          <w:u w:val="single"/>
        </w:rPr>
        <w:t>Komunikace pro pěší</w:t>
      </w:r>
    </w:p>
    <w:p w14:paraId="35FBFC1F" w14:textId="77777777" w:rsidR="00DD2F3D" w:rsidRPr="006070EA" w:rsidRDefault="00DD2F3D" w:rsidP="00DD2F3D">
      <w:pPr>
        <w:pStyle w:val="Atext"/>
        <w:rPr>
          <w:rFonts w:asciiTheme="majorHAnsi" w:hAnsiTheme="majorHAnsi" w:cstheme="majorHAnsi"/>
        </w:rPr>
      </w:pPr>
      <w:r w:rsidRPr="006070EA">
        <w:rPr>
          <w:rFonts w:asciiTheme="majorHAnsi" w:hAnsiTheme="majorHAnsi" w:cstheme="majorHAnsi"/>
        </w:rPr>
        <w:t xml:space="preserve">Pro potřeby pěší dopravy jsou využívány úseky místních komunikací v zastavěném území s nízkými intenzitami dopravy. V centrální části Kostomlat nad Labem jsou komunikace doplněny chodníky. Ze sídel zpravidla vedou pěší, účelové komunikace a cesty směrem do volné krajiny, tuto síť by však bylo vhodné doplnit a stabilizovat. S tím souvisí i rozvoj rekreace v území, zejména turistiky a cyklistiky. </w:t>
      </w:r>
    </w:p>
    <w:p w14:paraId="2EBA8A36" w14:textId="77777777" w:rsidR="00AB1F4C" w:rsidRPr="006070EA" w:rsidRDefault="00AB1F4C" w:rsidP="00E82842">
      <w:pPr>
        <w:keepNext/>
        <w:spacing w:before="120" w:after="60" w:line="240" w:lineRule="auto"/>
        <w:jc w:val="both"/>
        <w:rPr>
          <w:rFonts w:asciiTheme="majorHAnsi" w:hAnsiTheme="majorHAnsi" w:cstheme="majorHAnsi"/>
          <w:sz w:val="18"/>
          <w:u w:val="single"/>
        </w:rPr>
      </w:pPr>
      <w:r w:rsidRPr="006070EA">
        <w:rPr>
          <w:rFonts w:asciiTheme="majorHAnsi" w:hAnsiTheme="majorHAnsi" w:cstheme="majorHAnsi"/>
          <w:sz w:val="18"/>
          <w:u w:val="single"/>
        </w:rPr>
        <w:lastRenderedPageBreak/>
        <w:t>Turistické a cyklistické trasy</w:t>
      </w:r>
    </w:p>
    <w:p w14:paraId="7BB96488" w14:textId="77777777" w:rsidR="00812AAD" w:rsidRPr="006070EA" w:rsidRDefault="00812AAD" w:rsidP="00E82842">
      <w:pPr>
        <w:pStyle w:val="Atext"/>
        <w:keepNext/>
        <w:rPr>
          <w:rFonts w:asciiTheme="majorHAnsi" w:hAnsiTheme="majorHAnsi" w:cstheme="majorHAnsi"/>
        </w:rPr>
      </w:pPr>
      <w:r w:rsidRPr="006070EA">
        <w:rPr>
          <w:rFonts w:asciiTheme="majorHAnsi" w:hAnsiTheme="majorHAnsi" w:cstheme="majorHAnsi"/>
        </w:rPr>
        <w:t>Řešeným územím prochází následující značené turistické trasy:</w:t>
      </w:r>
    </w:p>
    <w:p w14:paraId="1252C259" w14:textId="77ABB875" w:rsidR="00812AAD" w:rsidRPr="006070EA" w:rsidRDefault="00812AAD" w:rsidP="00E82842">
      <w:pPr>
        <w:pStyle w:val="Atext"/>
        <w:keepNext/>
        <w:ind w:left="2835" w:hanging="2126"/>
        <w:rPr>
          <w:rFonts w:asciiTheme="majorHAnsi" w:hAnsiTheme="majorHAnsi" w:cstheme="majorHAnsi"/>
        </w:rPr>
      </w:pPr>
      <w:r w:rsidRPr="006070EA">
        <w:rPr>
          <w:rFonts w:asciiTheme="majorHAnsi" w:hAnsiTheme="majorHAnsi" w:cstheme="majorHAnsi"/>
          <w:b/>
        </w:rPr>
        <w:t>žlutá turistická trasa:</w:t>
      </w:r>
      <w:r w:rsidRPr="006070EA">
        <w:rPr>
          <w:rFonts w:asciiTheme="majorHAnsi" w:hAnsiTheme="majorHAnsi" w:cstheme="majorHAnsi"/>
          <w:b/>
        </w:rPr>
        <w:tab/>
      </w:r>
      <w:r w:rsidRPr="006070EA">
        <w:rPr>
          <w:rFonts w:asciiTheme="majorHAnsi" w:hAnsiTheme="majorHAnsi" w:cstheme="majorHAnsi"/>
        </w:rPr>
        <w:t>Kostomlaty nad Labem, žel.st. – ústí řeky Vlkavy (3,3 km)</w:t>
      </w:r>
    </w:p>
    <w:p w14:paraId="0BF69D70" w14:textId="6E677A4B" w:rsidR="00812AAD" w:rsidRPr="006070EA" w:rsidRDefault="00812AAD" w:rsidP="00812AAD">
      <w:pPr>
        <w:pStyle w:val="Atext"/>
        <w:ind w:left="2835" w:hanging="2126"/>
        <w:rPr>
          <w:rFonts w:asciiTheme="majorHAnsi" w:hAnsiTheme="majorHAnsi" w:cstheme="majorHAnsi"/>
          <w:b/>
        </w:rPr>
      </w:pPr>
      <w:r w:rsidRPr="006070EA">
        <w:rPr>
          <w:rFonts w:asciiTheme="majorHAnsi" w:hAnsiTheme="majorHAnsi" w:cstheme="majorHAnsi"/>
          <w:b/>
        </w:rPr>
        <w:t>modrá turistická trasa:</w:t>
      </w:r>
      <w:r w:rsidRPr="006070EA">
        <w:rPr>
          <w:rFonts w:asciiTheme="majorHAnsi" w:hAnsiTheme="majorHAnsi" w:cstheme="majorHAnsi"/>
          <w:b/>
        </w:rPr>
        <w:tab/>
      </w:r>
      <w:r w:rsidRPr="006070EA">
        <w:rPr>
          <w:rFonts w:asciiTheme="majorHAnsi" w:hAnsiTheme="majorHAnsi" w:cstheme="majorHAnsi"/>
        </w:rPr>
        <w:t xml:space="preserve">Mydlovarský </w:t>
      </w:r>
      <w:r w:rsidR="00B41BC9" w:rsidRPr="006070EA">
        <w:rPr>
          <w:rFonts w:asciiTheme="majorHAnsi" w:hAnsiTheme="majorHAnsi" w:cstheme="majorHAnsi"/>
        </w:rPr>
        <w:t>l</w:t>
      </w:r>
      <w:r w:rsidRPr="006070EA">
        <w:rPr>
          <w:rFonts w:asciiTheme="majorHAnsi" w:hAnsiTheme="majorHAnsi" w:cstheme="majorHAnsi"/>
        </w:rPr>
        <w:t>uh</w:t>
      </w:r>
      <w:r w:rsidRPr="006070EA">
        <w:rPr>
          <w:rFonts w:asciiTheme="majorHAnsi" w:hAnsiTheme="majorHAnsi" w:cstheme="majorHAnsi"/>
          <w:b/>
        </w:rPr>
        <w:t xml:space="preserve">                      </w:t>
      </w:r>
    </w:p>
    <w:p w14:paraId="2BEC2FF1" w14:textId="77777777" w:rsidR="00812AAD" w:rsidRPr="006070EA" w:rsidRDefault="00812AAD" w:rsidP="00F56848">
      <w:pPr>
        <w:pStyle w:val="Atext"/>
        <w:rPr>
          <w:rFonts w:asciiTheme="majorHAnsi" w:hAnsiTheme="majorHAnsi" w:cstheme="majorHAnsi"/>
          <w:szCs w:val="18"/>
        </w:rPr>
      </w:pPr>
      <w:r w:rsidRPr="006070EA">
        <w:rPr>
          <w:rFonts w:asciiTheme="majorHAnsi" w:hAnsiTheme="majorHAnsi" w:cstheme="majorHAnsi"/>
          <w:szCs w:val="18"/>
        </w:rPr>
        <w:t>Cyklistické trasy jsou rozděleny do čtyř tříd, metodickým garantem jejich značení je Klub českých turistů. Cyklistická trasa je trasa pro cyklisty vedená po pozemních komunikacích vhodných pro cyklistický provoz a označená orientačním dopravním nebo turistickým značením. Pro cyklistické trasy s převažujícím turistickým účelem se používá označení cykloturistická trasa. Stezka pro cyklisty je pozemní komunikace nebo její jízdní pás vyhrazený dopravní značkou pro jízdu na jízdním kole.</w:t>
      </w:r>
    </w:p>
    <w:p w14:paraId="1EF7FD0E" w14:textId="2456E60A" w:rsidR="00812AAD" w:rsidRPr="006070EA" w:rsidRDefault="00812AAD" w:rsidP="00812AAD">
      <w:pPr>
        <w:pStyle w:val="Atext"/>
        <w:rPr>
          <w:rFonts w:asciiTheme="majorHAnsi" w:hAnsiTheme="majorHAnsi" w:cstheme="majorHAnsi"/>
          <w:szCs w:val="18"/>
        </w:rPr>
      </w:pPr>
      <w:r w:rsidRPr="006070EA">
        <w:rPr>
          <w:rFonts w:asciiTheme="majorHAnsi" w:hAnsiTheme="majorHAnsi" w:cstheme="majorHAnsi"/>
          <w:szCs w:val="18"/>
        </w:rPr>
        <w:t>Řešeným územím prochází následující cyklotras</w:t>
      </w:r>
      <w:r w:rsidR="00F56848" w:rsidRPr="006070EA">
        <w:rPr>
          <w:rFonts w:asciiTheme="majorHAnsi" w:hAnsiTheme="majorHAnsi" w:cstheme="majorHAnsi"/>
          <w:szCs w:val="18"/>
        </w:rPr>
        <w:t>a</w:t>
      </w:r>
      <w:r w:rsidRPr="006070EA">
        <w:rPr>
          <w:rFonts w:asciiTheme="majorHAnsi" w:hAnsiTheme="majorHAnsi" w:cstheme="majorHAnsi"/>
          <w:szCs w:val="18"/>
        </w:rPr>
        <w:t>:</w:t>
      </w:r>
    </w:p>
    <w:p w14:paraId="2AB3C706" w14:textId="77777777" w:rsidR="00812AAD" w:rsidRPr="006070EA" w:rsidRDefault="00812AAD" w:rsidP="00812AAD">
      <w:pPr>
        <w:pStyle w:val="Atext"/>
        <w:ind w:left="2835" w:hanging="2126"/>
        <w:rPr>
          <w:rFonts w:asciiTheme="majorHAnsi" w:hAnsiTheme="majorHAnsi" w:cstheme="majorHAnsi"/>
          <w:b/>
          <w:szCs w:val="18"/>
        </w:rPr>
      </w:pPr>
      <w:r w:rsidRPr="006070EA">
        <w:rPr>
          <w:rFonts w:asciiTheme="majorHAnsi" w:hAnsiTheme="majorHAnsi" w:cstheme="majorHAnsi"/>
          <w:b/>
          <w:szCs w:val="18"/>
        </w:rPr>
        <w:t xml:space="preserve">cyklotrasa č. 24 </w:t>
      </w:r>
      <w:r w:rsidRPr="006070EA">
        <w:rPr>
          <w:rFonts w:asciiTheme="majorHAnsi" w:hAnsiTheme="majorHAnsi" w:cstheme="majorHAnsi"/>
          <w:b/>
          <w:szCs w:val="18"/>
        </w:rPr>
        <w:tab/>
      </w:r>
      <w:r w:rsidRPr="006070EA">
        <w:rPr>
          <w:rFonts w:asciiTheme="majorHAnsi" w:hAnsiTheme="majorHAnsi" w:cstheme="majorHAnsi"/>
          <w:szCs w:val="18"/>
        </w:rPr>
        <w:t>Labská cyklotrasa:</w:t>
      </w:r>
    </w:p>
    <w:p w14:paraId="1148096A" w14:textId="7A082D18" w:rsidR="00812AAD" w:rsidRPr="006070EA" w:rsidRDefault="00812AAD" w:rsidP="00812AAD">
      <w:pPr>
        <w:spacing w:after="60" w:line="240" w:lineRule="auto"/>
        <w:ind w:firstLine="709"/>
        <w:jc w:val="both"/>
        <w:rPr>
          <w:rFonts w:asciiTheme="majorHAnsi" w:hAnsiTheme="majorHAnsi" w:cstheme="majorHAnsi"/>
          <w:sz w:val="18"/>
          <w:szCs w:val="18"/>
        </w:rPr>
      </w:pPr>
      <w:r w:rsidRPr="006070EA">
        <w:rPr>
          <w:rFonts w:asciiTheme="majorHAnsi" w:hAnsiTheme="majorHAnsi" w:cstheme="majorHAnsi"/>
          <w:sz w:val="18"/>
          <w:szCs w:val="18"/>
          <w:shd w:val="clear" w:color="auto" w:fill="FFFFFF"/>
        </w:rPr>
        <w:t xml:space="preserve">Špindlerův Mlýn – Vrchlabí </w:t>
      </w:r>
      <w:r w:rsidR="00F56848" w:rsidRPr="006070EA">
        <w:rPr>
          <w:rFonts w:asciiTheme="majorHAnsi" w:hAnsiTheme="majorHAnsi" w:cstheme="majorHAnsi"/>
          <w:sz w:val="18"/>
          <w:szCs w:val="18"/>
          <w:shd w:val="clear" w:color="auto" w:fill="FFFFFF"/>
        </w:rPr>
        <w:t>–</w:t>
      </w:r>
      <w:r w:rsidRPr="006070EA">
        <w:rPr>
          <w:rFonts w:asciiTheme="majorHAnsi" w:hAnsiTheme="majorHAnsi" w:cstheme="majorHAnsi"/>
          <w:sz w:val="18"/>
          <w:szCs w:val="18"/>
          <w:shd w:val="clear" w:color="auto" w:fill="FFFFFF"/>
        </w:rPr>
        <w:t xml:space="preserve"> Klášterská Lhota – Debrné </w:t>
      </w:r>
      <w:r w:rsidR="00106C28" w:rsidRPr="006070EA">
        <w:rPr>
          <w:rFonts w:asciiTheme="majorHAnsi" w:hAnsiTheme="majorHAnsi" w:cstheme="majorHAnsi"/>
          <w:sz w:val="18"/>
          <w:szCs w:val="18"/>
          <w:shd w:val="clear" w:color="auto" w:fill="FFFFFF"/>
        </w:rPr>
        <w:t>–</w:t>
      </w:r>
      <w:r w:rsidRPr="006070EA">
        <w:rPr>
          <w:rFonts w:asciiTheme="majorHAnsi" w:hAnsiTheme="majorHAnsi" w:cstheme="majorHAnsi"/>
          <w:sz w:val="18"/>
          <w:szCs w:val="18"/>
          <w:shd w:val="clear" w:color="auto" w:fill="FFFFFF"/>
        </w:rPr>
        <w:t xml:space="preserve"> Dvůr Králově nad Labem – Heřmanice </w:t>
      </w:r>
      <w:r w:rsidR="00E82842" w:rsidRPr="006070EA">
        <w:rPr>
          <w:rFonts w:asciiTheme="majorHAnsi" w:hAnsiTheme="majorHAnsi" w:cstheme="majorHAnsi"/>
          <w:sz w:val="18"/>
          <w:szCs w:val="18"/>
          <w:shd w:val="clear" w:color="auto" w:fill="FFFFFF"/>
        </w:rPr>
        <w:t>–</w:t>
      </w:r>
      <w:r w:rsidRPr="006070EA">
        <w:rPr>
          <w:rFonts w:asciiTheme="majorHAnsi" w:hAnsiTheme="majorHAnsi" w:cstheme="majorHAnsi"/>
          <w:sz w:val="18"/>
          <w:szCs w:val="18"/>
          <w:shd w:val="clear" w:color="auto" w:fill="FFFFFF"/>
        </w:rPr>
        <w:t xml:space="preserve"> Jaroměř – Lochenice </w:t>
      </w:r>
      <w:r w:rsidR="00E82842" w:rsidRPr="006070EA">
        <w:rPr>
          <w:rFonts w:asciiTheme="majorHAnsi" w:hAnsiTheme="majorHAnsi" w:cstheme="majorHAnsi"/>
          <w:sz w:val="18"/>
          <w:szCs w:val="18"/>
          <w:shd w:val="clear" w:color="auto" w:fill="FFFFFF"/>
        </w:rPr>
        <w:t>–</w:t>
      </w:r>
      <w:r w:rsidRPr="006070EA">
        <w:rPr>
          <w:rFonts w:asciiTheme="majorHAnsi" w:hAnsiTheme="majorHAnsi" w:cstheme="majorHAnsi"/>
          <w:sz w:val="18"/>
          <w:szCs w:val="18"/>
          <w:shd w:val="clear" w:color="auto" w:fill="FFFFFF"/>
        </w:rPr>
        <w:t xml:space="preserve"> Hradec Králové – Kunětická Hora - Pardubice – Mělice - Kladruby nad Labem – Týnec nad Labem - Kolín – Veltruby - Poděbrady – Nymburk - Mydlovarský Luh – Čelákovice - Nový Vestec – Kostelec nad Labem - Neratovice – Kly - Mělník – Štětí - Roudnice nad Labem – Křešice - Velké Žernoseky – Ústí nad Labem - Malé Březno – Děčín - Dolní Žleb</w:t>
      </w:r>
    </w:p>
    <w:p w14:paraId="2321B018" w14:textId="50154770" w:rsidR="00F56848" w:rsidRPr="006070EA" w:rsidRDefault="00F56848" w:rsidP="00F56848">
      <w:pPr>
        <w:pStyle w:val="Atext"/>
        <w:rPr>
          <w:rFonts w:asciiTheme="majorHAnsi" w:hAnsiTheme="majorHAnsi" w:cstheme="majorHAnsi"/>
          <w:szCs w:val="18"/>
        </w:rPr>
      </w:pPr>
      <w:r w:rsidRPr="006070EA">
        <w:rPr>
          <w:rFonts w:asciiTheme="majorHAnsi" w:hAnsiTheme="majorHAnsi" w:cstheme="majorHAnsi"/>
          <w:szCs w:val="18"/>
          <w:lang w:eastAsia="cs-CZ"/>
        </w:rPr>
        <w:t>Řešeným územím prochází 1 cyklotrasa – Labská cyklostezka (Špindlerův Mlýn – Dolní Žleb) s celkovou délkou 294</w:t>
      </w:r>
      <w:r w:rsidR="00E82842" w:rsidRPr="006070EA">
        <w:rPr>
          <w:rFonts w:asciiTheme="majorHAnsi" w:hAnsiTheme="majorHAnsi" w:cstheme="majorHAnsi"/>
          <w:szCs w:val="18"/>
          <w:lang w:eastAsia="cs-CZ"/>
        </w:rPr>
        <w:t> </w:t>
      </w:r>
      <w:r w:rsidRPr="006070EA">
        <w:rPr>
          <w:rFonts w:asciiTheme="majorHAnsi" w:hAnsiTheme="majorHAnsi" w:cstheme="majorHAnsi"/>
          <w:szCs w:val="18"/>
          <w:lang w:eastAsia="cs-CZ"/>
        </w:rPr>
        <w:t>km. Délka v úseku obce Kostomlat nad Labem (Nymburk – Mydlovraský Luh) činí 7,54 km.</w:t>
      </w:r>
    </w:p>
    <w:p w14:paraId="2F4190B0" w14:textId="435E2D69" w:rsidR="00156528" w:rsidRPr="006070EA" w:rsidRDefault="00156528" w:rsidP="00156528">
      <w:pPr>
        <w:spacing w:after="60" w:line="240" w:lineRule="auto"/>
        <w:ind w:firstLine="709"/>
        <w:jc w:val="both"/>
        <w:rPr>
          <w:rFonts w:asciiTheme="majorHAnsi" w:hAnsiTheme="majorHAnsi" w:cstheme="majorHAnsi"/>
          <w:sz w:val="18"/>
        </w:rPr>
      </w:pPr>
      <w:r w:rsidRPr="006070EA">
        <w:rPr>
          <w:rFonts w:asciiTheme="majorHAnsi" w:hAnsiTheme="majorHAnsi" w:cstheme="majorHAnsi"/>
          <w:sz w:val="18"/>
        </w:rPr>
        <w:t xml:space="preserve">Územní plán respektuje značené turistické a cyklistické trasy a navrženým řešením je stabilizuje. Pro doplnění turistické infrastruktury územní plán navrhuje </w:t>
      </w:r>
      <w:r w:rsidR="00B41BC9" w:rsidRPr="006070EA">
        <w:rPr>
          <w:rFonts w:asciiTheme="majorHAnsi" w:hAnsiTheme="majorHAnsi" w:cstheme="majorHAnsi"/>
          <w:sz w:val="18"/>
        </w:rPr>
        <w:t xml:space="preserve">koridor nemotorové dopravy </w:t>
      </w:r>
      <w:r w:rsidR="00E82842" w:rsidRPr="006070EA">
        <w:rPr>
          <w:rFonts w:asciiTheme="majorHAnsi" w:hAnsiTheme="majorHAnsi" w:cstheme="majorHAnsi"/>
          <w:sz w:val="18"/>
        </w:rPr>
        <w:t>CNU.</w:t>
      </w:r>
      <w:r w:rsidR="00B41BC9" w:rsidRPr="006070EA">
        <w:rPr>
          <w:rFonts w:asciiTheme="majorHAnsi" w:hAnsiTheme="majorHAnsi" w:cstheme="majorHAnsi"/>
          <w:sz w:val="18"/>
        </w:rPr>
        <w:t>KDN1 pro lávku přes řeku Labe</w:t>
      </w:r>
      <w:r w:rsidRPr="006070EA">
        <w:rPr>
          <w:rFonts w:asciiTheme="majorHAnsi" w:hAnsiTheme="majorHAnsi" w:cstheme="majorHAnsi"/>
          <w:sz w:val="18"/>
        </w:rPr>
        <w:t xml:space="preserve"> </w:t>
      </w:r>
      <w:r w:rsidR="00B41BC9" w:rsidRPr="006070EA">
        <w:rPr>
          <w:rFonts w:asciiTheme="majorHAnsi" w:hAnsiTheme="majorHAnsi" w:cstheme="majorHAnsi"/>
          <w:sz w:val="18"/>
        </w:rPr>
        <w:t>a trasu cyklotrasy / cyklostezky navazující na stávající značenou cyklotrasu</w:t>
      </w:r>
      <w:r w:rsidRPr="006070EA">
        <w:rPr>
          <w:rFonts w:asciiTheme="majorHAnsi" w:hAnsiTheme="majorHAnsi" w:cstheme="majorHAnsi"/>
          <w:sz w:val="18"/>
        </w:rPr>
        <w:t xml:space="preserve">. </w:t>
      </w:r>
    </w:p>
    <w:p w14:paraId="20D2C43B" w14:textId="77777777" w:rsidR="0013478F" w:rsidRPr="006070EA" w:rsidRDefault="0013478F" w:rsidP="0013478F">
      <w:pPr>
        <w:pStyle w:val="Anadpispodtren"/>
        <w:rPr>
          <w:rFonts w:asciiTheme="majorHAnsi" w:hAnsiTheme="majorHAnsi" w:cstheme="majorHAnsi"/>
        </w:rPr>
      </w:pPr>
      <w:r w:rsidRPr="006070EA">
        <w:rPr>
          <w:rFonts w:asciiTheme="majorHAnsi" w:hAnsiTheme="majorHAnsi" w:cstheme="majorHAnsi"/>
        </w:rPr>
        <w:t>Hipostezky</w:t>
      </w:r>
    </w:p>
    <w:p w14:paraId="50BED636" w14:textId="6974D03C" w:rsidR="0013478F" w:rsidRPr="006070EA" w:rsidRDefault="0013478F" w:rsidP="0013478F">
      <w:pPr>
        <w:pStyle w:val="Atext"/>
        <w:rPr>
          <w:rFonts w:asciiTheme="majorHAnsi" w:hAnsiTheme="majorHAnsi" w:cstheme="majorHAnsi"/>
        </w:rPr>
      </w:pPr>
      <w:r w:rsidRPr="006070EA">
        <w:rPr>
          <w:rFonts w:asciiTheme="majorHAnsi" w:hAnsiTheme="majorHAnsi" w:cstheme="majorHAnsi"/>
        </w:rPr>
        <w:t>Hipostezka je turistická stezka zaměřená na hipoturistiku, tedy mimořádně vhodná pro cestování na koni. Značení veřejných hipostezek provádí Klub českých turistů, existují ale i privátní okruhy.</w:t>
      </w:r>
    </w:p>
    <w:p w14:paraId="2C930FD2" w14:textId="6E1E4643" w:rsidR="0013478F" w:rsidRPr="006070EA" w:rsidRDefault="0013478F" w:rsidP="00B41BC9">
      <w:pPr>
        <w:pStyle w:val="Anadpispodtren"/>
        <w:rPr>
          <w:rFonts w:asciiTheme="majorHAnsi" w:hAnsiTheme="majorHAnsi" w:cstheme="majorHAnsi"/>
          <w:u w:val="none"/>
        </w:rPr>
      </w:pPr>
      <w:r w:rsidRPr="006070EA">
        <w:rPr>
          <w:rFonts w:asciiTheme="majorHAnsi" w:hAnsiTheme="majorHAnsi" w:cstheme="majorHAnsi"/>
          <w:u w:val="none"/>
        </w:rPr>
        <w:tab/>
        <w:t>Řešeným území neprochází žádná hipostezka. V území se nachází jezdecký ovál</w:t>
      </w:r>
      <w:r w:rsidR="00B41BC9" w:rsidRPr="006070EA">
        <w:rPr>
          <w:rFonts w:asciiTheme="majorHAnsi" w:hAnsiTheme="majorHAnsi" w:cstheme="majorHAnsi"/>
          <w:u w:val="none"/>
        </w:rPr>
        <w:t xml:space="preserve"> u sídla Rozkoš, stabilizovaný v rámci ploch smíšených nezastavěného území – </w:t>
      </w:r>
      <w:r w:rsidR="00E82842" w:rsidRPr="006070EA">
        <w:rPr>
          <w:rFonts w:asciiTheme="majorHAnsi" w:hAnsiTheme="majorHAnsi" w:cstheme="majorHAnsi"/>
          <w:u w:val="none"/>
        </w:rPr>
        <w:t>sportovní využití</w:t>
      </w:r>
      <w:r w:rsidR="00B41BC9" w:rsidRPr="006070EA">
        <w:rPr>
          <w:rFonts w:asciiTheme="majorHAnsi" w:hAnsiTheme="majorHAnsi" w:cstheme="majorHAnsi"/>
          <w:u w:val="none"/>
        </w:rPr>
        <w:t xml:space="preserve"> (</w:t>
      </w:r>
      <w:r w:rsidR="00E82842" w:rsidRPr="006070EA">
        <w:rPr>
          <w:rFonts w:asciiTheme="majorHAnsi" w:hAnsiTheme="majorHAnsi" w:cstheme="majorHAnsi"/>
          <w:u w:val="none"/>
        </w:rPr>
        <w:t>MU.s</w:t>
      </w:r>
      <w:r w:rsidR="00B41BC9" w:rsidRPr="006070EA">
        <w:rPr>
          <w:rFonts w:asciiTheme="majorHAnsi" w:hAnsiTheme="majorHAnsi" w:cstheme="majorHAnsi"/>
          <w:u w:val="none"/>
        </w:rPr>
        <w:t>)</w:t>
      </w:r>
      <w:r w:rsidRPr="006070EA">
        <w:rPr>
          <w:rFonts w:asciiTheme="majorHAnsi" w:hAnsiTheme="majorHAnsi" w:cstheme="majorHAnsi"/>
          <w:u w:val="none"/>
        </w:rPr>
        <w:t>.</w:t>
      </w:r>
    </w:p>
    <w:p w14:paraId="01588296" w14:textId="77777777" w:rsidR="00EE4D29" w:rsidRPr="006070EA" w:rsidRDefault="00EE4D29" w:rsidP="009E07E1">
      <w:pPr>
        <w:pStyle w:val="Anadpistun"/>
        <w:rPr>
          <w:rFonts w:asciiTheme="majorHAnsi" w:hAnsiTheme="majorHAnsi" w:cstheme="majorHAnsi"/>
        </w:rPr>
      </w:pPr>
      <w:r w:rsidRPr="006070EA">
        <w:rPr>
          <w:rFonts w:asciiTheme="majorHAnsi" w:hAnsiTheme="majorHAnsi" w:cstheme="majorHAnsi"/>
        </w:rPr>
        <w:t>Odůvodnění navrhovaného řešení</w:t>
      </w:r>
    </w:p>
    <w:p w14:paraId="1D0B3690" w14:textId="1F6ABD50" w:rsidR="00AB20AC" w:rsidRPr="006070EA" w:rsidRDefault="00AB20AC" w:rsidP="00461350">
      <w:pPr>
        <w:pStyle w:val="Norml"/>
        <w:spacing w:before="60" w:after="60"/>
        <w:ind w:firstLine="709"/>
        <w:rPr>
          <w:rFonts w:asciiTheme="majorHAnsi" w:hAnsiTheme="majorHAnsi" w:cstheme="majorHAnsi"/>
          <w:szCs w:val="18"/>
        </w:rPr>
      </w:pPr>
      <w:r w:rsidRPr="006070EA">
        <w:rPr>
          <w:rFonts w:asciiTheme="majorHAnsi" w:hAnsiTheme="majorHAnsi" w:cstheme="majorHAnsi"/>
          <w:szCs w:val="18"/>
        </w:rPr>
        <w:t xml:space="preserve">Dopravní systém v rámci ploch s rozdílným způsobem využití musí stejně tak, jako jakýkoliv jiný dopravní systém respektovat cíle územního plánování dle § 18 stavebního zákona, mezi kterými je především udržitelný rozvoj území, k čemuž přispívá právě udržitelný dopravní systém. Pro definici udržitelnosti dopravního systému byly převzaty principy udržitelné mobility z metodiky Evropské komise pro tvorbu plánů udržitelné městské mobility, které zároveň respektují Dopravní politiku ČR pro období 2021-2027 s výhledem do roku 2050 i celoevropské trendy v oblasti snižování energetické náročnosti, zátěže životního prostředí, bezpečnosti a sociální koheze. Cyklistická doprava patří do tzv. udržitelné mobility, neboť využívá pouze lidskou energii či případně v malé míře energii elektrickou a neprodukuje žádné emise. Je však velmi operativní, dokonce více než doprava automobilová, neumožňuje však dosahovat tak vysokých dopravních výkonů. Pro to, aby cyklistická doprava mohla fungovat a byla bezpečná, je však nezbytná adekvátní infrastruktura, což znamená zřizování fyzických a dopravně organizačních opatření pro cyklistickou dopravu, například cyklostezek, opatření v hlavním a přidruženém dopravním prostoru, cyklostojanů nebo místních komunikací se smíšeným provozem. Nezbytná je také prostupnost území pro cyklistickou dopravu. Možnost zkrácení cesty oproti jiným druhům dopravy je jedním z důvodů volby cyklistické dopravy. V případě, že bude zabezpečena vysoká míra prostupnosti území (veřejně přístupných komunikací) vybavených kvalitní a bezpečnou cykloinfastrukturou, lze předpokládat, že se zvýší podíl cyklistické dopravy na úkor dopravy individuální motorové, respektive se pro toto zvýšení vytváří nezbytné podmínky. Pozitivní důsledky snížení podílu individuální automobilové dopravy jsou prokazatelné (pozitivní vliv na veřejné zdraví, pokles počtu dopravních nehod apod.). V řešeném území má podpora cyklistické dopravy rovněž význam rekreační </w:t>
      </w:r>
      <w:r w:rsidR="0007706A" w:rsidRPr="006070EA">
        <w:rPr>
          <w:rFonts w:asciiTheme="majorHAnsi" w:hAnsiTheme="majorHAnsi" w:cstheme="majorHAnsi"/>
          <w:szCs w:val="18"/>
        </w:rPr>
        <w:t>–</w:t>
      </w:r>
      <w:r w:rsidRPr="006070EA">
        <w:rPr>
          <w:rFonts w:asciiTheme="majorHAnsi" w:hAnsiTheme="majorHAnsi" w:cstheme="majorHAnsi"/>
          <w:szCs w:val="18"/>
        </w:rPr>
        <w:t xml:space="preserve"> rekreace a cestovní ruch představují významné hospodářské odvětví v</w:t>
      </w:r>
      <w:r w:rsidR="0007706A" w:rsidRPr="006070EA">
        <w:rPr>
          <w:rFonts w:asciiTheme="majorHAnsi" w:hAnsiTheme="majorHAnsi" w:cstheme="majorHAnsi"/>
          <w:szCs w:val="18"/>
        </w:rPr>
        <w:t> </w:t>
      </w:r>
      <w:r w:rsidRPr="006070EA">
        <w:rPr>
          <w:rFonts w:asciiTheme="majorHAnsi" w:hAnsiTheme="majorHAnsi" w:cstheme="majorHAnsi"/>
          <w:szCs w:val="18"/>
        </w:rPr>
        <w:t>území</w:t>
      </w:r>
      <w:r w:rsidR="0007706A" w:rsidRPr="006070EA">
        <w:rPr>
          <w:rFonts w:asciiTheme="majorHAnsi" w:hAnsiTheme="majorHAnsi" w:cstheme="majorHAnsi"/>
          <w:szCs w:val="18"/>
        </w:rPr>
        <w:t>,</w:t>
      </w:r>
      <w:r w:rsidRPr="006070EA">
        <w:rPr>
          <w:rFonts w:asciiTheme="majorHAnsi" w:hAnsiTheme="majorHAnsi" w:cstheme="majorHAnsi"/>
          <w:szCs w:val="18"/>
        </w:rPr>
        <w:t xml:space="preserve"> a to především v souvislosti s tradicí individuální rekreace vázané na řeku </w:t>
      </w:r>
      <w:r w:rsidR="0007706A" w:rsidRPr="006070EA">
        <w:rPr>
          <w:rFonts w:asciiTheme="majorHAnsi" w:hAnsiTheme="majorHAnsi" w:cstheme="majorHAnsi"/>
          <w:szCs w:val="18"/>
        </w:rPr>
        <w:t>Labe</w:t>
      </w:r>
      <w:r w:rsidRPr="006070EA">
        <w:rPr>
          <w:rFonts w:asciiTheme="majorHAnsi" w:hAnsiTheme="majorHAnsi" w:cstheme="majorHAnsi"/>
          <w:szCs w:val="18"/>
        </w:rPr>
        <w:t>.</w:t>
      </w:r>
    </w:p>
    <w:p w14:paraId="1621EF9F" w14:textId="2FFA3629" w:rsidR="00EE4D29" w:rsidRPr="006070EA" w:rsidRDefault="00EE4D29" w:rsidP="00461350">
      <w:pPr>
        <w:pStyle w:val="Norml"/>
        <w:spacing w:before="60" w:after="60"/>
        <w:ind w:firstLine="709"/>
        <w:rPr>
          <w:rFonts w:asciiTheme="majorHAnsi" w:hAnsiTheme="majorHAnsi" w:cstheme="majorHAnsi"/>
          <w:szCs w:val="18"/>
        </w:rPr>
      </w:pPr>
      <w:r w:rsidRPr="006070EA">
        <w:rPr>
          <w:rFonts w:asciiTheme="majorHAnsi" w:hAnsiTheme="majorHAnsi" w:cstheme="majorHAnsi"/>
          <w:szCs w:val="18"/>
        </w:rPr>
        <w:t>Stávající komunikace pro pěší a cyklistickou dopravu (místní a účelové komunikace, chodníky, pěší trasy v sídlech, cesty ve volné krajině, cyklotrasy, turistické trasy) jsou v ÚP vymezeny zejména jako plochy veřejných prostranství</w:t>
      </w:r>
      <w:r w:rsidR="00E82842" w:rsidRPr="006070EA">
        <w:rPr>
          <w:rFonts w:asciiTheme="majorHAnsi" w:hAnsiTheme="majorHAnsi" w:cstheme="majorHAnsi"/>
          <w:szCs w:val="18"/>
        </w:rPr>
        <w:t xml:space="preserve"> všeobecných</w:t>
      </w:r>
      <w:r w:rsidRPr="006070EA">
        <w:rPr>
          <w:rFonts w:asciiTheme="majorHAnsi" w:hAnsiTheme="majorHAnsi" w:cstheme="majorHAnsi"/>
          <w:szCs w:val="18"/>
        </w:rPr>
        <w:t xml:space="preserve"> (P</w:t>
      </w:r>
      <w:r w:rsidR="00E82842" w:rsidRPr="006070EA">
        <w:rPr>
          <w:rFonts w:asciiTheme="majorHAnsi" w:hAnsiTheme="majorHAnsi" w:cstheme="majorHAnsi"/>
          <w:szCs w:val="18"/>
        </w:rPr>
        <w:t>U</w:t>
      </w:r>
      <w:r w:rsidRPr="006070EA">
        <w:rPr>
          <w:rFonts w:asciiTheme="majorHAnsi" w:hAnsiTheme="majorHAnsi" w:cstheme="majorHAnsi"/>
          <w:szCs w:val="18"/>
        </w:rPr>
        <w:t>) a</w:t>
      </w:r>
      <w:r w:rsidR="00461350" w:rsidRPr="006070EA">
        <w:rPr>
          <w:rFonts w:asciiTheme="majorHAnsi" w:hAnsiTheme="majorHAnsi" w:cstheme="majorHAnsi"/>
          <w:szCs w:val="18"/>
        </w:rPr>
        <w:t> </w:t>
      </w:r>
      <w:r w:rsidRPr="006070EA">
        <w:rPr>
          <w:rFonts w:asciiTheme="majorHAnsi" w:hAnsiTheme="majorHAnsi" w:cstheme="majorHAnsi"/>
          <w:szCs w:val="18"/>
        </w:rPr>
        <w:t xml:space="preserve">plochy </w:t>
      </w:r>
      <w:r w:rsidR="00E82842" w:rsidRPr="006070EA">
        <w:rPr>
          <w:rFonts w:asciiTheme="majorHAnsi" w:hAnsiTheme="majorHAnsi" w:cstheme="majorHAnsi"/>
          <w:szCs w:val="18"/>
        </w:rPr>
        <w:t xml:space="preserve">dopravy </w:t>
      </w:r>
      <w:r w:rsidRPr="006070EA">
        <w:rPr>
          <w:rFonts w:asciiTheme="majorHAnsi" w:hAnsiTheme="majorHAnsi" w:cstheme="majorHAnsi"/>
          <w:szCs w:val="18"/>
        </w:rPr>
        <w:t>silniční (DS)</w:t>
      </w:r>
      <w:r w:rsidR="00BD0624" w:rsidRPr="006070EA">
        <w:rPr>
          <w:rFonts w:asciiTheme="majorHAnsi" w:hAnsiTheme="majorHAnsi" w:cstheme="majorHAnsi"/>
          <w:szCs w:val="18"/>
        </w:rPr>
        <w:t>.</w:t>
      </w:r>
      <w:r w:rsidRPr="006070EA">
        <w:rPr>
          <w:rFonts w:asciiTheme="majorHAnsi" w:hAnsiTheme="majorHAnsi" w:cstheme="majorHAnsi"/>
          <w:szCs w:val="18"/>
        </w:rPr>
        <w:t xml:space="preserve"> Pěší a cyklistická doprava je také součástí dalších typů ploch v souladu s podmínkami využití ploch s rozdílným způsobem využití, v nichž lze cesty pro chodce a cyklisty dále doplňovat.</w:t>
      </w:r>
    </w:p>
    <w:p w14:paraId="2EF25C7D" w14:textId="77777777" w:rsidR="009003DE" w:rsidRPr="006070EA" w:rsidRDefault="00EE4D29" w:rsidP="00461350">
      <w:pPr>
        <w:pStyle w:val="Norml"/>
        <w:spacing w:before="60" w:after="60"/>
        <w:ind w:firstLine="709"/>
        <w:rPr>
          <w:rFonts w:asciiTheme="majorHAnsi" w:hAnsiTheme="majorHAnsi" w:cstheme="majorHAnsi"/>
          <w:szCs w:val="18"/>
        </w:rPr>
      </w:pPr>
      <w:r w:rsidRPr="006070EA">
        <w:rPr>
          <w:rFonts w:asciiTheme="majorHAnsi" w:hAnsiTheme="majorHAnsi" w:cstheme="majorHAnsi"/>
          <w:szCs w:val="18"/>
        </w:rPr>
        <w:t>Pěší a cyklistická doprava je zpravidla provozována jako součástí veřejných prostranství v souladu s § 7, odst. 2, vyhlášky č. 501/2006 Sb., ve znění pozdějších předpisů a dále dopravy silniční, v souladu s § 9, odst. 2, vyhlášky č. 501/2006 Sb., ve znění pozdějších předpisů. Plochy zajišťující prostupnost území pro chodce a</w:t>
      </w:r>
      <w:r w:rsidR="005973B4" w:rsidRPr="006070EA">
        <w:rPr>
          <w:rFonts w:asciiTheme="majorHAnsi" w:hAnsiTheme="majorHAnsi" w:cstheme="majorHAnsi"/>
          <w:szCs w:val="18"/>
        </w:rPr>
        <w:t> </w:t>
      </w:r>
      <w:r w:rsidRPr="006070EA">
        <w:rPr>
          <w:rFonts w:asciiTheme="majorHAnsi" w:hAnsiTheme="majorHAnsi" w:cstheme="majorHAnsi"/>
          <w:szCs w:val="18"/>
        </w:rPr>
        <w:t xml:space="preserve">cyklisty představují součást veřejné infrastruktury (veřejná prostranství, dopravní infrastruktura) z důvodu zajištění ochrany a rozvoje veřejně přístupných cest v řešeném území pro účely dostupnosti ploch, prostupnosti celého území (sídel i volné krajiny), napojení cest na okolní území a také pro účely ochrany a rozvoje infrastruktury cestovního ruchu. </w:t>
      </w:r>
    </w:p>
    <w:p w14:paraId="22D2E3F4" w14:textId="7060BDA0" w:rsidR="00EE4D29" w:rsidRPr="006070EA" w:rsidRDefault="00EE4D29" w:rsidP="00461350">
      <w:pPr>
        <w:pStyle w:val="Norml"/>
        <w:spacing w:before="60" w:after="60"/>
        <w:ind w:firstLine="709"/>
        <w:rPr>
          <w:rFonts w:asciiTheme="majorHAnsi" w:hAnsiTheme="majorHAnsi" w:cstheme="majorHAnsi"/>
          <w:szCs w:val="18"/>
        </w:rPr>
      </w:pPr>
      <w:r w:rsidRPr="006070EA">
        <w:rPr>
          <w:rFonts w:asciiTheme="majorHAnsi" w:hAnsiTheme="majorHAnsi" w:cstheme="majorHAnsi"/>
          <w:szCs w:val="18"/>
        </w:rPr>
        <w:lastRenderedPageBreak/>
        <w:t xml:space="preserve">Turistická infrastruktura je významným předpokladem pro rozvoj cestovního ruchu a turistiky v území, proto je nutné ji chránit a rozvíjet, zcela vyloučit jakoukoliv redukci. </w:t>
      </w:r>
      <w:r w:rsidR="0007706A" w:rsidRPr="006070EA">
        <w:rPr>
          <w:rFonts w:asciiTheme="majorHAnsi" w:hAnsiTheme="majorHAnsi" w:cstheme="majorHAnsi"/>
          <w:szCs w:val="18"/>
        </w:rPr>
        <w:t>Trasy místního charakteru lze vést obecně po všech komunikacích v</w:t>
      </w:r>
      <w:r w:rsidR="00E82842" w:rsidRPr="006070EA">
        <w:rPr>
          <w:rFonts w:asciiTheme="majorHAnsi" w:hAnsiTheme="majorHAnsi" w:cstheme="majorHAnsi"/>
          <w:szCs w:val="18"/>
        </w:rPr>
        <w:t> </w:t>
      </w:r>
      <w:r w:rsidR="0007706A" w:rsidRPr="006070EA">
        <w:rPr>
          <w:rFonts w:asciiTheme="majorHAnsi" w:hAnsiTheme="majorHAnsi" w:cstheme="majorHAnsi"/>
          <w:szCs w:val="18"/>
        </w:rPr>
        <w:t>řešeném území a po většině zpevněných a částečně zpevněných cest. Kvalitu cyklistických a cykloturistických tras lze zvyšovat jejich oddělením od společného vedení se silniční dopravou, čímž dojde k výraznému zvýšení bezpečnosti účastníků dopravy. V souladu s principy udržitelné mobility v rámci zvyšováním podílu, bezpečnosti a komfortu pěší dopravy je navrženo zřizovat nová bezpečná a komfortní propojení pro pěší a zvyšovat prostupnost území. Územní plán navrhuje vedení nové cyklotrasy / cyklostezky přednostně ve směru vymezeném ve výkrese 2 Hlavní výkres, kde je navržené orientační liniové vedení nové cyklotrasy / cyklostezky, viz níže.</w:t>
      </w:r>
    </w:p>
    <w:p w14:paraId="4597D8C2" w14:textId="6646870F" w:rsidR="0007706A" w:rsidRPr="006070EA" w:rsidRDefault="0007706A" w:rsidP="00461350">
      <w:pPr>
        <w:pStyle w:val="Norml"/>
        <w:spacing w:before="60" w:after="60"/>
        <w:ind w:firstLine="709"/>
        <w:rPr>
          <w:rFonts w:asciiTheme="majorHAnsi" w:hAnsiTheme="majorHAnsi" w:cstheme="majorHAnsi"/>
          <w:szCs w:val="18"/>
        </w:rPr>
      </w:pPr>
      <w:r w:rsidRPr="006070EA">
        <w:rPr>
          <w:rFonts w:asciiTheme="majorHAnsi" w:hAnsiTheme="majorHAnsi" w:cstheme="majorHAnsi"/>
          <w:szCs w:val="18"/>
        </w:rPr>
        <w:t>Podmínky pro rozvoj pěší a cyklistické dopravy jsou územním plánem zajištěny také v rámci vymezených směrů zajištění prostupnosti území veřejným prostranstvím (liniové prvky) a vymezením konkrétních rozvojových ploch.</w:t>
      </w:r>
    </w:p>
    <w:p w14:paraId="36A10CE0" w14:textId="6A8911B6" w:rsidR="00BD0624" w:rsidRPr="006070EA" w:rsidRDefault="00BD0624" w:rsidP="00BD0624">
      <w:pPr>
        <w:pStyle w:val="Atext"/>
        <w:keepNext/>
        <w:ind w:firstLine="0"/>
        <w:jc w:val="right"/>
        <w:rPr>
          <w:rFonts w:asciiTheme="majorHAnsi" w:hAnsiTheme="majorHAnsi" w:cstheme="majorHAnsi"/>
          <w:i/>
          <w:snapToGrid w:val="0"/>
          <w:u w:val="single"/>
        </w:rPr>
      </w:pPr>
      <w:r w:rsidRPr="006070EA">
        <w:rPr>
          <w:rFonts w:asciiTheme="majorHAnsi" w:hAnsiTheme="majorHAnsi" w:cstheme="majorHAnsi"/>
          <w:i/>
          <w:snapToGrid w:val="0"/>
          <w:u w:val="single"/>
        </w:rPr>
        <w:t xml:space="preserve">Odůvodnění odst. </w:t>
      </w:r>
      <w:r w:rsidRPr="006070EA">
        <w:rPr>
          <w:rFonts w:asciiTheme="majorHAnsi" w:hAnsiTheme="majorHAnsi" w:cstheme="majorHAnsi"/>
          <w:b/>
          <w:i/>
          <w:snapToGrid w:val="0"/>
          <w:u w:val="single"/>
        </w:rPr>
        <w:t>(</w:t>
      </w:r>
      <w:r w:rsidR="007F6EAE">
        <w:rPr>
          <w:rFonts w:asciiTheme="majorHAnsi" w:hAnsiTheme="majorHAnsi" w:cstheme="majorHAnsi"/>
          <w:b/>
          <w:i/>
          <w:snapToGrid w:val="0"/>
          <w:u w:val="single"/>
        </w:rPr>
        <w:t>28</w:t>
      </w:r>
      <w:r w:rsidRPr="006070EA">
        <w:rPr>
          <w:rFonts w:asciiTheme="majorHAnsi" w:hAnsiTheme="majorHAnsi" w:cstheme="majorHAnsi"/>
          <w:b/>
          <w:i/>
          <w:snapToGrid w:val="0"/>
          <w:u w:val="single"/>
        </w:rPr>
        <w:t>)</w:t>
      </w:r>
      <w:r w:rsidR="00AB20AC" w:rsidRPr="006070EA">
        <w:rPr>
          <w:rFonts w:asciiTheme="majorHAnsi" w:hAnsiTheme="majorHAnsi" w:cstheme="majorHAnsi"/>
          <w:b/>
          <w:i/>
          <w:snapToGrid w:val="0"/>
          <w:u w:val="single"/>
        </w:rPr>
        <w:t xml:space="preserve"> </w:t>
      </w:r>
      <w:r w:rsidR="007F6EAE">
        <w:rPr>
          <w:rFonts w:asciiTheme="majorHAnsi" w:hAnsiTheme="majorHAnsi" w:cstheme="majorHAnsi"/>
          <w:bCs w:val="0"/>
          <w:i/>
          <w:snapToGrid w:val="0"/>
          <w:u w:val="single"/>
        </w:rPr>
        <w:t>-</w:t>
      </w:r>
      <w:r w:rsidR="00AB20AC" w:rsidRPr="006070EA">
        <w:rPr>
          <w:rFonts w:asciiTheme="majorHAnsi" w:hAnsiTheme="majorHAnsi" w:cstheme="majorHAnsi"/>
          <w:b/>
          <w:i/>
          <w:snapToGrid w:val="0"/>
          <w:u w:val="single"/>
        </w:rPr>
        <w:t xml:space="preserve"> (3</w:t>
      </w:r>
      <w:r w:rsidR="007F6EAE">
        <w:rPr>
          <w:rFonts w:asciiTheme="majorHAnsi" w:hAnsiTheme="majorHAnsi" w:cstheme="majorHAnsi"/>
          <w:b/>
          <w:i/>
          <w:snapToGrid w:val="0"/>
          <w:u w:val="single"/>
        </w:rPr>
        <w:t>0</w:t>
      </w:r>
      <w:r w:rsidR="00AB20AC" w:rsidRPr="006070EA">
        <w:rPr>
          <w:rFonts w:asciiTheme="majorHAnsi" w:hAnsiTheme="majorHAnsi" w:cstheme="majorHAnsi"/>
          <w:b/>
          <w:i/>
          <w:snapToGrid w:val="0"/>
          <w:u w:val="single"/>
        </w:rPr>
        <w:t>)</w:t>
      </w:r>
      <w:r w:rsidRPr="006070EA">
        <w:rPr>
          <w:rFonts w:asciiTheme="majorHAnsi" w:hAnsiTheme="majorHAnsi" w:cstheme="majorHAnsi"/>
          <w:b/>
          <w:i/>
          <w:snapToGrid w:val="0"/>
          <w:u w:val="single"/>
        </w:rPr>
        <w:t xml:space="preserve"> </w:t>
      </w:r>
      <w:r w:rsidRPr="006070EA">
        <w:rPr>
          <w:rFonts w:asciiTheme="majorHAnsi" w:hAnsiTheme="majorHAnsi" w:cstheme="majorHAnsi"/>
          <w:i/>
          <w:snapToGrid w:val="0"/>
          <w:u w:val="single"/>
        </w:rPr>
        <w:t>výrokové části</w:t>
      </w:r>
    </w:p>
    <w:p w14:paraId="0A2570DE" w14:textId="23A2E7F8" w:rsidR="00AB20AC" w:rsidRPr="006070EA" w:rsidRDefault="00AB20AC" w:rsidP="00AB20AC">
      <w:pPr>
        <w:pStyle w:val="Atext"/>
        <w:rPr>
          <w:rFonts w:asciiTheme="majorHAnsi" w:hAnsiTheme="majorHAnsi" w:cstheme="majorHAnsi"/>
        </w:rPr>
      </w:pPr>
      <w:r w:rsidRPr="006070EA">
        <w:rPr>
          <w:rFonts w:asciiTheme="majorHAnsi" w:hAnsiTheme="majorHAnsi" w:cstheme="majorHAnsi"/>
        </w:rPr>
        <w:t>Podrobné odůvodnění vymezení zastavitelné plochy Z</w:t>
      </w:r>
      <w:r w:rsidR="00E82842" w:rsidRPr="006070EA">
        <w:rPr>
          <w:rFonts w:asciiTheme="majorHAnsi" w:hAnsiTheme="majorHAnsi" w:cstheme="majorHAnsi"/>
        </w:rPr>
        <w:t>.</w:t>
      </w:r>
      <w:r w:rsidRPr="006070EA">
        <w:rPr>
          <w:rFonts w:asciiTheme="majorHAnsi" w:hAnsiTheme="majorHAnsi" w:cstheme="majorHAnsi"/>
        </w:rPr>
        <w:t xml:space="preserve">22 pro rozvoj veřejných prostranství, jež současně vytváří podmínky pro zvýšení prostupnosti území pro pěší a cyklisty je součástí komplexního zdůvodnění přijatého řešení a podrobně je uvedeno v kapitole 11.3.3. </w:t>
      </w:r>
    </w:p>
    <w:p w14:paraId="5B77C291" w14:textId="6FC1C85E" w:rsidR="00BD0624" w:rsidRPr="007F6EAE" w:rsidRDefault="00BD0624" w:rsidP="00BD0624">
      <w:pPr>
        <w:pStyle w:val="Atext"/>
        <w:spacing w:before="0"/>
        <w:ind w:firstLine="0"/>
        <w:rPr>
          <w:rFonts w:asciiTheme="majorHAnsi" w:hAnsiTheme="majorHAnsi" w:cstheme="majorHAnsi"/>
          <w:i/>
          <w:iCs w:val="0"/>
        </w:rPr>
      </w:pPr>
      <w:r w:rsidRPr="007F6EAE">
        <w:rPr>
          <w:rFonts w:asciiTheme="majorHAnsi" w:hAnsiTheme="majorHAnsi" w:cstheme="majorHAnsi"/>
          <w:i/>
          <w:iCs w:val="0"/>
        </w:rPr>
        <w:t xml:space="preserve">Odůvodnění vymezení </w:t>
      </w:r>
      <w:r w:rsidR="00AB20AC" w:rsidRPr="007F6EAE">
        <w:rPr>
          <w:rFonts w:asciiTheme="majorHAnsi" w:hAnsiTheme="majorHAnsi" w:cstheme="majorHAnsi"/>
          <w:i/>
          <w:iCs w:val="0"/>
        </w:rPr>
        <w:t xml:space="preserve">koridoru nemotorové dopravy </w:t>
      </w:r>
      <w:r w:rsidR="00E82842" w:rsidRPr="007F6EAE">
        <w:rPr>
          <w:rFonts w:asciiTheme="majorHAnsi" w:hAnsiTheme="majorHAnsi" w:cstheme="majorHAnsi"/>
          <w:i/>
          <w:iCs w:val="0"/>
        </w:rPr>
        <w:t>CNU.</w:t>
      </w:r>
      <w:r w:rsidR="00AB20AC" w:rsidRPr="007F6EAE">
        <w:rPr>
          <w:rFonts w:asciiTheme="majorHAnsi" w:hAnsiTheme="majorHAnsi" w:cstheme="majorHAnsi"/>
          <w:i/>
          <w:iCs w:val="0"/>
        </w:rPr>
        <w:t>KDN1 a trasy (směru) cyklotrasy / cyklostezky</w:t>
      </w:r>
    </w:p>
    <w:p w14:paraId="1C7022AC" w14:textId="1A172166" w:rsidR="007300BE" w:rsidRPr="006070EA" w:rsidRDefault="0003001F" w:rsidP="0003001F">
      <w:pPr>
        <w:spacing w:after="60" w:line="240" w:lineRule="auto"/>
        <w:jc w:val="both"/>
        <w:rPr>
          <w:rFonts w:asciiTheme="majorHAnsi" w:hAnsiTheme="majorHAnsi" w:cstheme="majorHAnsi"/>
          <w:sz w:val="18"/>
        </w:rPr>
      </w:pPr>
      <w:r w:rsidRPr="006070EA">
        <w:rPr>
          <w:rFonts w:asciiTheme="majorHAnsi" w:hAnsiTheme="majorHAnsi" w:cstheme="majorHAnsi"/>
          <w:i/>
          <w:sz w:val="18"/>
        </w:rPr>
        <w:tab/>
      </w:r>
      <w:r w:rsidRPr="006070EA">
        <w:rPr>
          <w:rFonts w:asciiTheme="majorHAnsi" w:hAnsiTheme="majorHAnsi" w:cstheme="majorHAnsi"/>
          <w:sz w:val="18"/>
        </w:rPr>
        <w:t>Evidované značené cyklotrasy v řešeném území jsou územním plánem respektovány a stabilizovány v rámci dopravního systému území</w:t>
      </w:r>
      <w:r w:rsidR="00AB20AC" w:rsidRPr="006070EA">
        <w:rPr>
          <w:rFonts w:asciiTheme="majorHAnsi" w:hAnsiTheme="majorHAnsi" w:cstheme="majorHAnsi"/>
          <w:sz w:val="18"/>
        </w:rPr>
        <w:t xml:space="preserve"> (v rámci jednotlivých ploch s rozdílným způsobem využití) a současně jsou graficky znázorněny liniovými prvky v koordinačním výkrese grafické části odůvodnění územního plánu</w:t>
      </w:r>
      <w:r w:rsidRPr="006070EA">
        <w:rPr>
          <w:rFonts w:asciiTheme="majorHAnsi" w:hAnsiTheme="majorHAnsi" w:cstheme="majorHAnsi"/>
          <w:sz w:val="18"/>
        </w:rPr>
        <w:t xml:space="preserve">. Za účelem rozvoje cyklodopravy v řešeném území je územním plánem </w:t>
      </w:r>
      <w:r w:rsidRPr="006070EA">
        <w:rPr>
          <w:rFonts w:asciiTheme="majorHAnsi" w:hAnsiTheme="majorHAnsi" w:cstheme="majorHAnsi"/>
          <w:b/>
          <w:bCs/>
          <w:sz w:val="18"/>
        </w:rPr>
        <w:t>vymezen</w:t>
      </w:r>
      <w:r w:rsidR="00AB20AC" w:rsidRPr="006070EA">
        <w:rPr>
          <w:rFonts w:asciiTheme="majorHAnsi" w:hAnsiTheme="majorHAnsi" w:cstheme="majorHAnsi"/>
          <w:b/>
          <w:bCs/>
          <w:sz w:val="18"/>
        </w:rPr>
        <w:t>a trasa pro cyklotrasu / cyklostezku</w:t>
      </w:r>
      <w:r w:rsidR="00AB20AC" w:rsidRPr="006070EA">
        <w:rPr>
          <w:rFonts w:asciiTheme="majorHAnsi" w:hAnsiTheme="majorHAnsi" w:cstheme="majorHAnsi"/>
          <w:sz w:val="18"/>
        </w:rPr>
        <w:t xml:space="preserve"> přes řeku Labe, navazující na stabilizovanou trasu stávající cyklotrasy. Předmětná navržená cyklotrasa současně prochází </w:t>
      </w:r>
      <w:r w:rsidR="00AB20AC" w:rsidRPr="006070EA">
        <w:rPr>
          <w:rFonts w:asciiTheme="majorHAnsi" w:hAnsiTheme="majorHAnsi" w:cstheme="majorHAnsi"/>
          <w:b/>
          <w:bCs/>
          <w:sz w:val="18"/>
        </w:rPr>
        <w:t xml:space="preserve">koridorem nemotorové dopravy </w:t>
      </w:r>
      <w:r w:rsidR="005A3C1E" w:rsidRPr="006070EA">
        <w:rPr>
          <w:rFonts w:asciiTheme="majorHAnsi" w:hAnsiTheme="majorHAnsi" w:cstheme="majorHAnsi"/>
          <w:b/>
          <w:bCs/>
          <w:sz w:val="18"/>
        </w:rPr>
        <w:t>CNU.</w:t>
      </w:r>
      <w:r w:rsidR="00AB20AC" w:rsidRPr="006070EA">
        <w:rPr>
          <w:rFonts w:asciiTheme="majorHAnsi" w:hAnsiTheme="majorHAnsi" w:cstheme="majorHAnsi"/>
          <w:b/>
          <w:bCs/>
          <w:sz w:val="18"/>
        </w:rPr>
        <w:t>KDN1</w:t>
      </w:r>
      <w:r w:rsidR="00AB20AC" w:rsidRPr="006070EA">
        <w:rPr>
          <w:rFonts w:asciiTheme="majorHAnsi" w:hAnsiTheme="majorHAnsi" w:cstheme="majorHAnsi"/>
          <w:sz w:val="18"/>
        </w:rPr>
        <w:t>, vymezeným v ÚP Kostomlaty nad Labem za účelem realizace lávky přes řeku Labe pro pěší a cyklisty. Koridor</w:t>
      </w:r>
      <w:r w:rsidRPr="006070EA">
        <w:rPr>
          <w:rFonts w:asciiTheme="majorHAnsi" w:hAnsiTheme="majorHAnsi" w:cstheme="majorHAnsi"/>
          <w:sz w:val="18"/>
        </w:rPr>
        <w:t xml:space="preserve"> vytváří </w:t>
      </w:r>
      <w:r w:rsidR="00AB20AC" w:rsidRPr="006070EA">
        <w:rPr>
          <w:rFonts w:asciiTheme="majorHAnsi" w:hAnsiTheme="majorHAnsi" w:cstheme="majorHAnsi"/>
          <w:sz w:val="18"/>
        </w:rPr>
        <w:t xml:space="preserve">současně </w:t>
      </w:r>
      <w:r w:rsidRPr="006070EA">
        <w:rPr>
          <w:rFonts w:asciiTheme="majorHAnsi" w:hAnsiTheme="majorHAnsi" w:cstheme="majorHAnsi"/>
          <w:sz w:val="18"/>
        </w:rPr>
        <w:t xml:space="preserve">podmínky pro realizaci </w:t>
      </w:r>
      <w:r w:rsidR="00BD0624" w:rsidRPr="006070EA">
        <w:rPr>
          <w:rFonts w:asciiTheme="majorHAnsi" w:hAnsiTheme="majorHAnsi" w:cstheme="majorHAnsi"/>
          <w:sz w:val="18"/>
        </w:rPr>
        <w:t>cyklotras</w:t>
      </w:r>
      <w:r w:rsidR="00AB20AC" w:rsidRPr="006070EA">
        <w:rPr>
          <w:rFonts w:asciiTheme="majorHAnsi" w:hAnsiTheme="majorHAnsi" w:cstheme="majorHAnsi"/>
          <w:sz w:val="18"/>
        </w:rPr>
        <w:t>y</w:t>
      </w:r>
      <w:r w:rsidR="00BD0624" w:rsidRPr="006070EA">
        <w:rPr>
          <w:rFonts w:asciiTheme="majorHAnsi" w:hAnsiTheme="majorHAnsi" w:cstheme="majorHAnsi"/>
          <w:sz w:val="18"/>
        </w:rPr>
        <w:t xml:space="preserve"> (příp. cyklostezk</w:t>
      </w:r>
      <w:r w:rsidR="00AB20AC" w:rsidRPr="006070EA">
        <w:rPr>
          <w:rFonts w:asciiTheme="majorHAnsi" w:hAnsiTheme="majorHAnsi" w:cstheme="majorHAnsi"/>
          <w:sz w:val="18"/>
        </w:rPr>
        <w:t>y</w:t>
      </w:r>
      <w:r w:rsidR="00BD0624" w:rsidRPr="006070EA">
        <w:rPr>
          <w:rFonts w:asciiTheme="majorHAnsi" w:hAnsiTheme="majorHAnsi" w:cstheme="majorHAnsi"/>
          <w:sz w:val="18"/>
        </w:rPr>
        <w:t>)</w:t>
      </w:r>
      <w:r w:rsidRPr="006070EA">
        <w:rPr>
          <w:rFonts w:asciiTheme="majorHAnsi" w:hAnsiTheme="majorHAnsi" w:cstheme="majorHAnsi"/>
          <w:sz w:val="18"/>
        </w:rPr>
        <w:t xml:space="preserve">, propojující řešené území se </w:t>
      </w:r>
      <w:r w:rsidR="00AB20AC" w:rsidRPr="006070EA">
        <w:rPr>
          <w:rFonts w:asciiTheme="majorHAnsi" w:hAnsiTheme="majorHAnsi" w:cstheme="majorHAnsi"/>
          <w:sz w:val="18"/>
        </w:rPr>
        <w:t>sousední obcí Hradištko</w:t>
      </w:r>
      <w:r w:rsidRPr="006070EA">
        <w:rPr>
          <w:rFonts w:asciiTheme="majorHAnsi" w:hAnsiTheme="majorHAnsi" w:cstheme="majorHAnsi"/>
          <w:sz w:val="18"/>
        </w:rPr>
        <w:t>.</w:t>
      </w:r>
      <w:r w:rsidR="00AB20AC" w:rsidRPr="006070EA">
        <w:rPr>
          <w:rFonts w:asciiTheme="majorHAnsi" w:hAnsiTheme="majorHAnsi" w:cstheme="majorHAnsi"/>
          <w:sz w:val="18"/>
        </w:rPr>
        <w:t xml:space="preserve"> Vymezení koridoru </w:t>
      </w:r>
      <w:r w:rsidR="005A3C1E" w:rsidRPr="006070EA">
        <w:rPr>
          <w:rFonts w:asciiTheme="majorHAnsi" w:hAnsiTheme="majorHAnsi" w:cstheme="majorHAnsi"/>
          <w:sz w:val="18"/>
        </w:rPr>
        <w:t>CNU.</w:t>
      </w:r>
      <w:r w:rsidR="00AB20AC" w:rsidRPr="006070EA">
        <w:rPr>
          <w:rFonts w:asciiTheme="majorHAnsi" w:hAnsiTheme="majorHAnsi" w:cstheme="majorHAnsi"/>
          <w:sz w:val="18"/>
        </w:rPr>
        <w:t>KDN1 i trasy (směru) cyklotrasy / cyklostezky reaguje současně na záměr k prověření v územním plánu, identifikovaný v rámci etapy doplňujících průzkumů a rozborů a zahrnutý v zadání ÚP Kostomlaty nad Labem (viz kapitola 9 tohoto odůvodnění) – „Lávka pro pěší a cyklisty přes Labe mezi Kostomlaty nad Labem a Hradištkem“. Vymezení koridoru i navrženého směru cyklotrasy / cyklostezky rovněž souvisí s vysokou rekreační atraktivitou řeky Labe.</w:t>
      </w:r>
    </w:p>
    <w:p w14:paraId="04BBDE47" w14:textId="4BECBFC1" w:rsidR="00043B66" w:rsidRPr="006070EA" w:rsidRDefault="00043B66" w:rsidP="0003001F">
      <w:pPr>
        <w:spacing w:after="60" w:line="240" w:lineRule="auto"/>
        <w:jc w:val="both"/>
        <w:rPr>
          <w:rFonts w:asciiTheme="majorHAnsi" w:hAnsiTheme="majorHAnsi" w:cstheme="majorHAnsi"/>
          <w:sz w:val="18"/>
        </w:rPr>
      </w:pPr>
      <w:r w:rsidRPr="006070EA">
        <w:rPr>
          <w:rFonts w:asciiTheme="majorHAnsi" w:hAnsiTheme="majorHAnsi" w:cstheme="majorHAnsi"/>
          <w:sz w:val="18"/>
        </w:rPr>
        <w:tab/>
        <w:t xml:space="preserve">Záměr realizace lávky přes řeku Labe pro pěší a cyklisty (v rámci koridoru </w:t>
      </w:r>
      <w:r w:rsidR="005A3C1E" w:rsidRPr="006070EA">
        <w:rPr>
          <w:rFonts w:asciiTheme="majorHAnsi" w:hAnsiTheme="majorHAnsi" w:cstheme="majorHAnsi"/>
          <w:sz w:val="18"/>
        </w:rPr>
        <w:t>CNU.</w:t>
      </w:r>
      <w:r w:rsidRPr="006070EA">
        <w:rPr>
          <w:rFonts w:asciiTheme="majorHAnsi" w:hAnsiTheme="majorHAnsi" w:cstheme="majorHAnsi"/>
          <w:sz w:val="18"/>
        </w:rPr>
        <w:t>KDN1) byl již projednán se Správou Labe, s. p. K záměru byla vydána stanoviska Povodí Labe, s. p.  č. j. PLa/2020/052338 ze dne 8. 1. 2021 a č. j. PLa/2022/025108 ze dne 23. 6. 2022.</w:t>
      </w:r>
    </w:p>
    <w:p w14:paraId="1C212DC9" w14:textId="69318DE2" w:rsidR="0013478F" w:rsidRPr="006070EA" w:rsidRDefault="0013478F" w:rsidP="007832F6">
      <w:pPr>
        <w:keepNext/>
        <w:shd w:val="clear" w:color="auto" w:fill="F2F2F2" w:themeFill="background1" w:themeFillShade="F2"/>
        <w:spacing w:before="120" w:after="120" w:line="240" w:lineRule="auto"/>
        <w:rPr>
          <w:rFonts w:asciiTheme="majorHAnsi" w:hAnsiTheme="majorHAnsi" w:cstheme="majorHAnsi"/>
          <w:b/>
          <w:sz w:val="20"/>
        </w:rPr>
      </w:pPr>
      <w:r w:rsidRPr="006070EA">
        <w:rPr>
          <w:rFonts w:asciiTheme="majorHAnsi" w:hAnsiTheme="majorHAnsi" w:cstheme="majorHAnsi"/>
          <w:b/>
          <w:sz w:val="20"/>
        </w:rPr>
        <w:t>Letecká doprava</w:t>
      </w:r>
      <w:r w:rsidR="007832F6" w:rsidRPr="006070EA">
        <w:rPr>
          <w:rFonts w:asciiTheme="majorHAnsi" w:hAnsiTheme="majorHAnsi" w:cstheme="majorHAnsi"/>
          <w:b/>
          <w:sz w:val="20"/>
        </w:rPr>
        <w:t xml:space="preserve"> a rekreační létání</w:t>
      </w:r>
    </w:p>
    <w:p w14:paraId="3FE64B31" w14:textId="1421E313" w:rsidR="0013478F" w:rsidRPr="006070EA" w:rsidRDefault="0013478F" w:rsidP="0013478F">
      <w:pPr>
        <w:pStyle w:val="Atext"/>
        <w:rPr>
          <w:rFonts w:asciiTheme="majorHAnsi" w:hAnsiTheme="majorHAnsi" w:cstheme="majorHAnsi"/>
          <w:color w:val="000000"/>
        </w:rPr>
      </w:pPr>
      <w:r w:rsidRPr="006070EA">
        <w:rPr>
          <w:rFonts w:asciiTheme="majorHAnsi" w:hAnsiTheme="majorHAnsi" w:cstheme="majorHAnsi"/>
          <w:color w:val="000000"/>
        </w:rPr>
        <w:t>V rámci správního území obce Kostomlaty nad Labem se nenacházejí žádná letiště ani letecké stavby. Do řešeného území zasahuje ochranné pásmo OP radaru Kbely zajišťující letecký provoz</w:t>
      </w:r>
      <w:r w:rsidR="007832F6" w:rsidRPr="006070EA">
        <w:rPr>
          <w:rFonts w:asciiTheme="majorHAnsi" w:hAnsiTheme="majorHAnsi" w:cstheme="majorHAnsi"/>
          <w:color w:val="000000"/>
        </w:rPr>
        <w:t>, které je respektováno jako limit využití území a</w:t>
      </w:r>
      <w:r w:rsidR="005A3C1E" w:rsidRPr="006070EA">
        <w:rPr>
          <w:rFonts w:asciiTheme="majorHAnsi" w:hAnsiTheme="majorHAnsi" w:cstheme="majorHAnsi"/>
          <w:color w:val="000000"/>
        </w:rPr>
        <w:t> </w:t>
      </w:r>
      <w:r w:rsidR="007832F6" w:rsidRPr="006070EA">
        <w:rPr>
          <w:rFonts w:asciiTheme="majorHAnsi" w:hAnsiTheme="majorHAnsi" w:cstheme="majorHAnsi"/>
          <w:color w:val="000000"/>
        </w:rPr>
        <w:t>zakresleno v koordinačním výkrese grafické části odůvodnění</w:t>
      </w:r>
      <w:r w:rsidRPr="006070EA">
        <w:rPr>
          <w:rFonts w:asciiTheme="majorHAnsi" w:hAnsiTheme="majorHAnsi" w:cstheme="majorHAnsi"/>
          <w:color w:val="000000"/>
        </w:rPr>
        <w:t>.</w:t>
      </w:r>
      <w:r w:rsidR="007832F6" w:rsidRPr="006070EA">
        <w:rPr>
          <w:rFonts w:asciiTheme="majorHAnsi" w:hAnsiTheme="majorHAnsi" w:cstheme="majorHAnsi"/>
          <w:color w:val="000000"/>
        </w:rPr>
        <w:t xml:space="preserve"> </w:t>
      </w:r>
      <w:r w:rsidRPr="006070EA">
        <w:rPr>
          <w:rFonts w:asciiTheme="majorHAnsi" w:hAnsiTheme="majorHAnsi" w:cstheme="majorHAnsi"/>
          <w:color w:val="000000"/>
        </w:rPr>
        <w:t xml:space="preserve"> </w:t>
      </w:r>
    </w:p>
    <w:p w14:paraId="74A9929E" w14:textId="117813D9" w:rsidR="007832F6" w:rsidRPr="006070EA" w:rsidRDefault="007832F6" w:rsidP="0013478F">
      <w:pPr>
        <w:pStyle w:val="Atext"/>
        <w:rPr>
          <w:rFonts w:asciiTheme="majorHAnsi" w:hAnsiTheme="majorHAnsi" w:cstheme="majorHAnsi"/>
          <w:color w:val="000000"/>
        </w:rPr>
      </w:pPr>
      <w:r w:rsidRPr="006070EA">
        <w:rPr>
          <w:rFonts w:asciiTheme="majorHAnsi" w:hAnsiTheme="majorHAnsi" w:cstheme="majorHAnsi"/>
          <w:color w:val="000000"/>
        </w:rPr>
        <w:t xml:space="preserve">Ve vazbě na uplatněný požadavek na změnu využití území (viz kapitola 10.5) územní plán vytváří podmínky pro realizaci sportovního letiště pro letecké modely, a to v rámci stanovených podmínek využití ploch smíšených nezastavěného území – </w:t>
      </w:r>
      <w:r w:rsidR="005A3C1E" w:rsidRPr="006070EA">
        <w:rPr>
          <w:rFonts w:asciiTheme="majorHAnsi" w:hAnsiTheme="majorHAnsi" w:cstheme="majorHAnsi"/>
          <w:color w:val="000000"/>
        </w:rPr>
        <w:t>sportovní využití</w:t>
      </w:r>
      <w:r w:rsidRPr="006070EA">
        <w:rPr>
          <w:rFonts w:asciiTheme="majorHAnsi" w:hAnsiTheme="majorHAnsi" w:cstheme="majorHAnsi"/>
          <w:color w:val="000000"/>
        </w:rPr>
        <w:t xml:space="preserve"> (</w:t>
      </w:r>
      <w:r w:rsidR="005A3C1E" w:rsidRPr="006070EA">
        <w:rPr>
          <w:rFonts w:asciiTheme="majorHAnsi" w:hAnsiTheme="majorHAnsi" w:cstheme="majorHAnsi"/>
          <w:color w:val="000000"/>
        </w:rPr>
        <w:t>MU.s</w:t>
      </w:r>
      <w:r w:rsidRPr="006070EA">
        <w:rPr>
          <w:rFonts w:asciiTheme="majorHAnsi" w:hAnsiTheme="majorHAnsi" w:cstheme="majorHAnsi"/>
          <w:color w:val="000000"/>
        </w:rPr>
        <w:t>).</w:t>
      </w:r>
    </w:p>
    <w:p w14:paraId="00DF621C" w14:textId="03E24F95" w:rsidR="0013478F" w:rsidRPr="006070EA" w:rsidRDefault="007832F6" w:rsidP="007832F6">
      <w:pPr>
        <w:keepNext/>
        <w:shd w:val="clear" w:color="auto" w:fill="F2F2F2" w:themeFill="background1" w:themeFillShade="F2"/>
        <w:spacing w:before="120" w:after="120" w:line="240" w:lineRule="auto"/>
        <w:rPr>
          <w:rFonts w:asciiTheme="majorHAnsi" w:hAnsiTheme="majorHAnsi" w:cstheme="majorHAnsi"/>
          <w:b/>
          <w:sz w:val="20"/>
        </w:rPr>
      </w:pPr>
      <w:r w:rsidRPr="006070EA">
        <w:rPr>
          <w:rFonts w:asciiTheme="majorHAnsi" w:hAnsiTheme="majorHAnsi" w:cstheme="majorHAnsi"/>
          <w:b/>
          <w:sz w:val="20"/>
        </w:rPr>
        <w:t>Doprava vodní</w:t>
      </w:r>
    </w:p>
    <w:p w14:paraId="3B6183AE" w14:textId="6C4F979F" w:rsidR="00E939E5" w:rsidRPr="006070EA" w:rsidRDefault="00E939E5" w:rsidP="00E939E5">
      <w:pPr>
        <w:pStyle w:val="Atext"/>
        <w:keepNext/>
        <w:ind w:firstLine="0"/>
        <w:jc w:val="right"/>
        <w:rPr>
          <w:rFonts w:asciiTheme="majorHAnsi" w:hAnsiTheme="majorHAnsi" w:cstheme="majorHAnsi"/>
          <w:i/>
          <w:snapToGrid w:val="0"/>
          <w:u w:val="single"/>
        </w:rPr>
      </w:pPr>
      <w:r w:rsidRPr="006070EA">
        <w:rPr>
          <w:rFonts w:asciiTheme="majorHAnsi" w:hAnsiTheme="majorHAnsi" w:cstheme="majorHAnsi"/>
          <w:i/>
          <w:snapToGrid w:val="0"/>
          <w:u w:val="single"/>
        </w:rPr>
        <w:t xml:space="preserve">Odůvodnění odst. </w:t>
      </w:r>
      <w:r w:rsidRPr="006070EA">
        <w:rPr>
          <w:rFonts w:asciiTheme="majorHAnsi" w:hAnsiTheme="majorHAnsi" w:cstheme="majorHAnsi"/>
          <w:b/>
          <w:i/>
          <w:snapToGrid w:val="0"/>
          <w:u w:val="single"/>
        </w:rPr>
        <w:t>(</w:t>
      </w:r>
      <w:r w:rsidR="007F6EAE">
        <w:rPr>
          <w:rFonts w:asciiTheme="majorHAnsi" w:hAnsiTheme="majorHAnsi" w:cstheme="majorHAnsi"/>
          <w:b/>
          <w:i/>
          <w:snapToGrid w:val="0"/>
          <w:u w:val="single"/>
        </w:rPr>
        <w:t>31</w:t>
      </w:r>
      <w:r w:rsidRPr="006070EA">
        <w:rPr>
          <w:rFonts w:asciiTheme="majorHAnsi" w:hAnsiTheme="majorHAnsi" w:cstheme="majorHAnsi"/>
          <w:b/>
          <w:i/>
          <w:snapToGrid w:val="0"/>
          <w:u w:val="single"/>
        </w:rPr>
        <w:t xml:space="preserve">) </w:t>
      </w:r>
      <w:r w:rsidRPr="006070EA">
        <w:rPr>
          <w:rFonts w:asciiTheme="majorHAnsi" w:hAnsiTheme="majorHAnsi" w:cstheme="majorHAnsi"/>
          <w:i/>
          <w:snapToGrid w:val="0"/>
          <w:u w:val="single"/>
        </w:rPr>
        <w:t>výrokové části</w:t>
      </w:r>
    </w:p>
    <w:p w14:paraId="3338322D" w14:textId="183C1A93" w:rsidR="00E939E5" w:rsidRPr="006070EA" w:rsidRDefault="00E939E5" w:rsidP="00E939E5">
      <w:pPr>
        <w:pStyle w:val="Norml"/>
        <w:rPr>
          <w:rFonts w:asciiTheme="majorHAnsi" w:hAnsiTheme="majorHAnsi" w:cstheme="majorHAnsi"/>
          <w:szCs w:val="18"/>
        </w:rPr>
      </w:pPr>
      <w:r w:rsidRPr="006070EA">
        <w:rPr>
          <w:rFonts w:asciiTheme="majorHAnsi" w:hAnsiTheme="majorHAnsi" w:cstheme="majorHAnsi"/>
          <w:szCs w:val="18"/>
        </w:rPr>
        <w:t>V souladu s ust. § 9, odst. 2 vyhl. č. 501/2006 Sb., ve znění pozdějších předpisů vodních ploch, určené pro vodní cesty, například kanály a splavněné úseky řek, pozemky nábřeží pro vodní dopravu, pozemky přístavů, zdymadel, překladišť a</w:t>
      </w:r>
      <w:r w:rsidR="00433C39" w:rsidRPr="006070EA">
        <w:rPr>
          <w:rFonts w:asciiTheme="majorHAnsi" w:hAnsiTheme="majorHAnsi" w:cstheme="majorHAnsi"/>
          <w:szCs w:val="18"/>
        </w:rPr>
        <w:t> </w:t>
      </w:r>
      <w:r w:rsidRPr="006070EA">
        <w:rPr>
          <w:rFonts w:asciiTheme="majorHAnsi" w:hAnsiTheme="majorHAnsi" w:cstheme="majorHAnsi"/>
          <w:szCs w:val="18"/>
        </w:rPr>
        <w:t xml:space="preserve">související pozemky dopravní a technické infrastruktury zahrnuty do ploch </w:t>
      </w:r>
      <w:r w:rsidR="005A3C1E" w:rsidRPr="006070EA">
        <w:rPr>
          <w:rFonts w:asciiTheme="majorHAnsi" w:hAnsiTheme="majorHAnsi" w:cstheme="majorHAnsi"/>
          <w:szCs w:val="18"/>
        </w:rPr>
        <w:t>dopravy</w:t>
      </w:r>
      <w:r w:rsidRPr="006070EA">
        <w:rPr>
          <w:rFonts w:asciiTheme="majorHAnsi" w:hAnsiTheme="majorHAnsi" w:cstheme="majorHAnsi"/>
          <w:szCs w:val="18"/>
        </w:rPr>
        <w:t xml:space="preserve"> vodní (DV). Důvodem jsou zejména její potenciální negativní vlivy, které vylučují začlenění těchto pozemků do ploch jiného způsobu využití. Dle metodiky MINIS je doporučeno u splavněných vodních toků upřednostnit jejich vodohospodářský význam a zařadit je do ploch vodních a</w:t>
      </w:r>
      <w:r w:rsidR="00433C39" w:rsidRPr="006070EA">
        <w:rPr>
          <w:rFonts w:asciiTheme="majorHAnsi" w:hAnsiTheme="majorHAnsi" w:cstheme="majorHAnsi"/>
          <w:szCs w:val="18"/>
        </w:rPr>
        <w:t> </w:t>
      </w:r>
      <w:r w:rsidRPr="006070EA">
        <w:rPr>
          <w:rFonts w:asciiTheme="majorHAnsi" w:hAnsiTheme="majorHAnsi" w:cstheme="majorHAnsi"/>
          <w:szCs w:val="18"/>
        </w:rPr>
        <w:t>vodohospodářských a v plochách dopravní infrastruktury vodní ponechat pouze např. přístavy apod. Tento princip je v</w:t>
      </w:r>
      <w:r w:rsidR="001C7E4C" w:rsidRPr="006070EA">
        <w:rPr>
          <w:rFonts w:asciiTheme="majorHAnsi" w:hAnsiTheme="majorHAnsi" w:cstheme="majorHAnsi"/>
          <w:szCs w:val="18"/>
        </w:rPr>
        <w:t> </w:t>
      </w:r>
      <w:r w:rsidRPr="006070EA">
        <w:rPr>
          <w:rFonts w:asciiTheme="majorHAnsi" w:hAnsiTheme="majorHAnsi" w:cstheme="majorHAnsi"/>
          <w:szCs w:val="18"/>
        </w:rPr>
        <w:t>ÚP</w:t>
      </w:r>
      <w:r w:rsidR="001C7E4C" w:rsidRPr="006070EA">
        <w:rPr>
          <w:rFonts w:asciiTheme="majorHAnsi" w:hAnsiTheme="majorHAnsi" w:cstheme="majorHAnsi"/>
          <w:szCs w:val="18"/>
        </w:rPr>
        <w:t> </w:t>
      </w:r>
      <w:r w:rsidRPr="006070EA">
        <w:rPr>
          <w:rFonts w:asciiTheme="majorHAnsi" w:hAnsiTheme="majorHAnsi" w:cstheme="majorHAnsi"/>
          <w:szCs w:val="18"/>
        </w:rPr>
        <w:t>Kostomlaty nad Labem jednoznačně respektován. Vodní tok – řeka Labe (jeho nezastavěné části) je zařazen do ploch vodních a vodohospodářských</w:t>
      </w:r>
      <w:r w:rsidR="001C7E4C" w:rsidRPr="006070EA">
        <w:rPr>
          <w:rFonts w:asciiTheme="majorHAnsi" w:hAnsiTheme="majorHAnsi" w:cstheme="majorHAnsi"/>
          <w:szCs w:val="18"/>
        </w:rPr>
        <w:t xml:space="preserve"> všeobecných (WU)</w:t>
      </w:r>
      <w:r w:rsidRPr="006070EA">
        <w:rPr>
          <w:rFonts w:asciiTheme="majorHAnsi" w:hAnsiTheme="majorHAnsi" w:cstheme="majorHAnsi"/>
          <w:szCs w:val="18"/>
        </w:rPr>
        <w:t xml:space="preserve">. Stavby na vodním toku (zdymadla apod.) jsou pak zařazeny do ploch </w:t>
      </w:r>
      <w:r w:rsidR="001C7E4C" w:rsidRPr="006070EA">
        <w:rPr>
          <w:rFonts w:asciiTheme="majorHAnsi" w:hAnsiTheme="majorHAnsi" w:cstheme="majorHAnsi"/>
          <w:szCs w:val="18"/>
        </w:rPr>
        <w:t>dopravy</w:t>
      </w:r>
      <w:r w:rsidRPr="006070EA">
        <w:rPr>
          <w:rFonts w:asciiTheme="majorHAnsi" w:hAnsiTheme="majorHAnsi" w:cstheme="majorHAnsi"/>
          <w:szCs w:val="18"/>
        </w:rPr>
        <w:t xml:space="preserve"> vodní (DV).</w:t>
      </w:r>
    </w:p>
    <w:p w14:paraId="296C8BA5" w14:textId="4F769802" w:rsidR="007832F6" w:rsidRPr="006070EA" w:rsidRDefault="0013478F" w:rsidP="0013478F">
      <w:pPr>
        <w:pStyle w:val="Atext"/>
        <w:rPr>
          <w:rFonts w:asciiTheme="majorHAnsi" w:hAnsiTheme="majorHAnsi" w:cstheme="majorHAnsi"/>
          <w:color w:val="000000"/>
        </w:rPr>
      </w:pPr>
      <w:r w:rsidRPr="006070EA">
        <w:rPr>
          <w:rFonts w:asciiTheme="majorHAnsi" w:hAnsiTheme="majorHAnsi" w:cstheme="majorHAnsi"/>
          <w:color w:val="000000"/>
        </w:rPr>
        <w:t xml:space="preserve">Vodní doprava v současné době </w:t>
      </w:r>
      <w:r w:rsidR="007832F6" w:rsidRPr="006070EA">
        <w:rPr>
          <w:rFonts w:asciiTheme="majorHAnsi" w:hAnsiTheme="majorHAnsi" w:cstheme="majorHAnsi"/>
          <w:color w:val="000000"/>
        </w:rPr>
        <w:t>nemá zásadní</w:t>
      </w:r>
      <w:r w:rsidRPr="006070EA">
        <w:rPr>
          <w:rFonts w:asciiTheme="majorHAnsi" w:hAnsiTheme="majorHAnsi" w:cstheme="majorHAnsi"/>
          <w:color w:val="000000"/>
        </w:rPr>
        <w:t xml:space="preserve"> dopravní význam v porovnáni se silniční či železniční dopravou. </w:t>
      </w:r>
      <w:r w:rsidR="007832F6" w:rsidRPr="006070EA">
        <w:rPr>
          <w:rFonts w:asciiTheme="majorHAnsi" w:hAnsiTheme="majorHAnsi" w:cstheme="majorHAnsi"/>
          <w:color w:val="000000"/>
        </w:rPr>
        <w:t>Přesto je nezbytné zohlednit polohu obce na největší české řece Labe a s tím spojené požadavky na rozvoj vodní dopravy</w:t>
      </w:r>
      <w:r w:rsidR="00A8638F" w:rsidRPr="006070EA">
        <w:rPr>
          <w:rFonts w:asciiTheme="majorHAnsi" w:hAnsiTheme="majorHAnsi" w:cstheme="majorHAnsi"/>
          <w:color w:val="000000"/>
        </w:rPr>
        <w:t>, konkrétně v souvislosti s požadavky na rozvoj Labské vodní cesty (viz PUR ČR)</w:t>
      </w:r>
      <w:r w:rsidR="007832F6" w:rsidRPr="006070EA">
        <w:rPr>
          <w:rFonts w:asciiTheme="majorHAnsi" w:hAnsiTheme="majorHAnsi" w:cstheme="majorHAnsi"/>
          <w:color w:val="000000"/>
        </w:rPr>
        <w:t xml:space="preserve">. </w:t>
      </w:r>
    </w:p>
    <w:p w14:paraId="40787B4F" w14:textId="2D890AF7" w:rsidR="00A8638F" w:rsidRPr="006070EA" w:rsidRDefault="00A8638F" w:rsidP="00A8638F">
      <w:pPr>
        <w:pStyle w:val="Atext"/>
        <w:rPr>
          <w:rFonts w:asciiTheme="majorHAnsi" w:hAnsiTheme="majorHAnsi" w:cstheme="majorHAnsi"/>
          <w:color w:val="000000"/>
        </w:rPr>
      </w:pPr>
      <w:r w:rsidRPr="006070EA">
        <w:rPr>
          <w:rFonts w:asciiTheme="majorHAnsi" w:hAnsiTheme="majorHAnsi" w:cstheme="majorHAnsi"/>
          <w:color w:val="000000"/>
        </w:rPr>
        <w:t>Klasifikace a jednotlivé zatřídění úseků Labské vodní cesty je dáno mezinárodními dohodami a pro úpravy těchto tras byly také zpracovány potřebné podklady (Generel splavnění Labe a Vltavy, Vodní cesty a.s. 2002-2003), které řešily nezbytné úpravy vodních cest, a to jednak úpravy související s dodržením doporučovaných směrových oblouků a dále týkajících se přestaveb jednotlivých plavebních komor či výstavby nových druhých komor. Z hlediska současného využívání vodních cest a</w:t>
      </w:r>
      <w:r w:rsidR="001C7E4C" w:rsidRPr="006070EA">
        <w:rPr>
          <w:rFonts w:asciiTheme="majorHAnsi" w:hAnsiTheme="majorHAnsi" w:cstheme="majorHAnsi"/>
          <w:color w:val="000000"/>
        </w:rPr>
        <w:t> </w:t>
      </w:r>
      <w:r w:rsidRPr="006070EA">
        <w:rPr>
          <w:rFonts w:asciiTheme="majorHAnsi" w:hAnsiTheme="majorHAnsi" w:cstheme="majorHAnsi"/>
          <w:color w:val="000000"/>
        </w:rPr>
        <w:t>s</w:t>
      </w:r>
      <w:r w:rsidR="001C7E4C" w:rsidRPr="006070EA">
        <w:rPr>
          <w:rFonts w:asciiTheme="majorHAnsi" w:hAnsiTheme="majorHAnsi" w:cstheme="majorHAnsi"/>
          <w:color w:val="000000"/>
        </w:rPr>
        <w:t> </w:t>
      </w:r>
      <w:r w:rsidRPr="006070EA">
        <w:rPr>
          <w:rFonts w:asciiTheme="majorHAnsi" w:hAnsiTheme="majorHAnsi" w:cstheme="majorHAnsi"/>
          <w:color w:val="000000"/>
        </w:rPr>
        <w:t>ohledem na značné investiční nároky přestavby vodní cesty na cílovou kategorii je z časového hlediska značně dlouhodobým záměrem.</w:t>
      </w:r>
    </w:p>
    <w:p w14:paraId="4744C0B7" w14:textId="571AF172" w:rsidR="007832F6" w:rsidRPr="006070EA" w:rsidRDefault="007832F6" w:rsidP="007832F6">
      <w:pPr>
        <w:pStyle w:val="Atext"/>
        <w:rPr>
          <w:rFonts w:asciiTheme="majorHAnsi" w:hAnsiTheme="majorHAnsi" w:cstheme="majorHAnsi"/>
          <w:szCs w:val="18"/>
        </w:rPr>
      </w:pPr>
      <w:r w:rsidRPr="006070EA">
        <w:rPr>
          <w:rFonts w:asciiTheme="majorHAnsi" w:hAnsiTheme="majorHAnsi" w:cstheme="majorHAnsi"/>
          <w:szCs w:val="18"/>
        </w:rPr>
        <w:lastRenderedPageBreak/>
        <w:t xml:space="preserve">Na Labské vodní cestě je v úseku státní hranice </w:t>
      </w:r>
      <w:r w:rsidR="00A8638F" w:rsidRPr="006070EA">
        <w:rPr>
          <w:rFonts w:asciiTheme="majorHAnsi" w:hAnsiTheme="majorHAnsi" w:cstheme="majorHAnsi"/>
          <w:szCs w:val="18"/>
        </w:rPr>
        <w:t>–</w:t>
      </w:r>
      <w:r w:rsidRPr="006070EA">
        <w:rPr>
          <w:rFonts w:asciiTheme="majorHAnsi" w:hAnsiTheme="majorHAnsi" w:cstheme="majorHAnsi"/>
          <w:szCs w:val="18"/>
        </w:rPr>
        <w:t xml:space="preserve"> Mělník uvažováno s třídou Vb. Od Mělníka ve vazbě na záměry na území Pardubického kraje se uvažuje se splavněním Labe do Pardubic na třídu Va (výhledově Vb) podle mezinárodní klasifikace. </w:t>
      </w:r>
      <w:r w:rsidR="00A8638F" w:rsidRPr="006070EA">
        <w:rPr>
          <w:rFonts w:asciiTheme="majorHAnsi" w:hAnsiTheme="majorHAnsi" w:cstheme="majorHAnsi"/>
          <w:szCs w:val="18"/>
        </w:rPr>
        <w:t xml:space="preserve">Úsek Mělník – Pardubice zahrnuje také řešené území obce Kostomlaty nad Labem. </w:t>
      </w:r>
      <w:r w:rsidRPr="006070EA">
        <w:rPr>
          <w:rFonts w:asciiTheme="majorHAnsi" w:hAnsiTheme="majorHAnsi" w:cstheme="majorHAnsi"/>
          <w:szCs w:val="18"/>
        </w:rPr>
        <w:t xml:space="preserve">Tato vodní cesta je podle Evropské dohody o hlavních vnitrozemských vodních cestách mezinárodního významu (AGN) označena E-20. Z hlediska současného využívání této vodní cesty a s ohledem na značné investiční nároky je však přestavba vodní cesty na cílovou kategorii z časového hlediska dlouhodobým záměrem. Z PÚR ČR ani ZÚR SK nevyplývají žádné požadavky. PÚR ČR pouze ukládá prověřit reálnost a účelnost splavnění a potřebu zlepšování parametrů vodní cesty a prověřit minimalizaci dopadů na životní prostředí. </w:t>
      </w:r>
    </w:p>
    <w:p w14:paraId="33A21096" w14:textId="77777777" w:rsidR="007832F6" w:rsidRPr="006070EA" w:rsidRDefault="007832F6" w:rsidP="007832F6">
      <w:pPr>
        <w:pStyle w:val="Norml"/>
        <w:ind w:left="1701" w:hanging="1701"/>
        <w:rPr>
          <w:rFonts w:asciiTheme="majorHAnsi" w:hAnsiTheme="majorHAnsi" w:cstheme="majorHAnsi"/>
          <w:szCs w:val="18"/>
        </w:rPr>
      </w:pPr>
      <w:r w:rsidRPr="006070EA">
        <w:rPr>
          <w:rFonts w:asciiTheme="majorHAnsi" w:hAnsiTheme="majorHAnsi" w:cstheme="majorHAnsi"/>
          <w:b/>
          <w:szCs w:val="18"/>
        </w:rPr>
        <w:t>Labská vodní cesta</w:t>
      </w:r>
      <w:r w:rsidRPr="006070EA">
        <w:rPr>
          <w:rFonts w:asciiTheme="majorHAnsi" w:hAnsiTheme="majorHAnsi" w:cstheme="majorHAnsi"/>
          <w:b/>
          <w:szCs w:val="18"/>
        </w:rPr>
        <w:tab/>
      </w:r>
      <w:r w:rsidRPr="006070EA">
        <w:rPr>
          <w:rFonts w:asciiTheme="majorHAnsi" w:hAnsiTheme="majorHAnsi" w:cstheme="majorHAnsi"/>
          <w:szCs w:val="18"/>
        </w:rPr>
        <w:t xml:space="preserve">Pardubice (0 km) - Chvaletice (P) - Kolín (P) - Poděbrady - Nymburk (P) - Lysá nad Labem - Brandýs nad Labem - Kostelec nad Labem (P) - </w:t>
      </w:r>
      <w:r w:rsidRPr="006070EA">
        <w:rPr>
          <w:rFonts w:asciiTheme="majorHAnsi" w:hAnsiTheme="majorHAnsi" w:cstheme="majorHAnsi"/>
          <w:szCs w:val="18"/>
          <w:u w:val="single"/>
        </w:rPr>
        <w:t>Mělník (P, 133 km)</w:t>
      </w:r>
      <w:r w:rsidRPr="006070EA">
        <w:rPr>
          <w:rFonts w:asciiTheme="majorHAnsi" w:hAnsiTheme="majorHAnsi" w:cstheme="majorHAnsi"/>
          <w:szCs w:val="18"/>
        </w:rPr>
        <w:t xml:space="preserve"> - Roudnice nad Labem - Lovosice (P) - Ústí nad Labem, Vaňov (P) - Ústí nad Labem, Krásné Březno (P) - Děčín, Rozbělesy (P) - Děčín, Loubí (P) - hraniční přechod Hřensko/Schöna (CZ/D, 241 km) - dále po řece Elbe přes Drážďany a Magdeburg do Hamburku (967 km) s ústím do Severního moře</w:t>
      </w:r>
    </w:p>
    <w:p w14:paraId="3A0C2A9B" w14:textId="652AA80F" w:rsidR="00E939E5" w:rsidRPr="00A76411" w:rsidRDefault="00E939E5" w:rsidP="00E939E5">
      <w:pPr>
        <w:pStyle w:val="Atext"/>
        <w:keepNext/>
        <w:ind w:firstLine="0"/>
        <w:jc w:val="right"/>
        <w:rPr>
          <w:rFonts w:asciiTheme="majorHAnsi" w:hAnsiTheme="majorHAnsi" w:cstheme="majorHAnsi"/>
          <w:i/>
          <w:snapToGrid w:val="0"/>
          <w:u w:val="single"/>
        </w:rPr>
      </w:pPr>
      <w:r w:rsidRPr="00A76411">
        <w:rPr>
          <w:rFonts w:asciiTheme="majorHAnsi" w:hAnsiTheme="majorHAnsi" w:cstheme="majorHAnsi"/>
          <w:i/>
          <w:snapToGrid w:val="0"/>
          <w:u w:val="single"/>
        </w:rPr>
        <w:t xml:space="preserve">Odůvodnění odst. </w:t>
      </w:r>
      <w:r w:rsidRPr="00A76411">
        <w:rPr>
          <w:rFonts w:asciiTheme="majorHAnsi" w:hAnsiTheme="majorHAnsi" w:cstheme="majorHAnsi"/>
          <w:b/>
          <w:i/>
          <w:snapToGrid w:val="0"/>
          <w:u w:val="single"/>
        </w:rPr>
        <w:t>(3</w:t>
      </w:r>
      <w:r w:rsidR="007F6EAE" w:rsidRPr="00A76411">
        <w:rPr>
          <w:rFonts w:asciiTheme="majorHAnsi" w:hAnsiTheme="majorHAnsi" w:cstheme="majorHAnsi"/>
          <w:b/>
          <w:i/>
          <w:snapToGrid w:val="0"/>
          <w:u w:val="single"/>
        </w:rPr>
        <w:t>2</w:t>
      </w:r>
      <w:r w:rsidRPr="00A76411">
        <w:rPr>
          <w:rFonts w:asciiTheme="majorHAnsi" w:hAnsiTheme="majorHAnsi" w:cstheme="majorHAnsi"/>
          <w:b/>
          <w:i/>
          <w:snapToGrid w:val="0"/>
          <w:u w:val="single"/>
        </w:rPr>
        <w:t xml:space="preserve">) </w:t>
      </w:r>
      <w:r w:rsidRPr="00A76411">
        <w:rPr>
          <w:rFonts w:asciiTheme="majorHAnsi" w:hAnsiTheme="majorHAnsi" w:cstheme="majorHAnsi"/>
          <w:i/>
          <w:snapToGrid w:val="0"/>
          <w:u w:val="single"/>
        </w:rPr>
        <w:t>výrokové části</w:t>
      </w:r>
    </w:p>
    <w:p w14:paraId="04B0FE0C" w14:textId="22FC0FAB" w:rsidR="00E939E5" w:rsidRPr="00A76411" w:rsidRDefault="00E939E5" w:rsidP="00E939E5">
      <w:pPr>
        <w:pStyle w:val="Atext"/>
        <w:rPr>
          <w:rFonts w:asciiTheme="majorHAnsi" w:hAnsiTheme="majorHAnsi" w:cstheme="majorHAnsi"/>
        </w:rPr>
      </w:pPr>
      <w:r w:rsidRPr="00A76411">
        <w:rPr>
          <w:rFonts w:asciiTheme="majorHAnsi" w:hAnsiTheme="majorHAnsi" w:cstheme="majorHAnsi"/>
        </w:rPr>
        <w:t xml:space="preserve">Ve vazbě na výše uvedené a s ohledem na požadavek PÚR ČR a potřebu koordinace řešení ÚP s územně plánovací dokumentací sousedních obcí (ÚP sousední obce Kostomlátky vymezuje koridor vodní dopravy na řece Labe pro Labskou vodní cestu) vymezuje Územní plán Kostomlaty nad Labem koridor </w:t>
      </w:r>
      <w:r w:rsidR="001C7E4C" w:rsidRPr="00A76411">
        <w:rPr>
          <w:rFonts w:asciiTheme="majorHAnsi" w:hAnsiTheme="majorHAnsi" w:cstheme="majorHAnsi"/>
        </w:rPr>
        <w:t>dopravy</w:t>
      </w:r>
      <w:r w:rsidRPr="00A76411">
        <w:rPr>
          <w:rFonts w:asciiTheme="majorHAnsi" w:hAnsiTheme="majorHAnsi" w:cstheme="majorHAnsi"/>
        </w:rPr>
        <w:t xml:space="preserve"> vodní </w:t>
      </w:r>
      <w:r w:rsidR="001C7E4C" w:rsidRPr="00A76411">
        <w:rPr>
          <w:rFonts w:asciiTheme="majorHAnsi" w:hAnsiTheme="majorHAnsi" w:cstheme="majorHAnsi"/>
        </w:rPr>
        <w:t>CNZ.</w:t>
      </w:r>
      <w:r w:rsidR="007F6EAE" w:rsidRPr="00A76411">
        <w:rPr>
          <w:rFonts w:asciiTheme="majorHAnsi" w:hAnsiTheme="majorHAnsi" w:cstheme="majorHAnsi"/>
        </w:rPr>
        <w:t>VD</w:t>
      </w:r>
      <w:r w:rsidRPr="00A76411">
        <w:rPr>
          <w:rFonts w:asciiTheme="majorHAnsi" w:hAnsiTheme="majorHAnsi" w:cstheme="majorHAnsi"/>
        </w:rPr>
        <w:t xml:space="preserve">1 pro Labskou vodní cestu, a to na základě podkladu společnosti </w:t>
      </w:r>
      <w:r w:rsidRPr="00A76411">
        <w:rPr>
          <w:rFonts w:asciiTheme="majorHAnsi" w:hAnsiTheme="majorHAnsi" w:cstheme="majorHAnsi"/>
          <w:color w:val="000000"/>
        </w:rPr>
        <w:t>Vodní cesty a.s. 2002</w:t>
      </w:r>
      <w:r w:rsidRPr="00A76411">
        <w:rPr>
          <w:rFonts w:asciiTheme="majorHAnsi" w:hAnsiTheme="majorHAnsi" w:cstheme="majorHAnsi"/>
        </w:rPr>
        <w:t xml:space="preserve">. </w:t>
      </w:r>
      <w:r w:rsidR="007F6EAE" w:rsidRPr="00A76411">
        <w:rPr>
          <w:rFonts w:asciiTheme="majorHAnsi" w:hAnsiTheme="majorHAnsi" w:cstheme="majorHAnsi"/>
        </w:rPr>
        <w:t>Koridor vodní dopravy byl při posledních aktualizacích ZÚR Středočeského kraje zapracován rovněž do nadřazené územně plánovací dokumentace a v této souvislosti bylo vymezení koridoru upraveno, resp. původní vymezení koridoru v návrhu ÚP pro společné jednání a veřejné projednání bylo ve fázi úprav pro opakované veřejné projednání zredukováno tak, aby koridor nevybočoval z koridoru vymezeného v ZÚR SK, v aktuálním znění, pod ozn. VD1.</w:t>
      </w:r>
      <w:r w:rsidR="000172E3" w:rsidRPr="00A76411">
        <w:rPr>
          <w:rFonts w:asciiTheme="majorHAnsi" w:hAnsiTheme="majorHAnsi" w:cstheme="majorHAnsi"/>
        </w:rPr>
        <w:t xml:space="preserve"> V souladu s požadavkem ZÚR SK je koridor CNZ.VD1 zařazen mezi veřejně prospěšné stavby dopravní infrastruktury, pod ozn. VD.8.</w:t>
      </w:r>
    </w:p>
    <w:p w14:paraId="5E80C911" w14:textId="77777777" w:rsidR="007F6EAE" w:rsidRPr="00A76411" w:rsidRDefault="007F6EAE" w:rsidP="007F6EAE">
      <w:pPr>
        <w:spacing w:before="120" w:after="120"/>
        <w:ind w:firstLine="709"/>
        <w:jc w:val="both"/>
        <w:rPr>
          <w:rFonts w:asciiTheme="majorHAnsi" w:hAnsiTheme="majorHAnsi" w:cstheme="majorHAnsi"/>
          <w:sz w:val="18"/>
          <w:szCs w:val="18"/>
        </w:rPr>
      </w:pPr>
      <w:r w:rsidRPr="00A76411">
        <w:rPr>
          <w:rFonts w:asciiTheme="majorHAnsi" w:hAnsiTheme="majorHAnsi" w:cstheme="majorHAnsi"/>
          <w:sz w:val="18"/>
          <w:szCs w:val="18"/>
        </w:rPr>
        <w:t xml:space="preserve">Záměr koridoru vodní dopravy na řece Labi je obsaženi v Politice územního rozvoje ČR, kde je vymezen jako koridor </w:t>
      </w:r>
      <w:r w:rsidRPr="00A76411">
        <w:rPr>
          <w:rFonts w:asciiTheme="majorHAnsi" w:hAnsiTheme="majorHAnsi" w:cstheme="majorHAnsi"/>
          <w:i/>
          <w:sz w:val="18"/>
          <w:szCs w:val="18"/>
        </w:rPr>
        <w:t>VD1</w:t>
      </w:r>
      <w:r w:rsidRPr="00A76411">
        <w:rPr>
          <w:rFonts w:asciiTheme="majorHAnsi" w:hAnsiTheme="majorHAnsi" w:cstheme="majorHAnsi"/>
          <w:sz w:val="18"/>
          <w:szCs w:val="18"/>
        </w:rPr>
        <w:t xml:space="preserve">. Vztahuje se na něj článek 123, který je citován v kapitole 3.1 tohoto Odůvodnění. PÚR ČR současně s vymezením koridoru </w:t>
      </w:r>
      <w:r w:rsidRPr="00A76411">
        <w:rPr>
          <w:rFonts w:asciiTheme="majorHAnsi" w:hAnsiTheme="majorHAnsi" w:cstheme="majorHAnsi"/>
          <w:i/>
          <w:iCs/>
          <w:sz w:val="18"/>
          <w:szCs w:val="18"/>
        </w:rPr>
        <w:t>VD1</w:t>
      </w:r>
      <w:r w:rsidRPr="00A76411">
        <w:rPr>
          <w:rFonts w:asciiTheme="majorHAnsi" w:hAnsiTheme="majorHAnsi" w:cstheme="majorHAnsi"/>
          <w:sz w:val="18"/>
          <w:szCs w:val="18"/>
        </w:rPr>
        <w:t xml:space="preserve"> vymezuje také stávající plavební úsek, který je veden souběžně se zmíněným koridorem. </w:t>
      </w:r>
    </w:p>
    <w:p w14:paraId="7109B653" w14:textId="77777777" w:rsidR="007F6EAE" w:rsidRPr="00A76411" w:rsidRDefault="007F6EAE" w:rsidP="007F6EAE">
      <w:pPr>
        <w:spacing w:before="120" w:after="120"/>
        <w:ind w:firstLine="709"/>
        <w:jc w:val="both"/>
        <w:rPr>
          <w:rFonts w:asciiTheme="majorHAnsi" w:hAnsiTheme="majorHAnsi" w:cstheme="majorHAnsi"/>
          <w:sz w:val="18"/>
          <w:szCs w:val="18"/>
        </w:rPr>
      </w:pPr>
      <w:r w:rsidRPr="00A76411">
        <w:rPr>
          <w:rFonts w:asciiTheme="majorHAnsi" w:hAnsiTheme="majorHAnsi" w:cstheme="majorHAnsi"/>
          <w:sz w:val="18"/>
          <w:szCs w:val="18"/>
        </w:rPr>
        <w:t xml:space="preserve">ZÚR SK zpřesňují vymezení koridoru vodní dopravy vymezeného v PÚR, přičemž řešeného území se týká článek (130), písm. a), vymezující koridor VD1 – koridor stávající vodní cesty na Labi, úsek na území Středočeského kraje (Horní Počaply – Týnec nad Labem), včetně staveb souvisejících. </w:t>
      </w:r>
    </w:p>
    <w:p w14:paraId="0DAE6F10" w14:textId="7DF9BE62" w:rsidR="007F6EAE" w:rsidRPr="00A76411" w:rsidRDefault="007F6EAE" w:rsidP="007F6EAE">
      <w:pPr>
        <w:spacing w:before="120" w:after="120"/>
        <w:ind w:firstLine="709"/>
        <w:jc w:val="both"/>
        <w:rPr>
          <w:rFonts w:asciiTheme="majorHAnsi" w:hAnsiTheme="majorHAnsi" w:cstheme="majorHAnsi"/>
          <w:sz w:val="18"/>
          <w:szCs w:val="18"/>
        </w:rPr>
      </w:pPr>
      <w:r w:rsidRPr="00A76411">
        <w:rPr>
          <w:rFonts w:asciiTheme="majorHAnsi" w:hAnsiTheme="majorHAnsi" w:cstheme="majorHAnsi"/>
          <w:sz w:val="18"/>
          <w:szCs w:val="18"/>
        </w:rPr>
        <w:t>Labská vodní cesta je v současné době vymezena od hranice se Spolkovou republikou Německo až po Chvaletice. Od hranice SRN po Mělník ve třídě Va a z Mělníka po Chvaletice ve třídě IV. Do budoucna se počítá s úpravou Labe na kategorii Vb (klasifikace dle Přílohy č. 1 k Vyhlášce Ministerstva dopravy 222/1995 Sb., o vodních cestách, plavebním provozu v přístavech, společné havárii a dopravě nebezpečných věcí ve znění pozdějších předpisů).</w:t>
      </w:r>
    </w:p>
    <w:p w14:paraId="77E78323" w14:textId="77777777" w:rsidR="007F6EAE" w:rsidRPr="00A76411" w:rsidRDefault="007F6EAE" w:rsidP="007F6EAE">
      <w:pPr>
        <w:spacing w:before="120" w:after="120"/>
        <w:ind w:firstLine="709"/>
        <w:jc w:val="both"/>
        <w:rPr>
          <w:rFonts w:asciiTheme="majorHAnsi" w:hAnsiTheme="majorHAnsi" w:cstheme="majorHAnsi"/>
          <w:sz w:val="18"/>
          <w:szCs w:val="18"/>
        </w:rPr>
      </w:pPr>
      <w:r w:rsidRPr="00A76411">
        <w:rPr>
          <w:rFonts w:asciiTheme="majorHAnsi" w:hAnsiTheme="majorHAnsi" w:cstheme="majorHAnsi"/>
          <w:sz w:val="18"/>
          <w:szCs w:val="18"/>
        </w:rPr>
        <w:t xml:space="preserve">Koridor je vymezen rovněž z důvodu nutnosti zajištění koordinace s ÚPD sousední obce Kostomlátky (ÚP Kostomlátky), jež vymezuje pro záměr koridor KVL (labská vodní cesta) na základě totožných podkladů jako ÚP Kostomlaty nad Labem. V ÚP Kostomlátky je vymezení koridoru pro záměr labské vodní cesty komentováno následovně (citace kurzívou): </w:t>
      </w:r>
    </w:p>
    <w:p w14:paraId="079EDD1D" w14:textId="77777777" w:rsidR="007F6EAE" w:rsidRPr="00A76411" w:rsidRDefault="007F6EAE" w:rsidP="007F6EAE">
      <w:pPr>
        <w:spacing w:before="120" w:after="120"/>
        <w:ind w:firstLine="709"/>
        <w:jc w:val="both"/>
        <w:rPr>
          <w:rFonts w:asciiTheme="majorHAnsi" w:hAnsiTheme="majorHAnsi" w:cstheme="majorHAnsi"/>
          <w:i/>
          <w:iCs/>
          <w:sz w:val="18"/>
          <w:szCs w:val="18"/>
        </w:rPr>
      </w:pPr>
      <w:r w:rsidRPr="00A76411">
        <w:rPr>
          <w:rFonts w:asciiTheme="majorHAnsi" w:hAnsiTheme="majorHAnsi" w:cstheme="majorHAnsi"/>
          <w:i/>
          <w:iCs/>
          <w:sz w:val="18"/>
          <w:szCs w:val="18"/>
        </w:rPr>
        <w:t>Projektant územního plánu v této záležitosti oslovil Ředitelství vodních cest ČR, Praha. Pro řešené území byl zpracovateli poskytnut podklad pro koridor výhledového rozvoje Labské vodní cesty „Generální řešení splavnění Labe pro třídu Vb., Digitalizace úseku Mělník – Chvaletice“ (Zhotovitel: Vodní cesty, a.s., 2002). Na základě tohoto sdělení a poskytnutého podkladu byl do návrhu ÚP Kostomlátky zapracován předmětný koridor KVL jako záležitost nadmístního významu, která není součástí ZÚR SK.</w:t>
      </w:r>
    </w:p>
    <w:p w14:paraId="74955DB3" w14:textId="1FB4CC06" w:rsidR="007F6EAE" w:rsidRPr="00A76411" w:rsidRDefault="007F6EAE" w:rsidP="007F6EAE">
      <w:pPr>
        <w:spacing w:before="120" w:after="120"/>
        <w:ind w:firstLine="709"/>
        <w:jc w:val="both"/>
        <w:rPr>
          <w:rFonts w:asciiTheme="majorHAnsi" w:hAnsiTheme="majorHAnsi" w:cstheme="majorHAnsi"/>
          <w:sz w:val="18"/>
          <w:szCs w:val="18"/>
        </w:rPr>
      </w:pPr>
      <w:r w:rsidRPr="00A76411">
        <w:rPr>
          <w:rFonts w:asciiTheme="majorHAnsi" w:hAnsiTheme="majorHAnsi" w:cstheme="majorHAnsi"/>
          <w:sz w:val="18"/>
          <w:szCs w:val="18"/>
        </w:rPr>
        <w:t xml:space="preserve">Rozsah koridoru CNZ.VD1 vychází z výše uvedeného podkladu (vodní cesty a.s.), který v řešeném území vyžaduje prostorové nároky, které jsou patrné z níže uvedeného obrázku. Rozsah vymezení byl revidován na základě aktuálního znění ZÚR SK, která stanovuje koridor VD1 vymezit korytem vodního toku (čl. (131b) ZÚR SK). </w:t>
      </w:r>
    </w:p>
    <w:p w14:paraId="213896C3" w14:textId="77777777" w:rsidR="007F6EAE" w:rsidRPr="00A76411" w:rsidRDefault="007F6EAE" w:rsidP="007F6EAE">
      <w:pPr>
        <w:spacing w:after="120"/>
        <w:rPr>
          <w:rFonts w:asciiTheme="majorHAnsi" w:hAnsiTheme="majorHAnsi" w:cstheme="majorHAnsi"/>
          <w:color w:val="FF0000"/>
          <w:sz w:val="18"/>
          <w:szCs w:val="18"/>
        </w:rPr>
      </w:pPr>
      <w:r w:rsidRPr="00A76411">
        <w:rPr>
          <w:rFonts w:asciiTheme="majorHAnsi" w:hAnsiTheme="majorHAnsi" w:cstheme="majorHAnsi"/>
          <w:noProof/>
          <w:color w:val="FF0000"/>
          <w:sz w:val="18"/>
          <w:szCs w:val="18"/>
        </w:rPr>
        <w:lastRenderedPageBreak/>
        <w:drawing>
          <wp:inline distT="0" distB="0" distL="0" distR="0" wp14:anchorId="7B9553EB" wp14:editId="2AC155BC">
            <wp:extent cx="5753100" cy="2943225"/>
            <wp:effectExtent l="0" t="0" r="0" b="0"/>
            <wp:docPr id="9" name="Obrázek 9" descr="Obsah obrázku obraz, umění, mapa, kresb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Obrázek 9" descr="Obsah obrázku obraz, umění, mapa, kresba&#10;&#10;Popis byl vytvořen automaticky"/>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53100" cy="2943225"/>
                    </a:xfrm>
                    <a:prstGeom prst="rect">
                      <a:avLst/>
                    </a:prstGeom>
                    <a:noFill/>
                    <a:ln>
                      <a:noFill/>
                    </a:ln>
                  </pic:spPr>
                </pic:pic>
              </a:graphicData>
            </a:graphic>
          </wp:inline>
        </w:drawing>
      </w:r>
      <w:r w:rsidRPr="00A76411">
        <w:rPr>
          <w:rFonts w:asciiTheme="majorHAnsi" w:hAnsiTheme="majorHAnsi" w:cstheme="majorHAnsi"/>
          <w:color w:val="FF0000"/>
          <w:sz w:val="18"/>
          <w:szCs w:val="18"/>
        </w:rPr>
        <w:t xml:space="preserve"> </w:t>
      </w:r>
    </w:p>
    <w:p w14:paraId="150EC83C" w14:textId="1C98ABFC" w:rsidR="00E939E5" w:rsidRPr="006070EA" w:rsidRDefault="00E939E5" w:rsidP="00E939E5">
      <w:pPr>
        <w:pStyle w:val="Atext"/>
        <w:rPr>
          <w:rFonts w:asciiTheme="majorHAnsi" w:hAnsiTheme="majorHAnsi" w:cstheme="majorHAnsi"/>
        </w:rPr>
      </w:pPr>
      <w:r w:rsidRPr="006070EA">
        <w:rPr>
          <w:rFonts w:asciiTheme="majorHAnsi" w:hAnsiTheme="majorHAnsi" w:cstheme="majorHAnsi"/>
        </w:rPr>
        <w:t>Koridor dopravní infrastruktury pro rozvoj vodní dopravy je vymezen vzhledem ke skutečnosti, že přesné umístění všech staveb, souvisejících se záměrem, není přesně známo a je nutné je prověřit a zpřesnit v rámci podrobnějších podkladů a</w:t>
      </w:r>
      <w:r w:rsidR="001C7E4C" w:rsidRPr="006070EA">
        <w:rPr>
          <w:rFonts w:asciiTheme="majorHAnsi" w:hAnsiTheme="majorHAnsi" w:cstheme="majorHAnsi"/>
        </w:rPr>
        <w:t> </w:t>
      </w:r>
      <w:r w:rsidRPr="006070EA">
        <w:rPr>
          <w:rFonts w:asciiTheme="majorHAnsi" w:hAnsiTheme="majorHAnsi" w:cstheme="majorHAnsi"/>
        </w:rPr>
        <w:t xml:space="preserve">dokumentací, a současně pro zajištění dostatečného prostoru pro realizaci souvisejících staveb a opatření. Vymezení překryvného koridoru nad odlišnými plochami s rozdílným způsobem využití představuje způsob, jak vytvořit předpoklady pro umístění dopravních staveb v optimální poloze bez nutnosti změny ÚP; jedná se o výhodnější variantu, než je varianta vymezení konkrétní užší zastavitelné plochy či plochy přestavby, která se uplatní v případě, kdy je trasa dopravní stavby již podrobněji prověřena. </w:t>
      </w:r>
    </w:p>
    <w:p w14:paraId="73247046" w14:textId="77777777" w:rsidR="00E939E5" w:rsidRDefault="00E939E5" w:rsidP="00E939E5">
      <w:pPr>
        <w:pStyle w:val="Atext"/>
        <w:rPr>
          <w:rFonts w:asciiTheme="majorHAnsi" w:hAnsiTheme="majorHAnsi" w:cstheme="majorHAnsi"/>
        </w:rPr>
      </w:pPr>
      <w:r w:rsidRPr="006070EA">
        <w:rPr>
          <w:rFonts w:asciiTheme="majorHAnsi" w:hAnsiTheme="majorHAnsi" w:cstheme="majorHAnsi"/>
        </w:rPr>
        <w:t xml:space="preserve">Pro rozhodování o změnách v území v rozsahu jednotlivých vymezených koridorů jsou stanoveny podmínky využití koridorů, zajišťující ochranu území pro účely realizace staveb, pro něž jsou koridory vymezeny. </w:t>
      </w:r>
    </w:p>
    <w:p w14:paraId="57F41C66" w14:textId="7467E7AD" w:rsidR="00E939E5" w:rsidRPr="006070EA" w:rsidRDefault="00E939E5" w:rsidP="00E939E5">
      <w:pPr>
        <w:pStyle w:val="Atext"/>
        <w:keepNext/>
        <w:ind w:firstLine="0"/>
        <w:jc w:val="right"/>
        <w:rPr>
          <w:rFonts w:asciiTheme="majorHAnsi" w:hAnsiTheme="majorHAnsi" w:cstheme="majorHAnsi"/>
          <w:i/>
          <w:snapToGrid w:val="0"/>
          <w:u w:val="single"/>
        </w:rPr>
      </w:pPr>
      <w:r w:rsidRPr="006070EA">
        <w:rPr>
          <w:rFonts w:asciiTheme="majorHAnsi" w:hAnsiTheme="majorHAnsi" w:cstheme="majorHAnsi"/>
          <w:i/>
          <w:snapToGrid w:val="0"/>
          <w:u w:val="single"/>
        </w:rPr>
        <w:t xml:space="preserve">Odůvodnění odst. </w:t>
      </w:r>
      <w:r w:rsidRPr="006070EA">
        <w:rPr>
          <w:rFonts w:asciiTheme="majorHAnsi" w:hAnsiTheme="majorHAnsi" w:cstheme="majorHAnsi"/>
          <w:b/>
          <w:i/>
          <w:snapToGrid w:val="0"/>
          <w:u w:val="single"/>
        </w:rPr>
        <w:t>(3</w:t>
      </w:r>
      <w:r w:rsidR="007F6EAE">
        <w:rPr>
          <w:rFonts w:asciiTheme="majorHAnsi" w:hAnsiTheme="majorHAnsi" w:cstheme="majorHAnsi"/>
          <w:b/>
          <w:i/>
          <w:snapToGrid w:val="0"/>
          <w:u w:val="single"/>
        </w:rPr>
        <w:t>3</w:t>
      </w:r>
      <w:r w:rsidRPr="006070EA">
        <w:rPr>
          <w:rFonts w:asciiTheme="majorHAnsi" w:hAnsiTheme="majorHAnsi" w:cstheme="majorHAnsi"/>
          <w:b/>
          <w:i/>
          <w:snapToGrid w:val="0"/>
          <w:u w:val="single"/>
        </w:rPr>
        <w:t xml:space="preserve">) </w:t>
      </w:r>
      <w:r w:rsidRPr="006070EA">
        <w:rPr>
          <w:rFonts w:asciiTheme="majorHAnsi" w:hAnsiTheme="majorHAnsi" w:cstheme="majorHAnsi"/>
          <w:i/>
          <w:snapToGrid w:val="0"/>
          <w:u w:val="single"/>
        </w:rPr>
        <w:t>výrokové části</w:t>
      </w:r>
    </w:p>
    <w:p w14:paraId="4AF24F58" w14:textId="77777777" w:rsidR="00E939E5" w:rsidRPr="006070EA" w:rsidRDefault="00E939E5" w:rsidP="00E939E5">
      <w:pPr>
        <w:pStyle w:val="Atext"/>
        <w:rPr>
          <w:rFonts w:asciiTheme="majorHAnsi" w:hAnsiTheme="majorHAnsi" w:cstheme="majorHAnsi"/>
        </w:rPr>
      </w:pPr>
      <w:r w:rsidRPr="006070EA">
        <w:rPr>
          <w:rFonts w:asciiTheme="majorHAnsi" w:hAnsiTheme="majorHAnsi" w:cstheme="majorHAnsi"/>
        </w:rPr>
        <w:t>Po realizaci stavby, pro kterou je koridor vymezen, podmínky stanovené v koridoru automaticky zanikají a platí pouze podmínky stanovené v plochách s rozdílným způsobem využití vymezených pod koridorem. Pokud by pro dopravní stavby byly vymezeny širší plochy s rozdílným způsobem využití nebo koridor nepřekryvný, bylo by po realizaci staveb nutné „zbytkové“ části území po dokončení dopravní stavby změnit (formou změny územního plánu) na požadované (případně i stabilizované) plochy s rozdílným způsobem využití. Z tohoto důvodu je řešení v podobě překryvného koridoru výhodnější a zajišťuje větší flexibilitu územního plánu v případě umisťování dopravních staveb.</w:t>
      </w:r>
    </w:p>
    <w:p w14:paraId="70EEA30A" w14:textId="77777777" w:rsidR="00AB1F4C" w:rsidRPr="006070EA" w:rsidRDefault="00AB1F4C" w:rsidP="003A4B1E">
      <w:pPr>
        <w:pStyle w:val="Odstavecseseznamem"/>
        <w:keepNext/>
        <w:numPr>
          <w:ilvl w:val="2"/>
          <w:numId w:val="30"/>
        </w:numPr>
        <w:spacing w:before="160" w:after="120" w:line="240" w:lineRule="auto"/>
        <w:ind w:left="709" w:hanging="709"/>
        <w:contextualSpacing w:val="0"/>
        <w:outlineLvl w:val="2"/>
        <w:rPr>
          <w:rFonts w:asciiTheme="majorHAnsi" w:hAnsiTheme="majorHAnsi" w:cstheme="majorHAnsi"/>
          <w:b/>
        </w:rPr>
      </w:pPr>
      <w:bookmarkStart w:id="355" w:name="_Toc424119855"/>
      <w:bookmarkStart w:id="356" w:name="_Toc204678201"/>
      <w:r w:rsidRPr="006070EA">
        <w:rPr>
          <w:rFonts w:asciiTheme="majorHAnsi" w:hAnsiTheme="majorHAnsi" w:cstheme="majorHAnsi"/>
          <w:b/>
        </w:rPr>
        <w:t>Odůvodnění koncepce technické infrastruktur</w:t>
      </w:r>
      <w:bookmarkEnd w:id="355"/>
      <w:r w:rsidRPr="006070EA">
        <w:rPr>
          <w:rFonts w:asciiTheme="majorHAnsi" w:hAnsiTheme="majorHAnsi" w:cstheme="majorHAnsi"/>
          <w:b/>
        </w:rPr>
        <w:t>y</w:t>
      </w:r>
      <w:bookmarkEnd w:id="356"/>
    </w:p>
    <w:p w14:paraId="4AC56329" w14:textId="3014985A" w:rsidR="00857BC4" w:rsidRPr="006070EA" w:rsidRDefault="00857BC4" w:rsidP="00857BC4">
      <w:pPr>
        <w:pStyle w:val="Atext"/>
        <w:keepNext/>
        <w:ind w:firstLine="0"/>
        <w:jc w:val="right"/>
        <w:rPr>
          <w:rFonts w:asciiTheme="majorHAnsi" w:hAnsiTheme="majorHAnsi" w:cstheme="majorHAnsi"/>
          <w:i/>
          <w:snapToGrid w:val="0"/>
          <w:u w:val="single"/>
        </w:rPr>
      </w:pPr>
      <w:r w:rsidRPr="006070EA">
        <w:rPr>
          <w:rFonts w:asciiTheme="majorHAnsi" w:hAnsiTheme="majorHAnsi" w:cstheme="majorHAnsi"/>
          <w:i/>
          <w:snapToGrid w:val="0"/>
          <w:u w:val="single"/>
        </w:rPr>
        <w:t xml:space="preserve">Odůvodnění odst. </w:t>
      </w:r>
      <w:r w:rsidRPr="006070EA">
        <w:rPr>
          <w:rFonts w:asciiTheme="majorHAnsi" w:hAnsiTheme="majorHAnsi" w:cstheme="majorHAnsi"/>
          <w:b/>
          <w:i/>
          <w:snapToGrid w:val="0"/>
          <w:u w:val="single"/>
        </w:rPr>
        <w:t>(</w:t>
      </w:r>
      <w:r w:rsidR="007F6EAE">
        <w:rPr>
          <w:rFonts w:asciiTheme="majorHAnsi" w:hAnsiTheme="majorHAnsi" w:cstheme="majorHAnsi"/>
          <w:b/>
          <w:i/>
          <w:snapToGrid w:val="0"/>
          <w:u w:val="single"/>
        </w:rPr>
        <w:t>34</w:t>
      </w:r>
      <w:r w:rsidRPr="006070EA">
        <w:rPr>
          <w:rFonts w:asciiTheme="majorHAnsi" w:hAnsiTheme="majorHAnsi" w:cstheme="majorHAnsi"/>
          <w:b/>
          <w:i/>
          <w:snapToGrid w:val="0"/>
          <w:u w:val="single"/>
        </w:rPr>
        <w:t xml:space="preserve">) </w:t>
      </w:r>
      <w:r w:rsidRPr="006070EA">
        <w:rPr>
          <w:rFonts w:asciiTheme="majorHAnsi" w:hAnsiTheme="majorHAnsi" w:cstheme="majorHAnsi"/>
          <w:i/>
          <w:snapToGrid w:val="0"/>
          <w:u w:val="single"/>
        </w:rPr>
        <w:t>výrokové části</w:t>
      </w:r>
    </w:p>
    <w:p w14:paraId="0DF19CB0" w14:textId="5ED029AE" w:rsidR="00AB1F4C" w:rsidRPr="006070EA" w:rsidRDefault="00AB1F4C" w:rsidP="00BF1668">
      <w:pPr>
        <w:keepNext/>
        <w:spacing w:after="60" w:line="240" w:lineRule="auto"/>
        <w:jc w:val="both"/>
        <w:rPr>
          <w:rFonts w:asciiTheme="majorHAnsi" w:hAnsiTheme="majorHAnsi" w:cstheme="majorHAnsi"/>
          <w:sz w:val="18"/>
        </w:rPr>
      </w:pPr>
      <w:r w:rsidRPr="006070EA">
        <w:rPr>
          <w:rFonts w:asciiTheme="majorHAnsi" w:hAnsiTheme="majorHAnsi" w:cstheme="majorHAnsi"/>
          <w:sz w:val="18"/>
        </w:rPr>
        <w:t>Koncepce technické infrastruktury vychází zejména z následujících dokumentů a podkladů:</w:t>
      </w:r>
    </w:p>
    <w:p w14:paraId="38F39107" w14:textId="0D77F36E" w:rsidR="00857BC4" w:rsidRPr="006070EA" w:rsidRDefault="00857BC4" w:rsidP="00857BC4">
      <w:pPr>
        <w:pStyle w:val="Odstavecseseznamem"/>
        <w:numPr>
          <w:ilvl w:val="0"/>
          <w:numId w:val="4"/>
        </w:numPr>
        <w:spacing w:after="0" w:line="240" w:lineRule="auto"/>
        <w:jc w:val="both"/>
        <w:rPr>
          <w:rFonts w:asciiTheme="majorHAnsi" w:hAnsiTheme="majorHAnsi" w:cstheme="majorHAnsi"/>
          <w:sz w:val="18"/>
        </w:rPr>
      </w:pPr>
      <w:r w:rsidRPr="006070EA">
        <w:rPr>
          <w:rFonts w:asciiTheme="majorHAnsi" w:hAnsiTheme="majorHAnsi" w:cstheme="majorHAnsi"/>
          <w:sz w:val="18"/>
        </w:rPr>
        <w:t xml:space="preserve">ZÚR Středočeského kraje </w:t>
      </w:r>
      <w:r w:rsidR="005922F8">
        <w:rPr>
          <w:rFonts w:asciiTheme="majorHAnsi" w:hAnsiTheme="majorHAnsi" w:cstheme="majorHAnsi"/>
          <w:sz w:val="18"/>
        </w:rPr>
        <w:t>v aktuálním znění (2024)</w:t>
      </w:r>
    </w:p>
    <w:p w14:paraId="730F97F3" w14:textId="1387BA9B" w:rsidR="00857BC4" w:rsidRPr="006070EA" w:rsidRDefault="00857BC4" w:rsidP="00857BC4">
      <w:pPr>
        <w:pStyle w:val="Odstavecseseznamem"/>
        <w:numPr>
          <w:ilvl w:val="0"/>
          <w:numId w:val="4"/>
        </w:numPr>
        <w:spacing w:after="0" w:line="240" w:lineRule="auto"/>
        <w:jc w:val="both"/>
        <w:rPr>
          <w:rFonts w:asciiTheme="majorHAnsi" w:hAnsiTheme="majorHAnsi" w:cstheme="majorHAnsi"/>
          <w:sz w:val="18"/>
        </w:rPr>
      </w:pPr>
      <w:r w:rsidRPr="006070EA">
        <w:rPr>
          <w:rFonts w:asciiTheme="majorHAnsi" w:hAnsiTheme="majorHAnsi" w:cstheme="majorHAnsi"/>
          <w:sz w:val="18"/>
        </w:rPr>
        <w:t xml:space="preserve">PÚR ČR </w:t>
      </w:r>
      <w:r w:rsidR="005922F8">
        <w:rPr>
          <w:rFonts w:asciiTheme="majorHAnsi" w:hAnsiTheme="majorHAnsi" w:cstheme="majorHAnsi"/>
          <w:sz w:val="18"/>
        </w:rPr>
        <w:t xml:space="preserve">v aktuálním znění </w:t>
      </w:r>
      <w:r w:rsidRPr="006070EA">
        <w:rPr>
          <w:rFonts w:asciiTheme="majorHAnsi" w:hAnsiTheme="majorHAnsi" w:cstheme="majorHAnsi"/>
          <w:sz w:val="18"/>
        </w:rPr>
        <w:t>(202</w:t>
      </w:r>
      <w:r w:rsidR="005922F8">
        <w:rPr>
          <w:rFonts w:asciiTheme="majorHAnsi" w:hAnsiTheme="majorHAnsi" w:cstheme="majorHAnsi"/>
          <w:sz w:val="18"/>
        </w:rPr>
        <w:t>4</w:t>
      </w:r>
      <w:r w:rsidRPr="006070EA">
        <w:rPr>
          <w:rFonts w:asciiTheme="majorHAnsi" w:hAnsiTheme="majorHAnsi" w:cstheme="majorHAnsi"/>
          <w:sz w:val="18"/>
        </w:rPr>
        <w:t>)</w:t>
      </w:r>
    </w:p>
    <w:p w14:paraId="38454063" w14:textId="481E23D7" w:rsidR="00857BC4" w:rsidRPr="006070EA" w:rsidRDefault="00857BC4" w:rsidP="00857BC4">
      <w:pPr>
        <w:pStyle w:val="Odstavecseseznamem"/>
        <w:numPr>
          <w:ilvl w:val="0"/>
          <w:numId w:val="4"/>
        </w:numPr>
        <w:spacing w:after="0" w:line="240" w:lineRule="auto"/>
        <w:jc w:val="both"/>
        <w:rPr>
          <w:rFonts w:asciiTheme="majorHAnsi" w:hAnsiTheme="majorHAnsi" w:cstheme="majorHAnsi"/>
          <w:sz w:val="18"/>
        </w:rPr>
      </w:pPr>
      <w:r w:rsidRPr="006070EA">
        <w:rPr>
          <w:rFonts w:asciiTheme="majorHAnsi" w:hAnsiTheme="majorHAnsi" w:cstheme="majorHAnsi"/>
          <w:sz w:val="18"/>
        </w:rPr>
        <w:t xml:space="preserve">ÚAP SO ORP </w:t>
      </w:r>
      <w:r w:rsidR="00887C15" w:rsidRPr="006070EA">
        <w:rPr>
          <w:rFonts w:asciiTheme="majorHAnsi" w:hAnsiTheme="majorHAnsi" w:cstheme="majorHAnsi"/>
          <w:sz w:val="18"/>
        </w:rPr>
        <w:t>Nymburk</w:t>
      </w:r>
      <w:r w:rsidRPr="006070EA">
        <w:rPr>
          <w:rFonts w:asciiTheme="majorHAnsi" w:hAnsiTheme="majorHAnsi" w:cstheme="majorHAnsi"/>
          <w:sz w:val="18"/>
        </w:rPr>
        <w:t xml:space="preserve"> </w:t>
      </w:r>
    </w:p>
    <w:p w14:paraId="53C3DA39" w14:textId="77777777" w:rsidR="00857BC4" w:rsidRPr="006070EA" w:rsidRDefault="00857BC4" w:rsidP="00857BC4">
      <w:pPr>
        <w:pStyle w:val="Atext"/>
        <w:numPr>
          <w:ilvl w:val="0"/>
          <w:numId w:val="4"/>
        </w:numPr>
        <w:spacing w:before="0" w:after="0"/>
        <w:rPr>
          <w:rFonts w:asciiTheme="majorHAnsi" w:hAnsiTheme="majorHAnsi" w:cstheme="majorHAnsi"/>
        </w:rPr>
      </w:pPr>
      <w:r w:rsidRPr="006070EA">
        <w:rPr>
          <w:rFonts w:asciiTheme="majorHAnsi" w:hAnsiTheme="majorHAnsi" w:cstheme="majorHAnsi"/>
        </w:rPr>
        <w:t>Plán rozvoje vodovodů a kanalizací Středočeského kraje (2004+)</w:t>
      </w:r>
    </w:p>
    <w:p w14:paraId="1B97A8C2" w14:textId="77777777" w:rsidR="00857BC4" w:rsidRPr="006070EA" w:rsidRDefault="00857BC4" w:rsidP="00857BC4">
      <w:pPr>
        <w:pStyle w:val="Atext"/>
        <w:numPr>
          <w:ilvl w:val="0"/>
          <w:numId w:val="4"/>
        </w:numPr>
        <w:spacing w:before="0" w:after="0"/>
        <w:rPr>
          <w:rFonts w:asciiTheme="majorHAnsi" w:hAnsiTheme="majorHAnsi" w:cstheme="majorHAnsi"/>
        </w:rPr>
      </w:pPr>
      <w:r w:rsidRPr="006070EA">
        <w:rPr>
          <w:rFonts w:asciiTheme="majorHAnsi" w:hAnsiTheme="majorHAnsi" w:cstheme="majorHAnsi"/>
        </w:rPr>
        <w:t>Plán odpadového hospodářství Středočeského kraje pro období 2016 až 2025 (2016)</w:t>
      </w:r>
    </w:p>
    <w:p w14:paraId="2431CB1B" w14:textId="77777777" w:rsidR="00857BC4" w:rsidRPr="006070EA" w:rsidRDefault="00857BC4" w:rsidP="00857BC4">
      <w:pPr>
        <w:pStyle w:val="Atext"/>
        <w:numPr>
          <w:ilvl w:val="0"/>
          <w:numId w:val="4"/>
        </w:numPr>
        <w:spacing w:before="0" w:after="0"/>
        <w:rPr>
          <w:rFonts w:asciiTheme="majorHAnsi" w:hAnsiTheme="majorHAnsi" w:cstheme="majorHAnsi"/>
        </w:rPr>
      </w:pPr>
      <w:r w:rsidRPr="006070EA">
        <w:rPr>
          <w:rFonts w:asciiTheme="majorHAnsi" w:hAnsiTheme="majorHAnsi" w:cstheme="majorHAnsi"/>
        </w:rPr>
        <w:t>Územní energetická koncepce Středočeského kraje 2019-2043</w:t>
      </w:r>
    </w:p>
    <w:p w14:paraId="2549A03B" w14:textId="77777777" w:rsidR="00857BC4" w:rsidRPr="006070EA" w:rsidRDefault="00857BC4" w:rsidP="00857BC4">
      <w:pPr>
        <w:pStyle w:val="Odstavecseseznamem"/>
        <w:numPr>
          <w:ilvl w:val="0"/>
          <w:numId w:val="4"/>
        </w:numPr>
        <w:spacing w:after="0" w:line="240" w:lineRule="auto"/>
        <w:jc w:val="both"/>
        <w:rPr>
          <w:rFonts w:asciiTheme="majorHAnsi" w:hAnsiTheme="majorHAnsi" w:cstheme="majorHAnsi"/>
          <w:sz w:val="18"/>
        </w:rPr>
      </w:pPr>
      <w:r w:rsidRPr="006070EA">
        <w:rPr>
          <w:rFonts w:asciiTheme="majorHAnsi" w:hAnsiTheme="majorHAnsi" w:cstheme="majorHAnsi"/>
          <w:sz w:val="18"/>
        </w:rPr>
        <w:t>platná legislativa a ČSN</w:t>
      </w:r>
    </w:p>
    <w:p w14:paraId="1494AD9C" w14:textId="483E70E7" w:rsidR="00857BC4" w:rsidRPr="006070EA" w:rsidRDefault="00857BC4" w:rsidP="00857BC4">
      <w:pPr>
        <w:pStyle w:val="Odstavecseseznamem"/>
        <w:numPr>
          <w:ilvl w:val="0"/>
          <w:numId w:val="4"/>
        </w:numPr>
        <w:spacing w:after="0" w:line="240" w:lineRule="auto"/>
        <w:ind w:left="1066" w:hanging="357"/>
        <w:contextualSpacing w:val="0"/>
        <w:jc w:val="both"/>
        <w:rPr>
          <w:rFonts w:asciiTheme="majorHAnsi" w:hAnsiTheme="majorHAnsi" w:cstheme="majorHAnsi"/>
          <w:sz w:val="18"/>
        </w:rPr>
      </w:pPr>
      <w:r w:rsidRPr="006070EA">
        <w:rPr>
          <w:rFonts w:asciiTheme="majorHAnsi" w:hAnsiTheme="majorHAnsi" w:cstheme="majorHAnsi"/>
          <w:sz w:val="18"/>
        </w:rPr>
        <w:t>ÚP</w:t>
      </w:r>
      <w:r w:rsidR="00887C15" w:rsidRPr="006070EA">
        <w:rPr>
          <w:rFonts w:asciiTheme="majorHAnsi" w:hAnsiTheme="majorHAnsi" w:cstheme="majorHAnsi"/>
          <w:sz w:val="18"/>
        </w:rPr>
        <w:t>O Kostomlaty nad Labem (</w:t>
      </w:r>
      <w:r w:rsidRPr="006070EA">
        <w:rPr>
          <w:rFonts w:asciiTheme="majorHAnsi" w:hAnsiTheme="majorHAnsi" w:cstheme="majorHAnsi"/>
          <w:sz w:val="18"/>
        </w:rPr>
        <w:t>200</w:t>
      </w:r>
      <w:r w:rsidR="00887C15" w:rsidRPr="006070EA">
        <w:rPr>
          <w:rFonts w:asciiTheme="majorHAnsi" w:hAnsiTheme="majorHAnsi" w:cstheme="majorHAnsi"/>
          <w:sz w:val="18"/>
        </w:rPr>
        <w:t>3</w:t>
      </w:r>
      <w:r w:rsidRPr="006070EA">
        <w:rPr>
          <w:rFonts w:asciiTheme="majorHAnsi" w:hAnsiTheme="majorHAnsi" w:cstheme="majorHAnsi"/>
          <w:sz w:val="18"/>
        </w:rPr>
        <w:t>)</w:t>
      </w:r>
    </w:p>
    <w:p w14:paraId="26D4F9AA" w14:textId="0D5E8344" w:rsidR="00857BC4" w:rsidRPr="006070EA" w:rsidRDefault="00857BC4" w:rsidP="00857BC4">
      <w:pPr>
        <w:pStyle w:val="Odstavecseseznamem"/>
        <w:numPr>
          <w:ilvl w:val="0"/>
          <w:numId w:val="4"/>
        </w:numPr>
        <w:spacing w:after="0" w:line="240" w:lineRule="auto"/>
        <w:ind w:left="1066" w:hanging="357"/>
        <w:contextualSpacing w:val="0"/>
        <w:jc w:val="both"/>
        <w:rPr>
          <w:rFonts w:asciiTheme="majorHAnsi" w:hAnsiTheme="majorHAnsi" w:cstheme="majorHAnsi"/>
          <w:sz w:val="18"/>
        </w:rPr>
      </w:pPr>
      <w:r w:rsidRPr="006070EA">
        <w:rPr>
          <w:rFonts w:asciiTheme="majorHAnsi" w:hAnsiTheme="majorHAnsi" w:cstheme="majorHAnsi"/>
          <w:sz w:val="18"/>
        </w:rPr>
        <w:t xml:space="preserve">Zadání ÚP </w:t>
      </w:r>
      <w:r w:rsidR="00887C15" w:rsidRPr="006070EA">
        <w:rPr>
          <w:rFonts w:asciiTheme="majorHAnsi" w:hAnsiTheme="majorHAnsi" w:cstheme="majorHAnsi"/>
          <w:sz w:val="18"/>
        </w:rPr>
        <w:t xml:space="preserve">Kostomlaty nad Labem </w:t>
      </w:r>
      <w:r w:rsidRPr="006070EA">
        <w:rPr>
          <w:rFonts w:asciiTheme="majorHAnsi" w:hAnsiTheme="majorHAnsi" w:cstheme="majorHAnsi"/>
          <w:sz w:val="18"/>
        </w:rPr>
        <w:t>(20</w:t>
      </w:r>
      <w:r w:rsidR="00887C15" w:rsidRPr="006070EA">
        <w:rPr>
          <w:rFonts w:asciiTheme="majorHAnsi" w:hAnsiTheme="majorHAnsi" w:cstheme="majorHAnsi"/>
          <w:sz w:val="18"/>
        </w:rPr>
        <w:t>21</w:t>
      </w:r>
      <w:r w:rsidRPr="006070EA">
        <w:rPr>
          <w:rFonts w:asciiTheme="majorHAnsi" w:hAnsiTheme="majorHAnsi" w:cstheme="majorHAnsi"/>
          <w:sz w:val="18"/>
        </w:rPr>
        <w:t>)</w:t>
      </w:r>
    </w:p>
    <w:p w14:paraId="537AA6E1" w14:textId="2155BCD9" w:rsidR="00857BC4" w:rsidRPr="006070EA" w:rsidRDefault="00887C15" w:rsidP="00857BC4">
      <w:pPr>
        <w:pStyle w:val="Odstavecseseznamem"/>
        <w:numPr>
          <w:ilvl w:val="0"/>
          <w:numId w:val="4"/>
        </w:numPr>
        <w:spacing w:after="0" w:line="240" w:lineRule="auto"/>
        <w:ind w:left="1066" w:hanging="357"/>
        <w:contextualSpacing w:val="0"/>
        <w:jc w:val="both"/>
        <w:rPr>
          <w:rFonts w:asciiTheme="majorHAnsi" w:hAnsiTheme="majorHAnsi" w:cstheme="majorHAnsi"/>
          <w:sz w:val="18"/>
        </w:rPr>
      </w:pPr>
      <w:r w:rsidRPr="006070EA">
        <w:rPr>
          <w:rFonts w:asciiTheme="majorHAnsi" w:hAnsiTheme="majorHAnsi" w:cstheme="majorHAnsi"/>
          <w:sz w:val="18"/>
        </w:rPr>
        <w:t>Projektová dokumentace (DÚR+DSP) Kostomlaty nad Labem – Kanalizace a vodovod – Vápensko a Rozkoš (FIALA PROJEKTY s.r.o., 11/2019)</w:t>
      </w:r>
    </w:p>
    <w:p w14:paraId="713A8761" w14:textId="3E4D72E1" w:rsidR="00085FAA" w:rsidRPr="006070EA" w:rsidRDefault="00085FAA" w:rsidP="00857BC4">
      <w:pPr>
        <w:pStyle w:val="Odstavecseseznamem"/>
        <w:numPr>
          <w:ilvl w:val="0"/>
          <w:numId w:val="4"/>
        </w:numPr>
        <w:spacing w:after="0" w:line="240" w:lineRule="auto"/>
        <w:ind w:left="1066" w:hanging="357"/>
        <w:contextualSpacing w:val="0"/>
        <w:jc w:val="both"/>
        <w:rPr>
          <w:rFonts w:asciiTheme="majorHAnsi" w:hAnsiTheme="majorHAnsi" w:cstheme="majorHAnsi"/>
          <w:sz w:val="18"/>
        </w:rPr>
      </w:pPr>
      <w:r w:rsidRPr="006070EA">
        <w:rPr>
          <w:rFonts w:asciiTheme="majorHAnsi" w:hAnsiTheme="majorHAnsi" w:cstheme="majorHAnsi"/>
          <w:sz w:val="18"/>
        </w:rPr>
        <w:t>Splašková kanalizace Vápensko a Rozkoš s variantami řešení (IKKO Hradec Králové, s.r.o.)</w:t>
      </w:r>
    </w:p>
    <w:p w14:paraId="2360E174" w14:textId="77777777" w:rsidR="00857BC4" w:rsidRPr="006070EA" w:rsidRDefault="00857BC4" w:rsidP="00857BC4">
      <w:pPr>
        <w:pStyle w:val="Odstavecseseznamem"/>
        <w:numPr>
          <w:ilvl w:val="0"/>
          <w:numId w:val="4"/>
        </w:numPr>
        <w:spacing w:after="0" w:line="240" w:lineRule="auto"/>
        <w:ind w:left="1066" w:hanging="357"/>
        <w:contextualSpacing w:val="0"/>
        <w:jc w:val="both"/>
        <w:rPr>
          <w:rFonts w:asciiTheme="majorHAnsi" w:hAnsiTheme="majorHAnsi" w:cstheme="majorHAnsi"/>
          <w:sz w:val="18"/>
        </w:rPr>
      </w:pPr>
      <w:r w:rsidRPr="006070EA">
        <w:rPr>
          <w:rFonts w:asciiTheme="majorHAnsi" w:hAnsiTheme="majorHAnsi" w:cstheme="majorHAnsi"/>
          <w:sz w:val="18"/>
        </w:rPr>
        <w:t>terénní průzkum zpracovatele ÚP</w:t>
      </w:r>
    </w:p>
    <w:p w14:paraId="60334C71" w14:textId="6EF9E592" w:rsidR="00741649" w:rsidRPr="006070EA" w:rsidRDefault="00741649" w:rsidP="009E07E1">
      <w:pPr>
        <w:pStyle w:val="Atext"/>
        <w:spacing w:before="60" w:after="60"/>
        <w:rPr>
          <w:rFonts w:asciiTheme="majorHAnsi" w:hAnsiTheme="majorHAnsi" w:cstheme="majorHAnsi"/>
        </w:rPr>
      </w:pPr>
      <w:r w:rsidRPr="006070EA">
        <w:rPr>
          <w:rFonts w:asciiTheme="majorHAnsi" w:hAnsiTheme="majorHAnsi" w:cstheme="majorHAnsi"/>
        </w:rPr>
        <w:t xml:space="preserve">V souladu s § 10, odst. 1 a 2 vyhl. č. 501/2006 Sb., ve znění pozdějších předpisů, jsou pozemky technické infrastruktury zahrnuty do ploch </w:t>
      </w:r>
      <w:r w:rsidRPr="006070EA">
        <w:rPr>
          <w:rFonts w:asciiTheme="majorHAnsi" w:hAnsiTheme="majorHAnsi" w:cstheme="majorHAnsi"/>
          <w:i/>
        </w:rPr>
        <w:t xml:space="preserve">technické infrastruktury </w:t>
      </w:r>
      <w:r w:rsidR="001C7E4C" w:rsidRPr="006070EA">
        <w:rPr>
          <w:rFonts w:asciiTheme="majorHAnsi" w:hAnsiTheme="majorHAnsi" w:cstheme="majorHAnsi"/>
          <w:i/>
        </w:rPr>
        <w:t xml:space="preserve">všeobecné </w:t>
      </w:r>
      <w:r w:rsidRPr="006070EA">
        <w:rPr>
          <w:rFonts w:asciiTheme="majorHAnsi" w:hAnsiTheme="majorHAnsi" w:cstheme="majorHAnsi"/>
        </w:rPr>
        <w:t>(T</w:t>
      </w:r>
      <w:r w:rsidR="001C7E4C" w:rsidRPr="006070EA">
        <w:rPr>
          <w:rFonts w:asciiTheme="majorHAnsi" w:hAnsiTheme="majorHAnsi" w:cstheme="majorHAnsi"/>
        </w:rPr>
        <w:t>U</w:t>
      </w:r>
      <w:r w:rsidRPr="006070EA">
        <w:rPr>
          <w:rFonts w:asciiTheme="majorHAnsi" w:hAnsiTheme="majorHAnsi" w:cstheme="majorHAnsi"/>
        </w:rPr>
        <w:t>). Dle vyhlášky se plochy technické infrastruktury obvykle samostatně vymezují v případech, kdy využití pozemků pro tuto infrastrukturu vylučuje jejich začlenění do ploch jiného způsobu využití a</w:t>
      </w:r>
      <w:r w:rsidR="001C7E4C" w:rsidRPr="006070EA">
        <w:rPr>
          <w:rFonts w:asciiTheme="majorHAnsi" w:hAnsiTheme="majorHAnsi" w:cstheme="majorHAnsi"/>
        </w:rPr>
        <w:t> </w:t>
      </w:r>
      <w:r w:rsidRPr="006070EA">
        <w:rPr>
          <w:rFonts w:asciiTheme="majorHAnsi" w:hAnsiTheme="majorHAnsi" w:cstheme="majorHAnsi"/>
        </w:rPr>
        <w:t>kdy jiné využití těchto pozemků není možné. V</w:t>
      </w:r>
      <w:r w:rsidR="00C42395" w:rsidRPr="006070EA">
        <w:rPr>
          <w:rFonts w:asciiTheme="majorHAnsi" w:hAnsiTheme="majorHAnsi" w:cstheme="majorHAnsi"/>
        </w:rPr>
        <w:t> </w:t>
      </w:r>
      <w:r w:rsidRPr="006070EA">
        <w:rPr>
          <w:rFonts w:asciiTheme="majorHAnsi" w:hAnsiTheme="majorHAnsi" w:cstheme="majorHAnsi"/>
        </w:rPr>
        <w:t>ostatních případech se v</w:t>
      </w:r>
      <w:r w:rsidR="00461350" w:rsidRPr="006070EA">
        <w:rPr>
          <w:rFonts w:asciiTheme="majorHAnsi" w:hAnsiTheme="majorHAnsi" w:cstheme="majorHAnsi"/>
        </w:rPr>
        <w:t> </w:t>
      </w:r>
      <w:r w:rsidRPr="006070EA">
        <w:rPr>
          <w:rFonts w:asciiTheme="majorHAnsi" w:hAnsiTheme="majorHAnsi" w:cstheme="majorHAnsi"/>
        </w:rPr>
        <w:t xml:space="preserve">plochách jiného způsobu využití vymezují pouze trasy vedení technické infrastruktury. Plochy technické infrastruktury zahrnují zejména pozemky vedení, staveb a s nimi provozně </w:t>
      </w:r>
      <w:r w:rsidRPr="006070EA">
        <w:rPr>
          <w:rFonts w:asciiTheme="majorHAnsi" w:hAnsiTheme="majorHAnsi" w:cstheme="majorHAnsi"/>
        </w:rPr>
        <w:lastRenderedPageBreak/>
        <w:t>související zařízení technického vybavení, například vodovodů, vodojemů, kanalizace, čistíren odpadních vod, staveb a zařízení pro nakládání s odpady, trafostanic, energetických vedení, komunikačních vedení veřejné komunikační sítě, elektronických komunikačních zařízení veřejné komunikační sítě a</w:t>
      </w:r>
      <w:r w:rsidR="00461350" w:rsidRPr="006070EA">
        <w:rPr>
          <w:rFonts w:asciiTheme="majorHAnsi" w:hAnsiTheme="majorHAnsi" w:cstheme="majorHAnsi"/>
        </w:rPr>
        <w:t> </w:t>
      </w:r>
      <w:r w:rsidRPr="006070EA">
        <w:rPr>
          <w:rFonts w:asciiTheme="majorHAnsi" w:hAnsiTheme="majorHAnsi" w:cstheme="majorHAnsi"/>
        </w:rPr>
        <w:t>produktovody. Součástí těchto ploch mohou být i pozemky související dopravní infrastruktury.</w:t>
      </w:r>
    </w:p>
    <w:p w14:paraId="2B086F62" w14:textId="03A2BA38" w:rsidR="006F0B23" w:rsidRPr="006070EA" w:rsidRDefault="00741649" w:rsidP="009E07E1">
      <w:pPr>
        <w:pStyle w:val="Atext"/>
        <w:spacing w:before="60" w:after="60"/>
        <w:rPr>
          <w:rFonts w:asciiTheme="majorHAnsi" w:hAnsiTheme="majorHAnsi" w:cstheme="majorHAnsi"/>
        </w:rPr>
      </w:pPr>
      <w:r w:rsidRPr="006070EA">
        <w:rPr>
          <w:rFonts w:asciiTheme="majorHAnsi" w:hAnsiTheme="majorHAnsi" w:cstheme="majorHAnsi"/>
        </w:rPr>
        <w:t>V souladu s výše uvedeným jsou jednotlivé prvky systémů technické infrastruktury součástí také ostatních ploch s rozdílným způsobem využití, v rámci jejichž podmínek využití jsou umožněny jako hlavní, přípustné</w:t>
      </w:r>
      <w:r w:rsidR="006F0B23" w:rsidRPr="006070EA">
        <w:rPr>
          <w:rFonts w:asciiTheme="majorHAnsi" w:hAnsiTheme="majorHAnsi" w:cstheme="majorHAnsi"/>
        </w:rPr>
        <w:t xml:space="preserve"> či podmíněně přípustné využití.</w:t>
      </w:r>
    </w:p>
    <w:p w14:paraId="57B1AAD2" w14:textId="77777777" w:rsidR="0083483C" w:rsidRPr="006070EA" w:rsidRDefault="0083483C" w:rsidP="00EF7B4B">
      <w:pPr>
        <w:autoSpaceDE w:val="0"/>
        <w:autoSpaceDN w:val="0"/>
        <w:adjustRightInd w:val="0"/>
        <w:spacing w:after="60"/>
        <w:jc w:val="both"/>
        <w:rPr>
          <w:rFonts w:asciiTheme="majorHAnsi" w:hAnsiTheme="majorHAnsi" w:cstheme="majorHAnsi"/>
          <w:i/>
          <w:iCs/>
          <w:color w:val="000000"/>
          <w:sz w:val="18"/>
          <w:szCs w:val="18"/>
        </w:rPr>
      </w:pPr>
      <w:r w:rsidRPr="006070EA">
        <w:rPr>
          <w:rFonts w:asciiTheme="majorHAnsi" w:hAnsiTheme="majorHAnsi" w:cstheme="majorHAnsi"/>
          <w:i/>
          <w:iCs/>
          <w:color w:val="000000"/>
          <w:sz w:val="18"/>
          <w:szCs w:val="18"/>
        </w:rPr>
        <w:t xml:space="preserve">Tab.: Podíl a počet obyvatel s připojením na vodovod a kanalizaci – data SLDB 2011 </w:t>
      </w:r>
    </w:p>
    <w:tbl>
      <w:tblPr>
        <w:tblW w:w="0" w:type="auto"/>
        <w:tblBorders>
          <w:insideH w:val="single" w:sz="6" w:space="0" w:color="000000"/>
          <w:insideV w:val="single" w:sz="6" w:space="0" w:color="000000"/>
        </w:tblBorders>
        <w:tblLook w:val="0000" w:firstRow="0" w:lastRow="0" w:firstColumn="0" w:lastColumn="0" w:noHBand="0" w:noVBand="0"/>
      </w:tblPr>
      <w:tblGrid>
        <w:gridCol w:w="2037"/>
        <w:gridCol w:w="1760"/>
        <w:gridCol w:w="1760"/>
        <w:gridCol w:w="1756"/>
        <w:gridCol w:w="1757"/>
      </w:tblGrid>
      <w:tr w:rsidR="0083483C" w:rsidRPr="006070EA" w14:paraId="3087F110" w14:textId="77777777" w:rsidTr="00EF7B4B">
        <w:trPr>
          <w:trHeight w:val="470"/>
        </w:trPr>
        <w:tc>
          <w:tcPr>
            <w:tcW w:w="2093" w:type="dxa"/>
            <w:shd w:val="clear" w:color="auto" w:fill="auto"/>
            <w:vAlign w:val="center"/>
          </w:tcPr>
          <w:p w14:paraId="55F32942" w14:textId="77777777" w:rsidR="0083483C" w:rsidRPr="006070EA" w:rsidRDefault="0083483C" w:rsidP="00E00A83">
            <w:pPr>
              <w:autoSpaceDE w:val="0"/>
              <w:autoSpaceDN w:val="0"/>
              <w:adjustRightInd w:val="0"/>
              <w:spacing w:after="0"/>
              <w:jc w:val="center"/>
              <w:rPr>
                <w:rFonts w:asciiTheme="majorHAnsi" w:hAnsiTheme="majorHAnsi" w:cstheme="majorHAnsi"/>
                <w:color w:val="000000"/>
                <w:sz w:val="18"/>
                <w:szCs w:val="18"/>
              </w:rPr>
            </w:pPr>
            <w:r w:rsidRPr="006070EA">
              <w:rPr>
                <w:rFonts w:asciiTheme="majorHAnsi" w:hAnsiTheme="majorHAnsi" w:cstheme="majorHAnsi"/>
                <w:b/>
                <w:bCs/>
                <w:color w:val="000000"/>
                <w:sz w:val="18"/>
                <w:szCs w:val="18"/>
              </w:rPr>
              <w:t>Obec</w:t>
            </w:r>
          </w:p>
        </w:tc>
        <w:tc>
          <w:tcPr>
            <w:tcW w:w="1798" w:type="dxa"/>
            <w:shd w:val="clear" w:color="auto" w:fill="auto"/>
            <w:vAlign w:val="center"/>
          </w:tcPr>
          <w:p w14:paraId="6C82A330" w14:textId="03E90DF9" w:rsidR="0083483C" w:rsidRPr="006070EA" w:rsidRDefault="0083483C" w:rsidP="00E00A83">
            <w:pPr>
              <w:autoSpaceDE w:val="0"/>
              <w:autoSpaceDN w:val="0"/>
              <w:adjustRightInd w:val="0"/>
              <w:spacing w:after="0"/>
              <w:jc w:val="center"/>
              <w:rPr>
                <w:rFonts w:asciiTheme="majorHAnsi" w:hAnsiTheme="majorHAnsi" w:cstheme="majorHAnsi"/>
                <w:color w:val="000000"/>
                <w:sz w:val="18"/>
                <w:szCs w:val="18"/>
              </w:rPr>
            </w:pPr>
            <w:r w:rsidRPr="006070EA">
              <w:rPr>
                <w:rFonts w:asciiTheme="majorHAnsi" w:hAnsiTheme="majorHAnsi" w:cstheme="majorHAnsi"/>
                <w:b/>
                <w:bCs/>
                <w:color w:val="000000"/>
                <w:sz w:val="18"/>
                <w:szCs w:val="18"/>
              </w:rPr>
              <w:t>Počet obyvatel v obydl.</w:t>
            </w:r>
            <w:r w:rsidR="001C7E4C" w:rsidRPr="006070EA">
              <w:rPr>
                <w:rFonts w:asciiTheme="majorHAnsi" w:hAnsiTheme="majorHAnsi" w:cstheme="majorHAnsi"/>
                <w:b/>
                <w:bCs/>
                <w:color w:val="000000"/>
                <w:sz w:val="18"/>
                <w:szCs w:val="18"/>
              </w:rPr>
              <w:t xml:space="preserve"> </w:t>
            </w:r>
            <w:r w:rsidRPr="006070EA">
              <w:rPr>
                <w:rFonts w:asciiTheme="majorHAnsi" w:hAnsiTheme="majorHAnsi" w:cstheme="majorHAnsi"/>
                <w:b/>
                <w:bCs/>
                <w:color w:val="000000"/>
                <w:sz w:val="18"/>
                <w:szCs w:val="18"/>
              </w:rPr>
              <w:t>bytech s vodovodem</w:t>
            </w:r>
          </w:p>
        </w:tc>
        <w:tc>
          <w:tcPr>
            <w:tcW w:w="1798" w:type="dxa"/>
            <w:shd w:val="clear" w:color="auto" w:fill="auto"/>
            <w:vAlign w:val="center"/>
          </w:tcPr>
          <w:p w14:paraId="6ABB5CF3" w14:textId="1EC9CDB8" w:rsidR="0083483C" w:rsidRPr="006070EA" w:rsidRDefault="0083483C" w:rsidP="00E00A83">
            <w:pPr>
              <w:autoSpaceDE w:val="0"/>
              <w:autoSpaceDN w:val="0"/>
              <w:adjustRightInd w:val="0"/>
              <w:spacing w:after="0"/>
              <w:jc w:val="center"/>
              <w:rPr>
                <w:rFonts w:asciiTheme="majorHAnsi" w:hAnsiTheme="majorHAnsi" w:cstheme="majorHAnsi"/>
                <w:color w:val="000000"/>
                <w:sz w:val="18"/>
                <w:szCs w:val="18"/>
              </w:rPr>
            </w:pPr>
            <w:r w:rsidRPr="006070EA">
              <w:rPr>
                <w:rFonts w:asciiTheme="majorHAnsi" w:hAnsiTheme="majorHAnsi" w:cstheme="majorHAnsi"/>
                <w:b/>
                <w:bCs/>
                <w:color w:val="000000"/>
                <w:sz w:val="18"/>
                <w:szCs w:val="18"/>
              </w:rPr>
              <w:t>Podíl obyvatel v obydl.</w:t>
            </w:r>
            <w:r w:rsidR="001C7E4C" w:rsidRPr="006070EA">
              <w:rPr>
                <w:rFonts w:asciiTheme="majorHAnsi" w:hAnsiTheme="majorHAnsi" w:cstheme="majorHAnsi"/>
                <w:b/>
                <w:bCs/>
                <w:color w:val="000000"/>
                <w:sz w:val="18"/>
                <w:szCs w:val="18"/>
              </w:rPr>
              <w:t xml:space="preserve"> </w:t>
            </w:r>
            <w:r w:rsidRPr="006070EA">
              <w:rPr>
                <w:rFonts w:asciiTheme="majorHAnsi" w:hAnsiTheme="majorHAnsi" w:cstheme="majorHAnsi"/>
                <w:b/>
                <w:bCs/>
                <w:color w:val="000000"/>
                <w:sz w:val="18"/>
                <w:szCs w:val="18"/>
              </w:rPr>
              <w:t>bytech s vodovodem (%)</w:t>
            </w:r>
          </w:p>
        </w:tc>
        <w:tc>
          <w:tcPr>
            <w:tcW w:w="1798" w:type="dxa"/>
            <w:shd w:val="clear" w:color="auto" w:fill="auto"/>
            <w:vAlign w:val="center"/>
          </w:tcPr>
          <w:p w14:paraId="30E9C180" w14:textId="3EE5D187" w:rsidR="0083483C" w:rsidRPr="006070EA" w:rsidRDefault="0083483C" w:rsidP="00E00A83">
            <w:pPr>
              <w:autoSpaceDE w:val="0"/>
              <w:autoSpaceDN w:val="0"/>
              <w:adjustRightInd w:val="0"/>
              <w:spacing w:after="0"/>
              <w:jc w:val="center"/>
              <w:rPr>
                <w:rFonts w:asciiTheme="majorHAnsi" w:hAnsiTheme="majorHAnsi" w:cstheme="majorHAnsi"/>
                <w:color w:val="000000"/>
                <w:sz w:val="18"/>
                <w:szCs w:val="18"/>
              </w:rPr>
            </w:pPr>
            <w:r w:rsidRPr="006070EA">
              <w:rPr>
                <w:rFonts w:asciiTheme="majorHAnsi" w:hAnsiTheme="majorHAnsi" w:cstheme="majorHAnsi"/>
                <w:b/>
                <w:bCs/>
                <w:color w:val="000000"/>
                <w:sz w:val="18"/>
                <w:szCs w:val="18"/>
              </w:rPr>
              <w:t>Počet obyvatel v obydl.</w:t>
            </w:r>
            <w:r w:rsidR="001C7E4C" w:rsidRPr="006070EA">
              <w:rPr>
                <w:rFonts w:asciiTheme="majorHAnsi" w:hAnsiTheme="majorHAnsi" w:cstheme="majorHAnsi"/>
                <w:b/>
                <w:bCs/>
                <w:color w:val="000000"/>
                <w:sz w:val="18"/>
                <w:szCs w:val="18"/>
              </w:rPr>
              <w:t xml:space="preserve"> </w:t>
            </w:r>
            <w:r w:rsidRPr="006070EA">
              <w:rPr>
                <w:rFonts w:asciiTheme="majorHAnsi" w:hAnsiTheme="majorHAnsi" w:cstheme="majorHAnsi"/>
                <w:b/>
                <w:bCs/>
                <w:color w:val="000000"/>
                <w:sz w:val="18"/>
                <w:szCs w:val="18"/>
              </w:rPr>
              <w:t>bytech s přípojem na kanalizační síť</w:t>
            </w:r>
          </w:p>
        </w:tc>
        <w:tc>
          <w:tcPr>
            <w:tcW w:w="1799" w:type="dxa"/>
            <w:shd w:val="clear" w:color="auto" w:fill="auto"/>
            <w:vAlign w:val="center"/>
          </w:tcPr>
          <w:p w14:paraId="12B12292" w14:textId="11A3FF0A" w:rsidR="0083483C" w:rsidRPr="006070EA" w:rsidRDefault="0083483C" w:rsidP="00E00A83">
            <w:pPr>
              <w:autoSpaceDE w:val="0"/>
              <w:autoSpaceDN w:val="0"/>
              <w:adjustRightInd w:val="0"/>
              <w:spacing w:after="0"/>
              <w:jc w:val="center"/>
              <w:rPr>
                <w:rFonts w:asciiTheme="majorHAnsi" w:hAnsiTheme="majorHAnsi" w:cstheme="majorHAnsi"/>
                <w:color w:val="000000"/>
                <w:sz w:val="18"/>
                <w:szCs w:val="18"/>
              </w:rPr>
            </w:pPr>
            <w:r w:rsidRPr="006070EA">
              <w:rPr>
                <w:rFonts w:asciiTheme="majorHAnsi" w:hAnsiTheme="majorHAnsi" w:cstheme="majorHAnsi"/>
                <w:b/>
                <w:bCs/>
                <w:color w:val="000000"/>
                <w:sz w:val="18"/>
                <w:szCs w:val="18"/>
              </w:rPr>
              <w:t>Podíl obyvatel v obydl.</w:t>
            </w:r>
            <w:r w:rsidR="001C7E4C" w:rsidRPr="006070EA">
              <w:rPr>
                <w:rFonts w:asciiTheme="majorHAnsi" w:hAnsiTheme="majorHAnsi" w:cstheme="majorHAnsi"/>
                <w:b/>
                <w:bCs/>
                <w:color w:val="000000"/>
                <w:sz w:val="18"/>
                <w:szCs w:val="18"/>
              </w:rPr>
              <w:t xml:space="preserve"> </w:t>
            </w:r>
            <w:r w:rsidRPr="006070EA">
              <w:rPr>
                <w:rFonts w:asciiTheme="majorHAnsi" w:hAnsiTheme="majorHAnsi" w:cstheme="majorHAnsi"/>
                <w:b/>
                <w:bCs/>
                <w:color w:val="000000"/>
                <w:sz w:val="18"/>
                <w:szCs w:val="18"/>
              </w:rPr>
              <w:t>bytech s přípojem na kanalizační síť (%)</w:t>
            </w:r>
          </w:p>
        </w:tc>
      </w:tr>
      <w:tr w:rsidR="0083483C" w:rsidRPr="006070EA" w14:paraId="2AC6EC2C" w14:textId="77777777" w:rsidTr="00EF7B4B">
        <w:trPr>
          <w:trHeight w:val="200"/>
        </w:trPr>
        <w:tc>
          <w:tcPr>
            <w:tcW w:w="2093" w:type="dxa"/>
            <w:shd w:val="clear" w:color="auto" w:fill="auto"/>
            <w:vAlign w:val="center"/>
          </w:tcPr>
          <w:p w14:paraId="6A37CB3A" w14:textId="77777777" w:rsidR="0083483C" w:rsidRPr="006070EA" w:rsidRDefault="0083483C" w:rsidP="00E00A83">
            <w:pPr>
              <w:autoSpaceDE w:val="0"/>
              <w:autoSpaceDN w:val="0"/>
              <w:adjustRightInd w:val="0"/>
              <w:spacing w:after="0"/>
              <w:jc w:val="center"/>
              <w:rPr>
                <w:rFonts w:asciiTheme="majorHAnsi" w:hAnsiTheme="majorHAnsi" w:cstheme="majorHAnsi"/>
                <w:color w:val="000000"/>
                <w:sz w:val="18"/>
                <w:szCs w:val="18"/>
              </w:rPr>
            </w:pPr>
            <w:r w:rsidRPr="006070EA">
              <w:rPr>
                <w:rFonts w:asciiTheme="majorHAnsi" w:hAnsiTheme="majorHAnsi" w:cstheme="majorHAnsi"/>
                <w:b/>
                <w:bCs/>
                <w:color w:val="000000"/>
                <w:sz w:val="18"/>
                <w:szCs w:val="18"/>
              </w:rPr>
              <w:t>Kostomlaty nad Labem</w:t>
            </w:r>
          </w:p>
        </w:tc>
        <w:tc>
          <w:tcPr>
            <w:tcW w:w="1798" w:type="dxa"/>
            <w:shd w:val="clear" w:color="auto" w:fill="auto"/>
            <w:vAlign w:val="center"/>
          </w:tcPr>
          <w:p w14:paraId="797C56CB" w14:textId="77777777" w:rsidR="0083483C" w:rsidRPr="006070EA" w:rsidRDefault="0083483C" w:rsidP="00E00A83">
            <w:pPr>
              <w:autoSpaceDE w:val="0"/>
              <w:autoSpaceDN w:val="0"/>
              <w:adjustRightInd w:val="0"/>
              <w:spacing w:after="0"/>
              <w:jc w:val="center"/>
              <w:rPr>
                <w:rFonts w:asciiTheme="majorHAnsi" w:hAnsiTheme="majorHAnsi" w:cstheme="majorHAnsi"/>
                <w:color w:val="000000"/>
                <w:sz w:val="18"/>
                <w:szCs w:val="18"/>
              </w:rPr>
            </w:pPr>
            <w:r w:rsidRPr="006070EA">
              <w:rPr>
                <w:rFonts w:asciiTheme="majorHAnsi" w:hAnsiTheme="majorHAnsi" w:cstheme="majorHAnsi"/>
                <w:color w:val="000000"/>
                <w:sz w:val="18"/>
                <w:szCs w:val="18"/>
              </w:rPr>
              <w:t>1606</w:t>
            </w:r>
          </w:p>
        </w:tc>
        <w:tc>
          <w:tcPr>
            <w:tcW w:w="1798" w:type="dxa"/>
            <w:shd w:val="clear" w:color="auto" w:fill="auto"/>
            <w:vAlign w:val="center"/>
          </w:tcPr>
          <w:p w14:paraId="321AAB13" w14:textId="77777777" w:rsidR="0083483C" w:rsidRPr="006070EA" w:rsidRDefault="0083483C" w:rsidP="00E00A83">
            <w:pPr>
              <w:autoSpaceDE w:val="0"/>
              <w:autoSpaceDN w:val="0"/>
              <w:adjustRightInd w:val="0"/>
              <w:spacing w:after="0"/>
              <w:jc w:val="center"/>
              <w:rPr>
                <w:rFonts w:asciiTheme="majorHAnsi" w:hAnsiTheme="majorHAnsi" w:cstheme="majorHAnsi"/>
                <w:color w:val="000000"/>
                <w:sz w:val="18"/>
                <w:szCs w:val="18"/>
              </w:rPr>
            </w:pPr>
            <w:r w:rsidRPr="006070EA">
              <w:rPr>
                <w:rFonts w:asciiTheme="majorHAnsi" w:hAnsiTheme="majorHAnsi" w:cstheme="majorHAnsi"/>
                <w:color w:val="000000"/>
                <w:sz w:val="18"/>
                <w:szCs w:val="18"/>
              </w:rPr>
              <w:t>99,2</w:t>
            </w:r>
          </w:p>
        </w:tc>
        <w:tc>
          <w:tcPr>
            <w:tcW w:w="1798" w:type="dxa"/>
            <w:shd w:val="clear" w:color="auto" w:fill="auto"/>
            <w:vAlign w:val="center"/>
          </w:tcPr>
          <w:p w14:paraId="4421BF29" w14:textId="77777777" w:rsidR="0083483C" w:rsidRPr="006070EA" w:rsidRDefault="0083483C" w:rsidP="00E00A83">
            <w:pPr>
              <w:autoSpaceDE w:val="0"/>
              <w:autoSpaceDN w:val="0"/>
              <w:adjustRightInd w:val="0"/>
              <w:spacing w:after="0"/>
              <w:jc w:val="center"/>
              <w:rPr>
                <w:rFonts w:asciiTheme="majorHAnsi" w:hAnsiTheme="majorHAnsi" w:cstheme="majorHAnsi"/>
                <w:color w:val="000000"/>
                <w:sz w:val="18"/>
                <w:szCs w:val="18"/>
              </w:rPr>
            </w:pPr>
            <w:r w:rsidRPr="006070EA">
              <w:rPr>
                <w:rFonts w:asciiTheme="majorHAnsi" w:hAnsiTheme="majorHAnsi" w:cstheme="majorHAnsi"/>
                <w:color w:val="000000"/>
                <w:sz w:val="18"/>
                <w:szCs w:val="18"/>
              </w:rPr>
              <w:t>1353</w:t>
            </w:r>
          </w:p>
        </w:tc>
        <w:tc>
          <w:tcPr>
            <w:tcW w:w="1799" w:type="dxa"/>
            <w:shd w:val="clear" w:color="auto" w:fill="auto"/>
            <w:vAlign w:val="center"/>
          </w:tcPr>
          <w:p w14:paraId="5DAF57C4" w14:textId="77777777" w:rsidR="0083483C" w:rsidRPr="006070EA" w:rsidRDefault="0083483C" w:rsidP="00E00A83">
            <w:pPr>
              <w:autoSpaceDE w:val="0"/>
              <w:autoSpaceDN w:val="0"/>
              <w:adjustRightInd w:val="0"/>
              <w:spacing w:after="0"/>
              <w:jc w:val="center"/>
              <w:rPr>
                <w:rFonts w:asciiTheme="majorHAnsi" w:hAnsiTheme="majorHAnsi" w:cstheme="majorHAnsi"/>
                <w:color w:val="000000"/>
                <w:sz w:val="18"/>
                <w:szCs w:val="18"/>
              </w:rPr>
            </w:pPr>
            <w:r w:rsidRPr="006070EA">
              <w:rPr>
                <w:rFonts w:asciiTheme="majorHAnsi" w:hAnsiTheme="majorHAnsi" w:cstheme="majorHAnsi"/>
                <w:color w:val="000000"/>
                <w:sz w:val="18"/>
                <w:szCs w:val="18"/>
              </w:rPr>
              <w:t>76,7</w:t>
            </w:r>
          </w:p>
        </w:tc>
      </w:tr>
    </w:tbl>
    <w:p w14:paraId="7F85EFA3" w14:textId="365BCC27" w:rsidR="00857BC4" w:rsidRPr="006070EA" w:rsidRDefault="00857BC4" w:rsidP="00857BC4">
      <w:pPr>
        <w:pStyle w:val="Atext"/>
        <w:keepNext/>
        <w:ind w:firstLine="0"/>
        <w:jc w:val="right"/>
        <w:rPr>
          <w:rFonts w:asciiTheme="majorHAnsi" w:hAnsiTheme="majorHAnsi" w:cstheme="majorHAnsi"/>
          <w:i/>
          <w:snapToGrid w:val="0"/>
          <w:u w:val="single"/>
        </w:rPr>
      </w:pPr>
      <w:r w:rsidRPr="006070EA">
        <w:rPr>
          <w:rFonts w:asciiTheme="majorHAnsi" w:hAnsiTheme="majorHAnsi" w:cstheme="majorHAnsi"/>
          <w:i/>
          <w:snapToGrid w:val="0"/>
          <w:u w:val="single"/>
        </w:rPr>
        <w:t xml:space="preserve">Odůvodnění odst. </w:t>
      </w:r>
      <w:r w:rsidRPr="006070EA">
        <w:rPr>
          <w:rFonts w:asciiTheme="majorHAnsi" w:hAnsiTheme="majorHAnsi" w:cstheme="majorHAnsi"/>
          <w:b/>
          <w:i/>
          <w:snapToGrid w:val="0"/>
          <w:u w:val="single"/>
        </w:rPr>
        <w:t>(</w:t>
      </w:r>
      <w:r w:rsidR="00887C15" w:rsidRPr="006070EA">
        <w:rPr>
          <w:rFonts w:asciiTheme="majorHAnsi" w:hAnsiTheme="majorHAnsi" w:cstheme="majorHAnsi"/>
          <w:b/>
          <w:i/>
          <w:snapToGrid w:val="0"/>
          <w:u w:val="single"/>
        </w:rPr>
        <w:t>3</w:t>
      </w:r>
      <w:r w:rsidR="007F6EAE">
        <w:rPr>
          <w:rFonts w:asciiTheme="majorHAnsi" w:hAnsiTheme="majorHAnsi" w:cstheme="majorHAnsi"/>
          <w:b/>
          <w:i/>
          <w:snapToGrid w:val="0"/>
          <w:u w:val="single"/>
        </w:rPr>
        <w:t>5</w:t>
      </w:r>
      <w:r w:rsidRPr="006070EA">
        <w:rPr>
          <w:rFonts w:asciiTheme="majorHAnsi" w:hAnsiTheme="majorHAnsi" w:cstheme="majorHAnsi"/>
          <w:b/>
          <w:i/>
          <w:snapToGrid w:val="0"/>
          <w:u w:val="single"/>
        </w:rPr>
        <w:t xml:space="preserve">) </w:t>
      </w:r>
      <w:r w:rsidRPr="006070EA">
        <w:rPr>
          <w:rFonts w:asciiTheme="majorHAnsi" w:hAnsiTheme="majorHAnsi" w:cstheme="majorHAnsi"/>
          <w:i/>
          <w:snapToGrid w:val="0"/>
          <w:u w:val="single"/>
        </w:rPr>
        <w:t>výrokové části</w:t>
      </w:r>
    </w:p>
    <w:p w14:paraId="50473B06" w14:textId="5E6971B6" w:rsidR="00857BC4" w:rsidRPr="006070EA" w:rsidRDefault="00857BC4" w:rsidP="00857BC4">
      <w:pPr>
        <w:pStyle w:val="Atext"/>
        <w:rPr>
          <w:rFonts w:asciiTheme="majorHAnsi" w:hAnsiTheme="majorHAnsi" w:cstheme="majorHAnsi"/>
        </w:rPr>
      </w:pPr>
      <w:r w:rsidRPr="006070EA">
        <w:rPr>
          <w:rFonts w:asciiTheme="majorHAnsi" w:hAnsiTheme="majorHAnsi" w:cstheme="majorHAnsi"/>
        </w:rPr>
        <w:t>Územní plán pro rozvoj technické infrastruktury explicitně nevymezuje nové páteřní trasy vedení inženýrských sítí ani konkrétní umístění objektů a zařízení vyjma koridor</w:t>
      </w:r>
      <w:r w:rsidR="00243861" w:rsidRPr="006070EA">
        <w:rPr>
          <w:rFonts w:asciiTheme="majorHAnsi" w:hAnsiTheme="majorHAnsi" w:cstheme="majorHAnsi"/>
        </w:rPr>
        <w:t>u</w:t>
      </w:r>
      <w:r w:rsidRPr="006070EA">
        <w:rPr>
          <w:rFonts w:asciiTheme="majorHAnsi" w:hAnsiTheme="majorHAnsi" w:cstheme="majorHAnsi"/>
        </w:rPr>
        <w:t xml:space="preserve"> pro </w:t>
      </w:r>
      <w:r w:rsidR="00243861" w:rsidRPr="006070EA">
        <w:rPr>
          <w:rFonts w:asciiTheme="majorHAnsi" w:hAnsiTheme="majorHAnsi" w:cstheme="majorHAnsi"/>
        </w:rPr>
        <w:t>vodovod a kanalizaci včetně souvisejících staveb a zařízení</w:t>
      </w:r>
      <w:r w:rsidRPr="006070EA">
        <w:rPr>
          <w:rFonts w:asciiTheme="majorHAnsi" w:hAnsiTheme="majorHAnsi" w:cstheme="majorHAnsi"/>
        </w:rPr>
        <w:t>. Podmínky pro rozvoj sítí technické infrastruktury – vedení inženýrských sítí – jsou vytvořeny v rámci podmínek využití jednotlivých ploch s rozdílným způsobem využití. Jejich konkrétní polohu je nutné prověřit a určit v územních studiích, regulačních plánech nebo v navazujících řízeních dle podrobného řešení a kapacit budoucí zástavby.</w:t>
      </w:r>
    </w:p>
    <w:p w14:paraId="4CFA180B" w14:textId="77777777" w:rsidR="00AB1F4C" w:rsidRPr="006070EA" w:rsidRDefault="00461350" w:rsidP="009E07E1">
      <w:pPr>
        <w:keepNext/>
        <w:shd w:val="clear" w:color="auto" w:fill="F2F2F2" w:themeFill="background1" w:themeFillShade="F2"/>
        <w:spacing w:before="120" w:after="120" w:line="240" w:lineRule="auto"/>
        <w:rPr>
          <w:rFonts w:asciiTheme="majorHAnsi" w:hAnsiTheme="majorHAnsi" w:cstheme="majorHAnsi"/>
          <w:b/>
          <w:sz w:val="20"/>
        </w:rPr>
      </w:pPr>
      <w:r w:rsidRPr="006070EA">
        <w:rPr>
          <w:rFonts w:asciiTheme="majorHAnsi" w:hAnsiTheme="majorHAnsi" w:cstheme="majorHAnsi"/>
          <w:b/>
          <w:sz w:val="20"/>
        </w:rPr>
        <w:t>Zásobování vodou</w:t>
      </w:r>
    </w:p>
    <w:p w14:paraId="317938E3" w14:textId="5E017F43" w:rsidR="00741649" w:rsidRPr="006070EA" w:rsidRDefault="00741649" w:rsidP="009E07E1">
      <w:pPr>
        <w:pStyle w:val="Atext"/>
        <w:keepNext/>
        <w:ind w:firstLine="0"/>
        <w:jc w:val="right"/>
        <w:rPr>
          <w:rFonts w:asciiTheme="majorHAnsi" w:hAnsiTheme="majorHAnsi" w:cstheme="majorHAnsi"/>
          <w:i/>
          <w:snapToGrid w:val="0"/>
          <w:szCs w:val="18"/>
          <w:u w:val="single"/>
        </w:rPr>
      </w:pPr>
      <w:r w:rsidRPr="006070EA">
        <w:rPr>
          <w:rFonts w:asciiTheme="majorHAnsi" w:hAnsiTheme="majorHAnsi" w:cstheme="majorHAnsi"/>
          <w:i/>
          <w:snapToGrid w:val="0"/>
          <w:szCs w:val="18"/>
          <w:u w:val="single"/>
        </w:rPr>
        <w:t xml:space="preserve">Odůvodnění odst. </w:t>
      </w:r>
      <w:r w:rsidRPr="006070EA">
        <w:rPr>
          <w:rFonts w:asciiTheme="majorHAnsi" w:hAnsiTheme="majorHAnsi" w:cstheme="majorHAnsi"/>
          <w:b/>
          <w:i/>
          <w:snapToGrid w:val="0"/>
          <w:szCs w:val="18"/>
          <w:u w:val="single"/>
        </w:rPr>
        <w:t>(</w:t>
      </w:r>
      <w:r w:rsidR="00243861" w:rsidRPr="006070EA">
        <w:rPr>
          <w:rFonts w:asciiTheme="majorHAnsi" w:hAnsiTheme="majorHAnsi" w:cstheme="majorHAnsi"/>
          <w:b/>
          <w:i/>
          <w:snapToGrid w:val="0"/>
          <w:szCs w:val="18"/>
          <w:u w:val="single"/>
        </w:rPr>
        <w:t>3</w:t>
      </w:r>
      <w:r w:rsidR="007F6EAE">
        <w:rPr>
          <w:rFonts w:asciiTheme="majorHAnsi" w:hAnsiTheme="majorHAnsi" w:cstheme="majorHAnsi"/>
          <w:b/>
          <w:i/>
          <w:snapToGrid w:val="0"/>
          <w:szCs w:val="18"/>
          <w:u w:val="single"/>
        </w:rPr>
        <w:t>6</w:t>
      </w:r>
      <w:r w:rsidRPr="006070EA">
        <w:rPr>
          <w:rFonts w:asciiTheme="majorHAnsi" w:hAnsiTheme="majorHAnsi" w:cstheme="majorHAnsi"/>
          <w:b/>
          <w:i/>
          <w:snapToGrid w:val="0"/>
          <w:szCs w:val="18"/>
          <w:u w:val="single"/>
        </w:rPr>
        <w:t xml:space="preserve">) </w:t>
      </w:r>
      <w:r w:rsidRPr="006070EA">
        <w:rPr>
          <w:rFonts w:asciiTheme="majorHAnsi" w:hAnsiTheme="majorHAnsi" w:cstheme="majorHAnsi"/>
          <w:i/>
          <w:snapToGrid w:val="0"/>
          <w:szCs w:val="18"/>
          <w:u w:val="single"/>
        </w:rPr>
        <w:t>výrokové části</w:t>
      </w:r>
    </w:p>
    <w:p w14:paraId="12881C9B" w14:textId="77777777" w:rsidR="00D208ED" w:rsidRPr="006070EA" w:rsidRDefault="00D208ED" w:rsidP="009E07E1">
      <w:pPr>
        <w:pStyle w:val="Anadpispodtren"/>
        <w:rPr>
          <w:rFonts w:asciiTheme="majorHAnsi" w:hAnsiTheme="majorHAnsi" w:cstheme="majorHAnsi"/>
          <w:b/>
          <w:szCs w:val="18"/>
          <w:u w:val="none"/>
        </w:rPr>
      </w:pPr>
      <w:r w:rsidRPr="006070EA">
        <w:rPr>
          <w:rFonts w:asciiTheme="majorHAnsi" w:hAnsiTheme="majorHAnsi" w:cstheme="majorHAnsi"/>
          <w:b/>
          <w:szCs w:val="18"/>
          <w:u w:val="none"/>
        </w:rPr>
        <w:t>Popis stávající situace</w:t>
      </w:r>
      <w:r w:rsidR="004D10E6" w:rsidRPr="006070EA">
        <w:rPr>
          <w:rFonts w:asciiTheme="majorHAnsi" w:hAnsiTheme="majorHAnsi" w:cstheme="majorHAnsi"/>
          <w:b/>
          <w:szCs w:val="18"/>
          <w:u w:val="none"/>
        </w:rPr>
        <w:t xml:space="preserve"> </w:t>
      </w:r>
      <w:r w:rsidR="00EB289F" w:rsidRPr="006070EA">
        <w:rPr>
          <w:rFonts w:asciiTheme="majorHAnsi" w:hAnsiTheme="majorHAnsi" w:cstheme="majorHAnsi"/>
          <w:b/>
          <w:szCs w:val="18"/>
          <w:u w:val="none"/>
        </w:rPr>
        <w:t>a návrh</w:t>
      </w:r>
    </w:p>
    <w:p w14:paraId="5C527D54" w14:textId="6828FA84" w:rsidR="0013478F" w:rsidRPr="006070EA" w:rsidRDefault="0013478F" w:rsidP="0013478F">
      <w:pPr>
        <w:pStyle w:val="Atext"/>
        <w:rPr>
          <w:rFonts w:asciiTheme="majorHAnsi" w:hAnsiTheme="majorHAnsi" w:cstheme="majorHAnsi"/>
        </w:rPr>
      </w:pPr>
      <w:r w:rsidRPr="006070EA">
        <w:rPr>
          <w:rFonts w:asciiTheme="majorHAnsi" w:hAnsiTheme="majorHAnsi" w:cstheme="majorHAnsi"/>
        </w:rPr>
        <w:t>Vodárenská soustava Nymburska a Poděbradska a na ni napojený skupinový vodovod Nymburk – Chotuc jsou hlavním zdrojem pitné vody s nezastupitelnou úlohou pro většinu obyvatel SO ORP. Součástí skupinového vodovodu je také čerpací stanice v Sovenicích, dvě automatické tlakové stanice a vodojem Chotuc. V některých obcích plní tato soustava a</w:t>
      </w:r>
      <w:r w:rsidR="008D028B" w:rsidRPr="006070EA">
        <w:rPr>
          <w:rFonts w:asciiTheme="majorHAnsi" w:hAnsiTheme="majorHAnsi" w:cstheme="majorHAnsi"/>
        </w:rPr>
        <w:t> </w:t>
      </w:r>
      <w:r w:rsidRPr="006070EA">
        <w:rPr>
          <w:rFonts w:asciiTheme="majorHAnsi" w:hAnsiTheme="majorHAnsi" w:cstheme="majorHAnsi"/>
        </w:rPr>
        <w:t>vodovod úlohu primárního zdroje pitné vody a obecní zdroje jsou využívány pouze jako záložní zdroje v případě nenadálé události. Některé obce naopak používají soustavu jako záložní zdroj pitné vody k obecním zdrojům. Napojení obyvatel na veřejné vodovody se tak dá charakterizovat jako velmi dobré, stále ale existují především lokální problémy s kvalitou a</w:t>
      </w:r>
      <w:r w:rsidR="008D028B" w:rsidRPr="006070EA">
        <w:rPr>
          <w:rFonts w:asciiTheme="majorHAnsi" w:hAnsiTheme="majorHAnsi" w:cstheme="majorHAnsi"/>
        </w:rPr>
        <w:t> </w:t>
      </w:r>
      <w:r w:rsidRPr="006070EA">
        <w:rPr>
          <w:rFonts w:asciiTheme="majorHAnsi" w:hAnsiTheme="majorHAnsi" w:cstheme="majorHAnsi"/>
        </w:rPr>
        <w:t xml:space="preserve">zajištěním dostatečného zdroje pitné vody. Kapacita podzemních a povrchových zdrojů vody je zatím dostatečná a pokrývá potřeby oblasti. </w:t>
      </w:r>
    </w:p>
    <w:p w14:paraId="639ED3E2" w14:textId="24D97873" w:rsidR="0013478F" w:rsidRPr="006070EA" w:rsidRDefault="008D028B" w:rsidP="0013478F">
      <w:pPr>
        <w:pStyle w:val="Atext"/>
        <w:rPr>
          <w:rFonts w:asciiTheme="majorHAnsi" w:hAnsiTheme="majorHAnsi" w:cstheme="majorHAnsi"/>
          <w:shd w:val="clear" w:color="auto" w:fill="FFFFFF"/>
        </w:rPr>
      </w:pPr>
      <w:r w:rsidRPr="006070EA">
        <w:rPr>
          <w:rFonts w:asciiTheme="majorHAnsi" w:hAnsiTheme="majorHAnsi" w:cstheme="majorHAnsi"/>
        </w:rPr>
        <w:t>V řešeném území je z</w:t>
      </w:r>
      <w:r w:rsidR="0013478F" w:rsidRPr="006070EA">
        <w:rPr>
          <w:rFonts w:asciiTheme="majorHAnsi" w:hAnsiTheme="majorHAnsi" w:cstheme="majorHAnsi"/>
        </w:rPr>
        <w:t xml:space="preserve">ásobována pitnou vodou pouze místní část Kostomlaty nad Labem. Ostatní obyvatelé používají ke svému zásobení soukromé zdroje a obecní studny. </w:t>
      </w:r>
      <w:r w:rsidR="0013478F" w:rsidRPr="006070EA">
        <w:rPr>
          <w:rFonts w:asciiTheme="majorHAnsi" w:hAnsiTheme="majorHAnsi" w:cstheme="majorHAnsi"/>
          <w:shd w:val="clear" w:color="auto" w:fill="FFFFFF"/>
        </w:rPr>
        <w:t xml:space="preserve">Zásobování pitnou vodou je zajištěno z vodovodního řadu Nymburk – Doubrava – Kostomlaty. </w:t>
      </w:r>
    </w:p>
    <w:p w14:paraId="433510F6" w14:textId="77777777" w:rsidR="00AB1F4C" w:rsidRPr="006070EA" w:rsidRDefault="00AB1F4C" w:rsidP="00F61BC8">
      <w:pPr>
        <w:keepNext/>
        <w:spacing w:before="120" w:after="60" w:line="240" w:lineRule="auto"/>
        <w:jc w:val="both"/>
        <w:rPr>
          <w:rFonts w:asciiTheme="majorHAnsi" w:hAnsiTheme="majorHAnsi" w:cstheme="majorHAnsi"/>
          <w:sz w:val="18"/>
          <w:szCs w:val="18"/>
          <w:u w:val="single"/>
        </w:rPr>
      </w:pPr>
      <w:r w:rsidRPr="006070EA">
        <w:rPr>
          <w:rFonts w:asciiTheme="majorHAnsi" w:hAnsiTheme="majorHAnsi" w:cstheme="majorHAnsi"/>
          <w:sz w:val="18"/>
          <w:szCs w:val="18"/>
          <w:u w:val="single"/>
        </w:rPr>
        <w:t>Bilance potřeby pro návrh</w:t>
      </w:r>
    </w:p>
    <w:p w14:paraId="65D88F99" w14:textId="77777777" w:rsidR="00AB1F4C" w:rsidRPr="006070EA" w:rsidRDefault="00AB1F4C" w:rsidP="009E07E1">
      <w:pPr>
        <w:keepNext/>
        <w:spacing w:after="60" w:line="240" w:lineRule="auto"/>
        <w:ind w:firstLine="709"/>
        <w:jc w:val="both"/>
        <w:rPr>
          <w:rFonts w:asciiTheme="majorHAnsi" w:hAnsiTheme="majorHAnsi" w:cstheme="majorHAnsi"/>
          <w:sz w:val="18"/>
          <w:szCs w:val="18"/>
        </w:rPr>
      </w:pPr>
      <w:r w:rsidRPr="006070EA">
        <w:rPr>
          <w:rFonts w:asciiTheme="majorHAnsi" w:hAnsiTheme="majorHAnsi" w:cstheme="majorHAnsi"/>
          <w:sz w:val="18"/>
          <w:szCs w:val="18"/>
        </w:rPr>
        <w:t>Jako základ vývoje bilance jsou uvažovány kapacity zastavitelných ploch, skutečný počet obyvatel a</w:t>
      </w:r>
      <w:r w:rsidR="0097640E" w:rsidRPr="006070EA">
        <w:rPr>
          <w:rFonts w:asciiTheme="majorHAnsi" w:hAnsiTheme="majorHAnsi" w:cstheme="majorHAnsi"/>
          <w:sz w:val="18"/>
          <w:szCs w:val="18"/>
        </w:rPr>
        <w:t> </w:t>
      </w:r>
      <w:r w:rsidRPr="006070EA">
        <w:rPr>
          <w:rFonts w:asciiTheme="majorHAnsi" w:hAnsiTheme="majorHAnsi" w:cstheme="majorHAnsi"/>
          <w:sz w:val="18"/>
          <w:szCs w:val="18"/>
        </w:rPr>
        <w:t>jeho předpokládaný vývoj. Bilanční údaje jsou uvedeny k roku 203</w:t>
      </w:r>
      <w:r w:rsidR="00642E4C" w:rsidRPr="006070EA">
        <w:rPr>
          <w:rFonts w:asciiTheme="majorHAnsi" w:hAnsiTheme="majorHAnsi" w:cstheme="majorHAnsi"/>
          <w:sz w:val="18"/>
          <w:szCs w:val="18"/>
        </w:rPr>
        <w:t>5</w:t>
      </w:r>
      <w:r w:rsidRPr="006070EA">
        <w:rPr>
          <w:rFonts w:asciiTheme="majorHAnsi" w:hAnsiTheme="majorHAnsi" w:cstheme="majorHAnsi"/>
          <w:sz w:val="18"/>
          <w:szCs w:val="18"/>
        </w:rPr>
        <w:t xml:space="preserve">. </w:t>
      </w:r>
    </w:p>
    <w:tbl>
      <w:tblPr>
        <w:tblStyle w:val="Mkatabulky"/>
        <w:tblW w:w="9073" w:type="dxa"/>
        <w:jc w:val="center"/>
        <w:tblBorders>
          <w:top w:val="none" w:sz="0" w:space="0" w:color="auto"/>
          <w:left w:val="none" w:sz="0" w:space="0" w:color="auto"/>
          <w:bottom w:val="none" w:sz="0" w:space="0" w:color="auto"/>
          <w:right w:val="none" w:sz="0" w:space="0" w:color="auto"/>
        </w:tblBorders>
        <w:tblLayout w:type="fixed"/>
        <w:tblLook w:val="04A0" w:firstRow="1" w:lastRow="0" w:firstColumn="1" w:lastColumn="0" w:noHBand="0" w:noVBand="1"/>
      </w:tblPr>
      <w:tblGrid>
        <w:gridCol w:w="3118"/>
        <w:gridCol w:w="1134"/>
        <w:gridCol w:w="1134"/>
        <w:gridCol w:w="1843"/>
        <w:gridCol w:w="1844"/>
      </w:tblGrid>
      <w:tr w:rsidR="009D5E28" w:rsidRPr="006070EA" w14:paraId="28000A0D" w14:textId="77777777" w:rsidTr="00AD6D48">
        <w:trPr>
          <w:cantSplit/>
          <w:tblHeader/>
          <w:jc w:val="center"/>
        </w:trPr>
        <w:tc>
          <w:tcPr>
            <w:tcW w:w="3118" w:type="dxa"/>
            <w:vMerge w:val="restart"/>
            <w:tcBorders>
              <w:top w:val="nil"/>
              <w:bottom w:val="single" w:sz="12" w:space="0" w:color="auto"/>
              <w:right w:val="single" w:sz="12" w:space="0" w:color="auto"/>
            </w:tcBorders>
            <w:shd w:val="clear" w:color="auto" w:fill="auto"/>
            <w:vAlign w:val="center"/>
          </w:tcPr>
          <w:p w14:paraId="4009CAE8" w14:textId="77777777" w:rsidR="00AB1F4C" w:rsidRPr="006070EA" w:rsidRDefault="00AB1F4C" w:rsidP="009E07E1">
            <w:pPr>
              <w:jc w:val="center"/>
              <w:rPr>
                <w:rFonts w:asciiTheme="majorHAnsi" w:hAnsiTheme="majorHAnsi" w:cstheme="majorHAnsi"/>
                <w:b/>
                <w:sz w:val="18"/>
                <w:szCs w:val="18"/>
              </w:rPr>
            </w:pPr>
            <w:r w:rsidRPr="006070EA">
              <w:rPr>
                <w:rFonts w:asciiTheme="majorHAnsi" w:hAnsiTheme="majorHAnsi" w:cstheme="majorHAnsi"/>
                <w:b/>
                <w:sz w:val="18"/>
                <w:szCs w:val="18"/>
              </w:rPr>
              <w:t>položka</w:t>
            </w:r>
          </w:p>
        </w:tc>
        <w:tc>
          <w:tcPr>
            <w:tcW w:w="1134" w:type="dxa"/>
            <w:vMerge w:val="restart"/>
            <w:tcBorders>
              <w:top w:val="nil"/>
              <w:left w:val="single" w:sz="12" w:space="0" w:color="auto"/>
              <w:bottom w:val="single" w:sz="12" w:space="0" w:color="auto"/>
              <w:right w:val="single" w:sz="12" w:space="0" w:color="auto"/>
            </w:tcBorders>
            <w:shd w:val="clear" w:color="auto" w:fill="auto"/>
            <w:vAlign w:val="center"/>
          </w:tcPr>
          <w:p w14:paraId="52B9F674" w14:textId="77777777" w:rsidR="00AB1F4C" w:rsidRPr="006070EA" w:rsidRDefault="00AB1F4C" w:rsidP="009E07E1">
            <w:pPr>
              <w:jc w:val="center"/>
              <w:rPr>
                <w:rFonts w:asciiTheme="majorHAnsi" w:hAnsiTheme="majorHAnsi" w:cstheme="majorHAnsi"/>
                <w:b/>
                <w:sz w:val="18"/>
                <w:szCs w:val="18"/>
              </w:rPr>
            </w:pPr>
            <w:r w:rsidRPr="006070EA">
              <w:rPr>
                <w:rFonts w:asciiTheme="majorHAnsi" w:hAnsiTheme="majorHAnsi" w:cstheme="majorHAnsi"/>
                <w:b/>
                <w:sz w:val="18"/>
                <w:szCs w:val="18"/>
              </w:rPr>
              <w:t>ozn.</w:t>
            </w:r>
          </w:p>
        </w:tc>
        <w:tc>
          <w:tcPr>
            <w:tcW w:w="1134" w:type="dxa"/>
            <w:vMerge w:val="restart"/>
            <w:tcBorders>
              <w:top w:val="nil"/>
              <w:left w:val="single" w:sz="12" w:space="0" w:color="auto"/>
              <w:bottom w:val="single" w:sz="12" w:space="0" w:color="auto"/>
              <w:right w:val="single" w:sz="12" w:space="0" w:color="auto"/>
            </w:tcBorders>
            <w:shd w:val="clear" w:color="auto" w:fill="auto"/>
            <w:vAlign w:val="center"/>
          </w:tcPr>
          <w:p w14:paraId="4330A79E" w14:textId="77777777" w:rsidR="00AB1F4C" w:rsidRPr="006070EA" w:rsidRDefault="00AB1F4C" w:rsidP="009E07E1">
            <w:pPr>
              <w:jc w:val="center"/>
              <w:rPr>
                <w:rFonts w:asciiTheme="majorHAnsi" w:hAnsiTheme="majorHAnsi" w:cstheme="majorHAnsi"/>
                <w:b/>
                <w:sz w:val="18"/>
                <w:szCs w:val="18"/>
              </w:rPr>
            </w:pPr>
            <w:r w:rsidRPr="006070EA">
              <w:rPr>
                <w:rFonts w:asciiTheme="majorHAnsi" w:hAnsiTheme="majorHAnsi" w:cstheme="majorHAnsi"/>
                <w:b/>
                <w:sz w:val="18"/>
                <w:szCs w:val="18"/>
              </w:rPr>
              <w:t>jednotka</w:t>
            </w:r>
          </w:p>
        </w:tc>
        <w:tc>
          <w:tcPr>
            <w:tcW w:w="3687" w:type="dxa"/>
            <w:gridSpan w:val="2"/>
            <w:tcBorders>
              <w:top w:val="nil"/>
              <w:left w:val="single" w:sz="12" w:space="0" w:color="auto"/>
              <w:bottom w:val="single" w:sz="12" w:space="0" w:color="auto"/>
            </w:tcBorders>
            <w:shd w:val="clear" w:color="auto" w:fill="auto"/>
            <w:vAlign w:val="center"/>
          </w:tcPr>
          <w:p w14:paraId="3C9B2C52" w14:textId="77777777" w:rsidR="00AB1F4C" w:rsidRPr="006070EA" w:rsidRDefault="00AB1F4C" w:rsidP="009E07E1">
            <w:pPr>
              <w:jc w:val="center"/>
              <w:rPr>
                <w:rFonts w:asciiTheme="majorHAnsi" w:hAnsiTheme="majorHAnsi" w:cstheme="majorHAnsi"/>
                <w:b/>
                <w:sz w:val="18"/>
                <w:szCs w:val="18"/>
              </w:rPr>
            </w:pPr>
            <w:r w:rsidRPr="006070EA">
              <w:rPr>
                <w:rFonts w:asciiTheme="majorHAnsi" w:hAnsiTheme="majorHAnsi" w:cstheme="majorHAnsi"/>
                <w:b/>
                <w:sz w:val="18"/>
                <w:szCs w:val="18"/>
              </w:rPr>
              <w:t>rok</w:t>
            </w:r>
          </w:p>
        </w:tc>
      </w:tr>
      <w:tr w:rsidR="009D5E28" w:rsidRPr="006070EA" w14:paraId="70D5C27B" w14:textId="77777777" w:rsidTr="00AD6D48">
        <w:trPr>
          <w:cantSplit/>
          <w:tblHeader/>
          <w:jc w:val="center"/>
        </w:trPr>
        <w:tc>
          <w:tcPr>
            <w:tcW w:w="3118" w:type="dxa"/>
            <w:vMerge/>
            <w:tcBorders>
              <w:top w:val="single" w:sz="12" w:space="0" w:color="auto"/>
              <w:bottom w:val="single" w:sz="12" w:space="0" w:color="auto"/>
              <w:right w:val="single" w:sz="12" w:space="0" w:color="auto"/>
            </w:tcBorders>
            <w:vAlign w:val="center"/>
          </w:tcPr>
          <w:p w14:paraId="248E5A68" w14:textId="77777777" w:rsidR="00AB1F4C" w:rsidRPr="006070EA" w:rsidRDefault="00AB1F4C" w:rsidP="009E07E1">
            <w:pPr>
              <w:jc w:val="center"/>
              <w:rPr>
                <w:rFonts w:asciiTheme="majorHAnsi" w:hAnsiTheme="majorHAnsi" w:cstheme="majorHAnsi"/>
                <w:b/>
                <w:sz w:val="18"/>
                <w:szCs w:val="18"/>
              </w:rPr>
            </w:pPr>
          </w:p>
        </w:tc>
        <w:tc>
          <w:tcPr>
            <w:tcW w:w="1134" w:type="dxa"/>
            <w:vMerge/>
            <w:tcBorders>
              <w:top w:val="single" w:sz="12" w:space="0" w:color="auto"/>
              <w:left w:val="single" w:sz="12" w:space="0" w:color="auto"/>
              <w:bottom w:val="single" w:sz="12" w:space="0" w:color="auto"/>
              <w:right w:val="single" w:sz="12" w:space="0" w:color="auto"/>
            </w:tcBorders>
            <w:vAlign w:val="center"/>
          </w:tcPr>
          <w:p w14:paraId="042F1EC7" w14:textId="77777777" w:rsidR="00AB1F4C" w:rsidRPr="006070EA" w:rsidRDefault="00AB1F4C" w:rsidP="009E07E1">
            <w:pPr>
              <w:jc w:val="center"/>
              <w:rPr>
                <w:rFonts w:asciiTheme="majorHAnsi" w:hAnsiTheme="majorHAnsi" w:cstheme="majorHAnsi"/>
                <w:b/>
                <w:sz w:val="18"/>
                <w:szCs w:val="18"/>
              </w:rPr>
            </w:pPr>
          </w:p>
        </w:tc>
        <w:tc>
          <w:tcPr>
            <w:tcW w:w="1134" w:type="dxa"/>
            <w:vMerge/>
            <w:tcBorders>
              <w:top w:val="single" w:sz="12" w:space="0" w:color="auto"/>
              <w:left w:val="single" w:sz="12" w:space="0" w:color="auto"/>
              <w:bottom w:val="single" w:sz="12" w:space="0" w:color="auto"/>
              <w:right w:val="single" w:sz="12" w:space="0" w:color="auto"/>
            </w:tcBorders>
            <w:vAlign w:val="center"/>
          </w:tcPr>
          <w:p w14:paraId="1EBC675A" w14:textId="77777777" w:rsidR="00AB1F4C" w:rsidRPr="006070EA" w:rsidRDefault="00AB1F4C" w:rsidP="009E07E1">
            <w:pPr>
              <w:jc w:val="center"/>
              <w:rPr>
                <w:rFonts w:asciiTheme="majorHAnsi" w:hAnsiTheme="majorHAnsi" w:cstheme="majorHAnsi"/>
                <w:b/>
                <w:sz w:val="18"/>
                <w:szCs w:val="18"/>
              </w:rPr>
            </w:pPr>
          </w:p>
        </w:tc>
        <w:tc>
          <w:tcPr>
            <w:tcW w:w="1843" w:type="dxa"/>
            <w:tcBorders>
              <w:top w:val="single" w:sz="12" w:space="0" w:color="auto"/>
              <w:left w:val="single" w:sz="12" w:space="0" w:color="auto"/>
              <w:bottom w:val="single" w:sz="12" w:space="0" w:color="auto"/>
              <w:right w:val="single" w:sz="12" w:space="0" w:color="auto"/>
            </w:tcBorders>
            <w:shd w:val="clear" w:color="auto" w:fill="auto"/>
            <w:vAlign w:val="center"/>
          </w:tcPr>
          <w:p w14:paraId="3CD59DDE" w14:textId="3B410C35" w:rsidR="00AB1F4C" w:rsidRPr="006070EA" w:rsidRDefault="0083483C" w:rsidP="009E07E1">
            <w:pPr>
              <w:jc w:val="center"/>
              <w:rPr>
                <w:rFonts w:asciiTheme="majorHAnsi" w:hAnsiTheme="majorHAnsi" w:cstheme="majorHAnsi"/>
                <w:b/>
                <w:sz w:val="18"/>
                <w:szCs w:val="18"/>
              </w:rPr>
            </w:pPr>
            <w:r w:rsidRPr="006070EA">
              <w:rPr>
                <w:rFonts w:asciiTheme="majorHAnsi" w:hAnsiTheme="majorHAnsi" w:cstheme="majorHAnsi"/>
                <w:b/>
                <w:sz w:val="18"/>
                <w:szCs w:val="18"/>
              </w:rPr>
              <w:t>2021</w:t>
            </w:r>
          </w:p>
        </w:tc>
        <w:tc>
          <w:tcPr>
            <w:tcW w:w="1844" w:type="dxa"/>
            <w:tcBorders>
              <w:top w:val="single" w:sz="12" w:space="0" w:color="auto"/>
              <w:left w:val="single" w:sz="12" w:space="0" w:color="auto"/>
              <w:bottom w:val="single" w:sz="12" w:space="0" w:color="auto"/>
            </w:tcBorders>
            <w:shd w:val="clear" w:color="auto" w:fill="auto"/>
            <w:vAlign w:val="center"/>
          </w:tcPr>
          <w:p w14:paraId="6A163400" w14:textId="77777777" w:rsidR="00AB1F4C" w:rsidRPr="006070EA" w:rsidRDefault="00642E4C" w:rsidP="009E07E1">
            <w:pPr>
              <w:jc w:val="center"/>
              <w:rPr>
                <w:rFonts w:asciiTheme="majorHAnsi" w:hAnsiTheme="majorHAnsi" w:cstheme="majorHAnsi"/>
                <w:b/>
                <w:sz w:val="18"/>
                <w:szCs w:val="18"/>
              </w:rPr>
            </w:pPr>
            <w:r w:rsidRPr="006070EA">
              <w:rPr>
                <w:rFonts w:asciiTheme="majorHAnsi" w:hAnsiTheme="majorHAnsi" w:cstheme="majorHAnsi"/>
                <w:b/>
                <w:sz w:val="18"/>
                <w:szCs w:val="18"/>
              </w:rPr>
              <w:t>2035</w:t>
            </w:r>
          </w:p>
        </w:tc>
      </w:tr>
      <w:tr w:rsidR="009D5E28" w:rsidRPr="006070EA" w14:paraId="1EAACBD2" w14:textId="77777777" w:rsidTr="00AD6D48">
        <w:trPr>
          <w:jc w:val="center"/>
        </w:trPr>
        <w:tc>
          <w:tcPr>
            <w:tcW w:w="3118" w:type="dxa"/>
            <w:tcBorders>
              <w:top w:val="single" w:sz="12" w:space="0" w:color="auto"/>
            </w:tcBorders>
            <w:vAlign w:val="center"/>
          </w:tcPr>
          <w:p w14:paraId="5392EAC2" w14:textId="6075963A" w:rsidR="00AB1F4C" w:rsidRPr="006070EA" w:rsidRDefault="00AB1F4C" w:rsidP="009E07E1">
            <w:pPr>
              <w:jc w:val="center"/>
              <w:rPr>
                <w:rFonts w:asciiTheme="majorHAnsi" w:hAnsiTheme="majorHAnsi" w:cstheme="majorHAnsi"/>
                <w:sz w:val="18"/>
                <w:szCs w:val="18"/>
              </w:rPr>
            </w:pPr>
            <w:r w:rsidRPr="006070EA">
              <w:rPr>
                <w:rFonts w:asciiTheme="majorHAnsi" w:hAnsiTheme="majorHAnsi" w:cstheme="majorHAnsi"/>
                <w:sz w:val="18"/>
                <w:szCs w:val="18"/>
              </w:rPr>
              <w:t xml:space="preserve">počet obyvatel </w:t>
            </w:r>
          </w:p>
        </w:tc>
        <w:tc>
          <w:tcPr>
            <w:tcW w:w="1134" w:type="dxa"/>
            <w:tcBorders>
              <w:top w:val="single" w:sz="12" w:space="0" w:color="auto"/>
            </w:tcBorders>
            <w:vAlign w:val="center"/>
          </w:tcPr>
          <w:p w14:paraId="4644FAE7" w14:textId="77777777" w:rsidR="00AB1F4C" w:rsidRPr="006070EA" w:rsidRDefault="00AB1F4C" w:rsidP="009E07E1">
            <w:pPr>
              <w:jc w:val="center"/>
              <w:rPr>
                <w:rFonts w:asciiTheme="majorHAnsi" w:hAnsiTheme="majorHAnsi" w:cstheme="majorHAnsi"/>
                <w:sz w:val="18"/>
                <w:szCs w:val="18"/>
              </w:rPr>
            </w:pPr>
            <w:r w:rsidRPr="006070EA">
              <w:rPr>
                <w:rFonts w:asciiTheme="majorHAnsi" w:hAnsiTheme="majorHAnsi" w:cstheme="majorHAnsi"/>
                <w:sz w:val="18"/>
                <w:szCs w:val="18"/>
              </w:rPr>
              <w:t>N</w:t>
            </w:r>
            <w:r w:rsidRPr="006070EA">
              <w:rPr>
                <w:rFonts w:asciiTheme="majorHAnsi" w:hAnsiTheme="majorHAnsi" w:cstheme="majorHAnsi"/>
                <w:sz w:val="18"/>
                <w:szCs w:val="18"/>
                <w:vertAlign w:val="subscript"/>
              </w:rPr>
              <w:t>z</w:t>
            </w:r>
          </w:p>
        </w:tc>
        <w:tc>
          <w:tcPr>
            <w:tcW w:w="1134" w:type="dxa"/>
            <w:tcBorders>
              <w:top w:val="single" w:sz="12" w:space="0" w:color="auto"/>
            </w:tcBorders>
            <w:vAlign w:val="center"/>
          </w:tcPr>
          <w:p w14:paraId="5F5A555F" w14:textId="77777777" w:rsidR="00AB1F4C" w:rsidRPr="006070EA" w:rsidRDefault="00AB1F4C" w:rsidP="009E07E1">
            <w:pPr>
              <w:jc w:val="center"/>
              <w:rPr>
                <w:rFonts w:asciiTheme="majorHAnsi" w:hAnsiTheme="majorHAnsi" w:cstheme="majorHAnsi"/>
                <w:sz w:val="18"/>
                <w:szCs w:val="18"/>
              </w:rPr>
            </w:pPr>
            <w:r w:rsidRPr="006070EA">
              <w:rPr>
                <w:rFonts w:asciiTheme="majorHAnsi" w:hAnsiTheme="majorHAnsi" w:cstheme="majorHAnsi"/>
                <w:sz w:val="18"/>
                <w:szCs w:val="18"/>
              </w:rPr>
              <w:t>obyv.</w:t>
            </w:r>
          </w:p>
        </w:tc>
        <w:tc>
          <w:tcPr>
            <w:tcW w:w="1843" w:type="dxa"/>
            <w:tcBorders>
              <w:top w:val="single" w:sz="12" w:space="0" w:color="auto"/>
            </w:tcBorders>
            <w:vAlign w:val="center"/>
          </w:tcPr>
          <w:p w14:paraId="2789F51B" w14:textId="720FD97B" w:rsidR="00AB1F4C" w:rsidRPr="006070EA" w:rsidRDefault="009D5E28" w:rsidP="009E07E1">
            <w:pPr>
              <w:jc w:val="center"/>
              <w:rPr>
                <w:rFonts w:asciiTheme="majorHAnsi" w:hAnsiTheme="majorHAnsi" w:cstheme="majorHAnsi"/>
                <w:sz w:val="18"/>
                <w:szCs w:val="18"/>
              </w:rPr>
            </w:pPr>
            <w:r w:rsidRPr="006070EA">
              <w:rPr>
                <w:rFonts w:asciiTheme="majorHAnsi" w:hAnsiTheme="majorHAnsi" w:cstheme="majorHAnsi"/>
                <w:sz w:val="18"/>
                <w:szCs w:val="18"/>
              </w:rPr>
              <w:t>1 885</w:t>
            </w:r>
          </w:p>
        </w:tc>
        <w:tc>
          <w:tcPr>
            <w:tcW w:w="1844" w:type="dxa"/>
            <w:tcBorders>
              <w:top w:val="single" w:sz="12" w:space="0" w:color="auto"/>
            </w:tcBorders>
            <w:vAlign w:val="center"/>
          </w:tcPr>
          <w:p w14:paraId="728CCD3F" w14:textId="06DEB8D9" w:rsidR="00AB1F4C" w:rsidRPr="006070EA" w:rsidRDefault="009D5E28" w:rsidP="009E07E1">
            <w:pPr>
              <w:jc w:val="center"/>
              <w:rPr>
                <w:rFonts w:asciiTheme="majorHAnsi" w:hAnsiTheme="majorHAnsi" w:cstheme="majorHAnsi"/>
                <w:sz w:val="18"/>
                <w:szCs w:val="18"/>
              </w:rPr>
            </w:pPr>
            <w:r w:rsidRPr="006070EA">
              <w:rPr>
                <w:rFonts w:asciiTheme="majorHAnsi" w:hAnsiTheme="majorHAnsi" w:cstheme="majorHAnsi"/>
                <w:sz w:val="18"/>
                <w:szCs w:val="18"/>
              </w:rPr>
              <w:t>2 039</w:t>
            </w:r>
          </w:p>
        </w:tc>
      </w:tr>
      <w:tr w:rsidR="009D5E28" w:rsidRPr="006070EA" w14:paraId="06509914" w14:textId="77777777" w:rsidTr="001A0DBB">
        <w:trPr>
          <w:jc w:val="center"/>
        </w:trPr>
        <w:tc>
          <w:tcPr>
            <w:tcW w:w="3118" w:type="dxa"/>
            <w:vAlign w:val="center"/>
          </w:tcPr>
          <w:p w14:paraId="1959FA5A" w14:textId="77777777" w:rsidR="00AB1F4C" w:rsidRPr="006070EA" w:rsidRDefault="00AB1F4C" w:rsidP="009E07E1">
            <w:pPr>
              <w:jc w:val="center"/>
              <w:rPr>
                <w:rFonts w:asciiTheme="majorHAnsi" w:hAnsiTheme="majorHAnsi" w:cstheme="majorHAnsi"/>
                <w:sz w:val="18"/>
                <w:szCs w:val="18"/>
              </w:rPr>
            </w:pPr>
            <w:r w:rsidRPr="006070EA">
              <w:rPr>
                <w:rFonts w:asciiTheme="majorHAnsi" w:hAnsiTheme="majorHAnsi" w:cstheme="majorHAnsi"/>
                <w:sz w:val="18"/>
                <w:szCs w:val="18"/>
              </w:rPr>
              <w:t>průměrná denní potřeba</w:t>
            </w:r>
          </w:p>
        </w:tc>
        <w:tc>
          <w:tcPr>
            <w:tcW w:w="1134" w:type="dxa"/>
            <w:vAlign w:val="center"/>
          </w:tcPr>
          <w:p w14:paraId="2BE617FA" w14:textId="77777777" w:rsidR="00AB1F4C" w:rsidRPr="006070EA" w:rsidRDefault="00AB1F4C" w:rsidP="009E07E1">
            <w:pPr>
              <w:jc w:val="center"/>
              <w:rPr>
                <w:rFonts w:asciiTheme="majorHAnsi" w:hAnsiTheme="majorHAnsi" w:cstheme="majorHAnsi"/>
                <w:sz w:val="18"/>
                <w:szCs w:val="18"/>
              </w:rPr>
            </w:pPr>
            <w:r w:rsidRPr="006070EA">
              <w:rPr>
                <w:rFonts w:asciiTheme="majorHAnsi" w:hAnsiTheme="majorHAnsi" w:cstheme="majorHAnsi"/>
                <w:sz w:val="18"/>
                <w:szCs w:val="18"/>
              </w:rPr>
              <w:t>Q</w:t>
            </w:r>
            <w:r w:rsidRPr="006070EA">
              <w:rPr>
                <w:rFonts w:asciiTheme="majorHAnsi" w:hAnsiTheme="majorHAnsi" w:cstheme="majorHAnsi"/>
                <w:sz w:val="18"/>
                <w:szCs w:val="18"/>
                <w:vertAlign w:val="subscript"/>
              </w:rPr>
              <w:t>p</w:t>
            </w:r>
          </w:p>
        </w:tc>
        <w:tc>
          <w:tcPr>
            <w:tcW w:w="1134" w:type="dxa"/>
            <w:vAlign w:val="center"/>
          </w:tcPr>
          <w:p w14:paraId="35329E06" w14:textId="77777777" w:rsidR="00AB1F4C" w:rsidRPr="006070EA" w:rsidRDefault="00AB1F4C" w:rsidP="009E07E1">
            <w:pPr>
              <w:jc w:val="center"/>
              <w:rPr>
                <w:rFonts w:asciiTheme="majorHAnsi" w:hAnsiTheme="majorHAnsi" w:cstheme="majorHAnsi"/>
                <w:sz w:val="18"/>
                <w:szCs w:val="18"/>
              </w:rPr>
            </w:pPr>
            <w:r w:rsidRPr="006070EA">
              <w:rPr>
                <w:rFonts w:asciiTheme="majorHAnsi" w:hAnsiTheme="majorHAnsi" w:cstheme="majorHAnsi"/>
                <w:sz w:val="18"/>
                <w:szCs w:val="18"/>
              </w:rPr>
              <w:t>m</w:t>
            </w:r>
            <w:r w:rsidRPr="006070EA">
              <w:rPr>
                <w:rFonts w:asciiTheme="majorHAnsi" w:hAnsiTheme="majorHAnsi" w:cstheme="majorHAnsi"/>
                <w:sz w:val="18"/>
                <w:szCs w:val="18"/>
                <w:vertAlign w:val="superscript"/>
              </w:rPr>
              <w:t>3</w:t>
            </w:r>
            <w:r w:rsidRPr="006070EA">
              <w:rPr>
                <w:rFonts w:asciiTheme="majorHAnsi" w:hAnsiTheme="majorHAnsi" w:cstheme="majorHAnsi"/>
                <w:sz w:val="18"/>
                <w:szCs w:val="18"/>
              </w:rPr>
              <w:t>/d</w:t>
            </w:r>
          </w:p>
        </w:tc>
        <w:tc>
          <w:tcPr>
            <w:tcW w:w="1843" w:type="dxa"/>
            <w:vAlign w:val="center"/>
          </w:tcPr>
          <w:p w14:paraId="71E51B9A" w14:textId="2C17F0C5" w:rsidR="00AB1F4C" w:rsidRPr="006070EA" w:rsidRDefault="009D5E28" w:rsidP="009E07E1">
            <w:pPr>
              <w:jc w:val="center"/>
              <w:rPr>
                <w:rFonts w:asciiTheme="majorHAnsi" w:hAnsiTheme="majorHAnsi" w:cstheme="majorHAnsi"/>
                <w:sz w:val="18"/>
                <w:szCs w:val="18"/>
              </w:rPr>
            </w:pPr>
            <w:r w:rsidRPr="006070EA">
              <w:rPr>
                <w:rFonts w:asciiTheme="majorHAnsi" w:hAnsiTheme="majorHAnsi" w:cstheme="majorHAnsi"/>
                <w:sz w:val="18"/>
                <w:szCs w:val="18"/>
              </w:rPr>
              <w:t>282,75</w:t>
            </w:r>
          </w:p>
        </w:tc>
        <w:tc>
          <w:tcPr>
            <w:tcW w:w="1844" w:type="dxa"/>
            <w:vAlign w:val="center"/>
          </w:tcPr>
          <w:p w14:paraId="7D60D176" w14:textId="09774A63" w:rsidR="00AB1F4C" w:rsidRPr="006070EA" w:rsidRDefault="009D5E28" w:rsidP="009E07E1">
            <w:pPr>
              <w:jc w:val="center"/>
              <w:rPr>
                <w:rFonts w:asciiTheme="majorHAnsi" w:hAnsiTheme="majorHAnsi" w:cstheme="majorHAnsi"/>
                <w:sz w:val="18"/>
                <w:szCs w:val="18"/>
              </w:rPr>
            </w:pPr>
            <w:r w:rsidRPr="006070EA">
              <w:rPr>
                <w:rFonts w:asciiTheme="majorHAnsi" w:hAnsiTheme="majorHAnsi" w:cstheme="majorHAnsi"/>
                <w:sz w:val="18"/>
                <w:szCs w:val="18"/>
              </w:rPr>
              <w:t>305,85</w:t>
            </w:r>
          </w:p>
        </w:tc>
      </w:tr>
      <w:tr w:rsidR="009D5E28" w:rsidRPr="006070EA" w14:paraId="430322CE" w14:textId="77777777" w:rsidTr="001A0DBB">
        <w:trPr>
          <w:jc w:val="center"/>
        </w:trPr>
        <w:tc>
          <w:tcPr>
            <w:tcW w:w="3118" w:type="dxa"/>
            <w:vAlign w:val="center"/>
          </w:tcPr>
          <w:p w14:paraId="5D0D3575" w14:textId="77777777" w:rsidR="00AB1F4C" w:rsidRPr="006070EA" w:rsidRDefault="00AB1F4C" w:rsidP="009E07E1">
            <w:pPr>
              <w:jc w:val="center"/>
              <w:rPr>
                <w:rFonts w:asciiTheme="majorHAnsi" w:hAnsiTheme="majorHAnsi" w:cstheme="majorHAnsi"/>
                <w:sz w:val="18"/>
                <w:szCs w:val="18"/>
              </w:rPr>
            </w:pPr>
            <w:r w:rsidRPr="006070EA">
              <w:rPr>
                <w:rFonts w:asciiTheme="majorHAnsi" w:hAnsiTheme="majorHAnsi" w:cstheme="majorHAnsi"/>
                <w:sz w:val="18"/>
                <w:szCs w:val="18"/>
              </w:rPr>
              <w:t>koeficient denní nerovnosti</w:t>
            </w:r>
          </w:p>
        </w:tc>
        <w:tc>
          <w:tcPr>
            <w:tcW w:w="1134" w:type="dxa"/>
            <w:vAlign w:val="center"/>
          </w:tcPr>
          <w:p w14:paraId="5EC8B540" w14:textId="77777777" w:rsidR="00AB1F4C" w:rsidRPr="006070EA" w:rsidRDefault="00AB1F4C" w:rsidP="009E07E1">
            <w:pPr>
              <w:jc w:val="center"/>
              <w:rPr>
                <w:rFonts w:asciiTheme="majorHAnsi" w:hAnsiTheme="majorHAnsi" w:cstheme="majorHAnsi"/>
                <w:sz w:val="18"/>
                <w:szCs w:val="18"/>
              </w:rPr>
            </w:pPr>
            <w:r w:rsidRPr="006070EA">
              <w:rPr>
                <w:rFonts w:asciiTheme="majorHAnsi" w:hAnsiTheme="majorHAnsi" w:cstheme="majorHAnsi"/>
                <w:sz w:val="18"/>
                <w:szCs w:val="18"/>
              </w:rPr>
              <w:t>k</w:t>
            </w:r>
            <w:r w:rsidRPr="006070EA">
              <w:rPr>
                <w:rFonts w:asciiTheme="majorHAnsi" w:hAnsiTheme="majorHAnsi" w:cstheme="majorHAnsi"/>
                <w:sz w:val="18"/>
                <w:szCs w:val="18"/>
                <w:vertAlign w:val="subscript"/>
              </w:rPr>
              <w:t>d</w:t>
            </w:r>
          </w:p>
        </w:tc>
        <w:tc>
          <w:tcPr>
            <w:tcW w:w="1134" w:type="dxa"/>
            <w:vAlign w:val="center"/>
          </w:tcPr>
          <w:p w14:paraId="54DE39BB" w14:textId="77777777" w:rsidR="00AB1F4C" w:rsidRPr="006070EA" w:rsidRDefault="00AB1F4C" w:rsidP="009E07E1">
            <w:pPr>
              <w:jc w:val="center"/>
              <w:rPr>
                <w:rFonts w:asciiTheme="majorHAnsi" w:hAnsiTheme="majorHAnsi" w:cstheme="majorHAnsi"/>
                <w:sz w:val="18"/>
                <w:szCs w:val="18"/>
              </w:rPr>
            </w:pPr>
            <w:r w:rsidRPr="006070EA">
              <w:rPr>
                <w:rFonts w:asciiTheme="majorHAnsi" w:hAnsiTheme="majorHAnsi" w:cstheme="majorHAnsi"/>
                <w:sz w:val="18"/>
                <w:szCs w:val="18"/>
              </w:rPr>
              <w:t>-</w:t>
            </w:r>
          </w:p>
        </w:tc>
        <w:tc>
          <w:tcPr>
            <w:tcW w:w="1843" w:type="dxa"/>
            <w:vAlign w:val="center"/>
          </w:tcPr>
          <w:p w14:paraId="6C59A0D5" w14:textId="77777777" w:rsidR="00AB1F4C" w:rsidRPr="006070EA" w:rsidRDefault="00AB1F4C" w:rsidP="009E07E1">
            <w:pPr>
              <w:jc w:val="center"/>
              <w:rPr>
                <w:rFonts w:asciiTheme="majorHAnsi" w:hAnsiTheme="majorHAnsi" w:cstheme="majorHAnsi"/>
                <w:sz w:val="18"/>
                <w:szCs w:val="18"/>
              </w:rPr>
            </w:pPr>
            <w:r w:rsidRPr="006070EA">
              <w:rPr>
                <w:rFonts w:asciiTheme="majorHAnsi" w:hAnsiTheme="majorHAnsi" w:cstheme="majorHAnsi"/>
                <w:sz w:val="18"/>
                <w:szCs w:val="18"/>
              </w:rPr>
              <w:t>1,5</w:t>
            </w:r>
          </w:p>
        </w:tc>
        <w:tc>
          <w:tcPr>
            <w:tcW w:w="1844" w:type="dxa"/>
            <w:vAlign w:val="center"/>
          </w:tcPr>
          <w:p w14:paraId="457C0CC8" w14:textId="77777777" w:rsidR="00AB1F4C" w:rsidRPr="006070EA" w:rsidRDefault="00AB1F4C" w:rsidP="009E07E1">
            <w:pPr>
              <w:jc w:val="center"/>
              <w:rPr>
                <w:rFonts w:asciiTheme="majorHAnsi" w:hAnsiTheme="majorHAnsi" w:cstheme="majorHAnsi"/>
                <w:sz w:val="18"/>
                <w:szCs w:val="18"/>
              </w:rPr>
            </w:pPr>
            <w:r w:rsidRPr="006070EA">
              <w:rPr>
                <w:rFonts w:asciiTheme="majorHAnsi" w:hAnsiTheme="majorHAnsi" w:cstheme="majorHAnsi"/>
                <w:sz w:val="18"/>
                <w:szCs w:val="18"/>
              </w:rPr>
              <w:t>1,5</w:t>
            </w:r>
          </w:p>
        </w:tc>
      </w:tr>
      <w:tr w:rsidR="009D5E28" w:rsidRPr="006070EA" w14:paraId="283FAA8E" w14:textId="77777777" w:rsidTr="001A0DBB">
        <w:trPr>
          <w:jc w:val="center"/>
        </w:trPr>
        <w:tc>
          <w:tcPr>
            <w:tcW w:w="3118" w:type="dxa"/>
            <w:vAlign w:val="center"/>
          </w:tcPr>
          <w:p w14:paraId="6A5B23FB" w14:textId="77777777" w:rsidR="00AB1F4C" w:rsidRPr="006070EA" w:rsidRDefault="00AB1F4C" w:rsidP="009E07E1">
            <w:pPr>
              <w:jc w:val="center"/>
              <w:rPr>
                <w:rFonts w:asciiTheme="majorHAnsi" w:hAnsiTheme="majorHAnsi" w:cstheme="majorHAnsi"/>
                <w:sz w:val="18"/>
                <w:szCs w:val="18"/>
              </w:rPr>
            </w:pPr>
            <w:r w:rsidRPr="006070EA">
              <w:rPr>
                <w:rFonts w:asciiTheme="majorHAnsi" w:hAnsiTheme="majorHAnsi" w:cstheme="majorHAnsi"/>
                <w:sz w:val="18"/>
                <w:szCs w:val="18"/>
              </w:rPr>
              <w:t>maximální denní potřeba</w:t>
            </w:r>
          </w:p>
        </w:tc>
        <w:tc>
          <w:tcPr>
            <w:tcW w:w="1134" w:type="dxa"/>
            <w:vAlign w:val="center"/>
          </w:tcPr>
          <w:p w14:paraId="45804AA5" w14:textId="77777777" w:rsidR="00AB1F4C" w:rsidRPr="006070EA" w:rsidRDefault="00AB1F4C" w:rsidP="009E07E1">
            <w:pPr>
              <w:jc w:val="center"/>
              <w:rPr>
                <w:rFonts w:asciiTheme="majorHAnsi" w:hAnsiTheme="majorHAnsi" w:cstheme="majorHAnsi"/>
                <w:sz w:val="18"/>
                <w:szCs w:val="18"/>
              </w:rPr>
            </w:pPr>
            <w:r w:rsidRPr="006070EA">
              <w:rPr>
                <w:rFonts w:asciiTheme="majorHAnsi" w:hAnsiTheme="majorHAnsi" w:cstheme="majorHAnsi"/>
                <w:sz w:val="18"/>
                <w:szCs w:val="18"/>
              </w:rPr>
              <w:t>Q</w:t>
            </w:r>
            <w:r w:rsidRPr="006070EA">
              <w:rPr>
                <w:rFonts w:asciiTheme="majorHAnsi" w:hAnsiTheme="majorHAnsi" w:cstheme="majorHAnsi"/>
                <w:sz w:val="18"/>
                <w:szCs w:val="18"/>
                <w:vertAlign w:val="subscript"/>
              </w:rPr>
              <w:t>d</w:t>
            </w:r>
          </w:p>
        </w:tc>
        <w:tc>
          <w:tcPr>
            <w:tcW w:w="1134" w:type="dxa"/>
            <w:vAlign w:val="center"/>
          </w:tcPr>
          <w:p w14:paraId="65BC7C72" w14:textId="77777777" w:rsidR="00AB1F4C" w:rsidRPr="006070EA" w:rsidRDefault="00AB1F4C" w:rsidP="009E07E1">
            <w:pPr>
              <w:jc w:val="center"/>
              <w:rPr>
                <w:rFonts w:asciiTheme="majorHAnsi" w:hAnsiTheme="majorHAnsi" w:cstheme="majorHAnsi"/>
                <w:sz w:val="18"/>
                <w:szCs w:val="18"/>
              </w:rPr>
            </w:pPr>
            <w:r w:rsidRPr="006070EA">
              <w:rPr>
                <w:rFonts w:asciiTheme="majorHAnsi" w:hAnsiTheme="majorHAnsi" w:cstheme="majorHAnsi"/>
                <w:sz w:val="18"/>
                <w:szCs w:val="18"/>
              </w:rPr>
              <w:t>m</w:t>
            </w:r>
            <w:r w:rsidRPr="006070EA">
              <w:rPr>
                <w:rFonts w:asciiTheme="majorHAnsi" w:hAnsiTheme="majorHAnsi" w:cstheme="majorHAnsi"/>
                <w:sz w:val="18"/>
                <w:szCs w:val="18"/>
                <w:vertAlign w:val="superscript"/>
              </w:rPr>
              <w:t>3</w:t>
            </w:r>
            <w:r w:rsidRPr="006070EA">
              <w:rPr>
                <w:rFonts w:asciiTheme="majorHAnsi" w:hAnsiTheme="majorHAnsi" w:cstheme="majorHAnsi"/>
                <w:sz w:val="18"/>
                <w:szCs w:val="18"/>
              </w:rPr>
              <w:t>/d</w:t>
            </w:r>
          </w:p>
        </w:tc>
        <w:tc>
          <w:tcPr>
            <w:tcW w:w="1843" w:type="dxa"/>
            <w:vAlign w:val="center"/>
          </w:tcPr>
          <w:p w14:paraId="0AFF1FD2" w14:textId="7894ACAF" w:rsidR="00AB1F4C" w:rsidRPr="006070EA" w:rsidRDefault="009D5E28" w:rsidP="009E07E1">
            <w:pPr>
              <w:jc w:val="center"/>
              <w:rPr>
                <w:rFonts w:asciiTheme="majorHAnsi" w:hAnsiTheme="majorHAnsi" w:cstheme="majorHAnsi"/>
                <w:sz w:val="18"/>
                <w:szCs w:val="18"/>
              </w:rPr>
            </w:pPr>
            <w:r w:rsidRPr="006070EA">
              <w:rPr>
                <w:rFonts w:asciiTheme="majorHAnsi" w:hAnsiTheme="majorHAnsi" w:cstheme="majorHAnsi"/>
                <w:sz w:val="18"/>
                <w:szCs w:val="18"/>
              </w:rPr>
              <w:t>434,13</w:t>
            </w:r>
          </w:p>
        </w:tc>
        <w:tc>
          <w:tcPr>
            <w:tcW w:w="1844" w:type="dxa"/>
            <w:vAlign w:val="center"/>
          </w:tcPr>
          <w:p w14:paraId="78747F2C" w14:textId="0FCC9D76" w:rsidR="00AB1F4C" w:rsidRPr="006070EA" w:rsidRDefault="009D5E28" w:rsidP="009E07E1">
            <w:pPr>
              <w:jc w:val="center"/>
              <w:rPr>
                <w:rFonts w:asciiTheme="majorHAnsi" w:hAnsiTheme="majorHAnsi" w:cstheme="majorHAnsi"/>
                <w:sz w:val="18"/>
                <w:szCs w:val="18"/>
              </w:rPr>
            </w:pPr>
            <w:r w:rsidRPr="006070EA">
              <w:rPr>
                <w:rFonts w:asciiTheme="majorHAnsi" w:hAnsiTheme="majorHAnsi" w:cstheme="majorHAnsi"/>
                <w:sz w:val="18"/>
                <w:szCs w:val="18"/>
              </w:rPr>
              <w:t>458,78</w:t>
            </w:r>
          </w:p>
        </w:tc>
      </w:tr>
      <w:tr w:rsidR="009D5E28" w:rsidRPr="006070EA" w14:paraId="5CC15A70" w14:textId="77777777" w:rsidTr="001A0DBB">
        <w:trPr>
          <w:jc w:val="center"/>
        </w:trPr>
        <w:tc>
          <w:tcPr>
            <w:tcW w:w="3118" w:type="dxa"/>
            <w:vAlign w:val="center"/>
          </w:tcPr>
          <w:p w14:paraId="2D7ECEE5" w14:textId="77777777" w:rsidR="00AB1F4C" w:rsidRPr="006070EA" w:rsidRDefault="00AB1F4C" w:rsidP="009E07E1">
            <w:pPr>
              <w:jc w:val="center"/>
              <w:rPr>
                <w:rFonts w:asciiTheme="majorHAnsi" w:hAnsiTheme="majorHAnsi" w:cstheme="majorHAnsi"/>
                <w:sz w:val="18"/>
                <w:szCs w:val="18"/>
              </w:rPr>
            </w:pPr>
            <w:r w:rsidRPr="006070EA">
              <w:rPr>
                <w:rFonts w:asciiTheme="majorHAnsi" w:hAnsiTheme="majorHAnsi" w:cstheme="majorHAnsi"/>
                <w:sz w:val="18"/>
                <w:szCs w:val="18"/>
              </w:rPr>
              <w:t>specifická potřeba vody</w:t>
            </w:r>
          </w:p>
        </w:tc>
        <w:tc>
          <w:tcPr>
            <w:tcW w:w="1134" w:type="dxa"/>
            <w:vAlign w:val="center"/>
          </w:tcPr>
          <w:p w14:paraId="74D401B4" w14:textId="77777777" w:rsidR="00AB1F4C" w:rsidRPr="006070EA" w:rsidRDefault="00AB1F4C" w:rsidP="009E07E1">
            <w:pPr>
              <w:jc w:val="center"/>
              <w:rPr>
                <w:rFonts w:asciiTheme="majorHAnsi" w:hAnsiTheme="majorHAnsi" w:cstheme="majorHAnsi"/>
                <w:sz w:val="18"/>
                <w:szCs w:val="18"/>
              </w:rPr>
            </w:pPr>
            <w:r w:rsidRPr="006070EA">
              <w:rPr>
                <w:rFonts w:asciiTheme="majorHAnsi" w:hAnsiTheme="majorHAnsi" w:cstheme="majorHAnsi"/>
                <w:sz w:val="18"/>
                <w:szCs w:val="18"/>
              </w:rPr>
              <w:t>Q</w:t>
            </w:r>
            <w:r w:rsidRPr="006070EA">
              <w:rPr>
                <w:rFonts w:asciiTheme="majorHAnsi" w:hAnsiTheme="majorHAnsi" w:cstheme="majorHAnsi"/>
                <w:sz w:val="18"/>
                <w:szCs w:val="18"/>
                <w:vertAlign w:val="subscript"/>
              </w:rPr>
              <w:t>s,v</w:t>
            </w:r>
          </w:p>
        </w:tc>
        <w:tc>
          <w:tcPr>
            <w:tcW w:w="1134" w:type="dxa"/>
            <w:vAlign w:val="center"/>
          </w:tcPr>
          <w:p w14:paraId="0452406B" w14:textId="77777777" w:rsidR="00AB1F4C" w:rsidRPr="006070EA" w:rsidRDefault="00AB1F4C" w:rsidP="009E07E1">
            <w:pPr>
              <w:jc w:val="center"/>
              <w:rPr>
                <w:rFonts w:asciiTheme="majorHAnsi" w:hAnsiTheme="majorHAnsi" w:cstheme="majorHAnsi"/>
                <w:sz w:val="18"/>
                <w:szCs w:val="18"/>
              </w:rPr>
            </w:pPr>
            <w:r w:rsidRPr="006070EA">
              <w:rPr>
                <w:rFonts w:asciiTheme="majorHAnsi" w:hAnsiTheme="majorHAnsi" w:cstheme="majorHAnsi"/>
                <w:sz w:val="18"/>
                <w:szCs w:val="18"/>
              </w:rPr>
              <w:t>l/(os×d)</w:t>
            </w:r>
          </w:p>
        </w:tc>
        <w:tc>
          <w:tcPr>
            <w:tcW w:w="1843" w:type="dxa"/>
            <w:vAlign w:val="center"/>
          </w:tcPr>
          <w:p w14:paraId="627DFD3F" w14:textId="77777777" w:rsidR="00AB1F4C" w:rsidRPr="006070EA" w:rsidRDefault="00ED7ED5" w:rsidP="009E07E1">
            <w:pPr>
              <w:jc w:val="center"/>
              <w:rPr>
                <w:rFonts w:asciiTheme="majorHAnsi" w:hAnsiTheme="majorHAnsi" w:cstheme="majorHAnsi"/>
                <w:sz w:val="18"/>
                <w:szCs w:val="18"/>
              </w:rPr>
            </w:pPr>
            <w:r w:rsidRPr="006070EA">
              <w:rPr>
                <w:rFonts w:asciiTheme="majorHAnsi" w:hAnsiTheme="majorHAnsi" w:cstheme="majorHAnsi"/>
                <w:sz w:val="18"/>
                <w:szCs w:val="18"/>
              </w:rPr>
              <w:t>150</w:t>
            </w:r>
          </w:p>
        </w:tc>
        <w:tc>
          <w:tcPr>
            <w:tcW w:w="1844" w:type="dxa"/>
            <w:vAlign w:val="center"/>
          </w:tcPr>
          <w:p w14:paraId="16693274" w14:textId="77777777" w:rsidR="00AB1F4C" w:rsidRPr="006070EA" w:rsidRDefault="00ED7ED5" w:rsidP="009E07E1">
            <w:pPr>
              <w:jc w:val="center"/>
              <w:rPr>
                <w:rFonts w:asciiTheme="majorHAnsi" w:hAnsiTheme="majorHAnsi" w:cstheme="majorHAnsi"/>
                <w:sz w:val="18"/>
                <w:szCs w:val="18"/>
              </w:rPr>
            </w:pPr>
            <w:r w:rsidRPr="006070EA">
              <w:rPr>
                <w:rFonts w:asciiTheme="majorHAnsi" w:hAnsiTheme="majorHAnsi" w:cstheme="majorHAnsi"/>
                <w:sz w:val="18"/>
                <w:szCs w:val="18"/>
              </w:rPr>
              <w:t>150</w:t>
            </w:r>
          </w:p>
        </w:tc>
      </w:tr>
    </w:tbl>
    <w:p w14:paraId="00B773C7" w14:textId="77777777" w:rsidR="00AB1F4C" w:rsidRPr="006070EA" w:rsidRDefault="00AB1F4C" w:rsidP="009E07E1">
      <w:pPr>
        <w:keepNext/>
        <w:spacing w:before="120" w:after="60" w:line="240" w:lineRule="auto"/>
        <w:ind w:firstLine="709"/>
        <w:jc w:val="both"/>
        <w:rPr>
          <w:rFonts w:asciiTheme="majorHAnsi" w:hAnsiTheme="majorHAnsi" w:cstheme="majorHAnsi"/>
          <w:i/>
          <w:sz w:val="18"/>
          <w:szCs w:val="18"/>
          <w:u w:val="single"/>
        </w:rPr>
      </w:pPr>
      <w:r w:rsidRPr="006070EA">
        <w:rPr>
          <w:rFonts w:asciiTheme="majorHAnsi" w:hAnsiTheme="majorHAnsi" w:cstheme="majorHAnsi"/>
          <w:i/>
          <w:sz w:val="18"/>
          <w:szCs w:val="18"/>
          <w:u w:val="single"/>
        </w:rPr>
        <w:t>Územní plán předpokládá v období do roku 203</w:t>
      </w:r>
      <w:r w:rsidR="005E24B4" w:rsidRPr="006070EA">
        <w:rPr>
          <w:rFonts w:asciiTheme="majorHAnsi" w:hAnsiTheme="majorHAnsi" w:cstheme="majorHAnsi"/>
          <w:i/>
          <w:sz w:val="18"/>
          <w:szCs w:val="18"/>
          <w:u w:val="single"/>
        </w:rPr>
        <w:t>5</w:t>
      </w:r>
      <w:r w:rsidRPr="006070EA">
        <w:rPr>
          <w:rFonts w:asciiTheme="majorHAnsi" w:hAnsiTheme="majorHAnsi" w:cstheme="majorHAnsi"/>
          <w:i/>
          <w:sz w:val="18"/>
          <w:szCs w:val="18"/>
          <w:u w:val="single"/>
        </w:rPr>
        <w:t>:</w:t>
      </w:r>
    </w:p>
    <w:p w14:paraId="18E13ACA" w14:textId="7ABB84B3" w:rsidR="00AB1F4C" w:rsidRPr="006070EA" w:rsidRDefault="00AB1F4C" w:rsidP="009E07E1">
      <w:pPr>
        <w:spacing w:before="120" w:after="0" w:line="240" w:lineRule="auto"/>
        <w:jc w:val="both"/>
        <w:rPr>
          <w:rFonts w:asciiTheme="majorHAnsi" w:hAnsiTheme="majorHAnsi" w:cstheme="majorHAnsi"/>
          <w:sz w:val="18"/>
          <w:szCs w:val="18"/>
        </w:rPr>
      </w:pPr>
      <w:r w:rsidRPr="006070EA">
        <w:rPr>
          <w:rFonts w:asciiTheme="majorHAnsi" w:hAnsiTheme="majorHAnsi" w:cstheme="majorHAnsi"/>
          <w:sz w:val="18"/>
          <w:szCs w:val="18"/>
        </w:rPr>
        <w:tab/>
        <w:t>- počet obyvatel</w:t>
      </w:r>
      <w:r w:rsidRPr="006070EA">
        <w:rPr>
          <w:rFonts w:asciiTheme="majorHAnsi" w:hAnsiTheme="majorHAnsi" w:cstheme="majorHAnsi"/>
          <w:sz w:val="18"/>
          <w:szCs w:val="18"/>
        </w:rPr>
        <w:tab/>
      </w:r>
      <w:r w:rsidRPr="006070EA">
        <w:rPr>
          <w:rFonts w:asciiTheme="majorHAnsi" w:hAnsiTheme="majorHAnsi" w:cstheme="majorHAnsi"/>
          <w:sz w:val="18"/>
          <w:szCs w:val="18"/>
        </w:rPr>
        <w:tab/>
      </w:r>
      <w:r w:rsidRPr="006070EA">
        <w:rPr>
          <w:rFonts w:asciiTheme="majorHAnsi" w:hAnsiTheme="majorHAnsi" w:cstheme="majorHAnsi"/>
          <w:sz w:val="18"/>
          <w:szCs w:val="18"/>
        </w:rPr>
        <w:tab/>
      </w:r>
      <w:r w:rsidRPr="006070EA">
        <w:rPr>
          <w:rFonts w:asciiTheme="majorHAnsi" w:hAnsiTheme="majorHAnsi" w:cstheme="majorHAnsi"/>
          <w:sz w:val="18"/>
          <w:szCs w:val="18"/>
        </w:rPr>
        <w:tab/>
      </w:r>
      <w:r w:rsidR="009D5E28" w:rsidRPr="006070EA">
        <w:rPr>
          <w:rFonts w:asciiTheme="majorHAnsi" w:hAnsiTheme="majorHAnsi" w:cstheme="majorHAnsi"/>
          <w:sz w:val="18"/>
          <w:szCs w:val="18"/>
        </w:rPr>
        <w:t>2 039</w:t>
      </w:r>
    </w:p>
    <w:p w14:paraId="13991248" w14:textId="7FA6BAB2" w:rsidR="00AB1F4C" w:rsidRPr="006070EA" w:rsidRDefault="00AB1F4C" w:rsidP="009E07E1">
      <w:pPr>
        <w:spacing w:after="0" w:line="240" w:lineRule="auto"/>
        <w:jc w:val="both"/>
        <w:rPr>
          <w:rFonts w:asciiTheme="majorHAnsi" w:hAnsiTheme="majorHAnsi" w:cstheme="majorHAnsi"/>
          <w:sz w:val="18"/>
          <w:szCs w:val="18"/>
        </w:rPr>
      </w:pPr>
      <w:r w:rsidRPr="006070EA">
        <w:rPr>
          <w:rFonts w:asciiTheme="majorHAnsi" w:hAnsiTheme="majorHAnsi" w:cstheme="majorHAnsi"/>
          <w:sz w:val="18"/>
          <w:szCs w:val="18"/>
        </w:rPr>
        <w:tab/>
        <w:t>- průměrná denní potřeba pitné vody</w:t>
      </w:r>
      <w:r w:rsidRPr="006070EA">
        <w:rPr>
          <w:rFonts w:asciiTheme="majorHAnsi" w:hAnsiTheme="majorHAnsi" w:cstheme="majorHAnsi"/>
          <w:sz w:val="18"/>
          <w:szCs w:val="18"/>
        </w:rPr>
        <w:tab/>
      </w:r>
      <w:r w:rsidR="00AC772C" w:rsidRPr="006070EA">
        <w:rPr>
          <w:rFonts w:asciiTheme="majorHAnsi" w:hAnsiTheme="majorHAnsi" w:cstheme="majorHAnsi"/>
          <w:sz w:val="18"/>
          <w:szCs w:val="18"/>
        </w:rPr>
        <w:tab/>
      </w:r>
      <w:r w:rsidR="009D5E28" w:rsidRPr="006070EA">
        <w:rPr>
          <w:rFonts w:asciiTheme="majorHAnsi" w:hAnsiTheme="majorHAnsi" w:cstheme="majorHAnsi"/>
          <w:sz w:val="18"/>
          <w:szCs w:val="18"/>
        </w:rPr>
        <w:t>305,85</w:t>
      </w:r>
      <w:r w:rsidR="00ED7ED5" w:rsidRPr="006070EA">
        <w:rPr>
          <w:rFonts w:asciiTheme="majorHAnsi" w:hAnsiTheme="majorHAnsi" w:cstheme="majorHAnsi"/>
          <w:sz w:val="18"/>
          <w:szCs w:val="18"/>
        </w:rPr>
        <w:t xml:space="preserve"> </w:t>
      </w:r>
      <w:r w:rsidRPr="006070EA">
        <w:rPr>
          <w:rFonts w:asciiTheme="majorHAnsi" w:hAnsiTheme="majorHAnsi" w:cstheme="majorHAnsi"/>
          <w:sz w:val="18"/>
          <w:szCs w:val="18"/>
        </w:rPr>
        <w:t>m</w:t>
      </w:r>
      <w:r w:rsidRPr="006070EA">
        <w:rPr>
          <w:rFonts w:asciiTheme="majorHAnsi" w:hAnsiTheme="majorHAnsi" w:cstheme="majorHAnsi"/>
          <w:sz w:val="18"/>
          <w:szCs w:val="18"/>
          <w:vertAlign w:val="superscript"/>
        </w:rPr>
        <w:t>3</w:t>
      </w:r>
      <w:r w:rsidRPr="006070EA">
        <w:rPr>
          <w:rFonts w:asciiTheme="majorHAnsi" w:hAnsiTheme="majorHAnsi" w:cstheme="majorHAnsi"/>
          <w:sz w:val="18"/>
          <w:szCs w:val="18"/>
        </w:rPr>
        <w:t>/den</w:t>
      </w:r>
    </w:p>
    <w:p w14:paraId="725F0A4A" w14:textId="5A19635A" w:rsidR="00AB1F4C" w:rsidRPr="006070EA" w:rsidRDefault="00AB1F4C" w:rsidP="009E07E1">
      <w:pPr>
        <w:spacing w:before="120" w:after="120" w:line="240" w:lineRule="auto"/>
        <w:jc w:val="both"/>
        <w:rPr>
          <w:rFonts w:asciiTheme="majorHAnsi" w:hAnsiTheme="majorHAnsi" w:cstheme="majorHAnsi"/>
          <w:b/>
          <w:sz w:val="18"/>
        </w:rPr>
      </w:pPr>
      <w:r w:rsidRPr="006070EA">
        <w:rPr>
          <w:rFonts w:asciiTheme="majorHAnsi" w:hAnsiTheme="majorHAnsi" w:cstheme="majorHAnsi"/>
          <w:b/>
          <w:sz w:val="18"/>
        </w:rPr>
        <w:t>Odůvodnění koncepce zásobování vodou</w:t>
      </w:r>
    </w:p>
    <w:p w14:paraId="431AAEEF" w14:textId="680C49BE" w:rsidR="00AB1F4C" w:rsidRPr="006070EA" w:rsidRDefault="00AB1F4C" w:rsidP="009A56B0">
      <w:pPr>
        <w:spacing w:before="120" w:after="120" w:line="240" w:lineRule="auto"/>
        <w:ind w:firstLine="709"/>
        <w:jc w:val="both"/>
        <w:rPr>
          <w:rFonts w:asciiTheme="majorHAnsi" w:hAnsiTheme="majorHAnsi" w:cstheme="majorHAnsi"/>
          <w:sz w:val="18"/>
          <w:szCs w:val="20"/>
        </w:rPr>
      </w:pPr>
      <w:r w:rsidRPr="006070EA">
        <w:rPr>
          <w:rFonts w:asciiTheme="majorHAnsi" w:hAnsiTheme="majorHAnsi" w:cstheme="majorHAnsi"/>
          <w:sz w:val="18"/>
        </w:rPr>
        <w:t xml:space="preserve">Koncepce zásobování pitnou vodou je řešena v souladu s Plánem rozvoje vodovodů a kanalizací </w:t>
      </w:r>
      <w:r w:rsidR="00320F81" w:rsidRPr="006070EA">
        <w:rPr>
          <w:rFonts w:asciiTheme="majorHAnsi" w:hAnsiTheme="majorHAnsi" w:cstheme="majorHAnsi"/>
          <w:sz w:val="18"/>
          <w:szCs w:val="20"/>
        </w:rPr>
        <w:t>Středočeského</w:t>
      </w:r>
      <w:r w:rsidRPr="006070EA">
        <w:rPr>
          <w:rFonts w:asciiTheme="majorHAnsi" w:hAnsiTheme="majorHAnsi" w:cstheme="majorHAnsi"/>
          <w:sz w:val="18"/>
          <w:szCs w:val="20"/>
        </w:rPr>
        <w:t xml:space="preserve"> kraje</w:t>
      </w:r>
      <w:r w:rsidR="00320F81" w:rsidRPr="006070EA">
        <w:rPr>
          <w:rFonts w:asciiTheme="majorHAnsi" w:hAnsiTheme="majorHAnsi" w:cstheme="majorHAnsi"/>
          <w:sz w:val="18"/>
          <w:szCs w:val="20"/>
        </w:rPr>
        <w:t xml:space="preserve"> a v souladu se zpracovanými oborovými podklady pro řešené území, zejména s projektovou dokumentací pro rozvoj vodovodu a kanalizace v řešeném území</w:t>
      </w:r>
      <w:r w:rsidRPr="006070EA">
        <w:rPr>
          <w:rFonts w:asciiTheme="majorHAnsi" w:hAnsiTheme="majorHAnsi" w:cstheme="majorHAnsi"/>
          <w:sz w:val="18"/>
          <w:szCs w:val="20"/>
        </w:rPr>
        <w:t xml:space="preserve">. </w:t>
      </w:r>
    </w:p>
    <w:p w14:paraId="55CA5EB6" w14:textId="73B73150" w:rsidR="004670F7" w:rsidRPr="006070EA" w:rsidRDefault="00320F81" w:rsidP="00FC2281">
      <w:pPr>
        <w:spacing w:before="120" w:after="120" w:line="240" w:lineRule="auto"/>
        <w:ind w:firstLine="709"/>
        <w:jc w:val="both"/>
        <w:rPr>
          <w:rFonts w:asciiTheme="majorHAnsi" w:hAnsiTheme="majorHAnsi" w:cstheme="majorHAnsi"/>
          <w:i/>
          <w:iCs/>
          <w:sz w:val="18"/>
          <w:szCs w:val="20"/>
        </w:rPr>
      </w:pPr>
      <w:r w:rsidRPr="006070EA">
        <w:rPr>
          <w:rFonts w:asciiTheme="majorHAnsi" w:hAnsiTheme="majorHAnsi" w:cstheme="majorHAnsi"/>
          <w:sz w:val="18"/>
          <w:szCs w:val="20"/>
        </w:rPr>
        <w:t xml:space="preserve">Stávající způsob zásobování pitnou vodou z vodovodu Nymburk – Doubrava – Kostomlaty bude zachován a dále rozvíjen. Územní plán v souladu se zpracovanými podklady a PRVK SK navrhuje napojit na vodovodní síť </w:t>
      </w:r>
      <w:r w:rsidR="004670F7" w:rsidRPr="006070EA">
        <w:rPr>
          <w:rFonts w:asciiTheme="majorHAnsi" w:hAnsiTheme="majorHAnsi" w:cstheme="majorHAnsi"/>
          <w:sz w:val="18"/>
          <w:szCs w:val="20"/>
        </w:rPr>
        <w:t>místní části Rozkoš, Lány, Hronětice a Vápensko dle zpracované projektové dokumentace (DÚR+DSP</w:t>
      </w:r>
      <w:r w:rsidR="004670F7" w:rsidRPr="006070EA">
        <w:rPr>
          <w:rFonts w:asciiTheme="majorHAnsi" w:hAnsiTheme="majorHAnsi" w:cstheme="majorHAnsi"/>
          <w:sz w:val="18"/>
        </w:rPr>
        <w:t xml:space="preserve">) </w:t>
      </w:r>
      <w:r w:rsidR="004670F7" w:rsidRPr="006070EA">
        <w:rPr>
          <w:rFonts w:asciiTheme="majorHAnsi" w:hAnsiTheme="majorHAnsi" w:cstheme="majorHAnsi"/>
          <w:i/>
          <w:iCs/>
          <w:sz w:val="18"/>
        </w:rPr>
        <w:t>Kostomlaty nad Labem – Kanalizace a</w:t>
      </w:r>
      <w:r w:rsidR="00F541BF" w:rsidRPr="006070EA">
        <w:rPr>
          <w:rFonts w:asciiTheme="majorHAnsi" w:hAnsiTheme="majorHAnsi" w:cstheme="majorHAnsi"/>
          <w:i/>
          <w:iCs/>
          <w:sz w:val="18"/>
        </w:rPr>
        <w:t> </w:t>
      </w:r>
      <w:r w:rsidR="004670F7" w:rsidRPr="006070EA">
        <w:rPr>
          <w:rFonts w:asciiTheme="majorHAnsi" w:hAnsiTheme="majorHAnsi" w:cstheme="majorHAnsi"/>
          <w:i/>
          <w:iCs/>
          <w:sz w:val="18"/>
        </w:rPr>
        <w:t>vodovod – Vápensko a Rozkoš</w:t>
      </w:r>
      <w:r w:rsidR="004670F7" w:rsidRPr="006070EA">
        <w:rPr>
          <w:rFonts w:asciiTheme="majorHAnsi" w:hAnsiTheme="majorHAnsi" w:cstheme="majorHAnsi"/>
          <w:sz w:val="18"/>
        </w:rPr>
        <w:t xml:space="preserve"> (FIALA PROJEKTY s.r.o., 11/2019)</w:t>
      </w:r>
      <w:r w:rsidRPr="006070EA">
        <w:rPr>
          <w:rFonts w:asciiTheme="majorHAnsi" w:hAnsiTheme="majorHAnsi" w:cstheme="majorHAnsi"/>
          <w:sz w:val="18"/>
          <w:szCs w:val="20"/>
        </w:rPr>
        <w:t xml:space="preserve">. </w:t>
      </w:r>
      <w:r w:rsidR="004670F7" w:rsidRPr="006070EA">
        <w:rPr>
          <w:rFonts w:asciiTheme="majorHAnsi" w:hAnsiTheme="majorHAnsi" w:cstheme="majorHAnsi"/>
          <w:sz w:val="18"/>
          <w:szCs w:val="20"/>
        </w:rPr>
        <w:t xml:space="preserve">Pro uvažovaný záměr vymezuje ÚP </w:t>
      </w:r>
      <w:r w:rsidR="004670F7" w:rsidRPr="006070EA">
        <w:rPr>
          <w:rFonts w:asciiTheme="majorHAnsi" w:hAnsiTheme="majorHAnsi" w:cstheme="majorHAnsi"/>
          <w:b/>
          <w:bCs/>
          <w:sz w:val="18"/>
          <w:szCs w:val="20"/>
        </w:rPr>
        <w:t>koridor</w:t>
      </w:r>
      <w:r w:rsidR="004670F7" w:rsidRPr="006070EA">
        <w:rPr>
          <w:rFonts w:asciiTheme="majorHAnsi" w:hAnsiTheme="majorHAnsi" w:cstheme="majorHAnsi"/>
          <w:sz w:val="18"/>
          <w:szCs w:val="20"/>
        </w:rPr>
        <w:t xml:space="preserve"> technické infrastruktury </w:t>
      </w:r>
      <w:r w:rsidR="001C7E4C" w:rsidRPr="006070EA">
        <w:rPr>
          <w:rFonts w:asciiTheme="majorHAnsi" w:hAnsiTheme="majorHAnsi" w:cstheme="majorHAnsi"/>
          <w:b/>
          <w:bCs/>
          <w:sz w:val="18"/>
          <w:szCs w:val="20"/>
        </w:rPr>
        <w:t>CNU.</w:t>
      </w:r>
      <w:r w:rsidR="004670F7" w:rsidRPr="006070EA">
        <w:rPr>
          <w:rFonts w:asciiTheme="majorHAnsi" w:hAnsiTheme="majorHAnsi" w:cstheme="majorHAnsi"/>
          <w:b/>
          <w:bCs/>
          <w:sz w:val="18"/>
          <w:szCs w:val="20"/>
        </w:rPr>
        <w:t>KTI1</w:t>
      </w:r>
      <w:r w:rsidR="004670F7" w:rsidRPr="006070EA">
        <w:rPr>
          <w:rFonts w:asciiTheme="majorHAnsi" w:hAnsiTheme="majorHAnsi" w:cstheme="majorHAnsi"/>
          <w:sz w:val="18"/>
          <w:szCs w:val="20"/>
        </w:rPr>
        <w:t xml:space="preserve">. </w:t>
      </w:r>
    </w:p>
    <w:p w14:paraId="767B13FF" w14:textId="52DAD784" w:rsidR="009A56B0" w:rsidRPr="006070EA" w:rsidRDefault="009A56B0" w:rsidP="009A56B0">
      <w:pPr>
        <w:spacing w:before="120" w:after="120" w:line="240" w:lineRule="auto"/>
        <w:ind w:firstLine="709"/>
        <w:jc w:val="both"/>
        <w:rPr>
          <w:rFonts w:asciiTheme="majorHAnsi" w:hAnsiTheme="majorHAnsi" w:cstheme="majorHAnsi"/>
          <w:sz w:val="18"/>
        </w:rPr>
      </w:pPr>
      <w:r w:rsidRPr="006070EA">
        <w:rPr>
          <w:rFonts w:asciiTheme="majorHAnsi" w:hAnsiTheme="majorHAnsi" w:cstheme="majorHAnsi"/>
          <w:sz w:val="18"/>
        </w:rPr>
        <w:lastRenderedPageBreak/>
        <w:t>Základní informace o technickém řešení připojení místních částí na vodovod dle zpracované projektové dokumentace jsou uvedeny níže (citace kurzí</w:t>
      </w:r>
      <w:r w:rsidR="001C7E4C" w:rsidRPr="006070EA">
        <w:rPr>
          <w:rFonts w:asciiTheme="majorHAnsi" w:hAnsiTheme="majorHAnsi" w:cstheme="majorHAnsi"/>
          <w:sz w:val="18"/>
        </w:rPr>
        <w:t>v</w:t>
      </w:r>
      <w:r w:rsidRPr="006070EA">
        <w:rPr>
          <w:rFonts w:asciiTheme="majorHAnsi" w:hAnsiTheme="majorHAnsi" w:cstheme="majorHAnsi"/>
          <w:sz w:val="18"/>
        </w:rPr>
        <w:t>ou):</w:t>
      </w:r>
    </w:p>
    <w:p w14:paraId="5D8ED79A" w14:textId="77777777" w:rsidR="009A56B0" w:rsidRPr="006070EA" w:rsidRDefault="009A56B0" w:rsidP="009A56B0">
      <w:pPr>
        <w:spacing w:before="120" w:after="120" w:line="240" w:lineRule="auto"/>
        <w:ind w:firstLine="709"/>
        <w:jc w:val="both"/>
        <w:rPr>
          <w:rFonts w:asciiTheme="majorHAnsi" w:hAnsiTheme="majorHAnsi" w:cstheme="majorHAnsi"/>
          <w:i/>
          <w:iCs/>
          <w:sz w:val="18"/>
          <w:u w:val="single"/>
        </w:rPr>
      </w:pPr>
      <w:r w:rsidRPr="006070EA">
        <w:rPr>
          <w:rFonts w:asciiTheme="majorHAnsi" w:hAnsiTheme="majorHAnsi" w:cstheme="majorHAnsi"/>
          <w:i/>
          <w:iCs/>
          <w:sz w:val="18"/>
          <w:u w:val="single"/>
        </w:rPr>
        <w:t>1.1.1 Stávající stav</w:t>
      </w:r>
    </w:p>
    <w:p w14:paraId="2D7BF5DC" w14:textId="459FB719" w:rsidR="009A56B0" w:rsidRPr="006070EA" w:rsidRDefault="009A56B0" w:rsidP="009A56B0">
      <w:pPr>
        <w:spacing w:before="120" w:after="120" w:line="240" w:lineRule="auto"/>
        <w:ind w:firstLine="709"/>
        <w:jc w:val="both"/>
        <w:rPr>
          <w:rFonts w:asciiTheme="majorHAnsi" w:hAnsiTheme="majorHAnsi" w:cstheme="majorHAnsi"/>
          <w:i/>
          <w:iCs/>
          <w:sz w:val="18"/>
        </w:rPr>
      </w:pPr>
      <w:r w:rsidRPr="006070EA">
        <w:rPr>
          <w:rFonts w:asciiTheme="majorHAnsi" w:hAnsiTheme="majorHAnsi" w:cstheme="majorHAnsi"/>
          <w:i/>
          <w:iCs/>
          <w:sz w:val="18"/>
        </w:rPr>
        <w:t>Místní části Rozkoš, Lány, Hronětice a Vápensko nejsou v současné době zásobené pitnou vodou z veřejného vodovodu. Pitná voda je zajišťována pouze z domovních studní. Tato situace je z hlediska hygienického nepřípustná.</w:t>
      </w:r>
    </w:p>
    <w:p w14:paraId="0793D5B0" w14:textId="77777777" w:rsidR="009A56B0" w:rsidRPr="006070EA" w:rsidRDefault="009A56B0" w:rsidP="009A56B0">
      <w:pPr>
        <w:spacing w:before="120" w:after="120" w:line="240" w:lineRule="auto"/>
        <w:ind w:firstLine="709"/>
        <w:jc w:val="both"/>
        <w:rPr>
          <w:rFonts w:asciiTheme="majorHAnsi" w:hAnsiTheme="majorHAnsi" w:cstheme="majorHAnsi"/>
          <w:i/>
          <w:iCs/>
          <w:sz w:val="18"/>
          <w:u w:val="single"/>
        </w:rPr>
      </w:pPr>
      <w:r w:rsidRPr="006070EA">
        <w:rPr>
          <w:rFonts w:asciiTheme="majorHAnsi" w:hAnsiTheme="majorHAnsi" w:cstheme="majorHAnsi"/>
          <w:i/>
          <w:iCs/>
          <w:sz w:val="18"/>
          <w:u w:val="single"/>
        </w:rPr>
        <w:t>1.1.2 SO 01 Vodovod</w:t>
      </w:r>
    </w:p>
    <w:p w14:paraId="22FDFC68" w14:textId="301A70F1" w:rsidR="009A56B0" w:rsidRPr="006070EA" w:rsidRDefault="009A56B0" w:rsidP="009A56B0">
      <w:pPr>
        <w:spacing w:before="120" w:after="120" w:line="240" w:lineRule="auto"/>
        <w:ind w:firstLine="709"/>
        <w:jc w:val="both"/>
        <w:rPr>
          <w:rFonts w:asciiTheme="majorHAnsi" w:hAnsiTheme="majorHAnsi" w:cstheme="majorHAnsi"/>
          <w:i/>
          <w:iCs/>
          <w:sz w:val="18"/>
        </w:rPr>
      </w:pPr>
      <w:r w:rsidRPr="006070EA">
        <w:rPr>
          <w:rFonts w:asciiTheme="majorHAnsi" w:hAnsiTheme="majorHAnsi" w:cstheme="majorHAnsi"/>
          <w:i/>
          <w:iCs/>
          <w:sz w:val="18"/>
        </w:rPr>
        <w:t>Vodovodní řady budou z materiálu PE100 RC, SDR11 s modrým pruhem a ochranným opláštěným příslušné dimenze. Potrubí bude svařováno pomocí elektrotvarovek v ostrých směrových lomech bude využito tvarovek – oblouků, v uzlech odbočných tvarovek. V úsecích prováděných horizontálním řízeným podvrtem, bude tyčovina svařována na tupo, nebo budou úseky zatahovány na délku tyčového potrubí a svařovány elektrotvarovkami. Potrubí určené pro bezvýkopové technologie musí být od výroby vybaveno povrchovou úpravou trubky, potaženou PP vrstvou chránící potrubí před mechanickým poškozením.</w:t>
      </w:r>
    </w:p>
    <w:p w14:paraId="5AFA6DBB" w14:textId="7CFE6FA6" w:rsidR="009A56B0" w:rsidRPr="006070EA" w:rsidRDefault="009A56B0" w:rsidP="009A56B0">
      <w:pPr>
        <w:spacing w:before="120" w:after="120" w:line="240" w:lineRule="auto"/>
        <w:ind w:firstLine="709"/>
        <w:jc w:val="both"/>
        <w:rPr>
          <w:rFonts w:asciiTheme="majorHAnsi" w:hAnsiTheme="majorHAnsi" w:cstheme="majorHAnsi"/>
          <w:i/>
          <w:iCs/>
          <w:sz w:val="18"/>
        </w:rPr>
      </w:pPr>
      <w:r w:rsidRPr="006070EA">
        <w:rPr>
          <w:rFonts w:asciiTheme="majorHAnsi" w:hAnsiTheme="majorHAnsi" w:cstheme="majorHAnsi"/>
          <w:i/>
          <w:iCs/>
          <w:sz w:val="18"/>
        </w:rPr>
        <w:t>Vodovod je rozdělen na dvě části. První část jsou řady s názvem Vodovodní řad 1, 1-1, 1-2, 1-3 je napojen na vodovod v Kostomlatech nad Labem a dopravuje pitnou vodu do místní části Rozkoš, kde je rozvětven. Druhá část jsou řady s názvem Vodovodní řad 2A, 2B, 2C, 2D, 2-1, 2-2, 2-3, 2-4, 2-4-1, 2-4-2, 2-4-3, 2-5, 2-6, 2-7, 2-8, 2-9, 2-10, 2-11 a dopravují pitnou vodu do místní části Lány, Hronětice a Vápensko. Ve všech místních částech je rozvětven.</w:t>
      </w:r>
    </w:p>
    <w:p w14:paraId="150F66BF" w14:textId="790DA8BD" w:rsidR="009A56B0" w:rsidRPr="006070EA" w:rsidRDefault="009A56B0" w:rsidP="009A56B0">
      <w:pPr>
        <w:spacing w:before="120" w:after="120" w:line="240" w:lineRule="auto"/>
        <w:ind w:firstLine="709"/>
        <w:jc w:val="both"/>
        <w:rPr>
          <w:rFonts w:asciiTheme="majorHAnsi" w:hAnsiTheme="majorHAnsi" w:cstheme="majorHAnsi"/>
          <w:i/>
          <w:iCs/>
          <w:sz w:val="18"/>
        </w:rPr>
      </w:pPr>
      <w:r w:rsidRPr="006070EA">
        <w:rPr>
          <w:rFonts w:asciiTheme="majorHAnsi" w:hAnsiTheme="majorHAnsi" w:cstheme="majorHAnsi"/>
          <w:i/>
          <w:iCs/>
          <w:sz w:val="18"/>
        </w:rPr>
        <w:t>Řad 1 kříží vodní tok Hronětický náhon a řad 2 kříží vodní tok Vlkava a Hronětický náhon, v těchto místech bude potrubí uloženo v chráničce realizovanou bezvýkopovou technologii. Krytí chráničky od dna potoka bude min. 1,2 m.</w:t>
      </w:r>
    </w:p>
    <w:p w14:paraId="16568539" w14:textId="77777777" w:rsidR="009A56B0" w:rsidRPr="006070EA" w:rsidRDefault="009A56B0" w:rsidP="009A56B0">
      <w:pPr>
        <w:spacing w:before="120" w:after="120" w:line="240" w:lineRule="auto"/>
        <w:ind w:firstLine="709"/>
        <w:jc w:val="both"/>
        <w:rPr>
          <w:rFonts w:asciiTheme="majorHAnsi" w:hAnsiTheme="majorHAnsi" w:cstheme="majorHAnsi"/>
          <w:i/>
          <w:iCs/>
          <w:sz w:val="18"/>
        </w:rPr>
      </w:pPr>
      <w:r w:rsidRPr="006070EA">
        <w:rPr>
          <w:rFonts w:asciiTheme="majorHAnsi" w:hAnsiTheme="majorHAnsi" w:cstheme="majorHAnsi"/>
          <w:i/>
          <w:iCs/>
          <w:sz w:val="18"/>
        </w:rPr>
        <w:t>Dojde také ke křížení s dráhou u řadu 1 a řadu 2A. Jedná se o trať Všetaty – Nymburk. V těchto místech bude potrubí uloženo v chráničce realizovanou bezvýkopovou technologií. Krytí chráničky od vrchní části koleje s náspem bude min. 2,4 m a zároveň min. 1,4 m od paty náspu.</w:t>
      </w:r>
    </w:p>
    <w:p w14:paraId="1946C3AD" w14:textId="634983EA" w:rsidR="009A56B0" w:rsidRPr="006070EA" w:rsidRDefault="009A56B0" w:rsidP="009A56B0">
      <w:pPr>
        <w:spacing w:before="120" w:after="120" w:line="240" w:lineRule="auto"/>
        <w:ind w:firstLine="709"/>
        <w:jc w:val="both"/>
        <w:rPr>
          <w:rFonts w:asciiTheme="majorHAnsi" w:hAnsiTheme="majorHAnsi" w:cstheme="majorHAnsi"/>
          <w:i/>
          <w:iCs/>
          <w:sz w:val="18"/>
        </w:rPr>
      </w:pPr>
      <w:r w:rsidRPr="006070EA">
        <w:rPr>
          <w:rFonts w:asciiTheme="majorHAnsi" w:hAnsiTheme="majorHAnsi" w:cstheme="majorHAnsi"/>
          <w:i/>
          <w:iCs/>
          <w:sz w:val="18"/>
        </w:rPr>
        <w:t>Vodovod nebude sloužit pro požární účely.</w:t>
      </w:r>
    </w:p>
    <w:p w14:paraId="10C4D61C" w14:textId="6E850996" w:rsidR="009A56B0" w:rsidRPr="006070EA" w:rsidRDefault="009A56B0" w:rsidP="009A56B0">
      <w:pPr>
        <w:spacing w:before="60" w:after="60" w:line="240" w:lineRule="auto"/>
        <w:ind w:firstLine="709"/>
        <w:jc w:val="both"/>
        <w:rPr>
          <w:rFonts w:asciiTheme="majorHAnsi" w:hAnsiTheme="majorHAnsi" w:cstheme="majorHAnsi"/>
          <w:sz w:val="18"/>
          <w:szCs w:val="20"/>
        </w:rPr>
      </w:pPr>
      <w:r w:rsidRPr="006070EA">
        <w:rPr>
          <w:rFonts w:asciiTheme="majorHAnsi" w:hAnsiTheme="majorHAnsi" w:cstheme="majorHAnsi"/>
          <w:sz w:val="18"/>
          <w:szCs w:val="20"/>
        </w:rPr>
        <w:t>Současný systém skupinového vodovodu, na nějž je napojeno řešené území, je ucelený a provozně vyhovující. Kapacita vodárenské soustavy je vyhovující a disponuje dostatečnou rezervou i pro navrhovanou zástavbu v zastavitelných plochách. Doporučena je postupná rekonstrukce kapacitně a technicky nevyhovujících stávajících řadů. V rozvojových lokalitách budou vybudovány nové řady dle konkrétních zastavovacích dokumentů. Důraz bude kladen na zokruhování řadů a</w:t>
      </w:r>
      <w:r w:rsidR="00D4611A" w:rsidRPr="006070EA">
        <w:rPr>
          <w:rFonts w:asciiTheme="majorHAnsi" w:hAnsiTheme="majorHAnsi" w:cstheme="majorHAnsi"/>
          <w:sz w:val="18"/>
          <w:szCs w:val="20"/>
        </w:rPr>
        <w:t> </w:t>
      </w:r>
      <w:r w:rsidRPr="006070EA">
        <w:rPr>
          <w:rFonts w:asciiTheme="majorHAnsi" w:hAnsiTheme="majorHAnsi" w:cstheme="majorHAnsi"/>
          <w:sz w:val="18"/>
          <w:szCs w:val="20"/>
        </w:rPr>
        <w:t>splnění požadavků příslušné ČSN.</w:t>
      </w:r>
    </w:p>
    <w:p w14:paraId="7265DFC5" w14:textId="57EF0D18" w:rsidR="00320F81" w:rsidRPr="006070EA" w:rsidRDefault="00320F81" w:rsidP="00320F81">
      <w:pPr>
        <w:spacing w:before="60" w:after="60" w:line="240" w:lineRule="auto"/>
        <w:ind w:firstLine="709"/>
        <w:jc w:val="both"/>
        <w:rPr>
          <w:rFonts w:asciiTheme="majorHAnsi" w:hAnsiTheme="majorHAnsi" w:cstheme="majorHAnsi"/>
          <w:sz w:val="18"/>
          <w:szCs w:val="20"/>
        </w:rPr>
      </w:pPr>
      <w:r w:rsidRPr="006070EA">
        <w:rPr>
          <w:rFonts w:asciiTheme="majorHAnsi" w:hAnsiTheme="majorHAnsi" w:cstheme="majorHAnsi"/>
          <w:sz w:val="18"/>
          <w:szCs w:val="20"/>
        </w:rPr>
        <w:t xml:space="preserve">Na stávající </w:t>
      </w:r>
      <w:r w:rsidR="009A56B0" w:rsidRPr="006070EA">
        <w:rPr>
          <w:rFonts w:asciiTheme="majorHAnsi" w:hAnsiTheme="majorHAnsi" w:cstheme="majorHAnsi"/>
          <w:sz w:val="18"/>
          <w:szCs w:val="20"/>
        </w:rPr>
        <w:t xml:space="preserve">a navržený </w:t>
      </w:r>
      <w:r w:rsidRPr="006070EA">
        <w:rPr>
          <w:rFonts w:asciiTheme="majorHAnsi" w:hAnsiTheme="majorHAnsi" w:cstheme="majorHAnsi"/>
          <w:sz w:val="18"/>
          <w:szCs w:val="20"/>
        </w:rPr>
        <w:t>systém vodovodu budou dle potřeby napojovány nově navržené zastavitelné plochy prodloužením stávajících řadů</w:t>
      </w:r>
      <w:r w:rsidR="009A56B0" w:rsidRPr="006070EA">
        <w:rPr>
          <w:rFonts w:asciiTheme="majorHAnsi" w:hAnsiTheme="majorHAnsi" w:cstheme="majorHAnsi"/>
          <w:sz w:val="18"/>
          <w:szCs w:val="20"/>
        </w:rPr>
        <w:t xml:space="preserve"> a vybudováním nových ve vazbě na stavbu vodovodu v koridoru KTI1</w:t>
      </w:r>
      <w:r w:rsidRPr="006070EA">
        <w:rPr>
          <w:rFonts w:asciiTheme="majorHAnsi" w:hAnsiTheme="majorHAnsi" w:cstheme="majorHAnsi"/>
          <w:sz w:val="18"/>
          <w:szCs w:val="20"/>
        </w:rPr>
        <w:t xml:space="preserve">. Zastavitelné plochy jsou lokalizovány v maximální míře v dosahu stávající </w:t>
      </w:r>
      <w:r w:rsidR="009A56B0" w:rsidRPr="006070EA">
        <w:rPr>
          <w:rFonts w:asciiTheme="majorHAnsi" w:hAnsiTheme="majorHAnsi" w:cstheme="majorHAnsi"/>
          <w:sz w:val="18"/>
          <w:szCs w:val="20"/>
        </w:rPr>
        <w:t xml:space="preserve">a plánované </w:t>
      </w:r>
      <w:r w:rsidRPr="006070EA">
        <w:rPr>
          <w:rFonts w:asciiTheme="majorHAnsi" w:hAnsiTheme="majorHAnsi" w:cstheme="majorHAnsi"/>
          <w:sz w:val="18"/>
          <w:szCs w:val="20"/>
        </w:rPr>
        <w:t>infrastruktury s minimálními nároky na jejich rozšiřování a</w:t>
      </w:r>
      <w:r w:rsidR="009A56B0" w:rsidRPr="006070EA">
        <w:rPr>
          <w:rFonts w:asciiTheme="majorHAnsi" w:hAnsiTheme="majorHAnsi" w:cstheme="majorHAnsi"/>
          <w:sz w:val="18"/>
          <w:szCs w:val="20"/>
        </w:rPr>
        <w:t> </w:t>
      </w:r>
      <w:r w:rsidRPr="006070EA">
        <w:rPr>
          <w:rFonts w:asciiTheme="majorHAnsi" w:hAnsiTheme="majorHAnsi" w:cstheme="majorHAnsi"/>
          <w:sz w:val="18"/>
          <w:szCs w:val="20"/>
        </w:rPr>
        <w:t>souvisejícími nároky na veřejné rozpočty. Územním plánem jsou v rámci hlavního, přípustného či podmíněně přípustného využití stanoveny podmínky pro realizaci staveb a sítí technické infrastruktury ve všech plochách s rozdílným způsobem využití. Rozvody vody v zastavěném území a zastavitelných plochách je nutné řešit přednostně v rámci ploch veřejných prostranství a</w:t>
      </w:r>
      <w:r w:rsidR="001C7E4C" w:rsidRPr="006070EA">
        <w:rPr>
          <w:rFonts w:asciiTheme="majorHAnsi" w:hAnsiTheme="majorHAnsi" w:cstheme="majorHAnsi"/>
          <w:sz w:val="18"/>
          <w:szCs w:val="20"/>
        </w:rPr>
        <w:t> </w:t>
      </w:r>
      <w:r w:rsidRPr="006070EA">
        <w:rPr>
          <w:rFonts w:asciiTheme="majorHAnsi" w:hAnsiTheme="majorHAnsi" w:cstheme="majorHAnsi"/>
          <w:sz w:val="18"/>
          <w:szCs w:val="20"/>
        </w:rPr>
        <w:t>ploch dopravní a technické infrastruktury s ohledem na jejich údržbu a provoz. Tím je zajištěno jejich umístění mimo pozemky soukromých vlastníků, efektivní využití a správa sítí. Důvodem je mimo jiné požadavek PÚR ČR (priorita 27) „Vytvářet podmínky pro koordinované umísťování veřejné infrastruktury v území a její rozvoj a tím podporovat její účelné využívání v rámci sídelní struktury.“</w:t>
      </w:r>
    </w:p>
    <w:p w14:paraId="49466F85" w14:textId="77777777" w:rsidR="00320F81" w:rsidRPr="006070EA" w:rsidRDefault="00320F81" w:rsidP="00320F81">
      <w:pPr>
        <w:spacing w:before="60" w:after="60" w:line="240" w:lineRule="auto"/>
        <w:ind w:firstLine="709"/>
        <w:jc w:val="both"/>
        <w:rPr>
          <w:rFonts w:asciiTheme="majorHAnsi" w:hAnsiTheme="majorHAnsi" w:cstheme="majorHAnsi"/>
          <w:sz w:val="18"/>
          <w:szCs w:val="20"/>
        </w:rPr>
      </w:pPr>
      <w:r w:rsidRPr="006070EA">
        <w:rPr>
          <w:rFonts w:asciiTheme="majorHAnsi" w:hAnsiTheme="majorHAnsi" w:cstheme="majorHAnsi"/>
          <w:sz w:val="18"/>
          <w:szCs w:val="20"/>
        </w:rPr>
        <w:t xml:space="preserve">Vodovodní řady budou v maximální míře zokruhovány z důvodu spolehlivosti systému a kvalitativních hledisek, zejména zajištění lepších tlakových podmínek v síti, lepší jakost vody díky cirkulaci a rovnoměrné rozdělování vody i v období nedostatku. Zokruhování vodovodní sítě je doporučováno u větších spotřebišť s převažujícím plošným charakterem zástavby. </w:t>
      </w:r>
    </w:p>
    <w:p w14:paraId="2E310AF9" w14:textId="509D6A06" w:rsidR="00320F81" w:rsidRPr="006070EA" w:rsidRDefault="00320F81" w:rsidP="00320F81">
      <w:pPr>
        <w:spacing w:before="60" w:after="60" w:line="240" w:lineRule="auto"/>
        <w:ind w:firstLine="709"/>
        <w:jc w:val="both"/>
        <w:rPr>
          <w:rFonts w:asciiTheme="majorHAnsi" w:hAnsiTheme="majorHAnsi" w:cstheme="majorHAnsi"/>
          <w:sz w:val="18"/>
          <w:szCs w:val="20"/>
        </w:rPr>
      </w:pPr>
      <w:r w:rsidRPr="006070EA">
        <w:rPr>
          <w:rFonts w:asciiTheme="majorHAnsi" w:hAnsiTheme="majorHAnsi" w:cstheme="majorHAnsi"/>
          <w:sz w:val="18"/>
          <w:szCs w:val="20"/>
        </w:rPr>
        <w:t>Při realizaci nové zástavby je třeba postupovat v souladu s ustanovením § 5 zákona č. 254/2001 Sb., o vodách a</w:t>
      </w:r>
      <w:r w:rsidR="00D4611A" w:rsidRPr="006070EA">
        <w:rPr>
          <w:rFonts w:asciiTheme="majorHAnsi" w:hAnsiTheme="majorHAnsi" w:cstheme="majorHAnsi"/>
          <w:sz w:val="18"/>
          <w:szCs w:val="20"/>
        </w:rPr>
        <w:t> </w:t>
      </w:r>
      <w:r w:rsidRPr="006070EA">
        <w:rPr>
          <w:rFonts w:asciiTheme="majorHAnsi" w:hAnsiTheme="majorHAnsi" w:cstheme="majorHAnsi"/>
          <w:sz w:val="18"/>
          <w:szCs w:val="20"/>
        </w:rPr>
        <w:t>o</w:t>
      </w:r>
      <w:r w:rsidR="00D4611A" w:rsidRPr="006070EA">
        <w:rPr>
          <w:rFonts w:asciiTheme="majorHAnsi" w:hAnsiTheme="majorHAnsi" w:cstheme="majorHAnsi"/>
          <w:sz w:val="18"/>
          <w:szCs w:val="20"/>
        </w:rPr>
        <w:t> </w:t>
      </w:r>
      <w:r w:rsidRPr="006070EA">
        <w:rPr>
          <w:rFonts w:asciiTheme="majorHAnsi" w:hAnsiTheme="majorHAnsi" w:cstheme="majorHAnsi"/>
          <w:sz w:val="18"/>
          <w:szCs w:val="20"/>
        </w:rPr>
        <w:t>změně některých zákonů (vodní zákon), ve znění pozdějších předpisů, tzn. zabezpečit zásobování těchto lokalit vodou a</w:t>
      </w:r>
      <w:r w:rsidR="00D4611A" w:rsidRPr="006070EA">
        <w:rPr>
          <w:rFonts w:asciiTheme="majorHAnsi" w:hAnsiTheme="majorHAnsi" w:cstheme="majorHAnsi"/>
          <w:sz w:val="18"/>
          <w:szCs w:val="20"/>
        </w:rPr>
        <w:t> </w:t>
      </w:r>
      <w:r w:rsidRPr="006070EA">
        <w:rPr>
          <w:rFonts w:asciiTheme="majorHAnsi" w:hAnsiTheme="majorHAnsi" w:cstheme="majorHAnsi"/>
          <w:sz w:val="18"/>
          <w:szCs w:val="20"/>
        </w:rPr>
        <w:t>zajistit odvádění, čištění, popřípadě jiné zneškodňování odpadních vod.</w:t>
      </w:r>
    </w:p>
    <w:p w14:paraId="19985A53" w14:textId="1DFB1FF9" w:rsidR="00320F81" w:rsidRPr="006070EA" w:rsidRDefault="00320F81" w:rsidP="00320F81">
      <w:pPr>
        <w:spacing w:before="60" w:after="60" w:line="240" w:lineRule="auto"/>
        <w:ind w:firstLine="709"/>
        <w:jc w:val="both"/>
        <w:rPr>
          <w:rFonts w:asciiTheme="majorHAnsi" w:hAnsiTheme="majorHAnsi" w:cstheme="majorHAnsi"/>
          <w:sz w:val="18"/>
          <w:szCs w:val="20"/>
        </w:rPr>
      </w:pPr>
      <w:r w:rsidRPr="006070EA">
        <w:rPr>
          <w:rFonts w:asciiTheme="majorHAnsi" w:hAnsiTheme="majorHAnsi" w:cstheme="majorHAnsi"/>
          <w:sz w:val="18"/>
          <w:szCs w:val="20"/>
        </w:rPr>
        <w:t xml:space="preserve">Zákres stávajících vodovodních řadů včetně objektů na síti je znázorněn v grafické části </w:t>
      </w:r>
      <w:r w:rsidR="00D4611A" w:rsidRPr="006070EA">
        <w:rPr>
          <w:rFonts w:asciiTheme="majorHAnsi" w:hAnsiTheme="majorHAnsi" w:cstheme="majorHAnsi"/>
          <w:sz w:val="18"/>
          <w:szCs w:val="20"/>
        </w:rPr>
        <w:t>Odůvodnění ú</w:t>
      </w:r>
      <w:r w:rsidRPr="006070EA">
        <w:rPr>
          <w:rFonts w:asciiTheme="majorHAnsi" w:hAnsiTheme="majorHAnsi" w:cstheme="majorHAnsi"/>
          <w:sz w:val="18"/>
          <w:szCs w:val="20"/>
        </w:rPr>
        <w:t xml:space="preserve">zemního plánu ve výkrese </w:t>
      </w:r>
      <w:r w:rsidR="00D4611A" w:rsidRPr="006070EA">
        <w:rPr>
          <w:rFonts w:asciiTheme="majorHAnsi" w:hAnsiTheme="majorHAnsi" w:cstheme="majorHAnsi"/>
          <w:sz w:val="18"/>
          <w:szCs w:val="20"/>
        </w:rPr>
        <w:t>1</w:t>
      </w:r>
      <w:r w:rsidRPr="006070EA">
        <w:rPr>
          <w:rFonts w:asciiTheme="majorHAnsi" w:hAnsiTheme="majorHAnsi" w:cstheme="majorHAnsi"/>
          <w:sz w:val="18"/>
          <w:szCs w:val="20"/>
        </w:rPr>
        <w:t xml:space="preserve"> </w:t>
      </w:r>
      <w:r w:rsidR="00D4611A" w:rsidRPr="006070EA">
        <w:rPr>
          <w:rFonts w:asciiTheme="majorHAnsi" w:hAnsiTheme="majorHAnsi" w:cstheme="majorHAnsi"/>
          <w:sz w:val="18"/>
          <w:szCs w:val="20"/>
        </w:rPr>
        <w:t>Koordinační v</w:t>
      </w:r>
      <w:r w:rsidRPr="006070EA">
        <w:rPr>
          <w:rFonts w:asciiTheme="majorHAnsi" w:hAnsiTheme="majorHAnsi" w:cstheme="majorHAnsi"/>
          <w:sz w:val="18"/>
          <w:szCs w:val="20"/>
        </w:rPr>
        <w:t>ýkres. S ohledem na měřítko výkresů jde pouze o schematické vyjádření koncepce zásobování vodou bez vztahu k jednotlivým pozemkovým parcelám. V navazujících řízeních tak nejsou vyloučeny změny tras jednotlivých řadů a</w:t>
      </w:r>
      <w:r w:rsidR="001C7E4C" w:rsidRPr="006070EA">
        <w:rPr>
          <w:rFonts w:asciiTheme="majorHAnsi" w:hAnsiTheme="majorHAnsi" w:cstheme="majorHAnsi"/>
          <w:sz w:val="18"/>
          <w:szCs w:val="20"/>
        </w:rPr>
        <w:t> </w:t>
      </w:r>
      <w:r w:rsidRPr="006070EA">
        <w:rPr>
          <w:rFonts w:asciiTheme="majorHAnsi" w:hAnsiTheme="majorHAnsi" w:cstheme="majorHAnsi"/>
          <w:sz w:val="18"/>
          <w:szCs w:val="20"/>
        </w:rPr>
        <w:t>umístění objektů na vodovodní síti.</w:t>
      </w:r>
    </w:p>
    <w:p w14:paraId="3105F01E" w14:textId="77777777" w:rsidR="007918D8" w:rsidRPr="006070EA" w:rsidRDefault="007918D8" w:rsidP="007918D8">
      <w:pPr>
        <w:spacing w:before="60" w:after="60" w:line="240" w:lineRule="auto"/>
        <w:jc w:val="both"/>
        <w:rPr>
          <w:rFonts w:asciiTheme="majorHAnsi" w:hAnsiTheme="majorHAnsi" w:cstheme="majorHAnsi"/>
          <w:b/>
          <w:sz w:val="18"/>
          <w:szCs w:val="20"/>
        </w:rPr>
      </w:pPr>
      <w:r w:rsidRPr="006070EA">
        <w:rPr>
          <w:rFonts w:asciiTheme="majorHAnsi" w:hAnsiTheme="majorHAnsi" w:cstheme="majorHAnsi"/>
          <w:b/>
          <w:sz w:val="18"/>
          <w:szCs w:val="20"/>
        </w:rPr>
        <w:t>Nouzové zásobování obyvatelstva pitnou a užitkovou vodou</w:t>
      </w:r>
    </w:p>
    <w:p w14:paraId="0DE8E90A" w14:textId="0A3F4A7E" w:rsidR="00D4611A" w:rsidRPr="006070EA" w:rsidRDefault="00D4611A" w:rsidP="00D4611A">
      <w:pPr>
        <w:pStyle w:val="Atext"/>
        <w:rPr>
          <w:rFonts w:asciiTheme="majorHAnsi" w:hAnsiTheme="majorHAnsi" w:cstheme="majorHAnsi"/>
          <w:color w:val="000000"/>
          <w:szCs w:val="18"/>
        </w:rPr>
      </w:pPr>
      <w:r w:rsidRPr="006070EA">
        <w:rPr>
          <w:rFonts w:asciiTheme="majorHAnsi" w:hAnsiTheme="majorHAnsi" w:cstheme="majorHAnsi"/>
          <w:color w:val="000000"/>
          <w:szCs w:val="18"/>
        </w:rPr>
        <w:t xml:space="preserve">Nouzové zásobování pitnou vodou vychází ze schváleného Plánu rozvoje vodovodů a kanalizací (PRVK) Středočeského kraje. </w:t>
      </w:r>
    </w:p>
    <w:p w14:paraId="3B40EC31" w14:textId="77777777" w:rsidR="00D4611A" w:rsidRPr="006070EA" w:rsidRDefault="00D4611A" w:rsidP="00D4611A">
      <w:pPr>
        <w:pStyle w:val="Atext"/>
        <w:rPr>
          <w:rFonts w:asciiTheme="majorHAnsi" w:hAnsiTheme="majorHAnsi" w:cstheme="majorHAnsi"/>
          <w:color w:val="000000"/>
          <w:szCs w:val="18"/>
        </w:rPr>
      </w:pPr>
      <w:r w:rsidRPr="006070EA">
        <w:rPr>
          <w:rFonts w:asciiTheme="majorHAnsi" w:hAnsiTheme="majorHAnsi" w:cstheme="majorHAnsi"/>
          <w:color w:val="000000"/>
          <w:szCs w:val="18"/>
        </w:rPr>
        <w:t>Nouzové zásobování pitnou vodou bude zajišťováno dopravou pitné vody v množství maximálně 15 l/den × obyvatele cisternami. Zásobení pitnou vodou bude doplňováno balenou vodou. Plochy pro zajištění potřeb nouzového zásobování obyvatelstva vodou jsou vymezeny na veřejných prostranstvích.</w:t>
      </w:r>
    </w:p>
    <w:p w14:paraId="44B1D92F" w14:textId="77777777" w:rsidR="00D4611A" w:rsidRPr="006070EA" w:rsidRDefault="00D4611A" w:rsidP="00D4611A">
      <w:pPr>
        <w:pStyle w:val="Atext"/>
        <w:rPr>
          <w:rFonts w:asciiTheme="majorHAnsi" w:hAnsiTheme="majorHAnsi" w:cstheme="majorHAnsi"/>
          <w:color w:val="000000"/>
          <w:szCs w:val="18"/>
        </w:rPr>
      </w:pPr>
      <w:r w:rsidRPr="006070EA">
        <w:rPr>
          <w:rFonts w:asciiTheme="majorHAnsi" w:hAnsiTheme="majorHAnsi" w:cstheme="majorHAnsi"/>
          <w:color w:val="000000"/>
          <w:szCs w:val="18"/>
        </w:rPr>
        <w:t>Nouzové zásobování užitkovou vodou bude zajišťováno z domovních studní. Při využívání zdrojů pro zásobení užitkovou vodou se bude postupovat podle pokynů územně příslušného hygienika.</w:t>
      </w:r>
    </w:p>
    <w:p w14:paraId="00AEEB54" w14:textId="77777777" w:rsidR="007918D8" w:rsidRPr="006070EA" w:rsidRDefault="007918D8" w:rsidP="001C7E4C">
      <w:pPr>
        <w:keepNext/>
        <w:spacing w:before="120" w:after="120" w:line="240" w:lineRule="auto"/>
        <w:jc w:val="both"/>
        <w:rPr>
          <w:rFonts w:asciiTheme="majorHAnsi" w:hAnsiTheme="majorHAnsi" w:cstheme="majorHAnsi"/>
          <w:b/>
          <w:sz w:val="18"/>
        </w:rPr>
      </w:pPr>
      <w:r w:rsidRPr="006070EA">
        <w:rPr>
          <w:rFonts w:asciiTheme="majorHAnsi" w:hAnsiTheme="majorHAnsi" w:cstheme="majorHAnsi"/>
          <w:b/>
          <w:sz w:val="18"/>
        </w:rPr>
        <w:lastRenderedPageBreak/>
        <w:t>Ochranná pásma vodních zdrojů</w:t>
      </w:r>
    </w:p>
    <w:p w14:paraId="5186AFBC" w14:textId="3D0EF00C" w:rsidR="0092759A" w:rsidRPr="006070EA" w:rsidRDefault="0092759A" w:rsidP="00085FAA">
      <w:pPr>
        <w:spacing w:before="120" w:after="120" w:line="240" w:lineRule="auto"/>
        <w:ind w:firstLine="709"/>
        <w:jc w:val="both"/>
        <w:rPr>
          <w:rFonts w:asciiTheme="majorHAnsi" w:hAnsiTheme="majorHAnsi" w:cstheme="majorHAnsi"/>
          <w:bCs/>
          <w:iCs/>
          <w:sz w:val="18"/>
        </w:rPr>
      </w:pPr>
      <w:r w:rsidRPr="006070EA">
        <w:rPr>
          <w:rFonts w:asciiTheme="majorHAnsi" w:hAnsiTheme="majorHAnsi" w:cstheme="majorHAnsi"/>
          <w:bCs/>
          <w:iCs/>
          <w:sz w:val="18"/>
        </w:rPr>
        <w:t>D</w:t>
      </w:r>
      <w:r w:rsidR="007918D8" w:rsidRPr="006070EA">
        <w:rPr>
          <w:rFonts w:asciiTheme="majorHAnsi" w:hAnsiTheme="majorHAnsi" w:cstheme="majorHAnsi"/>
          <w:bCs/>
          <w:iCs/>
          <w:sz w:val="18"/>
        </w:rPr>
        <w:t>o řešeného území zasahuj</w:t>
      </w:r>
      <w:r w:rsidRPr="006070EA">
        <w:rPr>
          <w:rFonts w:asciiTheme="majorHAnsi" w:hAnsiTheme="majorHAnsi" w:cstheme="majorHAnsi"/>
          <w:bCs/>
          <w:iCs/>
          <w:sz w:val="18"/>
        </w:rPr>
        <w:t>e</w:t>
      </w:r>
      <w:r w:rsidR="007918D8" w:rsidRPr="006070EA">
        <w:rPr>
          <w:rFonts w:asciiTheme="majorHAnsi" w:hAnsiTheme="majorHAnsi" w:cstheme="majorHAnsi"/>
          <w:bCs/>
          <w:iCs/>
          <w:sz w:val="18"/>
        </w:rPr>
        <w:t xml:space="preserve"> ochrann</w:t>
      </w:r>
      <w:r w:rsidRPr="006070EA">
        <w:rPr>
          <w:rFonts w:asciiTheme="majorHAnsi" w:hAnsiTheme="majorHAnsi" w:cstheme="majorHAnsi"/>
          <w:bCs/>
          <w:iCs/>
          <w:sz w:val="18"/>
        </w:rPr>
        <w:t>é</w:t>
      </w:r>
      <w:r w:rsidR="007918D8" w:rsidRPr="006070EA">
        <w:rPr>
          <w:rFonts w:asciiTheme="majorHAnsi" w:hAnsiTheme="majorHAnsi" w:cstheme="majorHAnsi"/>
          <w:bCs/>
          <w:iCs/>
          <w:sz w:val="18"/>
        </w:rPr>
        <w:t xml:space="preserve"> pásm</w:t>
      </w:r>
      <w:r w:rsidRPr="006070EA">
        <w:rPr>
          <w:rFonts w:asciiTheme="majorHAnsi" w:hAnsiTheme="majorHAnsi" w:cstheme="majorHAnsi"/>
          <w:bCs/>
          <w:iCs/>
          <w:sz w:val="18"/>
        </w:rPr>
        <w:t>o</w:t>
      </w:r>
      <w:r w:rsidR="007918D8" w:rsidRPr="006070EA">
        <w:rPr>
          <w:rFonts w:asciiTheme="majorHAnsi" w:hAnsiTheme="majorHAnsi" w:cstheme="majorHAnsi"/>
          <w:bCs/>
          <w:iCs/>
          <w:sz w:val="18"/>
        </w:rPr>
        <w:t xml:space="preserve"> vodní</w:t>
      </w:r>
      <w:r w:rsidRPr="006070EA">
        <w:rPr>
          <w:rFonts w:asciiTheme="majorHAnsi" w:hAnsiTheme="majorHAnsi" w:cstheme="majorHAnsi"/>
          <w:bCs/>
          <w:iCs/>
          <w:sz w:val="18"/>
        </w:rPr>
        <w:t>ho</w:t>
      </w:r>
      <w:r w:rsidR="007918D8" w:rsidRPr="006070EA">
        <w:rPr>
          <w:rFonts w:asciiTheme="majorHAnsi" w:hAnsiTheme="majorHAnsi" w:cstheme="majorHAnsi"/>
          <w:bCs/>
          <w:iCs/>
          <w:sz w:val="18"/>
        </w:rPr>
        <w:t xml:space="preserve"> zdroj</w:t>
      </w:r>
      <w:r w:rsidRPr="006070EA">
        <w:rPr>
          <w:rFonts w:asciiTheme="majorHAnsi" w:hAnsiTheme="majorHAnsi" w:cstheme="majorHAnsi"/>
          <w:bCs/>
          <w:iCs/>
          <w:sz w:val="18"/>
        </w:rPr>
        <w:t>e</w:t>
      </w:r>
      <w:r w:rsidR="007918D8" w:rsidRPr="006070EA">
        <w:rPr>
          <w:rFonts w:asciiTheme="majorHAnsi" w:hAnsiTheme="majorHAnsi" w:cstheme="majorHAnsi"/>
          <w:bCs/>
          <w:iCs/>
          <w:sz w:val="18"/>
        </w:rPr>
        <w:t xml:space="preserve"> II. stupně</w:t>
      </w:r>
      <w:r w:rsidR="00D4611A" w:rsidRPr="006070EA">
        <w:rPr>
          <w:rFonts w:asciiTheme="majorHAnsi" w:hAnsiTheme="majorHAnsi" w:cstheme="majorHAnsi"/>
          <w:bCs/>
          <w:iCs/>
          <w:sz w:val="18"/>
        </w:rPr>
        <w:t xml:space="preserve"> (2a, 2b)</w:t>
      </w:r>
      <w:r w:rsidR="00085FAA" w:rsidRPr="006070EA">
        <w:rPr>
          <w:rFonts w:asciiTheme="majorHAnsi" w:hAnsiTheme="majorHAnsi" w:cstheme="majorHAnsi"/>
          <w:bCs/>
          <w:iCs/>
          <w:sz w:val="18"/>
        </w:rPr>
        <w:t>, ochranné pásmo přírodního léčivého zdroje a ochranné pásmo zařízení ČHMÚ</w:t>
      </w:r>
      <w:r w:rsidRPr="006070EA">
        <w:rPr>
          <w:rFonts w:asciiTheme="majorHAnsi" w:hAnsiTheme="majorHAnsi" w:cstheme="majorHAnsi"/>
          <w:bCs/>
          <w:iCs/>
          <w:sz w:val="18"/>
        </w:rPr>
        <w:t>, kter</w:t>
      </w:r>
      <w:r w:rsidR="00085FAA" w:rsidRPr="006070EA">
        <w:rPr>
          <w:rFonts w:asciiTheme="majorHAnsi" w:hAnsiTheme="majorHAnsi" w:cstheme="majorHAnsi"/>
          <w:bCs/>
          <w:iCs/>
          <w:sz w:val="18"/>
        </w:rPr>
        <w:t>á</w:t>
      </w:r>
      <w:r w:rsidRPr="006070EA">
        <w:rPr>
          <w:rFonts w:asciiTheme="majorHAnsi" w:hAnsiTheme="majorHAnsi" w:cstheme="majorHAnsi"/>
          <w:bCs/>
          <w:iCs/>
          <w:sz w:val="18"/>
        </w:rPr>
        <w:t xml:space="preserve"> j</w:t>
      </w:r>
      <w:r w:rsidR="00085FAA" w:rsidRPr="006070EA">
        <w:rPr>
          <w:rFonts w:asciiTheme="majorHAnsi" w:hAnsiTheme="majorHAnsi" w:cstheme="majorHAnsi"/>
          <w:bCs/>
          <w:iCs/>
          <w:sz w:val="18"/>
        </w:rPr>
        <w:t>sou</w:t>
      </w:r>
      <w:r w:rsidRPr="006070EA">
        <w:rPr>
          <w:rFonts w:asciiTheme="majorHAnsi" w:hAnsiTheme="majorHAnsi" w:cstheme="majorHAnsi"/>
          <w:bCs/>
          <w:iCs/>
          <w:sz w:val="18"/>
        </w:rPr>
        <w:t xml:space="preserve"> ú</w:t>
      </w:r>
      <w:r w:rsidR="007918D8" w:rsidRPr="006070EA">
        <w:rPr>
          <w:rFonts w:asciiTheme="majorHAnsi" w:hAnsiTheme="majorHAnsi" w:cstheme="majorHAnsi"/>
          <w:bCs/>
          <w:iCs/>
          <w:sz w:val="18"/>
        </w:rPr>
        <w:t>zemním plánem respektován</w:t>
      </w:r>
      <w:r w:rsidR="00085FAA" w:rsidRPr="006070EA">
        <w:rPr>
          <w:rFonts w:asciiTheme="majorHAnsi" w:hAnsiTheme="majorHAnsi" w:cstheme="majorHAnsi"/>
          <w:bCs/>
          <w:iCs/>
          <w:sz w:val="18"/>
        </w:rPr>
        <w:t>y</w:t>
      </w:r>
      <w:r w:rsidR="007918D8" w:rsidRPr="006070EA">
        <w:rPr>
          <w:rFonts w:asciiTheme="majorHAnsi" w:hAnsiTheme="majorHAnsi" w:cstheme="majorHAnsi"/>
          <w:bCs/>
          <w:iCs/>
          <w:sz w:val="18"/>
        </w:rPr>
        <w:t xml:space="preserve"> </w:t>
      </w:r>
      <w:r w:rsidRPr="006070EA">
        <w:rPr>
          <w:rFonts w:asciiTheme="majorHAnsi" w:hAnsiTheme="majorHAnsi" w:cstheme="majorHAnsi"/>
          <w:bCs/>
          <w:iCs/>
          <w:sz w:val="18"/>
        </w:rPr>
        <w:t>jako limit</w:t>
      </w:r>
      <w:r w:rsidR="00085FAA" w:rsidRPr="006070EA">
        <w:rPr>
          <w:rFonts w:asciiTheme="majorHAnsi" w:hAnsiTheme="majorHAnsi" w:cstheme="majorHAnsi"/>
          <w:bCs/>
          <w:iCs/>
          <w:sz w:val="18"/>
        </w:rPr>
        <w:t>y</w:t>
      </w:r>
      <w:r w:rsidRPr="006070EA">
        <w:rPr>
          <w:rFonts w:asciiTheme="majorHAnsi" w:hAnsiTheme="majorHAnsi" w:cstheme="majorHAnsi"/>
          <w:bCs/>
          <w:iCs/>
          <w:sz w:val="18"/>
        </w:rPr>
        <w:t xml:space="preserve"> využití území. </w:t>
      </w:r>
      <w:r w:rsidR="00085FAA" w:rsidRPr="006070EA">
        <w:rPr>
          <w:rFonts w:asciiTheme="majorHAnsi" w:hAnsiTheme="majorHAnsi" w:cstheme="majorHAnsi"/>
          <w:bCs/>
          <w:iCs/>
          <w:sz w:val="18"/>
        </w:rPr>
        <w:t>Jejich g</w:t>
      </w:r>
      <w:r w:rsidRPr="006070EA">
        <w:rPr>
          <w:rFonts w:asciiTheme="majorHAnsi" w:hAnsiTheme="majorHAnsi" w:cstheme="majorHAnsi"/>
          <w:bCs/>
          <w:iCs/>
          <w:sz w:val="18"/>
        </w:rPr>
        <w:t xml:space="preserve">rafické znázornění je obsahem </w:t>
      </w:r>
      <w:r w:rsidR="007918D8" w:rsidRPr="006070EA">
        <w:rPr>
          <w:rFonts w:asciiTheme="majorHAnsi" w:hAnsiTheme="majorHAnsi" w:cstheme="majorHAnsi"/>
          <w:sz w:val="18"/>
        </w:rPr>
        <w:t>výkres</w:t>
      </w:r>
      <w:r w:rsidRPr="006070EA">
        <w:rPr>
          <w:rFonts w:asciiTheme="majorHAnsi" w:hAnsiTheme="majorHAnsi" w:cstheme="majorHAnsi"/>
          <w:sz w:val="18"/>
        </w:rPr>
        <w:t>u</w:t>
      </w:r>
      <w:r w:rsidR="00085FAA" w:rsidRPr="006070EA">
        <w:rPr>
          <w:rFonts w:asciiTheme="majorHAnsi" w:hAnsiTheme="majorHAnsi" w:cstheme="majorHAnsi"/>
          <w:sz w:val="18"/>
        </w:rPr>
        <w:t xml:space="preserve"> </w:t>
      </w:r>
      <w:r w:rsidR="001C7E4C" w:rsidRPr="006070EA">
        <w:rPr>
          <w:rFonts w:asciiTheme="majorHAnsi" w:hAnsiTheme="majorHAnsi" w:cstheme="majorHAnsi"/>
          <w:i/>
          <w:sz w:val="18"/>
        </w:rPr>
        <w:t>4</w:t>
      </w:r>
      <w:r w:rsidR="007918D8" w:rsidRPr="006070EA">
        <w:rPr>
          <w:rFonts w:asciiTheme="majorHAnsi" w:hAnsiTheme="majorHAnsi" w:cstheme="majorHAnsi"/>
          <w:i/>
          <w:sz w:val="18"/>
        </w:rPr>
        <w:t xml:space="preserve"> Koordinační výkres.</w:t>
      </w:r>
      <w:r w:rsidR="007918D8" w:rsidRPr="006070EA">
        <w:rPr>
          <w:rFonts w:asciiTheme="majorHAnsi" w:hAnsiTheme="majorHAnsi" w:cstheme="majorHAnsi"/>
          <w:bCs/>
          <w:iCs/>
          <w:sz w:val="18"/>
        </w:rPr>
        <w:t xml:space="preserve"> </w:t>
      </w:r>
    </w:p>
    <w:p w14:paraId="37109E4F" w14:textId="77777777" w:rsidR="007918D8" w:rsidRPr="006070EA" w:rsidRDefault="007918D8" w:rsidP="00085FAA">
      <w:pPr>
        <w:spacing w:before="120" w:after="120" w:line="240" w:lineRule="auto"/>
        <w:ind w:firstLine="709"/>
        <w:jc w:val="both"/>
        <w:rPr>
          <w:rFonts w:asciiTheme="majorHAnsi" w:hAnsiTheme="majorHAnsi" w:cstheme="majorHAnsi"/>
          <w:bCs/>
          <w:iCs/>
          <w:sz w:val="18"/>
        </w:rPr>
      </w:pPr>
      <w:r w:rsidRPr="006070EA">
        <w:rPr>
          <w:rFonts w:asciiTheme="majorHAnsi" w:hAnsiTheme="majorHAnsi" w:cstheme="majorHAnsi"/>
          <w:bCs/>
          <w:iCs/>
          <w:sz w:val="18"/>
        </w:rPr>
        <w:t>Ochranná pásma vodovodních řadů jsou popsána v následující kapitole souhrnně s ochrannými pásmy kanalizačních</w:t>
      </w:r>
      <w:r w:rsidR="0092759A" w:rsidRPr="006070EA">
        <w:rPr>
          <w:rFonts w:asciiTheme="majorHAnsi" w:hAnsiTheme="majorHAnsi" w:cstheme="majorHAnsi"/>
          <w:bCs/>
          <w:iCs/>
          <w:sz w:val="18"/>
        </w:rPr>
        <w:t> </w:t>
      </w:r>
      <w:r w:rsidRPr="006070EA">
        <w:rPr>
          <w:rFonts w:asciiTheme="majorHAnsi" w:hAnsiTheme="majorHAnsi" w:cstheme="majorHAnsi"/>
          <w:bCs/>
          <w:iCs/>
          <w:sz w:val="18"/>
        </w:rPr>
        <w:t xml:space="preserve">řadů. </w:t>
      </w:r>
    </w:p>
    <w:p w14:paraId="24679465" w14:textId="77777777" w:rsidR="00AB1F4C" w:rsidRPr="006070EA" w:rsidRDefault="007918D8" w:rsidP="00EF7B4B">
      <w:pPr>
        <w:keepNext/>
        <w:shd w:val="clear" w:color="auto" w:fill="F2F2F2" w:themeFill="background1" w:themeFillShade="F2"/>
        <w:spacing w:before="120" w:after="120" w:line="240" w:lineRule="auto"/>
        <w:rPr>
          <w:rFonts w:asciiTheme="majorHAnsi" w:hAnsiTheme="majorHAnsi" w:cstheme="majorHAnsi"/>
          <w:b/>
          <w:sz w:val="20"/>
        </w:rPr>
      </w:pPr>
      <w:r w:rsidRPr="006070EA">
        <w:rPr>
          <w:rFonts w:asciiTheme="majorHAnsi" w:hAnsiTheme="majorHAnsi" w:cstheme="majorHAnsi"/>
          <w:b/>
          <w:sz w:val="20"/>
        </w:rPr>
        <w:t>Kanalizace a odstraňování odpadních vod</w:t>
      </w:r>
    </w:p>
    <w:p w14:paraId="34B4A568" w14:textId="0343405A" w:rsidR="00CB02FC" w:rsidRPr="006070EA" w:rsidRDefault="00CB02FC" w:rsidP="00EF7B4B">
      <w:pPr>
        <w:pStyle w:val="Atext"/>
        <w:keepNext/>
        <w:ind w:firstLine="0"/>
        <w:jc w:val="right"/>
        <w:rPr>
          <w:rFonts w:asciiTheme="majorHAnsi" w:hAnsiTheme="majorHAnsi" w:cstheme="majorHAnsi"/>
          <w:i/>
          <w:snapToGrid w:val="0"/>
          <w:u w:val="single"/>
        </w:rPr>
      </w:pPr>
      <w:r w:rsidRPr="006070EA">
        <w:rPr>
          <w:rFonts w:asciiTheme="majorHAnsi" w:hAnsiTheme="majorHAnsi" w:cstheme="majorHAnsi"/>
          <w:i/>
          <w:snapToGrid w:val="0"/>
          <w:u w:val="single"/>
        </w:rPr>
        <w:t xml:space="preserve">Odůvodnění odst. </w:t>
      </w:r>
      <w:r w:rsidRPr="006070EA">
        <w:rPr>
          <w:rFonts w:asciiTheme="majorHAnsi" w:hAnsiTheme="majorHAnsi" w:cstheme="majorHAnsi"/>
          <w:b/>
          <w:i/>
          <w:snapToGrid w:val="0"/>
          <w:u w:val="single"/>
        </w:rPr>
        <w:t>(</w:t>
      </w:r>
      <w:r w:rsidR="00085FAA" w:rsidRPr="006070EA">
        <w:rPr>
          <w:rFonts w:asciiTheme="majorHAnsi" w:hAnsiTheme="majorHAnsi" w:cstheme="majorHAnsi"/>
          <w:b/>
          <w:i/>
          <w:snapToGrid w:val="0"/>
          <w:u w:val="single"/>
        </w:rPr>
        <w:t>3</w:t>
      </w:r>
      <w:r w:rsidR="007F6EAE">
        <w:rPr>
          <w:rFonts w:asciiTheme="majorHAnsi" w:hAnsiTheme="majorHAnsi" w:cstheme="majorHAnsi"/>
          <w:b/>
          <w:i/>
          <w:snapToGrid w:val="0"/>
          <w:u w:val="single"/>
        </w:rPr>
        <w:t>7</w:t>
      </w:r>
      <w:r w:rsidRPr="006070EA">
        <w:rPr>
          <w:rFonts w:asciiTheme="majorHAnsi" w:hAnsiTheme="majorHAnsi" w:cstheme="majorHAnsi"/>
          <w:b/>
          <w:i/>
          <w:snapToGrid w:val="0"/>
          <w:u w:val="single"/>
        </w:rPr>
        <w:t xml:space="preserve">) </w:t>
      </w:r>
      <w:r w:rsidRPr="006070EA">
        <w:rPr>
          <w:rFonts w:asciiTheme="majorHAnsi" w:hAnsiTheme="majorHAnsi" w:cstheme="majorHAnsi"/>
          <w:i/>
          <w:snapToGrid w:val="0"/>
          <w:u w:val="single"/>
        </w:rPr>
        <w:t>výrokové části</w:t>
      </w:r>
    </w:p>
    <w:p w14:paraId="113A61E6" w14:textId="77777777" w:rsidR="00AB1F4C" w:rsidRPr="006070EA" w:rsidRDefault="004D10E6" w:rsidP="00EF7B4B">
      <w:pPr>
        <w:keepNext/>
        <w:spacing w:before="120" w:after="120" w:line="240" w:lineRule="auto"/>
        <w:jc w:val="both"/>
        <w:rPr>
          <w:rFonts w:asciiTheme="majorHAnsi" w:hAnsiTheme="majorHAnsi" w:cstheme="majorHAnsi"/>
          <w:b/>
          <w:sz w:val="18"/>
        </w:rPr>
      </w:pPr>
      <w:r w:rsidRPr="006070EA">
        <w:rPr>
          <w:rFonts w:asciiTheme="majorHAnsi" w:hAnsiTheme="majorHAnsi" w:cstheme="majorHAnsi"/>
          <w:b/>
          <w:sz w:val="18"/>
        </w:rPr>
        <w:t xml:space="preserve">Popis stávající situace </w:t>
      </w:r>
      <w:r w:rsidR="00EB289F" w:rsidRPr="006070EA">
        <w:rPr>
          <w:rFonts w:asciiTheme="majorHAnsi" w:hAnsiTheme="majorHAnsi" w:cstheme="majorHAnsi"/>
          <w:b/>
          <w:sz w:val="18"/>
        </w:rPr>
        <w:t>a návrh</w:t>
      </w:r>
    </w:p>
    <w:p w14:paraId="35113533" w14:textId="749B6ACA" w:rsidR="0013478F" w:rsidRPr="006070EA" w:rsidRDefault="0013478F" w:rsidP="001C7E4C">
      <w:pPr>
        <w:spacing w:before="120" w:after="120" w:line="240" w:lineRule="auto"/>
        <w:ind w:firstLine="709"/>
        <w:jc w:val="both"/>
        <w:rPr>
          <w:rFonts w:asciiTheme="majorHAnsi" w:hAnsiTheme="majorHAnsi" w:cstheme="majorHAnsi"/>
          <w:bCs/>
          <w:iCs/>
          <w:sz w:val="18"/>
        </w:rPr>
      </w:pPr>
      <w:r w:rsidRPr="006070EA">
        <w:rPr>
          <w:rFonts w:asciiTheme="majorHAnsi" w:hAnsiTheme="majorHAnsi" w:cstheme="majorHAnsi"/>
          <w:bCs/>
          <w:iCs/>
          <w:sz w:val="18"/>
        </w:rPr>
        <w:t>Odkanalizovány jsou všechny části obce spadající do správního území Kostomlat n</w:t>
      </w:r>
      <w:r w:rsidR="00085FAA" w:rsidRPr="006070EA">
        <w:rPr>
          <w:rFonts w:asciiTheme="majorHAnsi" w:hAnsiTheme="majorHAnsi" w:cstheme="majorHAnsi"/>
          <w:bCs/>
          <w:iCs/>
          <w:sz w:val="18"/>
        </w:rPr>
        <w:t>ad</w:t>
      </w:r>
      <w:r w:rsidRPr="006070EA">
        <w:rPr>
          <w:rFonts w:asciiTheme="majorHAnsi" w:hAnsiTheme="majorHAnsi" w:cstheme="majorHAnsi"/>
          <w:bCs/>
          <w:iCs/>
          <w:sz w:val="18"/>
        </w:rPr>
        <w:t xml:space="preserve"> L</w:t>
      </w:r>
      <w:r w:rsidR="00085FAA" w:rsidRPr="006070EA">
        <w:rPr>
          <w:rFonts w:asciiTheme="majorHAnsi" w:hAnsiTheme="majorHAnsi" w:cstheme="majorHAnsi"/>
          <w:bCs/>
          <w:iCs/>
          <w:sz w:val="18"/>
        </w:rPr>
        <w:t>abem</w:t>
      </w:r>
      <w:r w:rsidRPr="006070EA">
        <w:rPr>
          <w:rFonts w:asciiTheme="majorHAnsi" w:hAnsiTheme="majorHAnsi" w:cstheme="majorHAnsi"/>
          <w:bCs/>
          <w:iCs/>
          <w:sz w:val="18"/>
        </w:rPr>
        <w:t>, kromě částí obcí Vápensko a</w:t>
      </w:r>
      <w:r w:rsidR="00085FAA" w:rsidRPr="006070EA">
        <w:rPr>
          <w:rFonts w:asciiTheme="majorHAnsi" w:hAnsiTheme="majorHAnsi" w:cstheme="majorHAnsi"/>
          <w:bCs/>
          <w:iCs/>
          <w:sz w:val="18"/>
        </w:rPr>
        <w:t> </w:t>
      </w:r>
      <w:r w:rsidRPr="006070EA">
        <w:rPr>
          <w:rFonts w:asciiTheme="majorHAnsi" w:hAnsiTheme="majorHAnsi" w:cstheme="majorHAnsi"/>
          <w:bCs/>
          <w:iCs/>
          <w:sz w:val="18"/>
        </w:rPr>
        <w:t>Rozkoš, pro které je vypracována studie – Splašková kanalizace Vápensko a Rozkoš s variantami řešení (IKKO Hradec Králové, s.r.o.).</w:t>
      </w:r>
    </w:p>
    <w:p w14:paraId="64D3371B" w14:textId="04270AD6" w:rsidR="0013478F" w:rsidRPr="006070EA" w:rsidRDefault="003F4FD5" w:rsidP="001C7E4C">
      <w:pPr>
        <w:spacing w:before="120" w:after="120" w:line="240" w:lineRule="auto"/>
        <w:ind w:firstLine="709"/>
        <w:jc w:val="both"/>
        <w:rPr>
          <w:rFonts w:asciiTheme="majorHAnsi" w:hAnsiTheme="majorHAnsi" w:cstheme="majorHAnsi"/>
          <w:bCs/>
          <w:iCs/>
          <w:sz w:val="18"/>
        </w:rPr>
      </w:pPr>
      <w:r w:rsidRPr="006070EA">
        <w:rPr>
          <w:rFonts w:asciiTheme="majorHAnsi" w:hAnsiTheme="majorHAnsi" w:cstheme="majorHAnsi"/>
          <w:bCs/>
          <w:iCs/>
          <w:sz w:val="18"/>
        </w:rPr>
        <w:t>Odkanalizované m</w:t>
      </w:r>
      <w:r w:rsidR="00085FAA" w:rsidRPr="006070EA">
        <w:rPr>
          <w:rFonts w:asciiTheme="majorHAnsi" w:hAnsiTheme="majorHAnsi" w:cstheme="majorHAnsi"/>
          <w:bCs/>
          <w:iCs/>
          <w:sz w:val="18"/>
        </w:rPr>
        <w:t xml:space="preserve">ístní části mají </w:t>
      </w:r>
      <w:r w:rsidR="0013478F" w:rsidRPr="006070EA">
        <w:rPr>
          <w:rFonts w:asciiTheme="majorHAnsi" w:hAnsiTheme="majorHAnsi" w:cstheme="majorHAnsi"/>
          <w:bCs/>
          <w:iCs/>
          <w:sz w:val="18"/>
        </w:rPr>
        <w:t>systém oddílné splaškové podtlakové kanalizace. Na Kostomlaty nad Labem navazuje spádová část obce Lány a dále část obce Hronětice, kde byla vybudována tlaková kanalizace. V území žije v obydlených bytech s připojením na kanalizační síť 1</w:t>
      </w:r>
      <w:r w:rsidRPr="006070EA">
        <w:rPr>
          <w:rFonts w:asciiTheme="majorHAnsi" w:hAnsiTheme="majorHAnsi" w:cstheme="majorHAnsi"/>
          <w:bCs/>
          <w:iCs/>
          <w:sz w:val="18"/>
        </w:rPr>
        <w:t xml:space="preserve"> </w:t>
      </w:r>
      <w:r w:rsidR="0013478F" w:rsidRPr="006070EA">
        <w:rPr>
          <w:rFonts w:asciiTheme="majorHAnsi" w:hAnsiTheme="majorHAnsi" w:cstheme="majorHAnsi"/>
          <w:bCs/>
          <w:iCs/>
          <w:sz w:val="18"/>
        </w:rPr>
        <w:t xml:space="preserve">353 obyvatel, co činí 76,7 % všech obyvatel. Ostatní odpadní vody jsou svedeny do žump nebo septiků a jsou vyváženy na pole. Dešťové vody jsou odváděny dešťovou kanalizací do Vlkavy. </w:t>
      </w:r>
    </w:p>
    <w:p w14:paraId="15D7850C" w14:textId="4F8C2B9E" w:rsidR="0013478F" w:rsidRPr="006070EA" w:rsidRDefault="0013478F" w:rsidP="001C7E4C">
      <w:pPr>
        <w:spacing w:before="120" w:after="120" w:line="240" w:lineRule="auto"/>
        <w:ind w:firstLine="709"/>
        <w:jc w:val="both"/>
        <w:rPr>
          <w:rFonts w:asciiTheme="majorHAnsi" w:hAnsiTheme="majorHAnsi" w:cstheme="majorHAnsi"/>
          <w:bCs/>
          <w:iCs/>
          <w:sz w:val="18"/>
        </w:rPr>
      </w:pPr>
      <w:r w:rsidRPr="006070EA">
        <w:rPr>
          <w:rFonts w:asciiTheme="majorHAnsi" w:hAnsiTheme="majorHAnsi" w:cstheme="majorHAnsi"/>
          <w:bCs/>
          <w:iCs/>
          <w:sz w:val="18"/>
        </w:rPr>
        <w:t>Čistírna odpadních vod (ČOV), je vybudována na západním okraji obce Kostomlaty nad Labem. Čistírna byla navržena na počet 2</w:t>
      </w:r>
      <w:r w:rsidR="003F4FD5" w:rsidRPr="006070EA">
        <w:rPr>
          <w:rFonts w:asciiTheme="majorHAnsi" w:hAnsiTheme="majorHAnsi" w:cstheme="majorHAnsi"/>
          <w:bCs/>
          <w:iCs/>
          <w:sz w:val="18"/>
        </w:rPr>
        <w:t xml:space="preserve"> </w:t>
      </w:r>
      <w:r w:rsidRPr="006070EA">
        <w:rPr>
          <w:rFonts w:asciiTheme="majorHAnsi" w:hAnsiTheme="majorHAnsi" w:cstheme="majorHAnsi"/>
          <w:bCs/>
          <w:iCs/>
          <w:sz w:val="18"/>
        </w:rPr>
        <w:t>000 obyvatel</w:t>
      </w:r>
      <w:r w:rsidR="003F4FD5" w:rsidRPr="006070EA">
        <w:rPr>
          <w:rFonts w:asciiTheme="majorHAnsi" w:hAnsiTheme="majorHAnsi" w:cstheme="majorHAnsi"/>
          <w:bCs/>
          <w:iCs/>
          <w:sz w:val="18"/>
        </w:rPr>
        <w:t>,</w:t>
      </w:r>
      <w:r w:rsidRPr="006070EA">
        <w:rPr>
          <w:rFonts w:asciiTheme="majorHAnsi" w:hAnsiTheme="majorHAnsi" w:cstheme="majorHAnsi"/>
          <w:bCs/>
          <w:iCs/>
          <w:sz w:val="18"/>
        </w:rPr>
        <w:t xml:space="preserve"> tj. na 400/m</w:t>
      </w:r>
      <w:r w:rsidRPr="006070EA">
        <w:rPr>
          <w:rFonts w:asciiTheme="majorHAnsi" w:hAnsiTheme="majorHAnsi" w:cstheme="majorHAnsi"/>
          <w:bCs/>
          <w:iCs/>
          <w:sz w:val="18"/>
          <w:vertAlign w:val="superscript"/>
        </w:rPr>
        <w:t>3</w:t>
      </w:r>
      <w:r w:rsidRPr="006070EA">
        <w:rPr>
          <w:rFonts w:asciiTheme="majorHAnsi" w:hAnsiTheme="majorHAnsi" w:cstheme="majorHAnsi"/>
          <w:bCs/>
          <w:iCs/>
          <w:sz w:val="18"/>
        </w:rPr>
        <w:t xml:space="preserve"> den. Odpadní vody jsou do čistírny dopravovány výtlakem z po</w:t>
      </w:r>
      <w:r w:rsidR="003F4FD5" w:rsidRPr="006070EA">
        <w:rPr>
          <w:rFonts w:asciiTheme="majorHAnsi" w:hAnsiTheme="majorHAnsi" w:cstheme="majorHAnsi"/>
          <w:bCs/>
          <w:iCs/>
          <w:sz w:val="18"/>
        </w:rPr>
        <w:t>d</w:t>
      </w:r>
      <w:r w:rsidRPr="006070EA">
        <w:rPr>
          <w:rFonts w:asciiTheme="majorHAnsi" w:hAnsiTheme="majorHAnsi" w:cstheme="majorHAnsi"/>
          <w:bCs/>
          <w:iCs/>
          <w:sz w:val="18"/>
        </w:rPr>
        <w:t>tlakové stanice. Odtok z čistírny odvádí vyčištěnou odpadní vodu do recipientu Vlkava.</w:t>
      </w:r>
    </w:p>
    <w:p w14:paraId="0817DA48" w14:textId="77777777" w:rsidR="0013478F" w:rsidRPr="006070EA" w:rsidRDefault="0013478F" w:rsidP="001C7E4C">
      <w:pPr>
        <w:spacing w:before="120" w:after="120" w:line="240" w:lineRule="auto"/>
        <w:ind w:firstLine="709"/>
        <w:jc w:val="both"/>
        <w:rPr>
          <w:rFonts w:asciiTheme="majorHAnsi" w:hAnsiTheme="majorHAnsi" w:cstheme="majorHAnsi"/>
          <w:bCs/>
          <w:iCs/>
          <w:sz w:val="18"/>
        </w:rPr>
      </w:pPr>
      <w:r w:rsidRPr="006070EA">
        <w:rPr>
          <w:rFonts w:asciiTheme="majorHAnsi" w:hAnsiTheme="majorHAnsi" w:cstheme="majorHAnsi"/>
          <w:bCs/>
          <w:iCs/>
          <w:sz w:val="18"/>
        </w:rPr>
        <w:t>Provozovatelem kanalizace a čistírny odpadních vod je obec Kostomlaty nad Labem.</w:t>
      </w:r>
    </w:p>
    <w:p w14:paraId="3783C51F" w14:textId="77777777" w:rsidR="00AB1F4C" w:rsidRPr="006070EA" w:rsidRDefault="00AB1F4C" w:rsidP="0009152E">
      <w:pPr>
        <w:keepNext/>
        <w:spacing w:before="120" w:after="60" w:line="240" w:lineRule="auto"/>
        <w:jc w:val="both"/>
        <w:rPr>
          <w:rFonts w:asciiTheme="majorHAnsi" w:hAnsiTheme="majorHAnsi" w:cstheme="majorHAnsi"/>
          <w:sz w:val="18"/>
          <w:u w:val="single"/>
        </w:rPr>
      </w:pPr>
      <w:r w:rsidRPr="006070EA">
        <w:rPr>
          <w:rFonts w:asciiTheme="majorHAnsi" w:hAnsiTheme="majorHAnsi" w:cstheme="majorHAnsi"/>
          <w:sz w:val="18"/>
          <w:u w:val="single"/>
        </w:rPr>
        <w:t>Bilan</w:t>
      </w:r>
      <w:r w:rsidR="004D10E6" w:rsidRPr="006070EA">
        <w:rPr>
          <w:rFonts w:asciiTheme="majorHAnsi" w:hAnsiTheme="majorHAnsi" w:cstheme="majorHAnsi"/>
          <w:sz w:val="18"/>
          <w:u w:val="single"/>
        </w:rPr>
        <w:t>c</w:t>
      </w:r>
      <w:r w:rsidRPr="006070EA">
        <w:rPr>
          <w:rFonts w:asciiTheme="majorHAnsi" w:hAnsiTheme="majorHAnsi" w:cstheme="majorHAnsi"/>
          <w:sz w:val="18"/>
          <w:u w:val="single"/>
        </w:rPr>
        <w:t>e odpadních vod a znečištění</w:t>
      </w:r>
    </w:p>
    <w:p w14:paraId="552DFFEA" w14:textId="77777777" w:rsidR="00AB1F4C" w:rsidRPr="006070EA" w:rsidRDefault="00AB1F4C" w:rsidP="001C7E4C">
      <w:pPr>
        <w:spacing w:before="120" w:after="120" w:line="240" w:lineRule="auto"/>
        <w:ind w:firstLine="709"/>
        <w:jc w:val="both"/>
        <w:rPr>
          <w:rFonts w:asciiTheme="majorHAnsi" w:hAnsiTheme="majorHAnsi" w:cstheme="majorHAnsi"/>
          <w:bCs/>
          <w:iCs/>
          <w:sz w:val="18"/>
        </w:rPr>
      </w:pPr>
      <w:r w:rsidRPr="006070EA">
        <w:rPr>
          <w:rFonts w:asciiTheme="majorHAnsi" w:hAnsiTheme="majorHAnsi" w:cstheme="majorHAnsi"/>
          <w:bCs/>
          <w:iCs/>
          <w:sz w:val="18"/>
        </w:rPr>
        <w:t>Jako základ vývoje bilance jsou uvažovány kapacity zastavitelných ploch, skutečný počet obyvatel a</w:t>
      </w:r>
      <w:r w:rsidR="0099697B" w:rsidRPr="006070EA">
        <w:rPr>
          <w:rFonts w:asciiTheme="majorHAnsi" w:hAnsiTheme="majorHAnsi" w:cstheme="majorHAnsi"/>
          <w:bCs/>
          <w:iCs/>
          <w:sz w:val="18"/>
        </w:rPr>
        <w:t> </w:t>
      </w:r>
      <w:r w:rsidRPr="006070EA">
        <w:rPr>
          <w:rFonts w:asciiTheme="majorHAnsi" w:hAnsiTheme="majorHAnsi" w:cstheme="majorHAnsi"/>
          <w:bCs/>
          <w:iCs/>
          <w:sz w:val="18"/>
        </w:rPr>
        <w:t>jeho předpokládaný vývoj. Bilanční údaje jsou uvedeny k roku 203</w:t>
      </w:r>
      <w:r w:rsidR="00A472B0" w:rsidRPr="006070EA">
        <w:rPr>
          <w:rFonts w:asciiTheme="majorHAnsi" w:hAnsiTheme="majorHAnsi" w:cstheme="majorHAnsi"/>
          <w:bCs/>
          <w:iCs/>
          <w:sz w:val="18"/>
        </w:rPr>
        <w:t>5</w:t>
      </w:r>
      <w:r w:rsidRPr="006070EA">
        <w:rPr>
          <w:rFonts w:asciiTheme="majorHAnsi" w:hAnsiTheme="majorHAnsi" w:cstheme="majorHAnsi"/>
          <w:bCs/>
          <w:iCs/>
          <w:sz w:val="18"/>
        </w:rPr>
        <w:t xml:space="preserve">. </w:t>
      </w:r>
    </w:p>
    <w:tbl>
      <w:tblPr>
        <w:tblStyle w:val="Mkatabulky"/>
        <w:tblW w:w="9073" w:type="dxa"/>
        <w:jc w:val="center"/>
        <w:tblBorders>
          <w:top w:val="none" w:sz="0" w:space="0" w:color="auto"/>
          <w:left w:val="none" w:sz="0" w:space="0" w:color="auto"/>
          <w:bottom w:val="none" w:sz="0" w:space="0" w:color="auto"/>
          <w:right w:val="none" w:sz="0" w:space="0" w:color="auto"/>
        </w:tblBorders>
        <w:tblLayout w:type="fixed"/>
        <w:tblLook w:val="04A0" w:firstRow="1" w:lastRow="0" w:firstColumn="1" w:lastColumn="0" w:noHBand="0" w:noVBand="1"/>
      </w:tblPr>
      <w:tblGrid>
        <w:gridCol w:w="4252"/>
        <w:gridCol w:w="1134"/>
        <w:gridCol w:w="1843"/>
        <w:gridCol w:w="1844"/>
      </w:tblGrid>
      <w:tr w:rsidR="00033E23" w:rsidRPr="006070EA" w14:paraId="1BF43239" w14:textId="77777777" w:rsidTr="0009152E">
        <w:trPr>
          <w:cantSplit/>
          <w:jc w:val="center"/>
        </w:trPr>
        <w:tc>
          <w:tcPr>
            <w:tcW w:w="4252" w:type="dxa"/>
            <w:vMerge w:val="restart"/>
            <w:tcBorders>
              <w:top w:val="nil"/>
              <w:bottom w:val="single" w:sz="12" w:space="0" w:color="auto"/>
              <w:right w:val="single" w:sz="12" w:space="0" w:color="auto"/>
            </w:tcBorders>
            <w:shd w:val="clear" w:color="auto" w:fill="auto"/>
            <w:vAlign w:val="center"/>
          </w:tcPr>
          <w:p w14:paraId="60BFA30D" w14:textId="77777777" w:rsidR="00AB1F4C" w:rsidRPr="006070EA" w:rsidRDefault="00AB1F4C" w:rsidP="0009152E">
            <w:pPr>
              <w:keepNext/>
              <w:jc w:val="center"/>
              <w:rPr>
                <w:rFonts w:asciiTheme="majorHAnsi" w:hAnsiTheme="majorHAnsi" w:cstheme="majorHAnsi"/>
                <w:b/>
                <w:sz w:val="18"/>
              </w:rPr>
            </w:pPr>
            <w:r w:rsidRPr="006070EA">
              <w:rPr>
                <w:rFonts w:asciiTheme="majorHAnsi" w:hAnsiTheme="majorHAnsi" w:cstheme="majorHAnsi"/>
                <w:b/>
                <w:sz w:val="18"/>
              </w:rPr>
              <w:t>položka</w:t>
            </w:r>
          </w:p>
        </w:tc>
        <w:tc>
          <w:tcPr>
            <w:tcW w:w="1134" w:type="dxa"/>
            <w:vMerge w:val="restart"/>
            <w:tcBorders>
              <w:top w:val="nil"/>
              <w:left w:val="single" w:sz="12" w:space="0" w:color="auto"/>
              <w:bottom w:val="single" w:sz="12" w:space="0" w:color="auto"/>
              <w:right w:val="single" w:sz="12" w:space="0" w:color="auto"/>
            </w:tcBorders>
            <w:shd w:val="clear" w:color="auto" w:fill="auto"/>
            <w:vAlign w:val="center"/>
          </w:tcPr>
          <w:p w14:paraId="32DF0AE8" w14:textId="77777777" w:rsidR="00AB1F4C" w:rsidRPr="006070EA" w:rsidRDefault="00AB1F4C" w:rsidP="0009152E">
            <w:pPr>
              <w:keepNext/>
              <w:jc w:val="center"/>
              <w:rPr>
                <w:rFonts w:asciiTheme="majorHAnsi" w:hAnsiTheme="majorHAnsi" w:cstheme="majorHAnsi"/>
                <w:b/>
                <w:sz w:val="18"/>
              </w:rPr>
            </w:pPr>
            <w:r w:rsidRPr="006070EA">
              <w:rPr>
                <w:rFonts w:asciiTheme="majorHAnsi" w:hAnsiTheme="majorHAnsi" w:cstheme="majorHAnsi"/>
                <w:b/>
                <w:sz w:val="18"/>
              </w:rPr>
              <w:t>jednotka</w:t>
            </w:r>
          </w:p>
        </w:tc>
        <w:tc>
          <w:tcPr>
            <w:tcW w:w="3687" w:type="dxa"/>
            <w:gridSpan w:val="2"/>
            <w:tcBorders>
              <w:top w:val="nil"/>
              <w:left w:val="single" w:sz="12" w:space="0" w:color="auto"/>
              <w:bottom w:val="single" w:sz="12" w:space="0" w:color="auto"/>
            </w:tcBorders>
            <w:shd w:val="clear" w:color="auto" w:fill="auto"/>
            <w:vAlign w:val="center"/>
          </w:tcPr>
          <w:p w14:paraId="31B23050" w14:textId="77777777" w:rsidR="00AB1F4C" w:rsidRPr="006070EA" w:rsidRDefault="00AB1F4C" w:rsidP="0009152E">
            <w:pPr>
              <w:keepNext/>
              <w:jc w:val="center"/>
              <w:rPr>
                <w:rFonts w:asciiTheme="majorHAnsi" w:hAnsiTheme="majorHAnsi" w:cstheme="majorHAnsi"/>
                <w:b/>
                <w:sz w:val="18"/>
              </w:rPr>
            </w:pPr>
            <w:r w:rsidRPr="006070EA">
              <w:rPr>
                <w:rFonts w:asciiTheme="majorHAnsi" w:hAnsiTheme="majorHAnsi" w:cstheme="majorHAnsi"/>
                <w:b/>
                <w:sz w:val="18"/>
              </w:rPr>
              <w:t>rok</w:t>
            </w:r>
          </w:p>
        </w:tc>
      </w:tr>
      <w:tr w:rsidR="00033E23" w:rsidRPr="006070EA" w14:paraId="6FC79320" w14:textId="77777777" w:rsidTr="0009152E">
        <w:trPr>
          <w:cantSplit/>
          <w:jc w:val="center"/>
        </w:trPr>
        <w:tc>
          <w:tcPr>
            <w:tcW w:w="4252" w:type="dxa"/>
            <w:vMerge/>
            <w:tcBorders>
              <w:top w:val="single" w:sz="12" w:space="0" w:color="auto"/>
              <w:bottom w:val="single" w:sz="12" w:space="0" w:color="auto"/>
              <w:right w:val="single" w:sz="12" w:space="0" w:color="auto"/>
            </w:tcBorders>
            <w:vAlign w:val="center"/>
          </w:tcPr>
          <w:p w14:paraId="0237814A" w14:textId="77777777" w:rsidR="00A472B0" w:rsidRPr="006070EA" w:rsidRDefault="00A472B0" w:rsidP="0009152E">
            <w:pPr>
              <w:keepNext/>
              <w:jc w:val="center"/>
              <w:rPr>
                <w:rFonts w:asciiTheme="majorHAnsi" w:hAnsiTheme="majorHAnsi" w:cstheme="majorHAnsi"/>
                <w:b/>
                <w:sz w:val="18"/>
              </w:rPr>
            </w:pPr>
          </w:p>
        </w:tc>
        <w:tc>
          <w:tcPr>
            <w:tcW w:w="1134" w:type="dxa"/>
            <w:vMerge/>
            <w:tcBorders>
              <w:top w:val="single" w:sz="12" w:space="0" w:color="auto"/>
              <w:left w:val="single" w:sz="12" w:space="0" w:color="auto"/>
              <w:bottom w:val="single" w:sz="12" w:space="0" w:color="auto"/>
              <w:right w:val="single" w:sz="12" w:space="0" w:color="auto"/>
            </w:tcBorders>
            <w:vAlign w:val="center"/>
          </w:tcPr>
          <w:p w14:paraId="2667996C" w14:textId="77777777" w:rsidR="00A472B0" w:rsidRPr="006070EA" w:rsidRDefault="00A472B0" w:rsidP="0009152E">
            <w:pPr>
              <w:keepNext/>
              <w:jc w:val="center"/>
              <w:rPr>
                <w:rFonts w:asciiTheme="majorHAnsi" w:hAnsiTheme="majorHAnsi" w:cstheme="majorHAnsi"/>
                <w:b/>
                <w:sz w:val="18"/>
              </w:rPr>
            </w:pPr>
          </w:p>
        </w:tc>
        <w:tc>
          <w:tcPr>
            <w:tcW w:w="1843" w:type="dxa"/>
            <w:tcBorders>
              <w:top w:val="single" w:sz="12" w:space="0" w:color="auto"/>
              <w:left w:val="single" w:sz="12" w:space="0" w:color="auto"/>
              <w:bottom w:val="single" w:sz="12" w:space="0" w:color="auto"/>
              <w:right w:val="single" w:sz="12" w:space="0" w:color="auto"/>
            </w:tcBorders>
            <w:shd w:val="clear" w:color="auto" w:fill="auto"/>
            <w:vAlign w:val="center"/>
          </w:tcPr>
          <w:p w14:paraId="6F759E26" w14:textId="77777777" w:rsidR="00A472B0" w:rsidRPr="006070EA" w:rsidRDefault="00A472B0" w:rsidP="0009152E">
            <w:pPr>
              <w:keepNext/>
              <w:jc w:val="center"/>
              <w:rPr>
                <w:rFonts w:asciiTheme="majorHAnsi" w:hAnsiTheme="majorHAnsi" w:cstheme="majorHAnsi"/>
                <w:b/>
                <w:sz w:val="18"/>
                <w:szCs w:val="18"/>
              </w:rPr>
            </w:pPr>
            <w:r w:rsidRPr="006070EA">
              <w:rPr>
                <w:rFonts w:asciiTheme="majorHAnsi" w:hAnsiTheme="majorHAnsi" w:cstheme="majorHAnsi"/>
                <w:b/>
                <w:sz w:val="18"/>
                <w:szCs w:val="18"/>
              </w:rPr>
              <w:t>2017</w:t>
            </w:r>
          </w:p>
        </w:tc>
        <w:tc>
          <w:tcPr>
            <w:tcW w:w="1844" w:type="dxa"/>
            <w:tcBorders>
              <w:top w:val="single" w:sz="12" w:space="0" w:color="auto"/>
              <w:left w:val="single" w:sz="12" w:space="0" w:color="auto"/>
              <w:bottom w:val="single" w:sz="12" w:space="0" w:color="auto"/>
            </w:tcBorders>
            <w:shd w:val="clear" w:color="auto" w:fill="auto"/>
            <w:vAlign w:val="center"/>
          </w:tcPr>
          <w:p w14:paraId="0E410774" w14:textId="77777777" w:rsidR="00A472B0" w:rsidRPr="006070EA" w:rsidRDefault="00A472B0" w:rsidP="0009152E">
            <w:pPr>
              <w:keepNext/>
              <w:jc w:val="center"/>
              <w:rPr>
                <w:rFonts w:asciiTheme="majorHAnsi" w:hAnsiTheme="majorHAnsi" w:cstheme="majorHAnsi"/>
                <w:b/>
                <w:sz w:val="18"/>
                <w:szCs w:val="18"/>
              </w:rPr>
            </w:pPr>
            <w:r w:rsidRPr="006070EA">
              <w:rPr>
                <w:rFonts w:asciiTheme="majorHAnsi" w:hAnsiTheme="majorHAnsi" w:cstheme="majorHAnsi"/>
                <w:b/>
                <w:sz w:val="18"/>
                <w:szCs w:val="18"/>
              </w:rPr>
              <w:t>2035</w:t>
            </w:r>
          </w:p>
        </w:tc>
      </w:tr>
      <w:tr w:rsidR="00033E23" w:rsidRPr="006070EA" w14:paraId="5B354499" w14:textId="77777777" w:rsidTr="0009152E">
        <w:trPr>
          <w:cantSplit/>
          <w:jc w:val="center"/>
        </w:trPr>
        <w:tc>
          <w:tcPr>
            <w:tcW w:w="4252" w:type="dxa"/>
            <w:tcBorders>
              <w:top w:val="single" w:sz="12" w:space="0" w:color="auto"/>
            </w:tcBorders>
            <w:vAlign w:val="center"/>
          </w:tcPr>
          <w:p w14:paraId="56643659" w14:textId="77777777" w:rsidR="009D5E28" w:rsidRPr="006070EA" w:rsidRDefault="009D5E28" w:rsidP="009D5E28">
            <w:pPr>
              <w:jc w:val="center"/>
              <w:rPr>
                <w:rFonts w:asciiTheme="majorHAnsi" w:hAnsiTheme="majorHAnsi" w:cstheme="majorHAnsi"/>
                <w:sz w:val="18"/>
              </w:rPr>
            </w:pPr>
            <w:r w:rsidRPr="006070EA">
              <w:rPr>
                <w:rFonts w:asciiTheme="majorHAnsi" w:hAnsiTheme="majorHAnsi" w:cstheme="majorHAnsi"/>
                <w:sz w:val="18"/>
              </w:rPr>
              <w:t>počet obyvatel</w:t>
            </w:r>
          </w:p>
        </w:tc>
        <w:tc>
          <w:tcPr>
            <w:tcW w:w="1134" w:type="dxa"/>
            <w:tcBorders>
              <w:top w:val="single" w:sz="12" w:space="0" w:color="auto"/>
            </w:tcBorders>
            <w:vAlign w:val="center"/>
          </w:tcPr>
          <w:p w14:paraId="5D85DAC2" w14:textId="77777777" w:rsidR="009D5E28" w:rsidRPr="006070EA" w:rsidRDefault="009D5E28" w:rsidP="009D5E28">
            <w:pPr>
              <w:jc w:val="center"/>
              <w:rPr>
                <w:rFonts w:asciiTheme="majorHAnsi" w:hAnsiTheme="majorHAnsi" w:cstheme="majorHAnsi"/>
                <w:sz w:val="18"/>
              </w:rPr>
            </w:pPr>
            <w:r w:rsidRPr="006070EA">
              <w:rPr>
                <w:rFonts w:asciiTheme="majorHAnsi" w:hAnsiTheme="majorHAnsi" w:cstheme="majorHAnsi"/>
                <w:sz w:val="18"/>
              </w:rPr>
              <w:t>os.</w:t>
            </w:r>
          </w:p>
        </w:tc>
        <w:tc>
          <w:tcPr>
            <w:tcW w:w="1843" w:type="dxa"/>
            <w:tcBorders>
              <w:top w:val="single" w:sz="12" w:space="0" w:color="auto"/>
            </w:tcBorders>
            <w:vAlign w:val="center"/>
          </w:tcPr>
          <w:p w14:paraId="732629ED" w14:textId="758D5235" w:rsidR="009D5E28" w:rsidRPr="006070EA" w:rsidRDefault="009D5E28" w:rsidP="009D5E28">
            <w:pPr>
              <w:jc w:val="center"/>
              <w:rPr>
                <w:rFonts w:asciiTheme="majorHAnsi" w:hAnsiTheme="majorHAnsi" w:cstheme="majorHAnsi"/>
                <w:sz w:val="18"/>
                <w:szCs w:val="18"/>
              </w:rPr>
            </w:pPr>
            <w:r w:rsidRPr="006070EA">
              <w:rPr>
                <w:rFonts w:asciiTheme="majorHAnsi" w:hAnsiTheme="majorHAnsi" w:cstheme="majorHAnsi"/>
                <w:sz w:val="18"/>
                <w:szCs w:val="18"/>
              </w:rPr>
              <w:t>1 885</w:t>
            </w:r>
          </w:p>
        </w:tc>
        <w:tc>
          <w:tcPr>
            <w:tcW w:w="1844" w:type="dxa"/>
            <w:tcBorders>
              <w:top w:val="single" w:sz="12" w:space="0" w:color="auto"/>
            </w:tcBorders>
            <w:vAlign w:val="center"/>
          </w:tcPr>
          <w:p w14:paraId="1A23670E" w14:textId="5C0254A1" w:rsidR="009D5E28" w:rsidRPr="006070EA" w:rsidRDefault="009D5E28" w:rsidP="009D5E28">
            <w:pPr>
              <w:jc w:val="center"/>
              <w:rPr>
                <w:rFonts w:asciiTheme="majorHAnsi" w:hAnsiTheme="majorHAnsi" w:cstheme="majorHAnsi"/>
                <w:sz w:val="18"/>
                <w:szCs w:val="18"/>
              </w:rPr>
            </w:pPr>
            <w:r w:rsidRPr="006070EA">
              <w:rPr>
                <w:rFonts w:asciiTheme="majorHAnsi" w:hAnsiTheme="majorHAnsi" w:cstheme="majorHAnsi"/>
                <w:sz w:val="18"/>
                <w:szCs w:val="18"/>
              </w:rPr>
              <w:t>2 039</w:t>
            </w:r>
          </w:p>
        </w:tc>
      </w:tr>
      <w:tr w:rsidR="00033E23" w:rsidRPr="006070EA" w14:paraId="6BD55EDA" w14:textId="77777777" w:rsidTr="0009152E">
        <w:trPr>
          <w:cantSplit/>
          <w:jc w:val="center"/>
        </w:trPr>
        <w:tc>
          <w:tcPr>
            <w:tcW w:w="4252" w:type="dxa"/>
            <w:vAlign w:val="center"/>
          </w:tcPr>
          <w:p w14:paraId="25958A7C" w14:textId="77777777" w:rsidR="00AB1F4C" w:rsidRPr="006070EA" w:rsidRDefault="00AB1F4C" w:rsidP="009E07E1">
            <w:pPr>
              <w:jc w:val="center"/>
              <w:rPr>
                <w:rFonts w:asciiTheme="majorHAnsi" w:hAnsiTheme="majorHAnsi" w:cstheme="majorHAnsi"/>
                <w:sz w:val="18"/>
              </w:rPr>
            </w:pPr>
            <w:r w:rsidRPr="006070EA">
              <w:rPr>
                <w:rFonts w:asciiTheme="majorHAnsi" w:hAnsiTheme="majorHAnsi" w:cstheme="majorHAnsi"/>
                <w:sz w:val="18"/>
              </w:rPr>
              <w:t>odpadních vod</w:t>
            </w:r>
          </w:p>
        </w:tc>
        <w:tc>
          <w:tcPr>
            <w:tcW w:w="1134" w:type="dxa"/>
            <w:vAlign w:val="center"/>
          </w:tcPr>
          <w:p w14:paraId="74EE75E9" w14:textId="77777777" w:rsidR="00AB1F4C" w:rsidRPr="006070EA" w:rsidRDefault="00AB1F4C" w:rsidP="009E07E1">
            <w:pPr>
              <w:jc w:val="center"/>
              <w:rPr>
                <w:rFonts w:asciiTheme="majorHAnsi" w:hAnsiTheme="majorHAnsi" w:cstheme="majorHAnsi"/>
                <w:sz w:val="18"/>
              </w:rPr>
            </w:pPr>
            <w:r w:rsidRPr="006070EA">
              <w:rPr>
                <w:rFonts w:asciiTheme="majorHAnsi" w:hAnsiTheme="majorHAnsi" w:cstheme="majorHAnsi"/>
                <w:sz w:val="18"/>
              </w:rPr>
              <w:t>m</w:t>
            </w:r>
            <w:r w:rsidRPr="006070EA">
              <w:rPr>
                <w:rFonts w:asciiTheme="majorHAnsi" w:hAnsiTheme="majorHAnsi" w:cstheme="majorHAnsi"/>
                <w:sz w:val="18"/>
                <w:vertAlign w:val="superscript"/>
              </w:rPr>
              <w:t>3</w:t>
            </w:r>
            <w:r w:rsidRPr="006070EA">
              <w:rPr>
                <w:rFonts w:asciiTheme="majorHAnsi" w:hAnsiTheme="majorHAnsi" w:cstheme="majorHAnsi"/>
                <w:sz w:val="18"/>
              </w:rPr>
              <w:t>/d</w:t>
            </w:r>
          </w:p>
        </w:tc>
        <w:tc>
          <w:tcPr>
            <w:tcW w:w="1843" w:type="dxa"/>
            <w:vAlign w:val="center"/>
          </w:tcPr>
          <w:p w14:paraId="7B2E54B1" w14:textId="1CCD86EB" w:rsidR="00AB1F4C" w:rsidRPr="006070EA" w:rsidRDefault="003F4FD5" w:rsidP="009E07E1">
            <w:pPr>
              <w:jc w:val="center"/>
              <w:rPr>
                <w:rFonts w:asciiTheme="majorHAnsi" w:hAnsiTheme="majorHAnsi" w:cstheme="majorHAnsi"/>
                <w:sz w:val="18"/>
              </w:rPr>
            </w:pPr>
            <w:r w:rsidRPr="006070EA">
              <w:rPr>
                <w:rFonts w:asciiTheme="majorHAnsi" w:hAnsiTheme="majorHAnsi" w:cstheme="majorHAnsi"/>
                <w:sz w:val="18"/>
              </w:rPr>
              <w:t>183,79</w:t>
            </w:r>
          </w:p>
        </w:tc>
        <w:tc>
          <w:tcPr>
            <w:tcW w:w="1844" w:type="dxa"/>
            <w:vAlign w:val="center"/>
          </w:tcPr>
          <w:p w14:paraId="3B73FD9E" w14:textId="3EC05B84" w:rsidR="00AB1F4C" w:rsidRPr="006070EA" w:rsidRDefault="003F4FD5" w:rsidP="009E07E1">
            <w:pPr>
              <w:jc w:val="center"/>
              <w:rPr>
                <w:rFonts w:asciiTheme="majorHAnsi" w:hAnsiTheme="majorHAnsi" w:cstheme="majorHAnsi"/>
                <w:sz w:val="18"/>
              </w:rPr>
            </w:pPr>
            <w:r w:rsidRPr="006070EA">
              <w:rPr>
                <w:rFonts w:asciiTheme="majorHAnsi" w:hAnsiTheme="majorHAnsi" w:cstheme="majorHAnsi"/>
                <w:sz w:val="18"/>
              </w:rPr>
              <w:t>206,45</w:t>
            </w:r>
          </w:p>
        </w:tc>
      </w:tr>
      <w:tr w:rsidR="00033E23" w:rsidRPr="006070EA" w14:paraId="0F0A117C" w14:textId="77777777" w:rsidTr="0009152E">
        <w:trPr>
          <w:cantSplit/>
          <w:jc w:val="center"/>
        </w:trPr>
        <w:tc>
          <w:tcPr>
            <w:tcW w:w="4252" w:type="dxa"/>
            <w:vAlign w:val="center"/>
          </w:tcPr>
          <w:p w14:paraId="73A4C3D5" w14:textId="77777777" w:rsidR="00AB1F4C" w:rsidRPr="006070EA" w:rsidRDefault="00AB1F4C" w:rsidP="009E07E1">
            <w:pPr>
              <w:jc w:val="center"/>
              <w:rPr>
                <w:rFonts w:asciiTheme="majorHAnsi" w:hAnsiTheme="majorHAnsi" w:cstheme="majorHAnsi"/>
                <w:sz w:val="18"/>
              </w:rPr>
            </w:pPr>
            <w:r w:rsidRPr="006070EA">
              <w:rPr>
                <w:rFonts w:asciiTheme="majorHAnsi" w:hAnsiTheme="majorHAnsi" w:cstheme="majorHAnsi"/>
                <w:sz w:val="18"/>
              </w:rPr>
              <w:t>BSK</w:t>
            </w:r>
            <w:r w:rsidRPr="006070EA">
              <w:rPr>
                <w:rFonts w:asciiTheme="majorHAnsi" w:hAnsiTheme="majorHAnsi" w:cstheme="majorHAnsi"/>
                <w:sz w:val="18"/>
                <w:vertAlign w:val="subscript"/>
              </w:rPr>
              <w:t>5</w:t>
            </w:r>
          </w:p>
        </w:tc>
        <w:tc>
          <w:tcPr>
            <w:tcW w:w="1134" w:type="dxa"/>
            <w:vAlign w:val="center"/>
          </w:tcPr>
          <w:p w14:paraId="12F9BF4A" w14:textId="77777777" w:rsidR="00AB1F4C" w:rsidRPr="006070EA" w:rsidRDefault="00AB1F4C" w:rsidP="009E07E1">
            <w:pPr>
              <w:jc w:val="center"/>
              <w:rPr>
                <w:rFonts w:asciiTheme="majorHAnsi" w:hAnsiTheme="majorHAnsi" w:cstheme="majorHAnsi"/>
                <w:sz w:val="18"/>
              </w:rPr>
            </w:pPr>
            <w:r w:rsidRPr="006070EA">
              <w:rPr>
                <w:rFonts w:asciiTheme="majorHAnsi" w:hAnsiTheme="majorHAnsi" w:cstheme="majorHAnsi"/>
                <w:sz w:val="18"/>
              </w:rPr>
              <w:t>kg/d</w:t>
            </w:r>
          </w:p>
        </w:tc>
        <w:tc>
          <w:tcPr>
            <w:tcW w:w="1843" w:type="dxa"/>
            <w:vAlign w:val="center"/>
          </w:tcPr>
          <w:p w14:paraId="122C2592" w14:textId="3D153B8B" w:rsidR="00AB1F4C" w:rsidRPr="006070EA" w:rsidRDefault="003F4FD5" w:rsidP="009E07E1">
            <w:pPr>
              <w:jc w:val="center"/>
              <w:rPr>
                <w:rFonts w:asciiTheme="majorHAnsi" w:hAnsiTheme="majorHAnsi" w:cstheme="majorHAnsi"/>
                <w:sz w:val="18"/>
              </w:rPr>
            </w:pPr>
            <w:r w:rsidRPr="006070EA">
              <w:rPr>
                <w:rFonts w:asciiTheme="majorHAnsi" w:hAnsiTheme="majorHAnsi" w:cstheme="majorHAnsi"/>
                <w:sz w:val="18"/>
              </w:rPr>
              <w:t>84,83</w:t>
            </w:r>
          </w:p>
        </w:tc>
        <w:tc>
          <w:tcPr>
            <w:tcW w:w="1844" w:type="dxa"/>
            <w:vAlign w:val="center"/>
          </w:tcPr>
          <w:p w14:paraId="42AA018B" w14:textId="14658573" w:rsidR="00AB1F4C" w:rsidRPr="006070EA" w:rsidRDefault="003F4FD5" w:rsidP="009E07E1">
            <w:pPr>
              <w:jc w:val="center"/>
              <w:rPr>
                <w:rFonts w:asciiTheme="majorHAnsi" w:hAnsiTheme="majorHAnsi" w:cstheme="majorHAnsi"/>
                <w:sz w:val="18"/>
              </w:rPr>
            </w:pPr>
            <w:r w:rsidRPr="006070EA">
              <w:rPr>
                <w:rFonts w:asciiTheme="majorHAnsi" w:hAnsiTheme="majorHAnsi" w:cstheme="majorHAnsi"/>
                <w:sz w:val="18"/>
              </w:rPr>
              <w:t>91,76</w:t>
            </w:r>
          </w:p>
        </w:tc>
      </w:tr>
      <w:tr w:rsidR="00033E23" w:rsidRPr="006070EA" w14:paraId="653109F3" w14:textId="77777777" w:rsidTr="0009152E">
        <w:trPr>
          <w:cantSplit/>
          <w:jc w:val="center"/>
        </w:trPr>
        <w:tc>
          <w:tcPr>
            <w:tcW w:w="4252" w:type="dxa"/>
            <w:vAlign w:val="center"/>
          </w:tcPr>
          <w:p w14:paraId="104D6950" w14:textId="77777777" w:rsidR="00AB1F4C" w:rsidRPr="006070EA" w:rsidRDefault="00AB1F4C" w:rsidP="009E07E1">
            <w:pPr>
              <w:jc w:val="center"/>
              <w:rPr>
                <w:rFonts w:asciiTheme="majorHAnsi" w:hAnsiTheme="majorHAnsi" w:cstheme="majorHAnsi"/>
                <w:sz w:val="18"/>
              </w:rPr>
            </w:pPr>
            <w:r w:rsidRPr="006070EA">
              <w:rPr>
                <w:rFonts w:asciiTheme="majorHAnsi" w:hAnsiTheme="majorHAnsi" w:cstheme="majorHAnsi"/>
                <w:sz w:val="18"/>
              </w:rPr>
              <w:t>NL</w:t>
            </w:r>
          </w:p>
        </w:tc>
        <w:tc>
          <w:tcPr>
            <w:tcW w:w="1134" w:type="dxa"/>
            <w:vAlign w:val="center"/>
          </w:tcPr>
          <w:p w14:paraId="04CDDC70" w14:textId="77777777" w:rsidR="00AB1F4C" w:rsidRPr="006070EA" w:rsidRDefault="00AB1F4C" w:rsidP="009E07E1">
            <w:pPr>
              <w:jc w:val="center"/>
              <w:rPr>
                <w:rFonts w:asciiTheme="majorHAnsi" w:hAnsiTheme="majorHAnsi" w:cstheme="majorHAnsi"/>
                <w:sz w:val="18"/>
              </w:rPr>
            </w:pPr>
            <w:r w:rsidRPr="006070EA">
              <w:rPr>
                <w:rFonts w:asciiTheme="majorHAnsi" w:hAnsiTheme="majorHAnsi" w:cstheme="majorHAnsi"/>
                <w:sz w:val="18"/>
              </w:rPr>
              <w:t>kg/d</w:t>
            </w:r>
          </w:p>
        </w:tc>
        <w:tc>
          <w:tcPr>
            <w:tcW w:w="1843" w:type="dxa"/>
            <w:vAlign w:val="center"/>
          </w:tcPr>
          <w:p w14:paraId="688E54E8" w14:textId="7C798A88" w:rsidR="00AB1F4C" w:rsidRPr="006070EA" w:rsidRDefault="00033E23" w:rsidP="009E07E1">
            <w:pPr>
              <w:jc w:val="center"/>
              <w:rPr>
                <w:rFonts w:asciiTheme="majorHAnsi" w:hAnsiTheme="majorHAnsi" w:cstheme="majorHAnsi"/>
                <w:sz w:val="18"/>
              </w:rPr>
            </w:pPr>
            <w:r w:rsidRPr="006070EA">
              <w:rPr>
                <w:rFonts w:asciiTheme="majorHAnsi" w:hAnsiTheme="majorHAnsi" w:cstheme="majorHAnsi"/>
                <w:sz w:val="18"/>
              </w:rPr>
              <w:t>77,76</w:t>
            </w:r>
          </w:p>
        </w:tc>
        <w:tc>
          <w:tcPr>
            <w:tcW w:w="1844" w:type="dxa"/>
            <w:vAlign w:val="center"/>
          </w:tcPr>
          <w:p w14:paraId="375C262B" w14:textId="502FA526" w:rsidR="00AB1F4C" w:rsidRPr="006070EA" w:rsidRDefault="00033E23" w:rsidP="009E07E1">
            <w:pPr>
              <w:jc w:val="center"/>
              <w:rPr>
                <w:rFonts w:asciiTheme="majorHAnsi" w:hAnsiTheme="majorHAnsi" w:cstheme="majorHAnsi"/>
                <w:sz w:val="18"/>
              </w:rPr>
            </w:pPr>
            <w:r w:rsidRPr="006070EA">
              <w:rPr>
                <w:rFonts w:asciiTheme="majorHAnsi" w:hAnsiTheme="majorHAnsi" w:cstheme="majorHAnsi"/>
                <w:sz w:val="18"/>
              </w:rPr>
              <w:t>84,11</w:t>
            </w:r>
          </w:p>
        </w:tc>
      </w:tr>
      <w:tr w:rsidR="00033E23" w:rsidRPr="006070EA" w14:paraId="5407159D" w14:textId="77777777" w:rsidTr="0009152E">
        <w:trPr>
          <w:cantSplit/>
          <w:jc w:val="center"/>
        </w:trPr>
        <w:tc>
          <w:tcPr>
            <w:tcW w:w="4252" w:type="dxa"/>
            <w:vAlign w:val="center"/>
          </w:tcPr>
          <w:p w14:paraId="25579050" w14:textId="77777777" w:rsidR="00AB1F4C" w:rsidRPr="006070EA" w:rsidRDefault="00AB1F4C" w:rsidP="009E07E1">
            <w:pPr>
              <w:jc w:val="center"/>
              <w:rPr>
                <w:rFonts w:asciiTheme="majorHAnsi" w:hAnsiTheme="majorHAnsi" w:cstheme="majorHAnsi"/>
                <w:sz w:val="18"/>
              </w:rPr>
            </w:pPr>
            <w:r w:rsidRPr="006070EA">
              <w:rPr>
                <w:rFonts w:asciiTheme="majorHAnsi" w:hAnsiTheme="majorHAnsi" w:cstheme="majorHAnsi"/>
                <w:sz w:val="18"/>
              </w:rPr>
              <w:t>CHSK</w:t>
            </w:r>
          </w:p>
        </w:tc>
        <w:tc>
          <w:tcPr>
            <w:tcW w:w="1134" w:type="dxa"/>
            <w:vAlign w:val="center"/>
          </w:tcPr>
          <w:p w14:paraId="2B480928" w14:textId="77777777" w:rsidR="00AB1F4C" w:rsidRPr="006070EA" w:rsidRDefault="00AB1F4C" w:rsidP="009E07E1">
            <w:pPr>
              <w:jc w:val="center"/>
              <w:rPr>
                <w:rFonts w:asciiTheme="majorHAnsi" w:hAnsiTheme="majorHAnsi" w:cstheme="majorHAnsi"/>
                <w:sz w:val="18"/>
              </w:rPr>
            </w:pPr>
            <w:r w:rsidRPr="006070EA">
              <w:rPr>
                <w:rFonts w:asciiTheme="majorHAnsi" w:hAnsiTheme="majorHAnsi" w:cstheme="majorHAnsi"/>
                <w:sz w:val="18"/>
              </w:rPr>
              <w:t>kg/d</w:t>
            </w:r>
          </w:p>
        </w:tc>
        <w:tc>
          <w:tcPr>
            <w:tcW w:w="1843" w:type="dxa"/>
            <w:vAlign w:val="center"/>
          </w:tcPr>
          <w:p w14:paraId="059410F0" w14:textId="722F3207" w:rsidR="00AB1F4C" w:rsidRPr="006070EA" w:rsidRDefault="00033E23" w:rsidP="009E07E1">
            <w:pPr>
              <w:jc w:val="center"/>
              <w:rPr>
                <w:rFonts w:asciiTheme="majorHAnsi" w:hAnsiTheme="majorHAnsi" w:cstheme="majorHAnsi"/>
                <w:sz w:val="18"/>
              </w:rPr>
            </w:pPr>
            <w:r w:rsidRPr="006070EA">
              <w:rPr>
                <w:rFonts w:asciiTheme="majorHAnsi" w:hAnsiTheme="majorHAnsi" w:cstheme="majorHAnsi"/>
                <w:sz w:val="18"/>
              </w:rPr>
              <w:t>155,51</w:t>
            </w:r>
          </w:p>
        </w:tc>
        <w:tc>
          <w:tcPr>
            <w:tcW w:w="1844" w:type="dxa"/>
            <w:vAlign w:val="center"/>
          </w:tcPr>
          <w:p w14:paraId="1C5A6CA7" w14:textId="2F69204B" w:rsidR="00AB1F4C" w:rsidRPr="006070EA" w:rsidRDefault="00033E23" w:rsidP="009E07E1">
            <w:pPr>
              <w:jc w:val="center"/>
              <w:rPr>
                <w:rFonts w:asciiTheme="majorHAnsi" w:hAnsiTheme="majorHAnsi" w:cstheme="majorHAnsi"/>
                <w:sz w:val="18"/>
              </w:rPr>
            </w:pPr>
            <w:r w:rsidRPr="006070EA">
              <w:rPr>
                <w:rFonts w:asciiTheme="majorHAnsi" w:hAnsiTheme="majorHAnsi" w:cstheme="majorHAnsi"/>
                <w:sz w:val="18"/>
              </w:rPr>
              <w:t>168,22</w:t>
            </w:r>
          </w:p>
        </w:tc>
      </w:tr>
      <w:tr w:rsidR="00033E23" w:rsidRPr="006070EA" w14:paraId="3E7CC60A" w14:textId="77777777" w:rsidTr="0009152E">
        <w:trPr>
          <w:cantSplit/>
          <w:jc w:val="center"/>
        </w:trPr>
        <w:tc>
          <w:tcPr>
            <w:tcW w:w="4252" w:type="dxa"/>
            <w:vAlign w:val="center"/>
          </w:tcPr>
          <w:p w14:paraId="2ED504CC" w14:textId="77777777" w:rsidR="00AB1F4C" w:rsidRPr="006070EA" w:rsidRDefault="00AB1F4C" w:rsidP="009E07E1">
            <w:pPr>
              <w:jc w:val="center"/>
              <w:rPr>
                <w:rFonts w:asciiTheme="majorHAnsi" w:hAnsiTheme="majorHAnsi" w:cstheme="majorHAnsi"/>
                <w:sz w:val="18"/>
              </w:rPr>
            </w:pPr>
            <w:r w:rsidRPr="006070EA">
              <w:rPr>
                <w:rFonts w:asciiTheme="majorHAnsi" w:hAnsiTheme="majorHAnsi" w:cstheme="majorHAnsi"/>
                <w:sz w:val="18"/>
              </w:rPr>
              <w:t>počet ekvivalentních obyvatel</w:t>
            </w:r>
          </w:p>
        </w:tc>
        <w:tc>
          <w:tcPr>
            <w:tcW w:w="1134" w:type="dxa"/>
            <w:vAlign w:val="center"/>
          </w:tcPr>
          <w:p w14:paraId="3D25DB01" w14:textId="77777777" w:rsidR="00AB1F4C" w:rsidRPr="006070EA" w:rsidRDefault="00AB1F4C" w:rsidP="009E07E1">
            <w:pPr>
              <w:jc w:val="center"/>
              <w:rPr>
                <w:rFonts w:asciiTheme="majorHAnsi" w:hAnsiTheme="majorHAnsi" w:cstheme="majorHAnsi"/>
                <w:sz w:val="18"/>
              </w:rPr>
            </w:pPr>
            <w:r w:rsidRPr="006070EA">
              <w:rPr>
                <w:rFonts w:asciiTheme="majorHAnsi" w:hAnsiTheme="majorHAnsi" w:cstheme="majorHAnsi"/>
                <w:sz w:val="18"/>
              </w:rPr>
              <w:t>EO</w:t>
            </w:r>
          </w:p>
        </w:tc>
        <w:tc>
          <w:tcPr>
            <w:tcW w:w="1843" w:type="dxa"/>
            <w:vAlign w:val="center"/>
          </w:tcPr>
          <w:p w14:paraId="704F877B" w14:textId="58C43674" w:rsidR="00AB1F4C" w:rsidRPr="006070EA" w:rsidRDefault="00033E23" w:rsidP="009E07E1">
            <w:pPr>
              <w:jc w:val="center"/>
              <w:rPr>
                <w:rFonts w:asciiTheme="majorHAnsi" w:hAnsiTheme="majorHAnsi" w:cstheme="majorHAnsi"/>
                <w:sz w:val="18"/>
              </w:rPr>
            </w:pPr>
            <w:r w:rsidRPr="006070EA">
              <w:rPr>
                <w:rFonts w:asciiTheme="majorHAnsi" w:hAnsiTheme="majorHAnsi" w:cstheme="majorHAnsi"/>
                <w:sz w:val="18"/>
              </w:rPr>
              <w:t>1413,75</w:t>
            </w:r>
          </w:p>
        </w:tc>
        <w:tc>
          <w:tcPr>
            <w:tcW w:w="1844" w:type="dxa"/>
            <w:vAlign w:val="center"/>
          </w:tcPr>
          <w:p w14:paraId="360D7CE2" w14:textId="534A64E3" w:rsidR="00AB1F4C" w:rsidRPr="006070EA" w:rsidRDefault="00033E23" w:rsidP="009E07E1">
            <w:pPr>
              <w:jc w:val="center"/>
              <w:rPr>
                <w:rFonts w:asciiTheme="majorHAnsi" w:hAnsiTheme="majorHAnsi" w:cstheme="majorHAnsi"/>
                <w:sz w:val="18"/>
              </w:rPr>
            </w:pPr>
            <w:r w:rsidRPr="006070EA">
              <w:rPr>
                <w:rFonts w:asciiTheme="majorHAnsi" w:hAnsiTheme="majorHAnsi" w:cstheme="majorHAnsi"/>
                <w:sz w:val="18"/>
              </w:rPr>
              <w:t>1529,25</w:t>
            </w:r>
          </w:p>
        </w:tc>
      </w:tr>
    </w:tbl>
    <w:p w14:paraId="09D68709" w14:textId="77777777" w:rsidR="00033E23" w:rsidRPr="006070EA" w:rsidRDefault="00033E23" w:rsidP="00033E23">
      <w:pPr>
        <w:pStyle w:val="Anadpistun"/>
        <w:rPr>
          <w:rFonts w:asciiTheme="majorHAnsi" w:hAnsiTheme="majorHAnsi" w:cstheme="majorHAnsi"/>
        </w:rPr>
      </w:pPr>
      <w:r w:rsidRPr="006070EA">
        <w:rPr>
          <w:rFonts w:asciiTheme="majorHAnsi" w:hAnsiTheme="majorHAnsi" w:cstheme="majorHAnsi"/>
        </w:rPr>
        <w:t>Ochranná pásma vodovodních a kanalizačních řadů</w:t>
      </w:r>
    </w:p>
    <w:p w14:paraId="06071FB1" w14:textId="4399DA00" w:rsidR="00033E23" w:rsidRPr="006070EA" w:rsidRDefault="00033E23" w:rsidP="00033E23">
      <w:pPr>
        <w:pStyle w:val="Atext"/>
        <w:rPr>
          <w:rFonts w:asciiTheme="majorHAnsi" w:hAnsiTheme="majorHAnsi" w:cstheme="majorHAnsi"/>
        </w:rPr>
      </w:pPr>
      <w:r w:rsidRPr="006070EA">
        <w:rPr>
          <w:rFonts w:asciiTheme="majorHAnsi" w:hAnsiTheme="majorHAnsi" w:cstheme="majorHAnsi"/>
        </w:rPr>
        <w:t>K bezprostřední ochraně vodovodních řadů a kanalizačních stok před poškozením se dle zákona č. 274/2001 Sb., o</w:t>
      </w:r>
      <w:r w:rsidR="001C7E4C" w:rsidRPr="006070EA">
        <w:rPr>
          <w:rFonts w:asciiTheme="majorHAnsi" w:hAnsiTheme="majorHAnsi" w:cstheme="majorHAnsi"/>
        </w:rPr>
        <w:t> </w:t>
      </w:r>
      <w:r w:rsidRPr="006070EA">
        <w:rPr>
          <w:rFonts w:asciiTheme="majorHAnsi" w:hAnsiTheme="majorHAnsi" w:cstheme="majorHAnsi"/>
        </w:rPr>
        <w:t>vodovodech a kanalizacích pro veřejnou potřebu a o změně některých zákonů, ve znění pozdějších předpisů (dále také jen „zákon o vodovodech a kanalizacích“), vymezují ochranná pásma vodovodních řadů a kanalizačních stok.</w:t>
      </w:r>
    </w:p>
    <w:p w14:paraId="5A577E59" w14:textId="77777777" w:rsidR="00033E23" w:rsidRPr="006070EA" w:rsidRDefault="00033E23" w:rsidP="00033E23">
      <w:pPr>
        <w:pStyle w:val="Atext"/>
        <w:rPr>
          <w:rFonts w:asciiTheme="majorHAnsi" w:hAnsiTheme="majorHAnsi" w:cstheme="majorHAnsi"/>
        </w:rPr>
      </w:pPr>
      <w:r w:rsidRPr="006070EA">
        <w:rPr>
          <w:rFonts w:asciiTheme="majorHAnsi" w:hAnsiTheme="majorHAnsi" w:cstheme="majorHAnsi"/>
        </w:rPr>
        <w:t>Ochranná pásma jsou vymezena vodorovnou vzdáleností od vnějšího líce stěny potrubí nebo kanalizační stoky na každou stranu a to:</w:t>
      </w:r>
    </w:p>
    <w:p w14:paraId="69970D3F" w14:textId="77777777" w:rsidR="00033E23" w:rsidRPr="006070EA" w:rsidRDefault="00033E23" w:rsidP="00033E23">
      <w:pPr>
        <w:pStyle w:val="Odstavecseseznamem"/>
        <w:numPr>
          <w:ilvl w:val="0"/>
          <w:numId w:val="8"/>
        </w:numPr>
        <w:spacing w:after="60" w:line="240" w:lineRule="auto"/>
        <w:jc w:val="both"/>
        <w:rPr>
          <w:rFonts w:asciiTheme="majorHAnsi" w:hAnsiTheme="majorHAnsi" w:cstheme="majorHAnsi"/>
          <w:sz w:val="18"/>
        </w:rPr>
      </w:pPr>
      <w:r w:rsidRPr="006070EA">
        <w:rPr>
          <w:rFonts w:asciiTheme="majorHAnsi" w:hAnsiTheme="majorHAnsi" w:cstheme="majorHAnsi"/>
          <w:sz w:val="18"/>
        </w:rPr>
        <w:t>u vodovodních řadů a kanalizačních stok do průměru 500 mm včetně</w:t>
      </w:r>
      <w:r w:rsidRPr="006070EA">
        <w:rPr>
          <w:rFonts w:asciiTheme="majorHAnsi" w:hAnsiTheme="majorHAnsi" w:cstheme="majorHAnsi"/>
          <w:sz w:val="18"/>
        </w:rPr>
        <w:tab/>
      </w:r>
      <w:r w:rsidRPr="006070EA">
        <w:rPr>
          <w:rFonts w:asciiTheme="majorHAnsi" w:hAnsiTheme="majorHAnsi" w:cstheme="majorHAnsi"/>
          <w:sz w:val="18"/>
        </w:rPr>
        <w:tab/>
        <w:t>1,5 m,</w:t>
      </w:r>
    </w:p>
    <w:p w14:paraId="62E41FD2" w14:textId="77777777" w:rsidR="00033E23" w:rsidRPr="006070EA" w:rsidRDefault="00033E23" w:rsidP="00033E23">
      <w:pPr>
        <w:pStyle w:val="Odstavecseseznamem"/>
        <w:numPr>
          <w:ilvl w:val="0"/>
          <w:numId w:val="8"/>
        </w:numPr>
        <w:spacing w:after="0" w:line="240" w:lineRule="auto"/>
        <w:contextualSpacing w:val="0"/>
        <w:jc w:val="both"/>
        <w:rPr>
          <w:rFonts w:asciiTheme="majorHAnsi" w:hAnsiTheme="majorHAnsi" w:cstheme="majorHAnsi"/>
          <w:sz w:val="18"/>
        </w:rPr>
      </w:pPr>
      <w:r w:rsidRPr="006070EA">
        <w:rPr>
          <w:rFonts w:asciiTheme="majorHAnsi" w:hAnsiTheme="majorHAnsi" w:cstheme="majorHAnsi"/>
          <w:sz w:val="18"/>
        </w:rPr>
        <w:t xml:space="preserve">u vodovodních řadů a kanalizačních stok nad průměr 500 mm </w:t>
      </w:r>
      <w:r w:rsidRPr="006070EA">
        <w:rPr>
          <w:rFonts w:asciiTheme="majorHAnsi" w:hAnsiTheme="majorHAnsi" w:cstheme="majorHAnsi"/>
          <w:sz w:val="18"/>
        </w:rPr>
        <w:tab/>
      </w:r>
      <w:r w:rsidRPr="006070EA">
        <w:rPr>
          <w:rFonts w:asciiTheme="majorHAnsi" w:hAnsiTheme="majorHAnsi" w:cstheme="majorHAnsi"/>
          <w:sz w:val="18"/>
        </w:rPr>
        <w:tab/>
      </w:r>
      <w:r w:rsidRPr="006070EA">
        <w:rPr>
          <w:rFonts w:asciiTheme="majorHAnsi" w:hAnsiTheme="majorHAnsi" w:cstheme="majorHAnsi"/>
          <w:sz w:val="18"/>
        </w:rPr>
        <w:tab/>
        <w:t>2,5 m,</w:t>
      </w:r>
    </w:p>
    <w:p w14:paraId="64A5B7BE" w14:textId="77777777" w:rsidR="00033E23" w:rsidRPr="006070EA" w:rsidRDefault="00033E23" w:rsidP="00033E23">
      <w:pPr>
        <w:pStyle w:val="Odstavecseseznamem"/>
        <w:numPr>
          <w:ilvl w:val="0"/>
          <w:numId w:val="8"/>
        </w:numPr>
        <w:spacing w:after="60" w:line="240" w:lineRule="auto"/>
        <w:contextualSpacing w:val="0"/>
        <w:jc w:val="both"/>
        <w:rPr>
          <w:rFonts w:asciiTheme="majorHAnsi" w:hAnsiTheme="majorHAnsi" w:cstheme="majorHAnsi"/>
          <w:sz w:val="18"/>
        </w:rPr>
      </w:pPr>
      <w:r w:rsidRPr="006070EA">
        <w:rPr>
          <w:rFonts w:asciiTheme="majorHAnsi" w:hAnsiTheme="majorHAnsi" w:cstheme="majorHAnsi"/>
          <w:sz w:val="18"/>
        </w:rPr>
        <w:t>u vodovodních řadů nebo kanalizačních stok o průměru nad 200 mm, jejichž dno je uloženo v hloubce větší než 2,5 m pod upraveným povrchem, se vzdálenosti podle písmene a) nebo b) od vnějšího líce zvyšují o 1 m.</w:t>
      </w:r>
    </w:p>
    <w:p w14:paraId="4486E8E9" w14:textId="77777777" w:rsidR="00033E23" w:rsidRPr="006070EA" w:rsidRDefault="00033E23" w:rsidP="00033E23">
      <w:pPr>
        <w:pStyle w:val="Atext"/>
        <w:rPr>
          <w:rFonts w:asciiTheme="majorHAnsi" w:hAnsiTheme="majorHAnsi" w:cstheme="majorHAnsi"/>
        </w:rPr>
      </w:pPr>
      <w:r w:rsidRPr="006070EA">
        <w:rPr>
          <w:rFonts w:asciiTheme="majorHAnsi" w:hAnsiTheme="majorHAnsi" w:cstheme="majorHAnsi"/>
        </w:rPr>
        <w:t>Výjimku z ochranného pásma může v odůvodněných případech povolit vodoprávní úřad. Při povolování výjimky přihlédne vodoprávní úřad k technickým možnostem řešení při současném zabezpečení ochrany vodovodního řadu nebo kanalizační stoky a k technicko-bezpečnostní ochraně zájmů dotčených osob.</w:t>
      </w:r>
    </w:p>
    <w:p w14:paraId="06A21A46" w14:textId="77777777" w:rsidR="00033E23" w:rsidRPr="006070EA" w:rsidRDefault="00033E23" w:rsidP="00033E23">
      <w:pPr>
        <w:pStyle w:val="Atext"/>
        <w:rPr>
          <w:rFonts w:asciiTheme="majorHAnsi" w:hAnsiTheme="majorHAnsi" w:cstheme="majorHAnsi"/>
        </w:rPr>
      </w:pPr>
      <w:r w:rsidRPr="006070EA">
        <w:rPr>
          <w:rFonts w:asciiTheme="majorHAnsi" w:hAnsiTheme="majorHAnsi" w:cstheme="majorHAnsi"/>
        </w:rPr>
        <w:t>V ochranném pásmu vodovodního řadu nebo kanalizační stoky lze provádět některé činnosti jen s písemným souhlasem vlastníka vodovodu nebo kanalizace, popřípadě pořizovatele (pokud tak vyplývá z provozní smlouvy). Jedná se zejména o následující činnosti:</w:t>
      </w:r>
    </w:p>
    <w:p w14:paraId="13D6AAED" w14:textId="77777777" w:rsidR="00033E23" w:rsidRPr="006070EA" w:rsidRDefault="00033E23" w:rsidP="00033E23">
      <w:pPr>
        <w:pStyle w:val="Odstavecseseznamem"/>
        <w:numPr>
          <w:ilvl w:val="0"/>
          <w:numId w:val="4"/>
        </w:numPr>
        <w:spacing w:after="60" w:line="240" w:lineRule="auto"/>
        <w:jc w:val="both"/>
        <w:rPr>
          <w:rFonts w:asciiTheme="majorHAnsi" w:hAnsiTheme="majorHAnsi" w:cstheme="majorHAnsi"/>
          <w:sz w:val="18"/>
        </w:rPr>
      </w:pPr>
      <w:r w:rsidRPr="006070EA">
        <w:rPr>
          <w:rFonts w:asciiTheme="majorHAnsi" w:hAnsiTheme="majorHAnsi" w:cstheme="majorHAnsi"/>
          <w:sz w:val="18"/>
        </w:rPr>
        <w:t>provádění zemních prací, staveb, umisťování konstrukcí nebo jiných podobných zařízení či provádění činností, které omezují přístup k vodovodnímu řadu nebo kanalizační stoce nebo které by mohly ohrozit jejich technický stav nebo plynulé provozování,</w:t>
      </w:r>
    </w:p>
    <w:p w14:paraId="2D68021E" w14:textId="77777777" w:rsidR="00033E23" w:rsidRPr="006070EA" w:rsidRDefault="00033E23" w:rsidP="00033E23">
      <w:pPr>
        <w:pStyle w:val="Odstavecseseznamem"/>
        <w:numPr>
          <w:ilvl w:val="0"/>
          <w:numId w:val="4"/>
        </w:numPr>
        <w:spacing w:after="60" w:line="240" w:lineRule="auto"/>
        <w:jc w:val="both"/>
        <w:rPr>
          <w:rFonts w:asciiTheme="majorHAnsi" w:hAnsiTheme="majorHAnsi" w:cstheme="majorHAnsi"/>
          <w:sz w:val="18"/>
        </w:rPr>
      </w:pPr>
      <w:r w:rsidRPr="006070EA">
        <w:rPr>
          <w:rFonts w:asciiTheme="majorHAnsi" w:hAnsiTheme="majorHAnsi" w:cstheme="majorHAnsi"/>
          <w:sz w:val="18"/>
        </w:rPr>
        <w:t>vysazování trvalých porostů,</w:t>
      </w:r>
    </w:p>
    <w:p w14:paraId="0A25FF56" w14:textId="77777777" w:rsidR="00033E23" w:rsidRPr="006070EA" w:rsidRDefault="00033E23" w:rsidP="00033E23">
      <w:pPr>
        <w:pStyle w:val="Odstavecseseznamem"/>
        <w:numPr>
          <w:ilvl w:val="0"/>
          <w:numId w:val="4"/>
        </w:numPr>
        <w:spacing w:after="60" w:line="240" w:lineRule="auto"/>
        <w:jc w:val="both"/>
        <w:rPr>
          <w:rFonts w:asciiTheme="majorHAnsi" w:hAnsiTheme="majorHAnsi" w:cstheme="majorHAnsi"/>
          <w:sz w:val="18"/>
        </w:rPr>
      </w:pPr>
      <w:r w:rsidRPr="006070EA">
        <w:rPr>
          <w:rFonts w:asciiTheme="majorHAnsi" w:hAnsiTheme="majorHAnsi" w:cstheme="majorHAnsi"/>
          <w:sz w:val="18"/>
        </w:rPr>
        <w:t>provádění skládek jakéhokoliv odpadu,</w:t>
      </w:r>
    </w:p>
    <w:p w14:paraId="6EC12FD3" w14:textId="77777777" w:rsidR="00033E23" w:rsidRPr="006070EA" w:rsidRDefault="00033E23" w:rsidP="00033E23">
      <w:pPr>
        <w:pStyle w:val="Odstavecseseznamem"/>
        <w:numPr>
          <w:ilvl w:val="0"/>
          <w:numId w:val="4"/>
        </w:numPr>
        <w:spacing w:after="60" w:line="240" w:lineRule="auto"/>
        <w:jc w:val="both"/>
        <w:rPr>
          <w:rFonts w:asciiTheme="majorHAnsi" w:hAnsiTheme="majorHAnsi" w:cstheme="majorHAnsi"/>
          <w:sz w:val="18"/>
        </w:rPr>
      </w:pPr>
      <w:r w:rsidRPr="006070EA">
        <w:rPr>
          <w:rFonts w:asciiTheme="majorHAnsi" w:hAnsiTheme="majorHAnsi" w:cstheme="majorHAnsi"/>
          <w:sz w:val="18"/>
        </w:rPr>
        <w:lastRenderedPageBreak/>
        <w:t>provádění terénních úprav.</w:t>
      </w:r>
    </w:p>
    <w:p w14:paraId="53C6429A" w14:textId="77777777" w:rsidR="00AB1F4C" w:rsidRPr="006070EA" w:rsidRDefault="00AB1F4C" w:rsidP="00EF7B4B">
      <w:pPr>
        <w:keepNext/>
        <w:spacing w:before="120" w:after="120" w:line="240" w:lineRule="auto"/>
        <w:jc w:val="both"/>
        <w:rPr>
          <w:rFonts w:asciiTheme="majorHAnsi" w:hAnsiTheme="majorHAnsi" w:cstheme="majorHAnsi"/>
          <w:b/>
          <w:sz w:val="18"/>
        </w:rPr>
      </w:pPr>
      <w:r w:rsidRPr="006070EA">
        <w:rPr>
          <w:rFonts w:asciiTheme="majorHAnsi" w:hAnsiTheme="majorHAnsi" w:cstheme="majorHAnsi"/>
          <w:b/>
          <w:sz w:val="18"/>
        </w:rPr>
        <w:t>Odůvodnění koncepce kanalizace a odstraňování odpadních vod</w:t>
      </w:r>
    </w:p>
    <w:p w14:paraId="77F5E708" w14:textId="63987032" w:rsidR="005E58EF" w:rsidRPr="006070EA" w:rsidRDefault="00AB1F4C" w:rsidP="00EF7B4B">
      <w:pPr>
        <w:keepLines/>
        <w:spacing w:after="60" w:line="240" w:lineRule="auto"/>
        <w:ind w:firstLine="709"/>
        <w:jc w:val="both"/>
        <w:rPr>
          <w:rFonts w:asciiTheme="majorHAnsi" w:hAnsiTheme="majorHAnsi" w:cstheme="majorHAnsi"/>
          <w:sz w:val="18"/>
        </w:rPr>
      </w:pPr>
      <w:r w:rsidRPr="006070EA">
        <w:rPr>
          <w:rFonts w:asciiTheme="majorHAnsi" w:hAnsiTheme="majorHAnsi" w:cstheme="majorHAnsi"/>
          <w:sz w:val="18"/>
        </w:rPr>
        <w:t xml:space="preserve">Koncepce kanalizace a odstraňování odpadních vod </w:t>
      </w:r>
      <w:r w:rsidR="00A803E3" w:rsidRPr="006070EA">
        <w:rPr>
          <w:rFonts w:asciiTheme="majorHAnsi" w:hAnsiTheme="majorHAnsi" w:cstheme="majorHAnsi"/>
          <w:sz w:val="18"/>
        </w:rPr>
        <w:t>vychází zejména z</w:t>
      </w:r>
      <w:r w:rsidRPr="006070EA">
        <w:rPr>
          <w:rFonts w:asciiTheme="majorHAnsi" w:hAnsiTheme="majorHAnsi" w:cstheme="majorHAnsi"/>
          <w:sz w:val="18"/>
        </w:rPr>
        <w:t> Plán</w:t>
      </w:r>
      <w:r w:rsidR="00A803E3" w:rsidRPr="006070EA">
        <w:rPr>
          <w:rFonts w:asciiTheme="majorHAnsi" w:hAnsiTheme="majorHAnsi" w:cstheme="majorHAnsi"/>
          <w:sz w:val="18"/>
        </w:rPr>
        <w:t>u</w:t>
      </w:r>
      <w:r w:rsidRPr="006070EA">
        <w:rPr>
          <w:rFonts w:asciiTheme="majorHAnsi" w:hAnsiTheme="majorHAnsi" w:cstheme="majorHAnsi"/>
          <w:sz w:val="18"/>
        </w:rPr>
        <w:t xml:space="preserve"> rozvoje vodovodů a</w:t>
      </w:r>
      <w:r w:rsidR="00ED791D" w:rsidRPr="006070EA">
        <w:rPr>
          <w:rFonts w:asciiTheme="majorHAnsi" w:hAnsiTheme="majorHAnsi" w:cstheme="majorHAnsi"/>
          <w:sz w:val="18"/>
        </w:rPr>
        <w:t> </w:t>
      </w:r>
      <w:r w:rsidRPr="006070EA">
        <w:rPr>
          <w:rFonts w:asciiTheme="majorHAnsi" w:hAnsiTheme="majorHAnsi" w:cstheme="majorHAnsi"/>
          <w:sz w:val="18"/>
        </w:rPr>
        <w:t xml:space="preserve">kanalizací </w:t>
      </w:r>
      <w:r w:rsidR="00033E23" w:rsidRPr="006070EA">
        <w:rPr>
          <w:rFonts w:asciiTheme="majorHAnsi" w:hAnsiTheme="majorHAnsi" w:cstheme="majorHAnsi"/>
          <w:sz w:val="18"/>
        </w:rPr>
        <w:t>Středočeského</w:t>
      </w:r>
      <w:r w:rsidRPr="006070EA">
        <w:rPr>
          <w:rFonts w:asciiTheme="majorHAnsi" w:hAnsiTheme="majorHAnsi" w:cstheme="majorHAnsi"/>
          <w:sz w:val="18"/>
        </w:rPr>
        <w:t xml:space="preserve"> kraje</w:t>
      </w:r>
      <w:r w:rsidR="00DF720B" w:rsidRPr="006070EA">
        <w:rPr>
          <w:rFonts w:asciiTheme="majorHAnsi" w:hAnsiTheme="majorHAnsi" w:cstheme="majorHAnsi"/>
          <w:sz w:val="18"/>
        </w:rPr>
        <w:t>, platn</w:t>
      </w:r>
      <w:r w:rsidR="00A803E3" w:rsidRPr="006070EA">
        <w:rPr>
          <w:rFonts w:asciiTheme="majorHAnsi" w:hAnsiTheme="majorHAnsi" w:cstheme="majorHAnsi"/>
          <w:sz w:val="18"/>
        </w:rPr>
        <w:t>é</w:t>
      </w:r>
      <w:r w:rsidR="00DF720B" w:rsidRPr="006070EA">
        <w:rPr>
          <w:rFonts w:asciiTheme="majorHAnsi" w:hAnsiTheme="majorHAnsi" w:cstheme="majorHAnsi"/>
          <w:sz w:val="18"/>
        </w:rPr>
        <w:t xml:space="preserve"> ÚPD obce, studi</w:t>
      </w:r>
      <w:r w:rsidR="00A803E3" w:rsidRPr="006070EA">
        <w:rPr>
          <w:rFonts w:asciiTheme="majorHAnsi" w:hAnsiTheme="majorHAnsi" w:cstheme="majorHAnsi"/>
          <w:sz w:val="18"/>
        </w:rPr>
        <w:t>e</w:t>
      </w:r>
      <w:r w:rsidR="00DF720B" w:rsidRPr="006070EA">
        <w:rPr>
          <w:rFonts w:asciiTheme="majorHAnsi" w:hAnsiTheme="majorHAnsi" w:cstheme="majorHAnsi"/>
          <w:sz w:val="18"/>
        </w:rPr>
        <w:t xml:space="preserve"> </w:t>
      </w:r>
      <w:r w:rsidR="00033E23" w:rsidRPr="006070EA">
        <w:rPr>
          <w:rFonts w:asciiTheme="majorHAnsi" w:hAnsiTheme="majorHAnsi" w:cstheme="majorHAnsi"/>
          <w:sz w:val="18"/>
        </w:rPr>
        <w:t xml:space="preserve">Splašková kanalizace Vápensko a Rozkoš </w:t>
      </w:r>
      <w:r w:rsidR="00DF720B" w:rsidRPr="006070EA">
        <w:rPr>
          <w:rFonts w:asciiTheme="majorHAnsi" w:hAnsiTheme="majorHAnsi" w:cstheme="majorHAnsi"/>
          <w:sz w:val="18"/>
        </w:rPr>
        <w:t>(</w:t>
      </w:r>
      <w:r w:rsidR="00033E23" w:rsidRPr="006070EA">
        <w:rPr>
          <w:rFonts w:asciiTheme="majorHAnsi" w:hAnsiTheme="majorHAnsi" w:cstheme="majorHAnsi"/>
          <w:sz w:val="18"/>
        </w:rPr>
        <w:t>IKKO Hradec Králové, s.r.o.</w:t>
      </w:r>
      <w:r w:rsidR="00DF720B" w:rsidRPr="006070EA">
        <w:rPr>
          <w:rFonts w:asciiTheme="majorHAnsi" w:hAnsiTheme="majorHAnsi" w:cstheme="majorHAnsi"/>
          <w:sz w:val="18"/>
        </w:rPr>
        <w:t>) a</w:t>
      </w:r>
      <w:r w:rsidR="00033E23" w:rsidRPr="006070EA">
        <w:rPr>
          <w:rFonts w:asciiTheme="majorHAnsi" w:hAnsiTheme="majorHAnsi" w:cstheme="majorHAnsi"/>
          <w:sz w:val="18"/>
        </w:rPr>
        <w:t xml:space="preserve"> projektové </w:t>
      </w:r>
      <w:r w:rsidR="00033E23" w:rsidRPr="006070EA">
        <w:rPr>
          <w:rFonts w:asciiTheme="majorHAnsi" w:hAnsiTheme="majorHAnsi" w:cstheme="majorHAnsi"/>
          <w:sz w:val="18"/>
          <w:szCs w:val="20"/>
        </w:rPr>
        <w:t>dokumentace (DÚR+DSP</w:t>
      </w:r>
      <w:r w:rsidR="00033E23" w:rsidRPr="006070EA">
        <w:rPr>
          <w:rFonts w:asciiTheme="majorHAnsi" w:hAnsiTheme="majorHAnsi" w:cstheme="majorHAnsi"/>
          <w:sz w:val="18"/>
        </w:rPr>
        <w:t xml:space="preserve">) Kostomlaty nad Labem – Kanalizace a vodovod – Vápensko a Rozkoš (FIALA PROJEKTY s.r.o., 11/2019). </w:t>
      </w:r>
      <w:r w:rsidR="005E58EF" w:rsidRPr="006070EA">
        <w:rPr>
          <w:rFonts w:asciiTheme="majorHAnsi" w:hAnsiTheme="majorHAnsi" w:cstheme="majorHAnsi"/>
          <w:sz w:val="18"/>
        </w:rPr>
        <w:t xml:space="preserve">Navržené řešení je v souladu s požadavky PÚR ČR, ZÚR </w:t>
      </w:r>
      <w:r w:rsidR="00033E23" w:rsidRPr="006070EA">
        <w:rPr>
          <w:rFonts w:asciiTheme="majorHAnsi" w:hAnsiTheme="majorHAnsi" w:cstheme="majorHAnsi"/>
          <w:sz w:val="18"/>
        </w:rPr>
        <w:t>SK</w:t>
      </w:r>
      <w:r w:rsidR="005E58EF" w:rsidRPr="006070EA">
        <w:rPr>
          <w:rFonts w:asciiTheme="majorHAnsi" w:hAnsiTheme="majorHAnsi" w:cstheme="majorHAnsi"/>
          <w:sz w:val="18"/>
        </w:rPr>
        <w:t xml:space="preserve"> a oborových koncepcí na zajištění kvalitního a</w:t>
      </w:r>
      <w:r w:rsidR="00033E23" w:rsidRPr="006070EA">
        <w:rPr>
          <w:rFonts w:asciiTheme="majorHAnsi" w:hAnsiTheme="majorHAnsi" w:cstheme="majorHAnsi"/>
          <w:sz w:val="18"/>
        </w:rPr>
        <w:t> </w:t>
      </w:r>
      <w:r w:rsidR="005E58EF" w:rsidRPr="006070EA">
        <w:rPr>
          <w:rFonts w:asciiTheme="majorHAnsi" w:hAnsiTheme="majorHAnsi" w:cstheme="majorHAnsi"/>
          <w:sz w:val="18"/>
        </w:rPr>
        <w:t xml:space="preserve">udržitelného systému odvádění a čištění odpadních vod. </w:t>
      </w:r>
    </w:p>
    <w:p w14:paraId="7BBF0E6D" w14:textId="1A0E68F9" w:rsidR="00F541BF" w:rsidRPr="006070EA" w:rsidRDefault="00033E23" w:rsidP="00FC2281">
      <w:pPr>
        <w:pStyle w:val="Atext"/>
        <w:rPr>
          <w:rFonts w:asciiTheme="majorHAnsi" w:hAnsiTheme="majorHAnsi" w:cstheme="majorHAnsi"/>
          <w:szCs w:val="18"/>
        </w:rPr>
      </w:pPr>
      <w:r w:rsidRPr="006070EA">
        <w:rPr>
          <w:rFonts w:asciiTheme="majorHAnsi" w:hAnsiTheme="majorHAnsi" w:cstheme="majorHAnsi"/>
          <w:szCs w:val="18"/>
        </w:rPr>
        <w:t xml:space="preserve">Stávající způsob odkanalizování s vyústěním na ČOV Kostomlaty nad Labem bude zachován a dále rozvíjen. ČOV disponuje dostatečnou rezervou i pro uvažovaný stavební rozvoj. Územní plán v souladu se zpracovanými podklady a PRVK SK navrhuje napojit na </w:t>
      </w:r>
      <w:r w:rsidR="00F541BF" w:rsidRPr="006070EA">
        <w:rPr>
          <w:rFonts w:asciiTheme="majorHAnsi" w:hAnsiTheme="majorHAnsi" w:cstheme="majorHAnsi"/>
          <w:szCs w:val="18"/>
        </w:rPr>
        <w:t>kanalizační</w:t>
      </w:r>
      <w:r w:rsidRPr="006070EA">
        <w:rPr>
          <w:rFonts w:asciiTheme="majorHAnsi" w:hAnsiTheme="majorHAnsi" w:cstheme="majorHAnsi"/>
          <w:szCs w:val="18"/>
        </w:rPr>
        <w:t xml:space="preserve"> síť místní části Rozkoš a Vápensko dle zpracované projektové dokumentace (DÚR+DSP) </w:t>
      </w:r>
      <w:r w:rsidRPr="006070EA">
        <w:rPr>
          <w:rFonts w:asciiTheme="majorHAnsi" w:hAnsiTheme="majorHAnsi" w:cstheme="majorHAnsi"/>
          <w:i/>
          <w:iCs w:val="0"/>
          <w:szCs w:val="18"/>
        </w:rPr>
        <w:t>Kostomlaty nad Labem – Kanalizace a vodovod – Vápensko a Rozkoš</w:t>
      </w:r>
      <w:r w:rsidRPr="006070EA">
        <w:rPr>
          <w:rFonts w:asciiTheme="majorHAnsi" w:hAnsiTheme="majorHAnsi" w:cstheme="majorHAnsi"/>
          <w:szCs w:val="18"/>
        </w:rPr>
        <w:t xml:space="preserve"> (FIALA PROJEKTY s.r.o., 11/2019). Pro</w:t>
      </w:r>
      <w:r w:rsidR="00F541BF" w:rsidRPr="006070EA">
        <w:rPr>
          <w:rFonts w:asciiTheme="majorHAnsi" w:hAnsiTheme="majorHAnsi" w:cstheme="majorHAnsi"/>
          <w:szCs w:val="18"/>
        </w:rPr>
        <w:t> </w:t>
      </w:r>
      <w:r w:rsidRPr="006070EA">
        <w:rPr>
          <w:rFonts w:asciiTheme="majorHAnsi" w:hAnsiTheme="majorHAnsi" w:cstheme="majorHAnsi"/>
          <w:szCs w:val="18"/>
        </w:rPr>
        <w:t xml:space="preserve">uvažovaný záměr vymezuje ÚP </w:t>
      </w:r>
      <w:r w:rsidRPr="006070EA">
        <w:rPr>
          <w:rFonts w:asciiTheme="majorHAnsi" w:hAnsiTheme="majorHAnsi" w:cstheme="majorHAnsi"/>
          <w:b/>
          <w:bCs w:val="0"/>
          <w:szCs w:val="18"/>
        </w:rPr>
        <w:t>koridor</w:t>
      </w:r>
      <w:r w:rsidRPr="006070EA">
        <w:rPr>
          <w:rFonts w:asciiTheme="majorHAnsi" w:hAnsiTheme="majorHAnsi" w:cstheme="majorHAnsi"/>
          <w:szCs w:val="18"/>
        </w:rPr>
        <w:t xml:space="preserve"> technické infrastruktury </w:t>
      </w:r>
      <w:r w:rsidR="007361C1" w:rsidRPr="006070EA">
        <w:rPr>
          <w:rFonts w:asciiTheme="majorHAnsi" w:hAnsiTheme="majorHAnsi" w:cstheme="majorHAnsi"/>
          <w:b/>
          <w:bCs w:val="0"/>
          <w:szCs w:val="18"/>
        </w:rPr>
        <w:t>CNU.</w:t>
      </w:r>
      <w:r w:rsidRPr="006070EA">
        <w:rPr>
          <w:rFonts w:asciiTheme="majorHAnsi" w:hAnsiTheme="majorHAnsi" w:cstheme="majorHAnsi"/>
          <w:b/>
          <w:bCs w:val="0"/>
          <w:szCs w:val="18"/>
        </w:rPr>
        <w:t>KTI1</w:t>
      </w:r>
      <w:r w:rsidRPr="006070EA">
        <w:rPr>
          <w:rFonts w:asciiTheme="majorHAnsi" w:hAnsiTheme="majorHAnsi" w:cstheme="majorHAnsi"/>
          <w:szCs w:val="18"/>
        </w:rPr>
        <w:t xml:space="preserve">. </w:t>
      </w:r>
    </w:p>
    <w:p w14:paraId="6B996175" w14:textId="152CD964" w:rsidR="00F541BF" w:rsidRPr="006070EA" w:rsidRDefault="00F541BF" w:rsidP="00F541BF">
      <w:pPr>
        <w:spacing w:before="120" w:after="120" w:line="240" w:lineRule="auto"/>
        <w:ind w:firstLine="709"/>
        <w:jc w:val="both"/>
        <w:rPr>
          <w:rFonts w:asciiTheme="majorHAnsi" w:hAnsiTheme="majorHAnsi" w:cstheme="majorHAnsi"/>
          <w:sz w:val="18"/>
        </w:rPr>
      </w:pPr>
      <w:r w:rsidRPr="006070EA">
        <w:rPr>
          <w:rFonts w:asciiTheme="majorHAnsi" w:hAnsiTheme="majorHAnsi" w:cstheme="majorHAnsi"/>
          <w:sz w:val="18"/>
        </w:rPr>
        <w:t>Základní informace o technickém řešení výstavby kanalizace v Rozkoši a Vápensku dle zpracované projektové dokumentace jsou uvedeny níže (citace kurzí</w:t>
      </w:r>
      <w:r w:rsidR="007361C1" w:rsidRPr="006070EA">
        <w:rPr>
          <w:rFonts w:asciiTheme="majorHAnsi" w:hAnsiTheme="majorHAnsi" w:cstheme="majorHAnsi"/>
          <w:sz w:val="18"/>
        </w:rPr>
        <w:t>v</w:t>
      </w:r>
      <w:r w:rsidRPr="006070EA">
        <w:rPr>
          <w:rFonts w:asciiTheme="majorHAnsi" w:hAnsiTheme="majorHAnsi" w:cstheme="majorHAnsi"/>
          <w:sz w:val="18"/>
        </w:rPr>
        <w:t>ou):</w:t>
      </w:r>
    </w:p>
    <w:p w14:paraId="254B4D73" w14:textId="3551B0FB" w:rsidR="00FC2281" w:rsidRPr="006070EA" w:rsidRDefault="00FC2281" w:rsidP="00FC2281">
      <w:pPr>
        <w:spacing w:before="120" w:after="120" w:line="240" w:lineRule="auto"/>
        <w:ind w:firstLine="709"/>
        <w:jc w:val="both"/>
        <w:rPr>
          <w:rFonts w:asciiTheme="majorHAnsi" w:hAnsiTheme="majorHAnsi" w:cstheme="majorHAnsi"/>
          <w:i/>
          <w:iCs/>
          <w:sz w:val="18"/>
        </w:rPr>
      </w:pPr>
      <w:r w:rsidRPr="006070EA">
        <w:rPr>
          <w:rFonts w:asciiTheme="majorHAnsi" w:hAnsiTheme="majorHAnsi" w:cstheme="majorHAnsi"/>
          <w:i/>
          <w:iCs/>
          <w:sz w:val="18"/>
        </w:rPr>
        <w:t>Tato projektová dokumentace (dále jen P.D.), řeší výstavbu splaškové tlakové kanalizace v místních částech Rozkoš a</w:t>
      </w:r>
      <w:r w:rsidR="007361C1" w:rsidRPr="006070EA">
        <w:rPr>
          <w:rFonts w:asciiTheme="majorHAnsi" w:hAnsiTheme="majorHAnsi" w:cstheme="majorHAnsi"/>
          <w:i/>
          <w:iCs/>
          <w:sz w:val="18"/>
        </w:rPr>
        <w:t> </w:t>
      </w:r>
      <w:r w:rsidRPr="006070EA">
        <w:rPr>
          <w:rFonts w:asciiTheme="majorHAnsi" w:hAnsiTheme="majorHAnsi" w:cstheme="majorHAnsi"/>
          <w:i/>
          <w:iCs/>
          <w:sz w:val="18"/>
        </w:rPr>
        <w:t>Vápensko. Součástí P.D. jsou navrženy na tlakové kanalizaci výtlaky z domovních čerpacích stanic (DČS) u jednotlivých nemovitostí. Technický pokrok, který je způsoben nejen vývojem v možnostech použití lehčích trubních materiálů, ale i rozvojem čerpací a mělnící techniky, umožňuje jejich využití v tlakových systémech stokových sítí (dále jen TSS).</w:t>
      </w:r>
    </w:p>
    <w:p w14:paraId="1835C4CB" w14:textId="391FB30E" w:rsidR="00FC2281" w:rsidRPr="006070EA" w:rsidRDefault="00FC2281" w:rsidP="00FC2281">
      <w:pPr>
        <w:spacing w:before="120" w:after="120" w:line="240" w:lineRule="auto"/>
        <w:ind w:firstLine="709"/>
        <w:jc w:val="both"/>
        <w:rPr>
          <w:rFonts w:asciiTheme="majorHAnsi" w:hAnsiTheme="majorHAnsi" w:cstheme="majorHAnsi"/>
          <w:i/>
          <w:iCs/>
          <w:sz w:val="18"/>
        </w:rPr>
      </w:pPr>
      <w:r w:rsidRPr="006070EA">
        <w:rPr>
          <w:rFonts w:asciiTheme="majorHAnsi" w:hAnsiTheme="majorHAnsi" w:cstheme="majorHAnsi"/>
          <w:i/>
          <w:iCs/>
          <w:sz w:val="18"/>
        </w:rPr>
        <w:t>Podstatou tlakové kanalizace je svedení domovních odpadních vod z domácností ležatou gravitační kanalizací přímo do domovních čerpacích jímek, ze kterých jsou tlakovým potrubím (PE 40 – 63 mm) dopravovány do stávající tlakové kanalizace v Kostomlatech nad Labem a v Hroněticích. V jímkách jsou osazena ponorná čerpadla s drtiči nebo řezáky (čerpací stanice), která jsou automaticky zapínána při naplnění jímky. TSS je výhodné využít k dopravě splaškových (domovních) odpadních vod, které vznikají v domácnostech a komunální sféře, nikoliv však k odvádění dešťových (povrchových) vod. TSS sestává z rozvětvené tlakové potrubní sítě. Zdroje tlaků jsou vždy umístěny na začátku tlakových potrubí – u producentů OV. Tímto místem je sběrná čerpací jímka DČS na pozemku odvodňované nemovitosti.</w:t>
      </w:r>
    </w:p>
    <w:p w14:paraId="33261EA9" w14:textId="77777777" w:rsidR="00FC2281" w:rsidRPr="006070EA" w:rsidRDefault="00FC2281" w:rsidP="00FC2281">
      <w:pPr>
        <w:spacing w:before="120" w:after="120" w:line="240" w:lineRule="auto"/>
        <w:ind w:firstLine="709"/>
        <w:jc w:val="both"/>
        <w:rPr>
          <w:rFonts w:asciiTheme="majorHAnsi" w:hAnsiTheme="majorHAnsi" w:cstheme="majorHAnsi"/>
          <w:i/>
          <w:iCs/>
          <w:sz w:val="18"/>
          <w:u w:val="single"/>
        </w:rPr>
      </w:pPr>
      <w:r w:rsidRPr="006070EA">
        <w:rPr>
          <w:rFonts w:asciiTheme="majorHAnsi" w:hAnsiTheme="majorHAnsi" w:cstheme="majorHAnsi"/>
          <w:i/>
          <w:iCs/>
          <w:sz w:val="18"/>
          <w:u w:val="single"/>
        </w:rPr>
        <w:t>1.1.1 Stávající stav</w:t>
      </w:r>
    </w:p>
    <w:p w14:paraId="35DC95A7" w14:textId="5372D866" w:rsidR="00FC2281" w:rsidRPr="006070EA" w:rsidRDefault="00FC2281" w:rsidP="00FC2281">
      <w:pPr>
        <w:spacing w:before="120" w:after="120" w:line="240" w:lineRule="auto"/>
        <w:ind w:firstLine="709"/>
        <w:jc w:val="both"/>
        <w:rPr>
          <w:rFonts w:asciiTheme="majorHAnsi" w:hAnsiTheme="majorHAnsi" w:cstheme="majorHAnsi"/>
          <w:i/>
          <w:iCs/>
          <w:sz w:val="18"/>
        </w:rPr>
      </w:pPr>
      <w:r w:rsidRPr="006070EA">
        <w:rPr>
          <w:rFonts w:asciiTheme="majorHAnsi" w:hAnsiTheme="majorHAnsi" w:cstheme="majorHAnsi"/>
          <w:i/>
          <w:iCs/>
          <w:sz w:val="18"/>
        </w:rPr>
        <w:t>V současné době nemají místní části Rozkoš a Vápensko vybudovanou žádnou kanalizační soustavu pro odvádění splaškových vod. Producenti odpadů akumulují splaškové vody v jímkách – žumpách na vlastních pozemcích. Tyto však mnohdy nesplňují, ať již záměrně nebo vlivem stáří díla, atesty vodotěsnosti a kontaminují hladiny podzemních vod v obci.</w:t>
      </w:r>
    </w:p>
    <w:p w14:paraId="399F8C11" w14:textId="6D53FCEB" w:rsidR="00FC2281" w:rsidRPr="006070EA" w:rsidRDefault="00FC2281" w:rsidP="00FC2281">
      <w:pPr>
        <w:spacing w:before="120" w:after="120" w:line="240" w:lineRule="auto"/>
        <w:ind w:firstLine="709"/>
        <w:jc w:val="both"/>
        <w:rPr>
          <w:rFonts w:asciiTheme="majorHAnsi" w:hAnsiTheme="majorHAnsi" w:cstheme="majorHAnsi"/>
          <w:i/>
          <w:iCs/>
          <w:sz w:val="18"/>
        </w:rPr>
      </w:pPr>
      <w:r w:rsidRPr="006070EA">
        <w:rPr>
          <w:rFonts w:asciiTheme="majorHAnsi" w:hAnsiTheme="majorHAnsi" w:cstheme="majorHAnsi"/>
          <w:i/>
          <w:iCs/>
          <w:sz w:val="18"/>
        </w:rPr>
        <w:t>Důsledkem systematického řešení likvidace odpadních splaškových vod z obce bude nepochybný efekt zvýšení úrovně čistoty povrchových a podzemních vod v obci, tak i v navazujících ekosystémech po toku Vlkavy a Hronětického náhonu.</w:t>
      </w:r>
    </w:p>
    <w:p w14:paraId="38CD47C9" w14:textId="77777777" w:rsidR="00FC2281" w:rsidRPr="006070EA" w:rsidRDefault="00FC2281" w:rsidP="00FC2281">
      <w:pPr>
        <w:spacing w:before="120" w:after="120" w:line="240" w:lineRule="auto"/>
        <w:ind w:firstLine="709"/>
        <w:jc w:val="both"/>
        <w:rPr>
          <w:rFonts w:asciiTheme="majorHAnsi" w:hAnsiTheme="majorHAnsi" w:cstheme="majorHAnsi"/>
          <w:i/>
          <w:iCs/>
          <w:sz w:val="18"/>
        </w:rPr>
      </w:pPr>
      <w:r w:rsidRPr="006070EA">
        <w:rPr>
          <w:rFonts w:asciiTheme="majorHAnsi" w:hAnsiTheme="majorHAnsi" w:cstheme="majorHAnsi"/>
          <w:i/>
          <w:iCs/>
          <w:sz w:val="18"/>
        </w:rPr>
        <w:t>1.1.2 SO 02 Tlaková splašková kanalizace</w:t>
      </w:r>
    </w:p>
    <w:p w14:paraId="6D19F06B" w14:textId="788E9F25" w:rsidR="00FC2281" w:rsidRPr="006070EA" w:rsidRDefault="00FC2281" w:rsidP="00FC2281">
      <w:pPr>
        <w:spacing w:before="120" w:after="120" w:line="240" w:lineRule="auto"/>
        <w:ind w:firstLine="709"/>
        <w:jc w:val="both"/>
        <w:rPr>
          <w:rFonts w:asciiTheme="majorHAnsi" w:hAnsiTheme="majorHAnsi" w:cstheme="majorHAnsi"/>
          <w:i/>
          <w:iCs/>
          <w:sz w:val="18"/>
        </w:rPr>
      </w:pPr>
      <w:r w:rsidRPr="006070EA">
        <w:rPr>
          <w:rFonts w:asciiTheme="majorHAnsi" w:hAnsiTheme="majorHAnsi" w:cstheme="majorHAnsi"/>
          <w:i/>
          <w:iCs/>
          <w:sz w:val="18"/>
        </w:rPr>
        <w:t>Tlaková kanalizace v lokalitě je navržena jako větevní síť z materiálu tlakových stok PE100 RC, SDR11 s hnědými pruhy a ochranným opláštěným příslušné dimenze. Potrubí bude svařováno pomocí elektrotvarovek. V ostrých směrových lomech bude využito tvarovek – oblouků, v uzlech odbočných tvarovek. Potrubí určené pro bezvýkopové technologie musí být od výroby vybaveno povrchovou úpravou trubky, potaženou PP vrstvou chránící potrubí před mechanickým poškozením.</w:t>
      </w:r>
    </w:p>
    <w:p w14:paraId="684482AC" w14:textId="77777777" w:rsidR="00634591" w:rsidRPr="006070EA" w:rsidRDefault="00FC2281" w:rsidP="00FC2281">
      <w:pPr>
        <w:spacing w:before="120" w:after="120" w:line="240" w:lineRule="auto"/>
        <w:ind w:firstLine="709"/>
        <w:jc w:val="both"/>
        <w:rPr>
          <w:rFonts w:asciiTheme="majorHAnsi" w:hAnsiTheme="majorHAnsi" w:cstheme="majorHAnsi"/>
          <w:i/>
          <w:iCs/>
          <w:sz w:val="18"/>
        </w:rPr>
      </w:pPr>
      <w:r w:rsidRPr="006070EA">
        <w:rPr>
          <w:rFonts w:asciiTheme="majorHAnsi" w:hAnsiTheme="majorHAnsi" w:cstheme="majorHAnsi"/>
          <w:i/>
          <w:iCs/>
          <w:sz w:val="18"/>
        </w:rPr>
        <w:t>Páteřní větev TK V1 a její odbočka TK V1.1, V1.2, V1.3 prochází celou obcí v silnici III/2725. Na</w:t>
      </w:r>
      <w:r w:rsidR="00634591" w:rsidRPr="006070EA">
        <w:rPr>
          <w:rFonts w:asciiTheme="majorHAnsi" w:hAnsiTheme="majorHAnsi" w:cstheme="majorHAnsi"/>
          <w:i/>
          <w:iCs/>
          <w:sz w:val="18"/>
        </w:rPr>
        <w:t xml:space="preserve"> </w:t>
      </w:r>
      <w:r w:rsidRPr="006070EA">
        <w:rPr>
          <w:rFonts w:asciiTheme="majorHAnsi" w:hAnsiTheme="majorHAnsi" w:cstheme="majorHAnsi"/>
          <w:i/>
          <w:iCs/>
          <w:sz w:val="18"/>
        </w:rPr>
        <w:t>větvi TK V1 jsou navrženy ostatní odbočky tlakové kanalizace TK V1.1, TK V1.2, TK V1.3.</w:t>
      </w:r>
      <w:r w:rsidR="00634591" w:rsidRPr="006070EA">
        <w:rPr>
          <w:rFonts w:asciiTheme="majorHAnsi" w:hAnsiTheme="majorHAnsi" w:cstheme="majorHAnsi"/>
          <w:i/>
          <w:iCs/>
          <w:sz w:val="18"/>
        </w:rPr>
        <w:t xml:space="preserve"> </w:t>
      </w:r>
    </w:p>
    <w:p w14:paraId="2FF3B7C2" w14:textId="0589C649" w:rsidR="00FC2281" w:rsidRPr="006070EA" w:rsidRDefault="00634591" w:rsidP="00FC2281">
      <w:pPr>
        <w:spacing w:before="120" w:after="120" w:line="240" w:lineRule="auto"/>
        <w:ind w:firstLine="709"/>
        <w:jc w:val="both"/>
        <w:rPr>
          <w:rFonts w:asciiTheme="majorHAnsi" w:hAnsiTheme="majorHAnsi" w:cstheme="majorHAnsi"/>
          <w:i/>
          <w:iCs/>
          <w:sz w:val="18"/>
        </w:rPr>
      </w:pPr>
      <w:r w:rsidRPr="006070EA">
        <w:rPr>
          <w:rFonts w:asciiTheme="majorHAnsi" w:hAnsiTheme="majorHAnsi" w:cstheme="majorHAnsi"/>
          <w:i/>
          <w:iCs/>
          <w:sz w:val="18"/>
        </w:rPr>
        <w:t>V</w:t>
      </w:r>
      <w:r w:rsidR="00FC2281" w:rsidRPr="006070EA">
        <w:rPr>
          <w:rFonts w:asciiTheme="majorHAnsi" w:hAnsiTheme="majorHAnsi" w:cstheme="majorHAnsi"/>
          <w:i/>
          <w:iCs/>
          <w:sz w:val="18"/>
        </w:rPr>
        <w:t>ětev TK V1 kříží vodní tok Hronětický náhon a dráhu (trať) Všetaty - Nymburk. V těchto místech</w:t>
      </w:r>
      <w:r w:rsidRPr="006070EA">
        <w:rPr>
          <w:rFonts w:asciiTheme="majorHAnsi" w:hAnsiTheme="majorHAnsi" w:cstheme="majorHAnsi"/>
          <w:i/>
          <w:iCs/>
          <w:sz w:val="18"/>
        </w:rPr>
        <w:t xml:space="preserve"> </w:t>
      </w:r>
      <w:r w:rsidR="00FC2281" w:rsidRPr="006070EA">
        <w:rPr>
          <w:rFonts w:asciiTheme="majorHAnsi" w:hAnsiTheme="majorHAnsi" w:cstheme="majorHAnsi"/>
          <w:i/>
          <w:iCs/>
          <w:sz w:val="18"/>
        </w:rPr>
        <w:t>bude kanalizace uložena v chráničce. Chránička bude realizována bezvýkopovou technologií.</w:t>
      </w:r>
      <w:r w:rsidRPr="006070EA">
        <w:rPr>
          <w:rFonts w:asciiTheme="majorHAnsi" w:hAnsiTheme="majorHAnsi" w:cstheme="majorHAnsi"/>
          <w:i/>
          <w:iCs/>
          <w:sz w:val="18"/>
        </w:rPr>
        <w:t xml:space="preserve"> </w:t>
      </w:r>
      <w:r w:rsidR="00FC2281" w:rsidRPr="006070EA">
        <w:rPr>
          <w:rFonts w:asciiTheme="majorHAnsi" w:hAnsiTheme="majorHAnsi" w:cstheme="majorHAnsi"/>
          <w:i/>
          <w:iCs/>
          <w:sz w:val="18"/>
        </w:rPr>
        <w:t>Krytí chráničky od dna potoka bude min. 1,4 m.</w:t>
      </w:r>
    </w:p>
    <w:p w14:paraId="2EF083E3" w14:textId="07819F0F" w:rsidR="00FC2281" w:rsidRPr="006070EA" w:rsidRDefault="00FC2281" w:rsidP="00FC2281">
      <w:pPr>
        <w:spacing w:before="120" w:after="120" w:line="240" w:lineRule="auto"/>
        <w:ind w:firstLine="709"/>
        <w:jc w:val="both"/>
        <w:rPr>
          <w:rFonts w:asciiTheme="majorHAnsi" w:hAnsiTheme="majorHAnsi" w:cstheme="majorHAnsi"/>
          <w:i/>
          <w:iCs/>
          <w:sz w:val="18"/>
        </w:rPr>
      </w:pPr>
      <w:r w:rsidRPr="006070EA">
        <w:rPr>
          <w:rFonts w:asciiTheme="majorHAnsi" w:hAnsiTheme="majorHAnsi" w:cstheme="majorHAnsi"/>
          <w:i/>
          <w:iCs/>
          <w:sz w:val="18"/>
        </w:rPr>
        <w:t>Do zahájení zemních prací stavebník zajistí polohopisné a výškopisné vytýčení všech podzemních</w:t>
      </w:r>
      <w:r w:rsidR="00634591" w:rsidRPr="006070EA">
        <w:rPr>
          <w:rFonts w:asciiTheme="majorHAnsi" w:hAnsiTheme="majorHAnsi" w:cstheme="majorHAnsi"/>
          <w:i/>
          <w:iCs/>
          <w:sz w:val="18"/>
        </w:rPr>
        <w:t xml:space="preserve"> </w:t>
      </w:r>
      <w:r w:rsidRPr="006070EA">
        <w:rPr>
          <w:rFonts w:asciiTheme="majorHAnsi" w:hAnsiTheme="majorHAnsi" w:cstheme="majorHAnsi"/>
          <w:i/>
          <w:iCs/>
          <w:sz w:val="18"/>
        </w:rPr>
        <w:t>vedení, křižujících i</w:t>
      </w:r>
      <w:r w:rsidR="00634591" w:rsidRPr="006070EA">
        <w:rPr>
          <w:rFonts w:asciiTheme="majorHAnsi" w:hAnsiTheme="majorHAnsi" w:cstheme="majorHAnsi"/>
          <w:i/>
          <w:iCs/>
          <w:sz w:val="18"/>
        </w:rPr>
        <w:t> </w:t>
      </w:r>
      <w:r w:rsidRPr="006070EA">
        <w:rPr>
          <w:rFonts w:asciiTheme="majorHAnsi" w:hAnsiTheme="majorHAnsi" w:cstheme="majorHAnsi"/>
          <w:i/>
          <w:iCs/>
          <w:sz w:val="18"/>
        </w:rPr>
        <w:t>souběžných inženýrských sítí od příslušných správců a zabezpečí jejich</w:t>
      </w:r>
      <w:r w:rsidR="00634591" w:rsidRPr="006070EA">
        <w:rPr>
          <w:rFonts w:asciiTheme="majorHAnsi" w:hAnsiTheme="majorHAnsi" w:cstheme="majorHAnsi"/>
          <w:i/>
          <w:iCs/>
          <w:sz w:val="18"/>
        </w:rPr>
        <w:t xml:space="preserve"> </w:t>
      </w:r>
      <w:r w:rsidRPr="006070EA">
        <w:rPr>
          <w:rFonts w:asciiTheme="majorHAnsi" w:hAnsiTheme="majorHAnsi" w:cstheme="majorHAnsi"/>
          <w:i/>
          <w:iCs/>
          <w:sz w:val="18"/>
        </w:rPr>
        <w:t>vyznačení v terénu.</w:t>
      </w:r>
    </w:p>
    <w:p w14:paraId="2FAD1CFC" w14:textId="2872A769" w:rsidR="00AB1F4C" w:rsidRPr="006070EA" w:rsidRDefault="00AB1F4C" w:rsidP="009E07E1">
      <w:pPr>
        <w:spacing w:before="60" w:after="60" w:line="240" w:lineRule="auto"/>
        <w:ind w:firstLine="709"/>
        <w:jc w:val="both"/>
        <w:rPr>
          <w:rFonts w:asciiTheme="majorHAnsi" w:hAnsiTheme="majorHAnsi" w:cstheme="majorHAnsi"/>
          <w:sz w:val="18"/>
        </w:rPr>
      </w:pPr>
      <w:r w:rsidRPr="006070EA">
        <w:rPr>
          <w:rFonts w:asciiTheme="majorHAnsi" w:hAnsiTheme="majorHAnsi" w:cstheme="majorHAnsi"/>
          <w:sz w:val="18"/>
        </w:rPr>
        <w:t xml:space="preserve">Územním plánem jsou </w:t>
      </w:r>
      <w:r w:rsidR="00FC2281" w:rsidRPr="006070EA">
        <w:rPr>
          <w:rFonts w:asciiTheme="majorHAnsi" w:hAnsiTheme="majorHAnsi" w:cstheme="majorHAnsi"/>
          <w:sz w:val="18"/>
        </w:rPr>
        <w:t xml:space="preserve">dále </w:t>
      </w:r>
      <w:r w:rsidRPr="006070EA">
        <w:rPr>
          <w:rFonts w:asciiTheme="majorHAnsi" w:hAnsiTheme="majorHAnsi" w:cstheme="majorHAnsi"/>
          <w:sz w:val="18"/>
        </w:rPr>
        <w:t>v rámci hlavního, přípustného či podmíněně přípustného využití stanoveny podmínky pro realizaci staveb a sítí technické infrastruktury ve všech plochách s rozdílným způsobem využití.</w:t>
      </w:r>
    </w:p>
    <w:p w14:paraId="1F3DCBC9" w14:textId="77777777" w:rsidR="00AB1F4C" w:rsidRPr="006070EA" w:rsidRDefault="00AB1F4C" w:rsidP="009E07E1">
      <w:pPr>
        <w:spacing w:before="60" w:after="60" w:line="240" w:lineRule="auto"/>
        <w:ind w:firstLine="709"/>
        <w:jc w:val="both"/>
        <w:rPr>
          <w:rFonts w:asciiTheme="majorHAnsi" w:hAnsiTheme="majorHAnsi" w:cstheme="majorHAnsi"/>
          <w:sz w:val="18"/>
        </w:rPr>
      </w:pPr>
      <w:r w:rsidRPr="006070EA">
        <w:rPr>
          <w:rFonts w:asciiTheme="majorHAnsi" w:hAnsiTheme="majorHAnsi" w:cstheme="majorHAnsi"/>
          <w:sz w:val="18"/>
        </w:rPr>
        <w:t>Při realizaci nové zástavby je třeba postupovat v souladu s ustanovením § 5 zákona č. 254/2001 Sb., o vodách a</w:t>
      </w:r>
      <w:r w:rsidR="001A3DCA" w:rsidRPr="006070EA">
        <w:rPr>
          <w:rFonts w:asciiTheme="majorHAnsi" w:hAnsiTheme="majorHAnsi" w:cstheme="majorHAnsi"/>
          <w:sz w:val="18"/>
        </w:rPr>
        <w:t> </w:t>
      </w:r>
      <w:r w:rsidRPr="006070EA">
        <w:rPr>
          <w:rFonts w:asciiTheme="majorHAnsi" w:hAnsiTheme="majorHAnsi" w:cstheme="majorHAnsi"/>
          <w:sz w:val="18"/>
        </w:rPr>
        <w:t>o</w:t>
      </w:r>
      <w:r w:rsidR="001A3DCA" w:rsidRPr="006070EA">
        <w:rPr>
          <w:rFonts w:asciiTheme="majorHAnsi" w:hAnsiTheme="majorHAnsi" w:cstheme="majorHAnsi"/>
          <w:sz w:val="18"/>
        </w:rPr>
        <w:t> </w:t>
      </w:r>
      <w:r w:rsidRPr="006070EA">
        <w:rPr>
          <w:rFonts w:asciiTheme="majorHAnsi" w:hAnsiTheme="majorHAnsi" w:cstheme="majorHAnsi"/>
          <w:sz w:val="18"/>
        </w:rPr>
        <w:t>změně některých zákonů (vodní zákon), ve znění pozdějších předpisů, tzn. zabezpečit zásobování těchto lokalit vodou a</w:t>
      </w:r>
      <w:r w:rsidR="001A3DCA" w:rsidRPr="006070EA">
        <w:rPr>
          <w:rFonts w:asciiTheme="majorHAnsi" w:hAnsiTheme="majorHAnsi" w:cstheme="majorHAnsi"/>
          <w:sz w:val="18"/>
        </w:rPr>
        <w:t> </w:t>
      </w:r>
      <w:r w:rsidRPr="006070EA">
        <w:rPr>
          <w:rFonts w:asciiTheme="majorHAnsi" w:hAnsiTheme="majorHAnsi" w:cstheme="majorHAnsi"/>
          <w:sz w:val="18"/>
        </w:rPr>
        <w:t>zajistit odvádění, čištění, popřípadě jiné zneškodňování odpadních vod.</w:t>
      </w:r>
    </w:p>
    <w:p w14:paraId="20BFA880" w14:textId="0D6BF6DF" w:rsidR="003317EA" w:rsidRPr="006070EA" w:rsidRDefault="003317EA" w:rsidP="003317EA">
      <w:pPr>
        <w:pStyle w:val="Atext"/>
        <w:spacing w:before="60" w:after="60"/>
        <w:rPr>
          <w:rFonts w:asciiTheme="majorHAnsi" w:hAnsiTheme="majorHAnsi" w:cstheme="majorHAnsi"/>
          <w:lang w:eastAsia="cs-CZ"/>
        </w:rPr>
      </w:pPr>
      <w:r w:rsidRPr="006070EA">
        <w:rPr>
          <w:rFonts w:asciiTheme="majorHAnsi" w:hAnsiTheme="majorHAnsi" w:cstheme="majorHAnsi"/>
        </w:rPr>
        <w:t xml:space="preserve">Zákres stávajících kanalizačních řadů včetně objektů na síti je znázorněn v grafické části Odůvodnění územního plánu ve výkrese </w:t>
      </w:r>
      <w:r w:rsidR="007361C1" w:rsidRPr="006070EA">
        <w:rPr>
          <w:rFonts w:asciiTheme="majorHAnsi" w:hAnsiTheme="majorHAnsi" w:cstheme="majorHAnsi"/>
          <w:i/>
        </w:rPr>
        <w:t>4</w:t>
      </w:r>
      <w:r w:rsidRPr="006070EA">
        <w:rPr>
          <w:rFonts w:asciiTheme="majorHAnsi" w:hAnsiTheme="majorHAnsi" w:cstheme="majorHAnsi"/>
          <w:i/>
        </w:rPr>
        <w:t> Koordinační výkres</w:t>
      </w:r>
      <w:r w:rsidRPr="006070EA">
        <w:rPr>
          <w:rFonts w:asciiTheme="majorHAnsi" w:hAnsiTheme="majorHAnsi" w:cstheme="majorHAnsi"/>
        </w:rPr>
        <w:t>. S ohledem na měřítko výkresu jde pouze o schematické vyjádření koncepce kanalizace a</w:t>
      </w:r>
      <w:r w:rsidR="007361C1" w:rsidRPr="006070EA">
        <w:rPr>
          <w:rFonts w:asciiTheme="majorHAnsi" w:hAnsiTheme="majorHAnsi" w:cstheme="majorHAnsi"/>
        </w:rPr>
        <w:t> </w:t>
      </w:r>
      <w:r w:rsidRPr="006070EA">
        <w:rPr>
          <w:rFonts w:asciiTheme="majorHAnsi" w:hAnsiTheme="majorHAnsi" w:cstheme="majorHAnsi"/>
        </w:rPr>
        <w:t xml:space="preserve">odstraňování odpadních vod bez vztahu k jednotlivým pozemkovým parcelám. </w:t>
      </w:r>
      <w:r w:rsidRPr="006070EA">
        <w:rPr>
          <w:rFonts w:asciiTheme="majorHAnsi" w:hAnsiTheme="majorHAnsi" w:cstheme="majorHAnsi"/>
          <w:lang w:eastAsia="cs-CZ"/>
        </w:rPr>
        <w:t>V navazujících řízeních tak nejsou vyloučeny změny tras jednotlivých řadů a umístění objektů na vodovodní síti.</w:t>
      </w:r>
    </w:p>
    <w:p w14:paraId="1E98AC61" w14:textId="77777777" w:rsidR="000431A8" w:rsidRPr="006070EA" w:rsidRDefault="000431A8" w:rsidP="009E07E1">
      <w:pPr>
        <w:pStyle w:val="Anadpistun"/>
        <w:rPr>
          <w:rFonts w:asciiTheme="majorHAnsi" w:hAnsiTheme="majorHAnsi" w:cstheme="majorHAnsi"/>
        </w:rPr>
      </w:pPr>
      <w:r w:rsidRPr="006070EA">
        <w:rPr>
          <w:rFonts w:asciiTheme="majorHAnsi" w:hAnsiTheme="majorHAnsi" w:cstheme="majorHAnsi"/>
        </w:rPr>
        <w:lastRenderedPageBreak/>
        <w:t>Koncepce odstraňování dešťových vod</w:t>
      </w:r>
    </w:p>
    <w:p w14:paraId="6219C79F" w14:textId="77777777" w:rsidR="000431A8" w:rsidRPr="006070EA" w:rsidRDefault="000431A8" w:rsidP="00EF7B4B">
      <w:pPr>
        <w:pStyle w:val="Norml"/>
        <w:keepLines/>
        <w:spacing w:before="60" w:after="60"/>
        <w:ind w:firstLine="709"/>
        <w:rPr>
          <w:rFonts w:asciiTheme="majorHAnsi" w:hAnsiTheme="majorHAnsi" w:cstheme="majorHAnsi"/>
        </w:rPr>
      </w:pPr>
      <w:r w:rsidRPr="006070EA">
        <w:rPr>
          <w:rFonts w:asciiTheme="majorHAnsi" w:hAnsiTheme="majorHAnsi" w:cstheme="majorHAnsi"/>
        </w:rPr>
        <w:t>Nakládání s dešťovými vodami se řídí zákonem č. 254/2001 Sb., ve znění pozdějších předpisů. Na</w:t>
      </w:r>
      <w:r w:rsidR="00783537" w:rsidRPr="006070EA">
        <w:rPr>
          <w:rFonts w:asciiTheme="majorHAnsi" w:hAnsiTheme="majorHAnsi" w:cstheme="majorHAnsi"/>
        </w:rPr>
        <w:t> </w:t>
      </w:r>
      <w:r w:rsidRPr="006070EA">
        <w:rPr>
          <w:rFonts w:asciiTheme="majorHAnsi" w:hAnsiTheme="majorHAnsi" w:cstheme="majorHAnsi"/>
        </w:rPr>
        <w:t xml:space="preserve">základě zkušeností posledních let, aktuálních oborových poznatků a světových trendů bude v budoucnu základním cílem udržet maximální množství srážkové vody v místě jejího dopadu. Období budování jednotných kanalizačních systémů, plošného odvodňování zemědělských pozemků, regulací vodních toků, industrializace zemědělské výroby a masivního zpevňování ploch vyvolalo výrazné zrychlení povrchového odtoku. Územní plán deklaruje jednoznačnou podporu takových opatření, která budou směřovat k zadržení srážkové vody v území. </w:t>
      </w:r>
    </w:p>
    <w:p w14:paraId="3DCF6A8C" w14:textId="77777777" w:rsidR="00634591" w:rsidRPr="006070EA" w:rsidRDefault="00634591" w:rsidP="009E07E1">
      <w:pPr>
        <w:pStyle w:val="Atext"/>
        <w:spacing w:before="60" w:after="60"/>
        <w:rPr>
          <w:rFonts w:asciiTheme="majorHAnsi" w:hAnsiTheme="majorHAnsi" w:cstheme="majorHAnsi"/>
        </w:rPr>
      </w:pPr>
      <w:r w:rsidRPr="006070EA">
        <w:rPr>
          <w:rFonts w:asciiTheme="majorHAnsi" w:hAnsiTheme="majorHAnsi" w:cstheme="majorHAnsi"/>
        </w:rPr>
        <w:t xml:space="preserve">S ohledem na požadavek vytváření podmínek pro zadržování, vsakování i využívání dešťových vod jako zdrojů vody (viz např. priorita č. 24 PÚR ČR) je v rámci koncepce likvidace odpadních vod v území upřednostněno odstraňování dešťových vod přímo na pozemcích jednotlivých nemovitostí. Jedná se zároveň o reakci na stávající trendy ve výstavbě, kdy v dřívějších letech docházelo k značnému rozvoji budování zpevněných ploch a jejich odvodňování do kanalizace, čímž docházelo ke zvyšování maximálního průtoku ve stokové síti a k vyčerpání jejích kapacitních možností. </w:t>
      </w:r>
    </w:p>
    <w:p w14:paraId="120C1C6B" w14:textId="7907DDA8" w:rsidR="000431A8" w:rsidRPr="006070EA" w:rsidRDefault="000431A8" w:rsidP="009E07E1">
      <w:pPr>
        <w:pStyle w:val="Atext"/>
        <w:spacing w:before="60" w:after="60"/>
        <w:rPr>
          <w:rFonts w:asciiTheme="majorHAnsi" w:hAnsiTheme="majorHAnsi" w:cstheme="majorHAnsi"/>
        </w:rPr>
      </w:pPr>
      <w:r w:rsidRPr="006070EA">
        <w:rPr>
          <w:rFonts w:asciiTheme="majorHAnsi" w:hAnsiTheme="majorHAnsi" w:cstheme="majorHAnsi"/>
        </w:rPr>
        <w:t>Při zástavbě je nutno dbát na to, aby odtokové poměry z povrchu urbanizovaného území byly po výstavbě srovnatelné se stavem před ní, tzn., aby nedocházelo k výraznému zhoršení odtokových poměrů v</w:t>
      </w:r>
      <w:r w:rsidR="00783537" w:rsidRPr="006070EA">
        <w:rPr>
          <w:rFonts w:asciiTheme="majorHAnsi" w:hAnsiTheme="majorHAnsi" w:cstheme="majorHAnsi"/>
        </w:rPr>
        <w:t> </w:t>
      </w:r>
      <w:r w:rsidRPr="006070EA">
        <w:rPr>
          <w:rFonts w:asciiTheme="majorHAnsi" w:hAnsiTheme="majorHAnsi" w:cstheme="majorHAnsi"/>
        </w:rPr>
        <w:t>území. V zastavěném území a zastavitelných plochách je nutné srážkové vody z důvodu zpomalení odtoku z území v maximální možné míře likvidovány přímo na pozemcích (akumulací, vsakováním) v souladu s vyhláškou č. 501/2006 Sb., o obecných požadavcích na využívání území.</w:t>
      </w:r>
    </w:p>
    <w:p w14:paraId="75AAFFCC" w14:textId="77777777" w:rsidR="000431A8" w:rsidRPr="006070EA" w:rsidRDefault="000431A8" w:rsidP="009E07E1">
      <w:pPr>
        <w:pStyle w:val="Atext"/>
        <w:spacing w:before="60" w:after="60"/>
        <w:rPr>
          <w:rFonts w:asciiTheme="majorHAnsi" w:hAnsiTheme="majorHAnsi" w:cstheme="majorHAnsi"/>
        </w:rPr>
      </w:pPr>
      <w:r w:rsidRPr="006070EA">
        <w:rPr>
          <w:rFonts w:asciiTheme="majorHAnsi" w:hAnsiTheme="majorHAnsi" w:cstheme="majorHAnsi"/>
        </w:rPr>
        <w:t>V zastavěném území a zastavitelných plochách je nezbytné upřednostnit akumulaci a vsakování před přímým zaústěním do odvodňovacích systémů (i povrchových).</w:t>
      </w:r>
    </w:p>
    <w:p w14:paraId="1AD37E4F" w14:textId="2A9C245D" w:rsidR="00AB1F4C" w:rsidRPr="006070EA" w:rsidRDefault="000431A8" w:rsidP="00033E23">
      <w:pPr>
        <w:pStyle w:val="Atext"/>
        <w:spacing w:before="60" w:after="60"/>
        <w:rPr>
          <w:rFonts w:asciiTheme="majorHAnsi" w:hAnsiTheme="majorHAnsi" w:cstheme="majorHAnsi"/>
        </w:rPr>
      </w:pPr>
      <w:r w:rsidRPr="006070EA">
        <w:rPr>
          <w:rFonts w:asciiTheme="majorHAnsi" w:hAnsiTheme="majorHAnsi" w:cstheme="majorHAnsi"/>
        </w:rPr>
        <w:t>V nezastavěném území je nutné podporovat opatření, zejména nestavebního charakteru směřující k obecnému zvyšování retenčních schopností území. Jedná se často o způsoby a postupy hospodaření na zemědělské půdě, ochranná a</w:t>
      </w:r>
      <w:r w:rsidR="00574A12" w:rsidRPr="006070EA">
        <w:rPr>
          <w:rFonts w:asciiTheme="majorHAnsi" w:hAnsiTheme="majorHAnsi" w:cstheme="majorHAnsi"/>
        </w:rPr>
        <w:t> </w:t>
      </w:r>
      <w:r w:rsidRPr="006070EA">
        <w:rPr>
          <w:rFonts w:asciiTheme="majorHAnsi" w:hAnsiTheme="majorHAnsi" w:cstheme="majorHAnsi"/>
        </w:rPr>
        <w:t xml:space="preserve">revitalizační opatření na vodních tocích a v údolních nivách a zásady při navrhování liniových staveb dopravní infrastruktury. </w:t>
      </w:r>
    </w:p>
    <w:p w14:paraId="669D5EA1" w14:textId="1D7CA3FA" w:rsidR="00634591" w:rsidRPr="006070EA" w:rsidRDefault="00634591" w:rsidP="00634591">
      <w:pPr>
        <w:pStyle w:val="Atext"/>
        <w:keepNext/>
        <w:ind w:firstLine="0"/>
        <w:jc w:val="right"/>
        <w:rPr>
          <w:rFonts w:asciiTheme="majorHAnsi" w:hAnsiTheme="majorHAnsi" w:cstheme="majorHAnsi"/>
          <w:i/>
          <w:snapToGrid w:val="0"/>
          <w:u w:val="single"/>
        </w:rPr>
      </w:pPr>
      <w:r w:rsidRPr="006070EA">
        <w:rPr>
          <w:rFonts w:asciiTheme="majorHAnsi" w:hAnsiTheme="majorHAnsi" w:cstheme="majorHAnsi"/>
          <w:i/>
          <w:snapToGrid w:val="0"/>
          <w:u w:val="single"/>
        </w:rPr>
        <w:t xml:space="preserve">Odůvodnění odst. </w:t>
      </w:r>
      <w:r w:rsidRPr="006070EA">
        <w:rPr>
          <w:rFonts w:asciiTheme="majorHAnsi" w:hAnsiTheme="majorHAnsi" w:cstheme="majorHAnsi"/>
          <w:b/>
          <w:i/>
          <w:snapToGrid w:val="0"/>
          <w:u w:val="single"/>
        </w:rPr>
        <w:t>(</w:t>
      </w:r>
      <w:r w:rsidR="0021590A">
        <w:rPr>
          <w:rFonts w:asciiTheme="majorHAnsi" w:hAnsiTheme="majorHAnsi" w:cstheme="majorHAnsi"/>
          <w:b/>
          <w:i/>
          <w:snapToGrid w:val="0"/>
          <w:u w:val="single"/>
        </w:rPr>
        <w:t>38</w:t>
      </w:r>
      <w:r w:rsidRPr="006070EA">
        <w:rPr>
          <w:rFonts w:asciiTheme="majorHAnsi" w:hAnsiTheme="majorHAnsi" w:cstheme="majorHAnsi"/>
          <w:b/>
          <w:i/>
          <w:snapToGrid w:val="0"/>
          <w:u w:val="single"/>
        </w:rPr>
        <w:t xml:space="preserve">) </w:t>
      </w:r>
      <w:r w:rsidRPr="006070EA">
        <w:rPr>
          <w:rFonts w:asciiTheme="majorHAnsi" w:hAnsiTheme="majorHAnsi" w:cstheme="majorHAnsi"/>
          <w:i/>
          <w:snapToGrid w:val="0"/>
          <w:u w:val="single"/>
        </w:rPr>
        <w:t>výrokové části</w:t>
      </w:r>
    </w:p>
    <w:p w14:paraId="6153E404" w14:textId="46FCFF8E" w:rsidR="00634591" w:rsidRPr="006070EA" w:rsidRDefault="00634591" w:rsidP="00033E23">
      <w:pPr>
        <w:pStyle w:val="Atext"/>
        <w:spacing w:before="60" w:after="60"/>
        <w:rPr>
          <w:rFonts w:asciiTheme="majorHAnsi" w:hAnsiTheme="majorHAnsi" w:cstheme="majorHAnsi"/>
        </w:rPr>
      </w:pPr>
      <w:r w:rsidRPr="006070EA">
        <w:rPr>
          <w:rFonts w:asciiTheme="majorHAnsi" w:hAnsiTheme="majorHAnsi" w:cstheme="majorHAnsi"/>
        </w:rPr>
        <w:t xml:space="preserve">Odůvodnění vymezení koridoru technické infrastruktury </w:t>
      </w:r>
      <w:r w:rsidR="0054075C" w:rsidRPr="006070EA">
        <w:rPr>
          <w:rFonts w:asciiTheme="majorHAnsi" w:hAnsiTheme="majorHAnsi" w:cstheme="majorHAnsi"/>
        </w:rPr>
        <w:t>CNU.</w:t>
      </w:r>
      <w:r w:rsidRPr="006070EA">
        <w:rPr>
          <w:rFonts w:asciiTheme="majorHAnsi" w:hAnsiTheme="majorHAnsi" w:cstheme="majorHAnsi"/>
        </w:rPr>
        <w:t>KTI1 je uvedeno v předchozích částech této kapitoly – Zásobování vodou a Kanalizace a odstraňování odpadních vod (v rámci dílčích odůvodnění jednotlivých koncepcí).</w:t>
      </w:r>
    </w:p>
    <w:p w14:paraId="72A7F6BB" w14:textId="4E5BAF3E" w:rsidR="00634591" w:rsidRPr="006070EA" w:rsidRDefault="00634591" w:rsidP="00634591">
      <w:pPr>
        <w:pStyle w:val="Atext"/>
        <w:keepNext/>
        <w:rPr>
          <w:rFonts w:asciiTheme="majorHAnsi" w:hAnsiTheme="majorHAnsi" w:cstheme="majorHAnsi"/>
        </w:rPr>
      </w:pPr>
      <w:r w:rsidRPr="006070EA">
        <w:rPr>
          <w:rFonts w:asciiTheme="majorHAnsi" w:hAnsiTheme="majorHAnsi" w:cstheme="majorHAnsi"/>
        </w:rPr>
        <w:t>Koridor technické infrastruktury je vymezen v případě, kdy přesné umístění stavby technické infrastruktury není přesně známo a je nutné jej prověřit a zpřesnit v rámci podrobnějších podkladů a dokumentací, případně pro zajištění dostatečného prostoru pro realizaci souvisejících staveb a opatření. Vymezení překryvného koridoru nad odlišnými plochami s</w:t>
      </w:r>
      <w:r w:rsidR="0054075C" w:rsidRPr="006070EA">
        <w:rPr>
          <w:rFonts w:asciiTheme="majorHAnsi" w:hAnsiTheme="majorHAnsi" w:cstheme="majorHAnsi"/>
        </w:rPr>
        <w:t> </w:t>
      </w:r>
      <w:r w:rsidRPr="006070EA">
        <w:rPr>
          <w:rFonts w:asciiTheme="majorHAnsi" w:hAnsiTheme="majorHAnsi" w:cstheme="majorHAnsi"/>
        </w:rPr>
        <w:t>rozdílným způsobem využití představuje způsob, jak vytvořit předpoklady pro umístění stavby technické infrastruktury v optimální poloze bez nutnosti změny ÚP; jedná se o výhodnější způsob, než je varianta vymezení konkrétní užší zastavitelné plochy či plochy přestavby, která se uplatní v případě, kdy je přesné umístění stavby již podrobněji prověřeno.</w:t>
      </w:r>
    </w:p>
    <w:p w14:paraId="4E0C89BF" w14:textId="292316CE" w:rsidR="00634591" w:rsidRPr="006070EA" w:rsidRDefault="00634591" w:rsidP="00634591">
      <w:pPr>
        <w:pStyle w:val="Atext"/>
        <w:keepNext/>
        <w:ind w:firstLine="0"/>
        <w:jc w:val="right"/>
        <w:rPr>
          <w:rFonts w:asciiTheme="majorHAnsi" w:hAnsiTheme="majorHAnsi" w:cstheme="majorHAnsi"/>
          <w:i/>
          <w:snapToGrid w:val="0"/>
          <w:u w:val="single"/>
        </w:rPr>
      </w:pPr>
      <w:r w:rsidRPr="006070EA">
        <w:rPr>
          <w:rFonts w:asciiTheme="majorHAnsi" w:hAnsiTheme="majorHAnsi" w:cstheme="majorHAnsi"/>
          <w:i/>
          <w:snapToGrid w:val="0"/>
          <w:u w:val="single"/>
        </w:rPr>
        <w:t xml:space="preserve">Odůvodnění odst. </w:t>
      </w:r>
      <w:r w:rsidRPr="006070EA">
        <w:rPr>
          <w:rFonts w:asciiTheme="majorHAnsi" w:hAnsiTheme="majorHAnsi" w:cstheme="majorHAnsi"/>
          <w:b/>
          <w:i/>
          <w:snapToGrid w:val="0"/>
          <w:u w:val="single"/>
        </w:rPr>
        <w:t>(</w:t>
      </w:r>
      <w:r w:rsidR="0021590A">
        <w:rPr>
          <w:rFonts w:asciiTheme="majorHAnsi" w:hAnsiTheme="majorHAnsi" w:cstheme="majorHAnsi"/>
          <w:b/>
          <w:i/>
          <w:snapToGrid w:val="0"/>
          <w:u w:val="single"/>
        </w:rPr>
        <w:t>39</w:t>
      </w:r>
      <w:r w:rsidRPr="006070EA">
        <w:rPr>
          <w:rFonts w:asciiTheme="majorHAnsi" w:hAnsiTheme="majorHAnsi" w:cstheme="majorHAnsi"/>
          <w:b/>
          <w:i/>
          <w:snapToGrid w:val="0"/>
          <w:u w:val="single"/>
        </w:rPr>
        <w:t xml:space="preserve">) </w:t>
      </w:r>
      <w:r w:rsidRPr="006070EA">
        <w:rPr>
          <w:rFonts w:asciiTheme="majorHAnsi" w:hAnsiTheme="majorHAnsi" w:cstheme="majorHAnsi"/>
          <w:i/>
          <w:snapToGrid w:val="0"/>
          <w:u w:val="single"/>
        </w:rPr>
        <w:t>výrokové části</w:t>
      </w:r>
    </w:p>
    <w:p w14:paraId="7A184DC6" w14:textId="3AEE786B" w:rsidR="00634591" w:rsidRPr="006070EA" w:rsidRDefault="00634591" w:rsidP="00634591">
      <w:pPr>
        <w:pStyle w:val="Atext"/>
        <w:spacing w:before="60" w:after="60"/>
        <w:rPr>
          <w:rFonts w:asciiTheme="majorHAnsi" w:hAnsiTheme="majorHAnsi" w:cstheme="majorHAnsi"/>
          <w:color w:val="FF0000"/>
        </w:rPr>
      </w:pPr>
      <w:r w:rsidRPr="006070EA">
        <w:rPr>
          <w:rFonts w:asciiTheme="majorHAnsi" w:hAnsiTheme="majorHAnsi" w:cstheme="majorHAnsi"/>
        </w:rPr>
        <w:t>Po realizaci stavby, pro kterou je koridor vymezen, podmínky stanovené v koridoru automaticky zanikají a platí pouze podmínky stanovené v plochách s rozdílným způsobem využití vymezených pod koridorem. Pokud by pro stavbu technické infrastruktury byly vymezeny širší plochy s rozdílným způsobem využití nebo koridor nepřekryvný, bylo by po realizaci staveb nutné „zbytkové“ části území po dokončení stavby změnit (formou změny územního plánu) na požadované (případně i</w:t>
      </w:r>
      <w:r w:rsidR="0054075C" w:rsidRPr="006070EA">
        <w:rPr>
          <w:rFonts w:asciiTheme="majorHAnsi" w:hAnsiTheme="majorHAnsi" w:cstheme="majorHAnsi"/>
        </w:rPr>
        <w:t> </w:t>
      </w:r>
      <w:r w:rsidRPr="006070EA">
        <w:rPr>
          <w:rFonts w:asciiTheme="majorHAnsi" w:hAnsiTheme="majorHAnsi" w:cstheme="majorHAnsi"/>
        </w:rPr>
        <w:t>stabilizované) plochy s rozdílným způsobem využití. Z tohoto důvodu je řešení v podobě překryvného koridoru výhodnější a</w:t>
      </w:r>
      <w:r w:rsidR="0054075C" w:rsidRPr="006070EA">
        <w:rPr>
          <w:rFonts w:asciiTheme="majorHAnsi" w:hAnsiTheme="majorHAnsi" w:cstheme="majorHAnsi"/>
        </w:rPr>
        <w:t> </w:t>
      </w:r>
      <w:r w:rsidRPr="006070EA">
        <w:rPr>
          <w:rFonts w:asciiTheme="majorHAnsi" w:hAnsiTheme="majorHAnsi" w:cstheme="majorHAnsi"/>
        </w:rPr>
        <w:t>zajišťuje větší flexibilitu územního plánu v případě umisťování staveb veřejné infrastruktury.</w:t>
      </w:r>
    </w:p>
    <w:p w14:paraId="3EA14B61" w14:textId="77777777" w:rsidR="00AB1F4C" w:rsidRPr="006070EA" w:rsidRDefault="00F92BC0" w:rsidP="009E07E1">
      <w:pPr>
        <w:keepNext/>
        <w:shd w:val="clear" w:color="auto" w:fill="F2F2F2" w:themeFill="background1" w:themeFillShade="F2"/>
        <w:spacing w:before="120" w:after="120" w:line="240" w:lineRule="auto"/>
        <w:rPr>
          <w:rFonts w:asciiTheme="majorHAnsi" w:hAnsiTheme="majorHAnsi" w:cstheme="majorHAnsi"/>
          <w:b/>
          <w:sz w:val="20"/>
        </w:rPr>
      </w:pPr>
      <w:r w:rsidRPr="006070EA">
        <w:rPr>
          <w:rFonts w:asciiTheme="majorHAnsi" w:hAnsiTheme="majorHAnsi" w:cstheme="majorHAnsi"/>
          <w:b/>
          <w:sz w:val="20"/>
        </w:rPr>
        <w:t>Zásobování elektrickou energií</w:t>
      </w:r>
    </w:p>
    <w:p w14:paraId="4CD5A84C" w14:textId="13934E80" w:rsidR="00CB02FC" w:rsidRPr="006070EA" w:rsidRDefault="00CB02FC" w:rsidP="009E07E1">
      <w:pPr>
        <w:pStyle w:val="Atext"/>
        <w:keepNext/>
        <w:ind w:firstLine="0"/>
        <w:jc w:val="right"/>
        <w:rPr>
          <w:rFonts w:asciiTheme="majorHAnsi" w:hAnsiTheme="majorHAnsi" w:cstheme="majorHAnsi"/>
          <w:i/>
          <w:snapToGrid w:val="0"/>
          <w:u w:val="single"/>
        </w:rPr>
      </w:pPr>
      <w:r w:rsidRPr="006070EA">
        <w:rPr>
          <w:rFonts w:asciiTheme="majorHAnsi" w:hAnsiTheme="majorHAnsi" w:cstheme="majorHAnsi"/>
          <w:i/>
          <w:snapToGrid w:val="0"/>
          <w:u w:val="single"/>
        </w:rPr>
        <w:t xml:space="preserve">Odůvodnění odst. </w:t>
      </w:r>
      <w:r w:rsidRPr="006070EA">
        <w:rPr>
          <w:rFonts w:asciiTheme="majorHAnsi" w:hAnsiTheme="majorHAnsi" w:cstheme="majorHAnsi"/>
          <w:b/>
          <w:i/>
          <w:snapToGrid w:val="0"/>
          <w:u w:val="single"/>
        </w:rPr>
        <w:t>(</w:t>
      </w:r>
      <w:r w:rsidR="00EB2413" w:rsidRPr="006070EA">
        <w:rPr>
          <w:rFonts w:asciiTheme="majorHAnsi" w:hAnsiTheme="majorHAnsi" w:cstheme="majorHAnsi"/>
          <w:b/>
          <w:i/>
          <w:snapToGrid w:val="0"/>
          <w:u w:val="single"/>
        </w:rPr>
        <w:t>4</w:t>
      </w:r>
      <w:r w:rsidR="0021590A">
        <w:rPr>
          <w:rFonts w:asciiTheme="majorHAnsi" w:hAnsiTheme="majorHAnsi" w:cstheme="majorHAnsi"/>
          <w:b/>
          <w:i/>
          <w:snapToGrid w:val="0"/>
          <w:u w:val="single"/>
        </w:rPr>
        <w:t>0</w:t>
      </w:r>
      <w:r w:rsidRPr="006070EA">
        <w:rPr>
          <w:rFonts w:asciiTheme="majorHAnsi" w:hAnsiTheme="majorHAnsi" w:cstheme="majorHAnsi"/>
          <w:b/>
          <w:i/>
          <w:snapToGrid w:val="0"/>
          <w:u w:val="single"/>
        </w:rPr>
        <w:t xml:space="preserve">) </w:t>
      </w:r>
      <w:r w:rsidRPr="006070EA">
        <w:rPr>
          <w:rFonts w:asciiTheme="majorHAnsi" w:hAnsiTheme="majorHAnsi" w:cstheme="majorHAnsi"/>
          <w:i/>
          <w:snapToGrid w:val="0"/>
          <w:u w:val="single"/>
        </w:rPr>
        <w:t>výrokové části</w:t>
      </w:r>
    </w:p>
    <w:p w14:paraId="3BA64034" w14:textId="77777777" w:rsidR="00AB1F4C" w:rsidRPr="006070EA" w:rsidRDefault="008F5CB2" w:rsidP="009E07E1">
      <w:pPr>
        <w:keepNext/>
        <w:tabs>
          <w:tab w:val="left" w:pos="2070"/>
        </w:tabs>
        <w:spacing w:before="120" w:after="60" w:line="240" w:lineRule="auto"/>
        <w:jc w:val="both"/>
        <w:rPr>
          <w:rFonts w:asciiTheme="majorHAnsi" w:hAnsiTheme="majorHAnsi" w:cstheme="majorHAnsi"/>
          <w:b/>
          <w:sz w:val="18"/>
        </w:rPr>
      </w:pPr>
      <w:r w:rsidRPr="006070EA">
        <w:rPr>
          <w:rFonts w:asciiTheme="majorHAnsi" w:hAnsiTheme="majorHAnsi" w:cstheme="majorHAnsi"/>
          <w:b/>
          <w:sz w:val="18"/>
        </w:rPr>
        <w:t>Popis stávající situace</w:t>
      </w:r>
      <w:r w:rsidR="00EB289F" w:rsidRPr="006070EA">
        <w:rPr>
          <w:rFonts w:asciiTheme="majorHAnsi" w:hAnsiTheme="majorHAnsi" w:cstheme="majorHAnsi"/>
          <w:b/>
          <w:sz w:val="18"/>
        </w:rPr>
        <w:t xml:space="preserve"> a návrh</w:t>
      </w:r>
    </w:p>
    <w:p w14:paraId="162DF986" w14:textId="77777777" w:rsidR="0059533B" w:rsidRPr="006070EA" w:rsidRDefault="0059533B" w:rsidP="0059533B">
      <w:pPr>
        <w:spacing w:before="120" w:after="120" w:line="240" w:lineRule="auto"/>
        <w:jc w:val="both"/>
        <w:rPr>
          <w:rFonts w:asciiTheme="majorHAnsi" w:hAnsiTheme="majorHAnsi" w:cstheme="majorHAnsi"/>
          <w:sz w:val="18"/>
          <w:u w:val="single"/>
        </w:rPr>
      </w:pPr>
      <w:r w:rsidRPr="006070EA">
        <w:rPr>
          <w:rFonts w:asciiTheme="majorHAnsi" w:hAnsiTheme="majorHAnsi" w:cstheme="majorHAnsi"/>
          <w:sz w:val="18"/>
          <w:u w:val="single"/>
        </w:rPr>
        <w:t>Způsob napájení</w:t>
      </w:r>
    </w:p>
    <w:p w14:paraId="10F98C29" w14:textId="77777777" w:rsidR="0013478F" w:rsidRPr="006070EA" w:rsidRDefault="0013478F" w:rsidP="0013478F">
      <w:pPr>
        <w:pStyle w:val="Atext"/>
        <w:rPr>
          <w:rFonts w:asciiTheme="majorHAnsi" w:hAnsiTheme="majorHAnsi" w:cstheme="majorHAnsi"/>
          <w:lang w:eastAsia="cs-CZ"/>
        </w:rPr>
      </w:pPr>
      <w:r w:rsidRPr="006070EA">
        <w:rPr>
          <w:rFonts w:asciiTheme="majorHAnsi" w:hAnsiTheme="majorHAnsi" w:cstheme="majorHAnsi"/>
          <w:lang w:eastAsia="cs-CZ"/>
        </w:rPr>
        <w:t xml:space="preserve">Provozovatelem sítě elektrické energie je ČEZ Distribuce, a.s. </w:t>
      </w:r>
    </w:p>
    <w:p w14:paraId="5082AB3A" w14:textId="11B7BD72" w:rsidR="0013478F" w:rsidRPr="006070EA" w:rsidRDefault="0013478F" w:rsidP="0013478F">
      <w:pPr>
        <w:pStyle w:val="Atext"/>
        <w:rPr>
          <w:rFonts w:asciiTheme="majorHAnsi" w:hAnsiTheme="majorHAnsi" w:cstheme="majorHAnsi"/>
          <w:lang w:eastAsia="cs-CZ"/>
        </w:rPr>
      </w:pPr>
      <w:r w:rsidRPr="006070EA">
        <w:rPr>
          <w:rFonts w:asciiTheme="majorHAnsi" w:hAnsiTheme="majorHAnsi" w:cstheme="majorHAnsi"/>
          <w:lang w:eastAsia="cs-CZ"/>
        </w:rPr>
        <w:t xml:space="preserve">Distribuce elektrické energie je realizována vedením vysokého napětí o napěťové hladině 22 kV. Jednotlivé větve tohoto typu vedení jsou zakončeny transformačními stanicemi. </w:t>
      </w:r>
    </w:p>
    <w:p w14:paraId="3FEFC1F6" w14:textId="595B659C" w:rsidR="0013478F" w:rsidRPr="006070EA" w:rsidRDefault="0013478F" w:rsidP="0013478F">
      <w:pPr>
        <w:pStyle w:val="Atext"/>
        <w:rPr>
          <w:rFonts w:asciiTheme="majorHAnsi" w:hAnsiTheme="majorHAnsi" w:cstheme="majorHAnsi"/>
          <w:lang w:eastAsia="cs-CZ"/>
        </w:rPr>
      </w:pPr>
      <w:r w:rsidRPr="006070EA">
        <w:rPr>
          <w:rFonts w:asciiTheme="majorHAnsi" w:hAnsiTheme="majorHAnsi" w:cstheme="majorHAnsi"/>
          <w:lang w:eastAsia="cs-CZ"/>
        </w:rPr>
        <w:t>Téměř celá délka vedení elektrické energie je tvořena nadzemním vedením. Na rozhraní obcí Hradištko a</w:t>
      </w:r>
      <w:r w:rsidR="00EB2413" w:rsidRPr="006070EA">
        <w:rPr>
          <w:rFonts w:asciiTheme="majorHAnsi" w:hAnsiTheme="majorHAnsi" w:cstheme="majorHAnsi"/>
          <w:lang w:eastAsia="cs-CZ"/>
        </w:rPr>
        <w:t> </w:t>
      </w:r>
      <w:r w:rsidRPr="006070EA">
        <w:rPr>
          <w:rFonts w:asciiTheme="majorHAnsi" w:hAnsiTheme="majorHAnsi" w:cstheme="majorHAnsi"/>
          <w:lang w:eastAsia="cs-CZ"/>
        </w:rPr>
        <w:t xml:space="preserve">Kostomlaty nad Labem je venkovní stanice. </w:t>
      </w:r>
    </w:p>
    <w:p w14:paraId="3AC4D2E9" w14:textId="77777777" w:rsidR="00035CF4" w:rsidRPr="006070EA" w:rsidRDefault="00035CF4" w:rsidP="009E07E1">
      <w:pPr>
        <w:spacing w:after="60" w:line="240" w:lineRule="auto"/>
        <w:ind w:firstLine="709"/>
        <w:jc w:val="both"/>
        <w:rPr>
          <w:rFonts w:asciiTheme="majorHAnsi" w:hAnsiTheme="majorHAnsi" w:cstheme="majorHAnsi"/>
          <w:sz w:val="18"/>
          <w:szCs w:val="20"/>
        </w:rPr>
      </w:pPr>
      <w:r w:rsidRPr="006070EA">
        <w:rPr>
          <w:rFonts w:asciiTheme="majorHAnsi" w:hAnsiTheme="majorHAnsi" w:cstheme="majorHAnsi"/>
          <w:sz w:val="18"/>
          <w:szCs w:val="20"/>
        </w:rPr>
        <w:t xml:space="preserve">Nadřazené sítě elektrizační soustavy nejsou řešeným územím vedeny. </w:t>
      </w:r>
    </w:p>
    <w:p w14:paraId="2BDC05DE" w14:textId="77777777" w:rsidR="003B69FF" w:rsidRPr="006070EA" w:rsidRDefault="003B69FF" w:rsidP="00511CA4">
      <w:pPr>
        <w:spacing w:before="120" w:after="120" w:line="240" w:lineRule="auto"/>
        <w:jc w:val="both"/>
        <w:rPr>
          <w:rFonts w:asciiTheme="majorHAnsi" w:hAnsiTheme="majorHAnsi" w:cstheme="majorHAnsi"/>
          <w:sz w:val="18"/>
          <w:u w:val="single"/>
        </w:rPr>
      </w:pPr>
      <w:r w:rsidRPr="006070EA">
        <w:rPr>
          <w:rFonts w:asciiTheme="majorHAnsi" w:hAnsiTheme="majorHAnsi" w:cstheme="majorHAnsi"/>
          <w:sz w:val="18"/>
          <w:u w:val="single"/>
        </w:rPr>
        <w:t>Primární rozvod</w:t>
      </w:r>
    </w:p>
    <w:p w14:paraId="6CC57D51" w14:textId="4B19AAE3" w:rsidR="0059533B" w:rsidRPr="006070EA" w:rsidRDefault="0059533B" w:rsidP="0059533B">
      <w:pPr>
        <w:pStyle w:val="Atext"/>
        <w:rPr>
          <w:rFonts w:asciiTheme="majorHAnsi" w:hAnsiTheme="majorHAnsi" w:cstheme="majorHAnsi"/>
        </w:rPr>
      </w:pPr>
      <w:r w:rsidRPr="006070EA">
        <w:rPr>
          <w:rFonts w:asciiTheme="majorHAnsi" w:hAnsiTheme="majorHAnsi" w:cstheme="majorHAnsi"/>
        </w:rPr>
        <w:t>Distribuční a odběratelské trafostanice 22/0,4 kV jsou připojeny nadzemním a kabelovým systémem vn 22 kV. Na většině řešeného území je rozvod vysokého napětí realizován venkovním nadzemním vedením elektrické sítě.</w:t>
      </w:r>
    </w:p>
    <w:p w14:paraId="6D2FE6CE" w14:textId="77777777" w:rsidR="00AB1F4C" w:rsidRPr="006070EA" w:rsidRDefault="00575767" w:rsidP="00EF7B4B">
      <w:pPr>
        <w:keepNext/>
        <w:spacing w:before="120" w:after="120" w:line="240" w:lineRule="auto"/>
        <w:jc w:val="both"/>
        <w:rPr>
          <w:rFonts w:asciiTheme="majorHAnsi" w:hAnsiTheme="majorHAnsi" w:cstheme="majorHAnsi"/>
          <w:sz w:val="18"/>
          <w:u w:val="single"/>
        </w:rPr>
      </w:pPr>
      <w:r w:rsidRPr="006070EA">
        <w:rPr>
          <w:rFonts w:asciiTheme="majorHAnsi" w:hAnsiTheme="majorHAnsi" w:cstheme="majorHAnsi"/>
          <w:sz w:val="18"/>
          <w:u w:val="single"/>
        </w:rPr>
        <w:lastRenderedPageBreak/>
        <w:t>Transformace</w:t>
      </w:r>
      <w:r w:rsidR="00AB1F4C" w:rsidRPr="006070EA">
        <w:rPr>
          <w:rFonts w:asciiTheme="majorHAnsi" w:hAnsiTheme="majorHAnsi" w:cstheme="majorHAnsi"/>
          <w:sz w:val="18"/>
          <w:u w:val="single"/>
        </w:rPr>
        <w:t xml:space="preserve"> </w:t>
      </w:r>
      <w:r w:rsidR="000B1853" w:rsidRPr="006070EA">
        <w:rPr>
          <w:rFonts w:asciiTheme="majorHAnsi" w:hAnsiTheme="majorHAnsi" w:cstheme="majorHAnsi"/>
          <w:sz w:val="18"/>
          <w:u w:val="single"/>
        </w:rPr>
        <w:t>VN</w:t>
      </w:r>
      <w:r w:rsidR="00AB1F4C" w:rsidRPr="006070EA">
        <w:rPr>
          <w:rFonts w:asciiTheme="majorHAnsi" w:hAnsiTheme="majorHAnsi" w:cstheme="majorHAnsi"/>
          <w:sz w:val="18"/>
          <w:u w:val="single"/>
        </w:rPr>
        <w:t>/</w:t>
      </w:r>
      <w:r w:rsidR="000B1853" w:rsidRPr="006070EA">
        <w:rPr>
          <w:rFonts w:asciiTheme="majorHAnsi" w:hAnsiTheme="majorHAnsi" w:cstheme="majorHAnsi"/>
          <w:sz w:val="18"/>
          <w:u w:val="single"/>
        </w:rPr>
        <w:t>NN</w:t>
      </w:r>
    </w:p>
    <w:p w14:paraId="54A088C1" w14:textId="77777777" w:rsidR="0013478F" w:rsidRPr="006070EA" w:rsidRDefault="0013478F" w:rsidP="0013478F">
      <w:pPr>
        <w:pStyle w:val="Atext"/>
        <w:rPr>
          <w:rFonts w:asciiTheme="majorHAnsi" w:hAnsiTheme="majorHAnsi" w:cstheme="majorHAnsi"/>
          <w:color w:val="000000"/>
          <w:szCs w:val="18"/>
        </w:rPr>
      </w:pPr>
      <w:r w:rsidRPr="006070EA">
        <w:rPr>
          <w:rFonts w:asciiTheme="majorHAnsi" w:hAnsiTheme="majorHAnsi" w:cstheme="majorHAnsi"/>
          <w:color w:val="000000"/>
          <w:szCs w:val="18"/>
        </w:rPr>
        <w:t>K transformaci vysokého napětí na nízké slouží celkem 13 distribučních trafostanic.</w:t>
      </w:r>
    </w:p>
    <w:p w14:paraId="2DAB48C7" w14:textId="77777777" w:rsidR="0013478F" w:rsidRPr="006070EA" w:rsidRDefault="0013478F" w:rsidP="0013478F">
      <w:pPr>
        <w:pStyle w:val="Atext"/>
        <w:rPr>
          <w:rFonts w:asciiTheme="majorHAnsi" w:hAnsiTheme="majorHAnsi" w:cstheme="majorHAnsi"/>
          <w:color w:val="000000"/>
          <w:szCs w:val="18"/>
        </w:rPr>
      </w:pPr>
      <w:r w:rsidRPr="006070EA">
        <w:rPr>
          <w:rFonts w:asciiTheme="majorHAnsi" w:hAnsiTheme="majorHAnsi" w:cstheme="majorHAnsi"/>
          <w:b/>
          <w:color w:val="000000"/>
          <w:szCs w:val="18"/>
        </w:rPr>
        <w:t xml:space="preserve">k. ú. Kostomlaty nad Labem </w:t>
      </w:r>
      <w:r w:rsidRPr="006070EA">
        <w:rPr>
          <w:rFonts w:asciiTheme="majorHAnsi" w:hAnsiTheme="majorHAnsi" w:cstheme="majorHAnsi"/>
          <w:b/>
          <w:color w:val="000000"/>
          <w:szCs w:val="18"/>
        </w:rPr>
        <w:tab/>
      </w:r>
      <w:r w:rsidRPr="006070EA">
        <w:rPr>
          <w:rFonts w:asciiTheme="majorHAnsi" w:hAnsiTheme="majorHAnsi" w:cstheme="majorHAnsi"/>
          <w:color w:val="000000"/>
          <w:szCs w:val="18"/>
        </w:rPr>
        <w:tab/>
        <w:t>– 8x Kostomlaty, 1x Rozkoš</w:t>
      </w:r>
    </w:p>
    <w:p w14:paraId="1F13CD04" w14:textId="7CCA4817" w:rsidR="0013478F" w:rsidRPr="006070EA" w:rsidRDefault="0013478F" w:rsidP="0013478F">
      <w:pPr>
        <w:pStyle w:val="Atext"/>
        <w:rPr>
          <w:rFonts w:asciiTheme="majorHAnsi" w:hAnsiTheme="majorHAnsi" w:cstheme="majorHAnsi"/>
          <w:color w:val="000000"/>
          <w:szCs w:val="18"/>
        </w:rPr>
      </w:pPr>
      <w:r w:rsidRPr="006070EA">
        <w:rPr>
          <w:rFonts w:asciiTheme="majorHAnsi" w:hAnsiTheme="majorHAnsi" w:cstheme="majorHAnsi"/>
          <w:b/>
          <w:color w:val="000000"/>
          <w:szCs w:val="18"/>
        </w:rPr>
        <w:t>k. ú. Lány u Kostomlat na Labem</w:t>
      </w:r>
      <w:r w:rsidRPr="006070EA">
        <w:rPr>
          <w:rFonts w:asciiTheme="majorHAnsi" w:hAnsiTheme="majorHAnsi" w:cstheme="majorHAnsi"/>
          <w:color w:val="000000"/>
          <w:szCs w:val="18"/>
        </w:rPr>
        <w:tab/>
        <w:t>– 1x Lány</w:t>
      </w:r>
    </w:p>
    <w:p w14:paraId="3C08A00F" w14:textId="77777777" w:rsidR="0013478F" w:rsidRPr="006070EA" w:rsidRDefault="0013478F" w:rsidP="0087272A">
      <w:pPr>
        <w:spacing w:after="60" w:line="240" w:lineRule="auto"/>
        <w:ind w:firstLine="709"/>
        <w:jc w:val="both"/>
        <w:rPr>
          <w:rFonts w:asciiTheme="majorHAnsi" w:hAnsiTheme="majorHAnsi" w:cstheme="majorHAnsi"/>
          <w:color w:val="000000"/>
          <w:sz w:val="18"/>
          <w:szCs w:val="18"/>
        </w:rPr>
      </w:pPr>
      <w:r w:rsidRPr="006070EA">
        <w:rPr>
          <w:rFonts w:asciiTheme="majorHAnsi" w:hAnsiTheme="majorHAnsi" w:cstheme="majorHAnsi"/>
          <w:b/>
          <w:color w:val="000000"/>
          <w:sz w:val="18"/>
          <w:szCs w:val="18"/>
        </w:rPr>
        <w:t>k. ú. Hronětice</w:t>
      </w:r>
      <w:r w:rsidRPr="006070EA">
        <w:rPr>
          <w:rFonts w:asciiTheme="majorHAnsi" w:hAnsiTheme="majorHAnsi" w:cstheme="majorHAnsi"/>
          <w:color w:val="000000"/>
          <w:sz w:val="18"/>
          <w:szCs w:val="18"/>
        </w:rPr>
        <w:tab/>
      </w:r>
      <w:r w:rsidRPr="006070EA">
        <w:rPr>
          <w:rFonts w:asciiTheme="majorHAnsi" w:hAnsiTheme="majorHAnsi" w:cstheme="majorHAnsi"/>
          <w:color w:val="000000"/>
          <w:sz w:val="18"/>
          <w:szCs w:val="18"/>
        </w:rPr>
        <w:tab/>
      </w:r>
      <w:r w:rsidRPr="006070EA">
        <w:rPr>
          <w:rFonts w:asciiTheme="majorHAnsi" w:hAnsiTheme="majorHAnsi" w:cstheme="majorHAnsi"/>
          <w:color w:val="000000"/>
          <w:sz w:val="18"/>
          <w:szCs w:val="18"/>
        </w:rPr>
        <w:tab/>
        <w:t>– 2x Hronětice, 1x Vápensko</w:t>
      </w:r>
    </w:p>
    <w:p w14:paraId="40B743A0" w14:textId="77777777" w:rsidR="00575767" w:rsidRPr="006070EA" w:rsidRDefault="00575767" w:rsidP="00575767">
      <w:pPr>
        <w:pStyle w:val="Anadpispodtren"/>
        <w:spacing w:after="60"/>
        <w:rPr>
          <w:rFonts w:asciiTheme="majorHAnsi" w:hAnsiTheme="majorHAnsi" w:cstheme="majorHAnsi"/>
        </w:rPr>
      </w:pPr>
      <w:r w:rsidRPr="006070EA">
        <w:rPr>
          <w:rFonts w:asciiTheme="majorHAnsi" w:hAnsiTheme="majorHAnsi" w:cstheme="majorHAnsi"/>
        </w:rPr>
        <w:t>Sekundární rozvod</w:t>
      </w:r>
    </w:p>
    <w:p w14:paraId="51AA1D07" w14:textId="77777777" w:rsidR="00575767" w:rsidRPr="006070EA" w:rsidRDefault="00575767" w:rsidP="00575767">
      <w:pPr>
        <w:pStyle w:val="Anadpispodtren"/>
        <w:keepNext w:val="0"/>
        <w:spacing w:after="60"/>
        <w:ind w:firstLine="709"/>
        <w:rPr>
          <w:rFonts w:asciiTheme="majorHAnsi" w:hAnsiTheme="majorHAnsi" w:cstheme="majorHAnsi"/>
          <w:u w:val="none"/>
        </w:rPr>
      </w:pPr>
      <w:r w:rsidRPr="006070EA">
        <w:rPr>
          <w:rFonts w:asciiTheme="majorHAnsi" w:hAnsiTheme="majorHAnsi" w:cstheme="majorHAnsi"/>
          <w:u w:val="none"/>
        </w:rPr>
        <w:t>Sekundární vedení je provedeno normalizovanou napěťovou soustavou.</w:t>
      </w:r>
    </w:p>
    <w:p w14:paraId="06286F76" w14:textId="1B5C7A67" w:rsidR="00575767" w:rsidRPr="006070EA" w:rsidRDefault="00575767" w:rsidP="00575767">
      <w:pPr>
        <w:pStyle w:val="Atext"/>
        <w:spacing w:before="60" w:after="0"/>
        <w:rPr>
          <w:rFonts w:asciiTheme="majorHAnsi" w:hAnsiTheme="majorHAnsi" w:cstheme="majorHAnsi"/>
        </w:rPr>
      </w:pPr>
      <w:r w:rsidRPr="006070EA">
        <w:rPr>
          <w:rFonts w:asciiTheme="majorHAnsi" w:hAnsiTheme="majorHAnsi" w:cstheme="majorHAnsi"/>
        </w:rPr>
        <w:t>Při napojování zastavitelných ploch a při rekonstrukci současných vrchních vedení nízkého napětí se doporučuje v zastavěném území obce provádět nové elektrorozvody kabelizací. Případné přeložky stávajících energetických zařízení budou řešeny v souladu s § 47 zákona č. 458/2000 Sb., o podmínkách podnikání a o výkonu státní správy v energetických odvětvích a</w:t>
      </w:r>
      <w:r w:rsidR="0054075C" w:rsidRPr="006070EA">
        <w:rPr>
          <w:rFonts w:asciiTheme="majorHAnsi" w:hAnsiTheme="majorHAnsi" w:cstheme="majorHAnsi"/>
        </w:rPr>
        <w:t> </w:t>
      </w:r>
      <w:r w:rsidRPr="006070EA">
        <w:rPr>
          <w:rFonts w:asciiTheme="majorHAnsi" w:hAnsiTheme="majorHAnsi" w:cstheme="majorHAnsi"/>
        </w:rPr>
        <w:t>o změně některých zákonů (energetický zákon), ve znění pozdějších předpisů (dále jen „energetický zákon“).</w:t>
      </w:r>
    </w:p>
    <w:p w14:paraId="7F8D92BA" w14:textId="77777777" w:rsidR="00B43FE7" w:rsidRPr="006070EA" w:rsidRDefault="00B43FE7" w:rsidP="008A0B02">
      <w:pPr>
        <w:pStyle w:val="Import1"/>
        <w:tabs>
          <w:tab w:val="left" w:pos="1985"/>
        </w:tabs>
        <w:spacing w:before="120" w:after="120" w:line="240" w:lineRule="auto"/>
        <w:jc w:val="both"/>
        <w:rPr>
          <w:rFonts w:asciiTheme="majorHAnsi" w:hAnsiTheme="majorHAnsi" w:cstheme="majorHAnsi"/>
          <w:sz w:val="18"/>
          <w:szCs w:val="18"/>
          <w:u w:val="single"/>
        </w:rPr>
      </w:pPr>
      <w:r w:rsidRPr="006070EA">
        <w:rPr>
          <w:rFonts w:asciiTheme="majorHAnsi" w:hAnsiTheme="majorHAnsi" w:cstheme="majorHAnsi"/>
          <w:sz w:val="18"/>
          <w:szCs w:val="18"/>
          <w:u w:val="single"/>
        </w:rPr>
        <w:t>Zajištění výkonu</w:t>
      </w:r>
    </w:p>
    <w:p w14:paraId="5AE4769E" w14:textId="77777777" w:rsidR="009022DC" w:rsidRPr="006070EA" w:rsidRDefault="00F10A03" w:rsidP="0081365B">
      <w:pPr>
        <w:spacing w:before="120" w:after="120"/>
        <w:ind w:firstLine="709"/>
        <w:jc w:val="both"/>
        <w:rPr>
          <w:rFonts w:asciiTheme="majorHAnsi" w:hAnsiTheme="majorHAnsi" w:cstheme="majorHAnsi"/>
          <w:sz w:val="18"/>
          <w:szCs w:val="18"/>
        </w:rPr>
      </w:pPr>
      <w:r w:rsidRPr="006070EA">
        <w:rPr>
          <w:rFonts w:asciiTheme="majorHAnsi" w:hAnsiTheme="majorHAnsi" w:cstheme="majorHAnsi"/>
          <w:sz w:val="18"/>
          <w:szCs w:val="18"/>
        </w:rPr>
        <w:t>Územní plán předpokládá výstavbu výhradně individuálních rodinných domů (cca 11</w:t>
      </w:r>
      <w:r w:rsidR="009022DC" w:rsidRPr="006070EA">
        <w:rPr>
          <w:rFonts w:asciiTheme="majorHAnsi" w:hAnsiTheme="majorHAnsi" w:cstheme="majorHAnsi"/>
          <w:sz w:val="18"/>
          <w:szCs w:val="18"/>
        </w:rPr>
        <w:t>4</w:t>
      </w:r>
      <w:r w:rsidRPr="006070EA">
        <w:rPr>
          <w:rFonts w:asciiTheme="majorHAnsi" w:hAnsiTheme="majorHAnsi" w:cstheme="majorHAnsi"/>
          <w:sz w:val="18"/>
          <w:szCs w:val="18"/>
        </w:rPr>
        <w:t xml:space="preserve"> RD při 100% realizaci). </w:t>
      </w:r>
      <w:r w:rsidR="009022DC" w:rsidRPr="006070EA">
        <w:rPr>
          <w:rFonts w:asciiTheme="majorHAnsi" w:hAnsiTheme="majorHAnsi" w:cstheme="majorHAnsi"/>
          <w:sz w:val="18"/>
          <w:szCs w:val="18"/>
        </w:rPr>
        <w:t>Vzhledem k tomu, že sídlo Kostomlaty nad Labem, kde je soustředěna většina obyvatel, je plynofikováno, bude využití elektrické energie pro vytápění doplňkové a bude lokalizováno spíše do venkovských sídel, kde jsou zastoupeny také ostatní zdroje energie (spalování fosilních paliv a biomasy apod.).</w:t>
      </w:r>
      <w:r w:rsidR="0081365B" w:rsidRPr="006070EA">
        <w:rPr>
          <w:rFonts w:asciiTheme="majorHAnsi" w:hAnsiTheme="majorHAnsi" w:cstheme="majorHAnsi"/>
          <w:sz w:val="18"/>
          <w:szCs w:val="18"/>
        </w:rPr>
        <w:t xml:space="preserve"> </w:t>
      </w:r>
    </w:p>
    <w:p w14:paraId="3EF849EE" w14:textId="5F804385" w:rsidR="009022DC" w:rsidRPr="006070EA" w:rsidRDefault="009022DC" w:rsidP="0081365B">
      <w:pPr>
        <w:spacing w:before="120" w:after="120"/>
        <w:ind w:firstLine="709"/>
        <w:jc w:val="both"/>
        <w:rPr>
          <w:rFonts w:asciiTheme="majorHAnsi" w:hAnsiTheme="majorHAnsi" w:cstheme="majorHAnsi"/>
          <w:sz w:val="18"/>
          <w:szCs w:val="18"/>
        </w:rPr>
      </w:pPr>
      <w:r w:rsidRPr="006070EA">
        <w:rPr>
          <w:rFonts w:asciiTheme="majorHAnsi" w:hAnsiTheme="majorHAnsi" w:cstheme="majorHAnsi"/>
          <w:sz w:val="18"/>
          <w:szCs w:val="18"/>
        </w:rPr>
        <w:t>S ohledem na současné trendy a možnosti zajištění ekologicky šetrného vytápění individuálních staveb je uvažováno využití elektrické energie pro vytápění u max. 10 % nově realizovaných bytových jednotek. Vytápění navrhované zástavby bude zajišťováno převážně ostatními zdroji energie – plynovod, ostatní zdroje energie (90 %). Bilance nárůstu potřeby elektrické energie u stávající zástavby je uvažována cca 1-2 % ročně (k = 1,35 pro návrhové období do r. 2035).</w:t>
      </w:r>
    </w:p>
    <w:p w14:paraId="499AAE39" w14:textId="5A002E31" w:rsidR="00F10A03" w:rsidRPr="006070EA" w:rsidRDefault="00F10A03" w:rsidP="00F10A03">
      <w:pPr>
        <w:keepNext/>
        <w:spacing w:before="120" w:after="60"/>
        <w:jc w:val="both"/>
        <w:rPr>
          <w:rFonts w:asciiTheme="majorHAnsi" w:hAnsiTheme="majorHAnsi" w:cstheme="majorHAnsi"/>
          <w:sz w:val="18"/>
          <w:szCs w:val="18"/>
          <w:u w:val="single"/>
        </w:rPr>
      </w:pPr>
      <w:r w:rsidRPr="006070EA">
        <w:rPr>
          <w:rFonts w:asciiTheme="majorHAnsi" w:hAnsiTheme="majorHAnsi" w:cstheme="majorHAnsi"/>
          <w:sz w:val="18"/>
          <w:szCs w:val="18"/>
          <w:u w:val="single"/>
        </w:rPr>
        <w:t>Bilance</w:t>
      </w:r>
      <w:r w:rsidR="009022DC" w:rsidRPr="006070EA">
        <w:rPr>
          <w:rFonts w:asciiTheme="majorHAnsi" w:hAnsiTheme="majorHAnsi" w:cstheme="majorHAnsi"/>
          <w:sz w:val="18"/>
          <w:szCs w:val="18"/>
          <w:u w:val="single"/>
        </w:rPr>
        <w:t xml:space="preserve"> potřeby elektrické energie – navrhovaná zástavba</w:t>
      </w:r>
    </w:p>
    <w:p w14:paraId="0BA484F2" w14:textId="045055A6" w:rsidR="009022DC" w:rsidRPr="006070EA" w:rsidRDefault="009022DC" w:rsidP="009022DC">
      <w:pPr>
        <w:pStyle w:val="Atext"/>
        <w:rPr>
          <w:rFonts w:asciiTheme="majorHAnsi" w:eastAsia="Calibri" w:hAnsiTheme="majorHAnsi" w:cstheme="majorHAnsi"/>
        </w:rPr>
      </w:pPr>
      <w:r w:rsidRPr="006070EA">
        <w:rPr>
          <w:rFonts w:asciiTheme="majorHAnsi" w:eastAsia="Calibri" w:hAnsiTheme="majorHAnsi" w:cstheme="majorHAnsi"/>
        </w:rPr>
        <w:t>Výpočet požadovaného příkonu je proveden samostatně pro navrhovanou zástavbu při předpokládaném využití rozvojových ploch pro realizaci 114 bytových jednotek v rodinných domech v návrhovém období do r. 2035. Pro potřeby odběru ostatních rozvojových ploch (zejména průmyslových odběrů a infrastruktury) je uvažováno s 20% navýšením potřeby elektrické energie (k</w:t>
      </w:r>
      <w:r w:rsidRPr="006070EA">
        <w:rPr>
          <w:rFonts w:asciiTheme="majorHAnsi" w:eastAsia="Calibri" w:hAnsiTheme="majorHAnsi" w:cstheme="majorHAnsi"/>
          <w:vertAlign w:val="subscript"/>
        </w:rPr>
        <w:t>2</w:t>
      </w:r>
      <w:r w:rsidRPr="006070EA">
        <w:rPr>
          <w:rFonts w:asciiTheme="majorHAnsi" w:eastAsia="Calibri" w:hAnsiTheme="majorHAnsi" w:cstheme="majorHAnsi"/>
        </w:rPr>
        <w:t> = 0,2).</w:t>
      </w:r>
    </w:p>
    <w:p w14:paraId="418CE300" w14:textId="7A3ECA74" w:rsidR="009022DC" w:rsidRPr="006070EA" w:rsidRDefault="009022DC" w:rsidP="009022DC">
      <w:pPr>
        <w:tabs>
          <w:tab w:val="left" w:pos="720"/>
          <w:tab w:val="left" w:pos="1584"/>
          <w:tab w:val="left" w:pos="1985"/>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suppressAutoHyphens/>
        <w:spacing w:before="60" w:after="60" w:line="240" w:lineRule="auto"/>
        <w:ind w:firstLine="709"/>
        <w:jc w:val="both"/>
        <w:rPr>
          <w:rFonts w:asciiTheme="majorHAnsi" w:eastAsia="Times New Roman" w:hAnsiTheme="majorHAnsi" w:cstheme="majorHAnsi"/>
          <w:sz w:val="18"/>
          <w:szCs w:val="18"/>
          <w:lang w:eastAsia="ar-SA"/>
        </w:rPr>
      </w:pPr>
      <w:r w:rsidRPr="006070EA">
        <w:rPr>
          <w:rFonts w:asciiTheme="majorHAnsi" w:eastAsia="Times New Roman" w:hAnsiTheme="majorHAnsi" w:cstheme="majorHAnsi"/>
          <w:color w:val="FF0000"/>
          <w:sz w:val="18"/>
          <w:szCs w:val="18"/>
          <w:lang w:eastAsia="ar-SA"/>
        </w:rPr>
        <w:tab/>
      </w:r>
      <w:r w:rsidR="00FB72ED" w:rsidRPr="006070EA">
        <w:rPr>
          <w:rFonts w:asciiTheme="majorHAnsi" w:eastAsia="Times New Roman" w:hAnsiTheme="majorHAnsi" w:cstheme="majorHAnsi"/>
          <w:sz w:val="18"/>
          <w:szCs w:val="18"/>
          <w:lang w:eastAsia="ar-SA"/>
        </w:rPr>
        <w:t>11</w:t>
      </w:r>
      <w:r w:rsidRPr="006070EA">
        <w:rPr>
          <w:rFonts w:asciiTheme="majorHAnsi" w:eastAsia="Times New Roman" w:hAnsiTheme="majorHAnsi" w:cstheme="majorHAnsi"/>
          <w:sz w:val="18"/>
          <w:szCs w:val="18"/>
          <w:lang w:eastAsia="ar-SA"/>
        </w:rPr>
        <w:t xml:space="preserve"> BJ el. vytápěných</w:t>
      </w:r>
      <w:r w:rsidRPr="006070EA">
        <w:rPr>
          <w:rFonts w:asciiTheme="majorHAnsi" w:eastAsia="Times New Roman" w:hAnsiTheme="majorHAnsi" w:cstheme="majorHAnsi"/>
          <w:sz w:val="18"/>
          <w:szCs w:val="18"/>
          <w:lang w:eastAsia="ar-SA"/>
        </w:rPr>
        <w:tab/>
      </w:r>
      <w:r w:rsidRPr="006070EA">
        <w:rPr>
          <w:rFonts w:asciiTheme="majorHAnsi" w:eastAsia="Times New Roman" w:hAnsiTheme="majorHAnsi" w:cstheme="majorHAnsi"/>
          <w:sz w:val="18"/>
          <w:szCs w:val="18"/>
          <w:lang w:eastAsia="ar-SA"/>
        </w:rPr>
        <w:tab/>
      </w:r>
      <m:oMath>
        <m:sSub>
          <m:sSubPr>
            <m:ctrlPr>
              <w:rPr>
                <w:rFonts w:ascii="Cambria Math" w:eastAsia="Times New Roman" w:hAnsi="Cambria Math" w:cstheme="majorHAnsi"/>
                <w:i/>
                <w:sz w:val="18"/>
                <w:szCs w:val="18"/>
                <w:lang w:eastAsia="ar-SA"/>
              </w:rPr>
            </m:ctrlPr>
          </m:sSubPr>
          <m:e>
            <m:r>
              <w:rPr>
                <w:rFonts w:ascii="Cambria Math" w:eastAsia="Times New Roman" w:hAnsi="Cambria Math" w:cstheme="majorHAnsi"/>
                <w:sz w:val="18"/>
                <w:szCs w:val="18"/>
                <w:lang w:eastAsia="ar-SA"/>
              </w:rPr>
              <m:t>P</m:t>
            </m:r>
          </m:e>
          <m:sub>
            <m:r>
              <w:rPr>
                <w:rFonts w:ascii="Cambria Math" w:eastAsia="Times New Roman" w:hAnsi="Cambria Math" w:cstheme="majorHAnsi"/>
                <w:sz w:val="18"/>
                <w:szCs w:val="18"/>
                <w:lang w:eastAsia="ar-SA"/>
              </w:rPr>
              <m:t>1</m:t>
            </m:r>
          </m:sub>
        </m:sSub>
        <m:r>
          <w:rPr>
            <w:rFonts w:ascii="Cambria Math" w:eastAsia="Times New Roman" w:hAnsi="Cambria Math" w:cstheme="majorHAnsi"/>
            <w:sz w:val="18"/>
            <w:szCs w:val="18"/>
            <w:lang w:eastAsia="ar-SA"/>
          </w:rPr>
          <m:t>=11*</m:t>
        </m:r>
        <m:d>
          <m:dPr>
            <m:ctrlPr>
              <w:rPr>
                <w:rFonts w:ascii="Cambria Math" w:eastAsia="Times New Roman" w:hAnsi="Cambria Math" w:cstheme="majorHAnsi"/>
                <w:i/>
                <w:sz w:val="18"/>
                <w:szCs w:val="18"/>
                <w:lang w:eastAsia="ar-SA"/>
              </w:rPr>
            </m:ctrlPr>
          </m:dPr>
          <m:e>
            <m:r>
              <w:rPr>
                <w:rFonts w:ascii="Cambria Math" w:eastAsia="Times New Roman" w:hAnsi="Cambria Math" w:cstheme="majorHAnsi"/>
                <w:sz w:val="18"/>
                <w:szCs w:val="18"/>
                <w:lang w:eastAsia="ar-SA"/>
              </w:rPr>
              <m:t>6+</m:t>
            </m:r>
            <m:f>
              <m:fPr>
                <m:ctrlPr>
                  <w:rPr>
                    <w:rFonts w:ascii="Cambria Math" w:eastAsia="Times New Roman" w:hAnsi="Cambria Math" w:cstheme="majorHAnsi"/>
                    <w:i/>
                    <w:sz w:val="18"/>
                    <w:szCs w:val="18"/>
                    <w:lang w:eastAsia="ar-SA"/>
                  </w:rPr>
                </m:ctrlPr>
              </m:fPr>
              <m:num>
                <m:r>
                  <w:rPr>
                    <w:rFonts w:ascii="Cambria Math" w:eastAsia="Times New Roman" w:hAnsi="Cambria Math" w:cstheme="majorHAnsi"/>
                    <w:sz w:val="18"/>
                    <w:szCs w:val="18"/>
                    <w:lang w:eastAsia="ar-SA"/>
                  </w:rPr>
                  <m:t>4</m:t>
                </m:r>
              </m:num>
              <m:den>
                <m:rad>
                  <m:radPr>
                    <m:degHide m:val="1"/>
                    <m:ctrlPr>
                      <w:rPr>
                        <w:rFonts w:ascii="Cambria Math" w:eastAsia="Times New Roman" w:hAnsi="Cambria Math" w:cstheme="majorHAnsi"/>
                        <w:i/>
                        <w:sz w:val="18"/>
                        <w:szCs w:val="18"/>
                        <w:lang w:eastAsia="ar-SA"/>
                      </w:rPr>
                    </m:ctrlPr>
                  </m:radPr>
                  <m:deg/>
                  <m:e>
                    <m:r>
                      <w:rPr>
                        <w:rFonts w:ascii="Cambria Math" w:eastAsia="Times New Roman" w:hAnsi="Cambria Math" w:cstheme="majorHAnsi"/>
                        <w:sz w:val="18"/>
                        <w:szCs w:val="18"/>
                        <w:lang w:eastAsia="ar-SA"/>
                      </w:rPr>
                      <m:t>11</m:t>
                    </m:r>
                  </m:e>
                </m:rad>
              </m:den>
            </m:f>
          </m:e>
        </m:d>
        <m:r>
          <w:rPr>
            <w:rFonts w:ascii="Cambria Math" w:eastAsia="Times New Roman" w:hAnsi="Cambria Math" w:cstheme="majorHAnsi"/>
            <w:sz w:val="18"/>
            <w:szCs w:val="18"/>
            <w:lang w:eastAsia="ar-SA"/>
          </w:rPr>
          <m:t>=79</m:t>
        </m:r>
      </m:oMath>
    </w:p>
    <w:p w14:paraId="54ED3B7C" w14:textId="0900518E" w:rsidR="009022DC" w:rsidRPr="006070EA" w:rsidRDefault="009022DC" w:rsidP="009022DC">
      <w:pPr>
        <w:tabs>
          <w:tab w:val="left" w:pos="720"/>
          <w:tab w:val="left" w:pos="1584"/>
          <w:tab w:val="left" w:pos="1985"/>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suppressAutoHyphens/>
        <w:spacing w:before="60" w:after="60" w:line="240" w:lineRule="auto"/>
        <w:ind w:firstLine="709"/>
        <w:jc w:val="both"/>
        <w:rPr>
          <w:rFonts w:asciiTheme="majorHAnsi" w:eastAsia="Times New Roman" w:hAnsiTheme="majorHAnsi" w:cstheme="majorHAnsi"/>
          <w:sz w:val="18"/>
          <w:szCs w:val="18"/>
          <w:lang w:eastAsia="ar-SA"/>
        </w:rPr>
      </w:pPr>
      <w:r w:rsidRPr="006070EA">
        <w:rPr>
          <w:rFonts w:asciiTheme="majorHAnsi" w:eastAsia="Times New Roman" w:hAnsiTheme="majorHAnsi" w:cstheme="majorHAnsi"/>
          <w:sz w:val="18"/>
          <w:szCs w:val="18"/>
          <w:lang w:eastAsia="ar-SA"/>
        </w:rPr>
        <w:t>103 BJ ost. vytápění</w:t>
      </w:r>
      <w:r w:rsidRPr="006070EA">
        <w:rPr>
          <w:rFonts w:asciiTheme="majorHAnsi" w:eastAsia="Times New Roman" w:hAnsiTheme="majorHAnsi" w:cstheme="majorHAnsi"/>
          <w:sz w:val="18"/>
          <w:szCs w:val="18"/>
          <w:lang w:eastAsia="ar-SA"/>
        </w:rPr>
        <w:tab/>
      </w:r>
      <w:r w:rsidRPr="006070EA">
        <w:rPr>
          <w:rFonts w:asciiTheme="majorHAnsi" w:eastAsia="Times New Roman" w:hAnsiTheme="majorHAnsi" w:cstheme="majorHAnsi"/>
          <w:sz w:val="18"/>
          <w:szCs w:val="18"/>
          <w:lang w:eastAsia="ar-SA"/>
        </w:rPr>
        <w:tab/>
      </w:r>
      <m:oMath>
        <m:sSub>
          <m:sSubPr>
            <m:ctrlPr>
              <w:rPr>
                <w:rFonts w:ascii="Cambria Math" w:eastAsia="Times New Roman" w:hAnsi="Cambria Math" w:cstheme="majorHAnsi"/>
                <w:i/>
                <w:sz w:val="18"/>
                <w:szCs w:val="18"/>
                <w:lang w:eastAsia="ar-SA"/>
              </w:rPr>
            </m:ctrlPr>
          </m:sSubPr>
          <m:e>
            <m:r>
              <w:rPr>
                <w:rFonts w:ascii="Cambria Math" w:eastAsia="Times New Roman" w:hAnsi="Cambria Math" w:cstheme="majorHAnsi"/>
                <w:sz w:val="18"/>
                <w:szCs w:val="18"/>
                <w:lang w:eastAsia="ar-SA"/>
              </w:rPr>
              <m:t>P</m:t>
            </m:r>
          </m:e>
          <m:sub>
            <m:r>
              <w:rPr>
                <w:rFonts w:ascii="Cambria Math" w:eastAsia="Times New Roman" w:hAnsi="Cambria Math" w:cstheme="majorHAnsi"/>
                <w:sz w:val="18"/>
                <w:szCs w:val="18"/>
                <w:lang w:eastAsia="ar-SA"/>
              </w:rPr>
              <m:t>2</m:t>
            </m:r>
          </m:sub>
        </m:sSub>
        <m:r>
          <w:rPr>
            <w:rFonts w:ascii="Cambria Math" w:eastAsia="Times New Roman" w:hAnsi="Cambria Math" w:cstheme="majorHAnsi"/>
            <w:sz w:val="18"/>
            <w:szCs w:val="18"/>
            <w:lang w:eastAsia="ar-SA"/>
          </w:rPr>
          <m:t>=103*</m:t>
        </m:r>
        <m:d>
          <m:dPr>
            <m:ctrlPr>
              <w:rPr>
                <w:rFonts w:ascii="Cambria Math" w:eastAsia="Times New Roman" w:hAnsi="Cambria Math" w:cstheme="majorHAnsi"/>
                <w:i/>
                <w:sz w:val="18"/>
                <w:szCs w:val="18"/>
                <w:lang w:eastAsia="ar-SA"/>
              </w:rPr>
            </m:ctrlPr>
          </m:dPr>
          <m:e>
            <m:r>
              <w:rPr>
                <w:rFonts w:ascii="Cambria Math" w:eastAsia="Times New Roman" w:hAnsi="Cambria Math" w:cstheme="majorHAnsi"/>
                <w:sz w:val="18"/>
                <w:szCs w:val="18"/>
                <w:lang w:eastAsia="ar-SA"/>
              </w:rPr>
              <m:t>1,6+</m:t>
            </m:r>
            <m:f>
              <m:fPr>
                <m:ctrlPr>
                  <w:rPr>
                    <w:rFonts w:ascii="Cambria Math" w:eastAsia="Times New Roman" w:hAnsi="Cambria Math" w:cstheme="majorHAnsi"/>
                    <w:i/>
                    <w:sz w:val="18"/>
                    <w:szCs w:val="18"/>
                    <w:lang w:eastAsia="ar-SA"/>
                  </w:rPr>
                </m:ctrlPr>
              </m:fPr>
              <m:num>
                <m:r>
                  <w:rPr>
                    <w:rFonts w:ascii="Cambria Math" w:eastAsia="Times New Roman" w:hAnsi="Cambria Math" w:cstheme="majorHAnsi"/>
                    <w:sz w:val="18"/>
                    <w:szCs w:val="18"/>
                    <w:lang w:eastAsia="ar-SA"/>
                  </w:rPr>
                  <m:t>6,4</m:t>
                </m:r>
              </m:num>
              <m:den>
                <m:rad>
                  <m:radPr>
                    <m:degHide m:val="1"/>
                    <m:ctrlPr>
                      <w:rPr>
                        <w:rFonts w:ascii="Cambria Math" w:eastAsia="Times New Roman" w:hAnsi="Cambria Math" w:cstheme="majorHAnsi"/>
                        <w:i/>
                        <w:sz w:val="18"/>
                        <w:szCs w:val="18"/>
                        <w:lang w:eastAsia="ar-SA"/>
                      </w:rPr>
                    </m:ctrlPr>
                  </m:radPr>
                  <m:deg/>
                  <m:e>
                    <m:r>
                      <w:rPr>
                        <w:rFonts w:ascii="Cambria Math" w:eastAsia="Times New Roman" w:hAnsi="Cambria Math" w:cstheme="majorHAnsi"/>
                        <w:sz w:val="18"/>
                        <w:szCs w:val="18"/>
                        <w:lang w:eastAsia="ar-SA"/>
                      </w:rPr>
                      <m:t>103</m:t>
                    </m:r>
                  </m:e>
                </m:rad>
              </m:den>
            </m:f>
          </m:e>
        </m:d>
        <m:r>
          <w:rPr>
            <w:rFonts w:ascii="Cambria Math" w:eastAsia="Times New Roman" w:hAnsi="Cambria Math" w:cstheme="majorHAnsi"/>
            <w:sz w:val="18"/>
            <w:szCs w:val="18"/>
            <w:lang w:eastAsia="ar-SA"/>
          </w:rPr>
          <m:t>=230</m:t>
        </m:r>
      </m:oMath>
    </w:p>
    <w:p w14:paraId="2C0FDEA3" w14:textId="180E44C5" w:rsidR="009022DC" w:rsidRPr="006070EA" w:rsidRDefault="009022DC" w:rsidP="009022DC">
      <w:pPr>
        <w:tabs>
          <w:tab w:val="left" w:pos="720"/>
          <w:tab w:val="left" w:pos="1584"/>
          <w:tab w:val="left" w:pos="1985"/>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suppressAutoHyphens/>
        <w:spacing w:before="60" w:after="60" w:line="240" w:lineRule="auto"/>
        <w:ind w:firstLine="709"/>
        <w:jc w:val="both"/>
        <w:rPr>
          <w:rFonts w:asciiTheme="majorHAnsi" w:eastAsia="Times New Roman" w:hAnsiTheme="majorHAnsi" w:cstheme="majorHAnsi"/>
          <w:sz w:val="18"/>
          <w:szCs w:val="18"/>
          <w:lang w:eastAsia="ar-SA"/>
        </w:rPr>
      </w:pPr>
      <w:r w:rsidRPr="006070EA">
        <w:rPr>
          <w:rFonts w:asciiTheme="majorHAnsi" w:eastAsia="Times New Roman" w:hAnsiTheme="majorHAnsi" w:cstheme="majorHAnsi"/>
          <w:sz w:val="18"/>
          <w:szCs w:val="18"/>
          <w:lang w:eastAsia="ar-SA"/>
        </w:rPr>
        <w:tab/>
        <w:t>Σ BJ (předpoklad realizace)</w:t>
      </w:r>
      <w:r w:rsidRPr="006070EA">
        <w:rPr>
          <w:rFonts w:asciiTheme="majorHAnsi" w:eastAsia="Times New Roman" w:hAnsiTheme="majorHAnsi" w:cstheme="majorHAnsi"/>
          <w:sz w:val="18"/>
          <w:szCs w:val="18"/>
          <w:lang w:eastAsia="ar-SA"/>
        </w:rPr>
        <w:tab/>
      </w:r>
      <m:oMath>
        <m:sSub>
          <m:sSubPr>
            <m:ctrlPr>
              <w:rPr>
                <w:rFonts w:ascii="Cambria Math" w:eastAsia="Times New Roman" w:hAnsi="Cambria Math" w:cstheme="majorHAnsi"/>
                <w:i/>
                <w:sz w:val="18"/>
                <w:szCs w:val="18"/>
                <w:lang w:eastAsia="ar-SA"/>
              </w:rPr>
            </m:ctrlPr>
          </m:sSubPr>
          <m:e>
            <m:r>
              <w:rPr>
                <w:rFonts w:ascii="Cambria Math" w:eastAsia="Times New Roman" w:hAnsi="Cambria Math" w:cstheme="majorHAnsi"/>
                <w:sz w:val="18"/>
                <w:szCs w:val="18"/>
                <w:lang w:eastAsia="ar-SA"/>
              </w:rPr>
              <m:t>P</m:t>
            </m:r>
          </m:e>
          <m:sub>
            <m:r>
              <w:rPr>
                <w:rFonts w:ascii="Cambria Math" w:eastAsia="Times New Roman" w:hAnsi="Cambria Math" w:cstheme="majorHAnsi"/>
                <w:sz w:val="18"/>
                <w:szCs w:val="18"/>
                <w:lang w:eastAsia="ar-SA"/>
              </w:rPr>
              <m:t>3</m:t>
            </m:r>
          </m:sub>
        </m:sSub>
        <m:r>
          <w:rPr>
            <w:rFonts w:ascii="Cambria Math" w:eastAsia="Times New Roman" w:hAnsi="Cambria Math" w:cstheme="majorHAnsi"/>
            <w:sz w:val="18"/>
            <w:szCs w:val="18"/>
            <w:lang w:eastAsia="ar-SA"/>
          </w:rPr>
          <m:t>=</m:t>
        </m:r>
        <m:sSub>
          <m:sSubPr>
            <m:ctrlPr>
              <w:rPr>
                <w:rFonts w:ascii="Cambria Math" w:eastAsia="Times New Roman" w:hAnsi="Cambria Math" w:cstheme="majorHAnsi"/>
                <w:i/>
                <w:sz w:val="18"/>
                <w:szCs w:val="18"/>
                <w:lang w:eastAsia="ar-SA"/>
              </w:rPr>
            </m:ctrlPr>
          </m:sSubPr>
          <m:e>
            <m:r>
              <w:rPr>
                <w:rFonts w:ascii="Cambria Math" w:eastAsia="Times New Roman" w:hAnsi="Cambria Math" w:cstheme="majorHAnsi"/>
                <w:sz w:val="18"/>
                <w:szCs w:val="18"/>
                <w:lang w:eastAsia="ar-SA"/>
              </w:rPr>
              <m:t>P</m:t>
            </m:r>
          </m:e>
          <m:sub>
            <m:r>
              <w:rPr>
                <w:rFonts w:ascii="Cambria Math" w:eastAsia="Times New Roman" w:hAnsi="Cambria Math" w:cstheme="majorHAnsi"/>
                <w:sz w:val="18"/>
                <w:szCs w:val="18"/>
                <w:lang w:eastAsia="ar-SA"/>
              </w:rPr>
              <m:t>1</m:t>
            </m:r>
          </m:sub>
        </m:sSub>
        <m:sSub>
          <m:sSubPr>
            <m:ctrlPr>
              <w:rPr>
                <w:rFonts w:ascii="Cambria Math" w:eastAsia="Times New Roman" w:hAnsi="Cambria Math" w:cstheme="majorHAnsi"/>
                <w:i/>
                <w:sz w:val="18"/>
                <w:szCs w:val="18"/>
                <w:lang w:eastAsia="ar-SA"/>
              </w:rPr>
            </m:ctrlPr>
          </m:sSubPr>
          <m:e>
            <m:r>
              <w:rPr>
                <w:rFonts w:ascii="Cambria Math" w:eastAsia="Times New Roman" w:hAnsi="Cambria Math" w:cstheme="majorHAnsi"/>
                <w:sz w:val="18"/>
                <w:szCs w:val="18"/>
                <w:lang w:eastAsia="ar-SA"/>
              </w:rPr>
              <m:t>+P</m:t>
            </m:r>
          </m:e>
          <m:sub>
            <m:r>
              <w:rPr>
                <w:rFonts w:ascii="Cambria Math" w:eastAsia="Times New Roman" w:hAnsi="Cambria Math" w:cstheme="majorHAnsi"/>
                <w:sz w:val="18"/>
                <w:szCs w:val="18"/>
                <w:lang w:eastAsia="ar-SA"/>
              </w:rPr>
              <m:t>2</m:t>
            </m:r>
          </m:sub>
        </m:sSub>
        <m:r>
          <w:rPr>
            <w:rFonts w:ascii="Cambria Math" w:eastAsia="Times New Roman" w:hAnsi="Cambria Math" w:cstheme="majorHAnsi"/>
            <w:sz w:val="18"/>
            <w:szCs w:val="18"/>
            <w:lang w:eastAsia="ar-SA"/>
          </w:rPr>
          <m:t>=79+230=309</m:t>
        </m:r>
      </m:oMath>
    </w:p>
    <w:p w14:paraId="77DCDDD7" w14:textId="387AD816" w:rsidR="009022DC" w:rsidRPr="006070EA" w:rsidRDefault="009022DC" w:rsidP="009022DC">
      <w:pPr>
        <w:tabs>
          <w:tab w:val="left" w:pos="720"/>
          <w:tab w:val="left" w:pos="1584"/>
          <w:tab w:val="left" w:pos="1985"/>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suppressAutoHyphens/>
        <w:spacing w:before="60" w:after="60" w:line="240" w:lineRule="auto"/>
        <w:ind w:firstLine="709"/>
        <w:jc w:val="both"/>
        <w:rPr>
          <w:rFonts w:asciiTheme="majorHAnsi" w:eastAsia="Times New Roman" w:hAnsiTheme="majorHAnsi" w:cstheme="majorHAnsi"/>
          <w:sz w:val="18"/>
          <w:szCs w:val="18"/>
          <w:lang w:eastAsia="ar-SA"/>
        </w:rPr>
      </w:pPr>
      <w:r w:rsidRPr="006070EA">
        <w:rPr>
          <w:rFonts w:asciiTheme="majorHAnsi" w:eastAsia="Times New Roman" w:hAnsiTheme="majorHAnsi" w:cstheme="majorHAnsi"/>
          <w:b/>
          <w:sz w:val="18"/>
          <w:szCs w:val="18"/>
          <w:lang w:eastAsia="ar-SA"/>
        </w:rPr>
        <w:tab/>
      </w:r>
      <w:r w:rsidRPr="006070EA">
        <w:rPr>
          <w:rFonts w:asciiTheme="majorHAnsi" w:eastAsia="Times New Roman" w:hAnsiTheme="majorHAnsi" w:cstheme="majorHAnsi"/>
          <w:sz w:val="18"/>
          <w:szCs w:val="18"/>
          <w:lang w:eastAsia="ar-SA"/>
        </w:rPr>
        <w:t>Ostatní rozvojové plochy</w:t>
      </w:r>
      <w:r w:rsidRPr="006070EA">
        <w:rPr>
          <w:rFonts w:asciiTheme="majorHAnsi" w:eastAsia="Times New Roman" w:hAnsiTheme="majorHAnsi" w:cstheme="majorHAnsi"/>
          <w:sz w:val="18"/>
          <w:szCs w:val="18"/>
          <w:lang w:eastAsia="ar-SA"/>
        </w:rPr>
        <w:tab/>
      </w:r>
      <m:oMath>
        <m:sSub>
          <m:sSubPr>
            <m:ctrlPr>
              <w:rPr>
                <w:rFonts w:ascii="Cambria Math" w:eastAsia="Times New Roman" w:hAnsi="Cambria Math" w:cstheme="majorHAnsi"/>
                <w:i/>
                <w:sz w:val="18"/>
                <w:szCs w:val="18"/>
                <w:lang w:eastAsia="ar-SA"/>
              </w:rPr>
            </m:ctrlPr>
          </m:sSubPr>
          <m:e>
            <m:r>
              <w:rPr>
                <w:rFonts w:ascii="Cambria Math" w:eastAsia="Times New Roman" w:hAnsi="Cambria Math" w:cstheme="majorHAnsi"/>
                <w:sz w:val="18"/>
                <w:szCs w:val="18"/>
                <w:lang w:eastAsia="ar-SA"/>
              </w:rPr>
              <m:t>P</m:t>
            </m:r>
          </m:e>
          <m:sub>
            <m:r>
              <w:rPr>
                <w:rFonts w:ascii="Cambria Math" w:eastAsia="Times New Roman" w:hAnsi="Cambria Math" w:cstheme="majorHAnsi"/>
                <w:sz w:val="18"/>
                <w:szCs w:val="18"/>
                <w:lang w:eastAsia="ar-SA"/>
              </w:rPr>
              <m:t>4</m:t>
            </m:r>
          </m:sub>
        </m:sSub>
        <m:r>
          <w:rPr>
            <w:rFonts w:ascii="Cambria Math" w:eastAsia="Times New Roman" w:hAnsi="Cambria Math" w:cstheme="majorHAnsi"/>
            <w:sz w:val="18"/>
            <w:szCs w:val="18"/>
            <w:lang w:eastAsia="ar-SA"/>
          </w:rPr>
          <m:t>=</m:t>
        </m:r>
        <m:sSub>
          <m:sSubPr>
            <m:ctrlPr>
              <w:rPr>
                <w:rFonts w:ascii="Cambria Math" w:eastAsia="Times New Roman" w:hAnsi="Cambria Math" w:cstheme="majorHAnsi"/>
                <w:i/>
                <w:sz w:val="18"/>
                <w:szCs w:val="18"/>
                <w:lang w:eastAsia="ar-SA"/>
              </w:rPr>
            </m:ctrlPr>
          </m:sSubPr>
          <m:e>
            <m:r>
              <w:rPr>
                <w:rFonts w:ascii="Cambria Math" w:eastAsia="Times New Roman" w:hAnsi="Cambria Math" w:cstheme="majorHAnsi"/>
                <w:sz w:val="18"/>
                <w:szCs w:val="18"/>
                <w:lang w:eastAsia="ar-SA"/>
              </w:rPr>
              <m:t>k</m:t>
            </m:r>
          </m:e>
          <m:sub>
            <m:r>
              <w:rPr>
                <w:rFonts w:ascii="Cambria Math" w:eastAsia="Times New Roman" w:hAnsi="Cambria Math" w:cstheme="majorHAnsi"/>
                <w:sz w:val="18"/>
                <w:szCs w:val="18"/>
                <w:lang w:eastAsia="ar-SA"/>
              </w:rPr>
              <m:t>2</m:t>
            </m:r>
          </m:sub>
        </m:sSub>
        <m:r>
          <w:rPr>
            <w:rFonts w:ascii="Cambria Math" w:eastAsia="Times New Roman" w:hAnsi="Cambria Math" w:cstheme="majorHAnsi"/>
            <w:sz w:val="18"/>
            <w:szCs w:val="18"/>
            <w:lang w:eastAsia="ar-SA"/>
          </w:rPr>
          <m:t>*</m:t>
        </m:r>
        <m:sSub>
          <m:sSubPr>
            <m:ctrlPr>
              <w:rPr>
                <w:rFonts w:ascii="Cambria Math" w:eastAsia="Times New Roman" w:hAnsi="Cambria Math" w:cstheme="majorHAnsi"/>
                <w:i/>
                <w:sz w:val="18"/>
                <w:szCs w:val="18"/>
                <w:lang w:eastAsia="ar-SA"/>
              </w:rPr>
            </m:ctrlPr>
          </m:sSubPr>
          <m:e>
            <m:r>
              <w:rPr>
                <w:rFonts w:ascii="Cambria Math" w:eastAsia="Times New Roman" w:hAnsi="Cambria Math" w:cstheme="majorHAnsi"/>
                <w:sz w:val="18"/>
                <w:szCs w:val="18"/>
                <w:lang w:eastAsia="ar-SA"/>
              </w:rPr>
              <m:t>P</m:t>
            </m:r>
          </m:e>
          <m:sub>
            <m:r>
              <w:rPr>
                <w:rFonts w:ascii="Cambria Math" w:eastAsia="Times New Roman" w:hAnsi="Cambria Math" w:cstheme="majorHAnsi"/>
                <w:sz w:val="18"/>
                <w:szCs w:val="18"/>
                <w:lang w:eastAsia="ar-SA"/>
              </w:rPr>
              <m:t>3</m:t>
            </m:r>
          </m:sub>
        </m:sSub>
        <m:r>
          <w:rPr>
            <w:rFonts w:ascii="Cambria Math" w:eastAsia="Times New Roman" w:hAnsi="Cambria Math" w:cstheme="majorHAnsi"/>
            <w:sz w:val="18"/>
            <w:szCs w:val="18"/>
            <w:lang w:eastAsia="ar-SA"/>
          </w:rPr>
          <m:t>=0,2*309=62</m:t>
        </m:r>
      </m:oMath>
    </w:p>
    <w:p w14:paraId="6F377E02" w14:textId="62E1E8F5" w:rsidR="009022DC" w:rsidRPr="006070EA" w:rsidRDefault="009022DC" w:rsidP="009022DC">
      <w:pPr>
        <w:tabs>
          <w:tab w:val="left" w:pos="720"/>
          <w:tab w:val="left" w:pos="1584"/>
          <w:tab w:val="left" w:pos="1985"/>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spacing w:before="60" w:after="120" w:line="240" w:lineRule="auto"/>
        <w:jc w:val="both"/>
        <w:rPr>
          <w:rFonts w:asciiTheme="majorHAnsi" w:eastAsia="Calibri" w:hAnsiTheme="majorHAnsi" w:cstheme="majorHAnsi"/>
          <w:sz w:val="18"/>
          <w:szCs w:val="18"/>
        </w:rPr>
      </w:pPr>
      <w:r w:rsidRPr="006070EA">
        <w:rPr>
          <w:rFonts w:asciiTheme="majorHAnsi" w:eastAsia="Calibri" w:hAnsiTheme="majorHAnsi" w:cstheme="majorHAnsi"/>
          <w:b/>
          <w:sz w:val="18"/>
          <w:szCs w:val="18"/>
        </w:rPr>
        <w:tab/>
        <w:t>Σ distribuce v roce 2035</w:t>
      </w:r>
      <w:r w:rsidRPr="006070EA">
        <w:rPr>
          <w:rFonts w:asciiTheme="majorHAnsi" w:eastAsia="Calibri" w:hAnsiTheme="majorHAnsi" w:cstheme="majorHAnsi"/>
          <w:b/>
          <w:sz w:val="18"/>
          <w:szCs w:val="18"/>
        </w:rPr>
        <w:tab/>
      </w:r>
      <m:oMath>
        <m:sSub>
          <m:sSubPr>
            <m:ctrlPr>
              <w:rPr>
                <w:rFonts w:ascii="Cambria Math" w:eastAsia="Times New Roman" w:hAnsi="Cambria Math" w:cstheme="majorHAnsi"/>
                <w:i/>
                <w:sz w:val="18"/>
                <w:szCs w:val="18"/>
                <w:lang w:eastAsia="ar-SA"/>
              </w:rPr>
            </m:ctrlPr>
          </m:sSubPr>
          <m:e>
            <m:r>
              <w:rPr>
                <w:rFonts w:ascii="Cambria Math" w:eastAsia="Calibri" w:hAnsi="Cambria Math" w:cstheme="majorHAnsi"/>
                <w:sz w:val="18"/>
                <w:szCs w:val="18"/>
              </w:rPr>
              <m:t>P</m:t>
            </m:r>
          </m:e>
          <m:sub>
            <m:r>
              <w:rPr>
                <w:rFonts w:ascii="Cambria Math" w:eastAsia="Calibri" w:hAnsi="Cambria Math" w:cstheme="majorHAnsi"/>
                <w:sz w:val="18"/>
                <w:szCs w:val="18"/>
              </w:rPr>
              <m:t>5</m:t>
            </m:r>
          </m:sub>
        </m:sSub>
        <m:r>
          <w:rPr>
            <w:rFonts w:ascii="Cambria Math" w:eastAsia="Calibri" w:hAnsi="Cambria Math" w:cstheme="majorHAnsi"/>
            <w:sz w:val="18"/>
            <w:szCs w:val="18"/>
          </w:rPr>
          <m:t>=</m:t>
        </m:r>
        <m:r>
          <w:rPr>
            <w:rFonts w:ascii="Cambria Math" w:eastAsia="Times New Roman" w:hAnsi="Cambria Math" w:cstheme="majorHAnsi"/>
            <w:sz w:val="18"/>
            <w:szCs w:val="18"/>
            <w:lang w:eastAsia="ar-SA"/>
          </w:rPr>
          <m:t>stávající zástavba+</m:t>
        </m:r>
        <m:sSub>
          <m:sSubPr>
            <m:ctrlPr>
              <w:rPr>
                <w:rFonts w:ascii="Cambria Math" w:eastAsia="Times New Roman" w:hAnsi="Cambria Math" w:cstheme="majorHAnsi"/>
                <w:i/>
                <w:sz w:val="18"/>
                <w:szCs w:val="18"/>
                <w:lang w:eastAsia="ar-SA"/>
              </w:rPr>
            </m:ctrlPr>
          </m:sSubPr>
          <m:e>
            <m:r>
              <w:rPr>
                <w:rFonts w:ascii="Cambria Math" w:eastAsia="Calibri" w:hAnsi="Cambria Math" w:cstheme="majorHAnsi"/>
                <w:sz w:val="18"/>
                <w:szCs w:val="18"/>
              </w:rPr>
              <m:t>P</m:t>
            </m:r>
          </m:e>
          <m:sub>
            <m:r>
              <w:rPr>
                <w:rFonts w:ascii="Cambria Math" w:eastAsia="Calibri" w:hAnsi="Cambria Math" w:cstheme="majorHAnsi"/>
                <w:sz w:val="18"/>
                <w:szCs w:val="18"/>
              </w:rPr>
              <m:t xml:space="preserve">3 </m:t>
            </m:r>
          </m:sub>
        </m:sSub>
        <m:sSub>
          <m:sSubPr>
            <m:ctrlPr>
              <w:rPr>
                <w:rFonts w:ascii="Cambria Math" w:eastAsia="Times New Roman" w:hAnsi="Cambria Math" w:cstheme="majorHAnsi"/>
                <w:i/>
                <w:sz w:val="18"/>
                <w:szCs w:val="18"/>
                <w:lang w:eastAsia="ar-SA"/>
              </w:rPr>
            </m:ctrlPr>
          </m:sSubPr>
          <m:e>
            <m:r>
              <w:rPr>
                <w:rFonts w:ascii="Cambria Math" w:eastAsia="Calibri" w:hAnsi="Cambria Math" w:cstheme="majorHAnsi"/>
                <w:sz w:val="18"/>
                <w:szCs w:val="18"/>
              </w:rPr>
              <m:t>+ P</m:t>
            </m:r>
          </m:e>
          <m:sub>
            <m:r>
              <w:rPr>
                <w:rFonts w:ascii="Cambria Math" w:eastAsia="Calibri" w:hAnsi="Cambria Math" w:cstheme="majorHAnsi"/>
                <w:sz w:val="18"/>
                <w:szCs w:val="18"/>
              </w:rPr>
              <m:t>4</m:t>
            </m:r>
          </m:sub>
        </m:sSub>
        <m:r>
          <w:rPr>
            <w:rFonts w:ascii="Cambria Math" w:eastAsia="Calibri" w:hAnsi="Cambria Math" w:cstheme="majorHAnsi"/>
            <w:sz w:val="18"/>
            <w:szCs w:val="18"/>
          </w:rPr>
          <m:t>=stávající zástavba+309+62=</m:t>
        </m:r>
      </m:oMath>
    </w:p>
    <w:p w14:paraId="3EEA0B23" w14:textId="06784C1E" w:rsidR="009022DC" w:rsidRPr="006070EA" w:rsidRDefault="00D53795" w:rsidP="009022DC">
      <w:pPr>
        <w:tabs>
          <w:tab w:val="left" w:pos="720"/>
          <w:tab w:val="left" w:pos="1584"/>
          <w:tab w:val="left" w:pos="1985"/>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spacing w:before="60" w:after="120" w:line="240" w:lineRule="auto"/>
        <w:jc w:val="both"/>
        <w:rPr>
          <w:rFonts w:asciiTheme="majorHAnsi" w:eastAsia="Calibri" w:hAnsiTheme="majorHAnsi" w:cstheme="majorHAnsi"/>
          <w:b/>
          <w:bCs/>
          <w:sz w:val="18"/>
          <w:szCs w:val="18"/>
        </w:rPr>
      </w:pPr>
      <m:oMathPara>
        <m:oMath>
          <m:r>
            <m:rPr>
              <m:sty m:val="bi"/>
            </m:rPr>
            <w:rPr>
              <w:rFonts w:ascii="Cambria Math" w:eastAsia="Calibri" w:hAnsi="Cambria Math" w:cstheme="majorHAnsi"/>
              <w:sz w:val="18"/>
              <w:szCs w:val="18"/>
            </w:rPr>
            <m:t>371 kW+stávající zástavba</m:t>
          </m:r>
        </m:oMath>
      </m:oMathPara>
    </w:p>
    <w:p w14:paraId="4DCB2B83" w14:textId="77777777" w:rsidR="00AB1F4C" w:rsidRPr="006070EA" w:rsidRDefault="00AB1F4C" w:rsidP="009E07E1">
      <w:pPr>
        <w:spacing w:before="120" w:after="120" w:line="240" w:lineRule="auto"/>
        <w:jc w:val="both"/>
        <w:rPr>
          <w:rFonts w:asciiTheme="majorHAnsi" w:hAnsiTheme="majorHAnsi" w:cstheme="majorHAnsi"/>
          <w:b/>
          <w:sz w:val="18"/>
        </w:rPr>
      </w:pPr>
      <w:r w:rsidRPr="006070EA">
        <w:rPr>
          <w:rFonts w:asciiTheme="majorHAnsi" w:hAnsiTheme="majorHAnsi" w:cstheme="majorHAnsi"/>
          <w:b/>
          <w:sz w:val="18"/>
        </w:rPr>
        <w:t>Odůvodnění koncepce zásobování elektrickou energií</w:t>
      </w:r>
    </w:p>
    <w:p w14:paraId="0C4F2D15" w14:textId="77777777" w:rsidR="00F8666A" w:rsidRPr="006070EA" w:rsidRDefault="00F8666A" w:rsidP="00F8666A">
      <w:pPr>
        <w:pStyle w:val="Atext"/>
        <w:spacing w:after="60"/>
        <w:rPr>
          <w:rFonts w:asciiTheme="majorHAnsi" w:hAnsiTheme="majorHAnsi" w:cstheme="majorHAnsi"/>
        </w:rPr>
      </w:pPr>
      <w:r w:rsidRPr="006070EA">
        <w:rPr>
          <w:rFonts w:asciiTheme="majorHAnsi" w:hAnsiTheme="majorHAnsi" w:cstheme="majorHAnsi"/>
        </w:rPr>
        <w:t>Stávající systém zásobování elektrickou energií je vyhovující. V důsledku poklesu elektroenergetických potřeb způsobeného restrukturalizací průmyslu, zaváděním energeticky méně náročných technologií, snižování energetické náročnosti budov apod. lze nároky pokrýt z rezerv v instalovaném výkonu. Způsob napájení obce zůstane i nadále nezměněn, stávajícím systémem vedení vn 22 kV.</w:t>
      </w:r>
    </w:p>
    <w:p w14:paraId="548131A7" w14:textId="6155FF99" w:rsidR="00F8666A" w:rsidRPr="006070EA" w:rsidRDefault="00F8666A" w:rsidP="00F8666A">
      <w:pPr>
        <w:pStyle w:val="Atext"/>
        <w:spacing w:after="60"/>
        <w:rPr>
          <w:rFonts w:asciiTheme="majorHAnsi" w:hAnsiTheme="majorHAnsi" w:cstheme="majorHAnsi"/>
        </w:rPr>
      </w:pPr>
      <w:r w:rsidRPr="006070EA">
        <w:rPr>
          <w:rFonts w:asciiTheme="majorHAnsi" w:hAnsiTheme="majorHAnsi" w:cstheme="majorHAnsi"/>
        </w:rPr>
        <w:t>Výhledový požadovaný výkon pro distribuci bude zajištěn ze stávajících trafostanic, které se v případě potřeby přezbrojí a osadí větším transformátorem. V současnosti nelze odpovědně predikovat možné nároky související např.</w:t>
      </w:r>
      <w:r w:rsidR="00BA0A74" w:rsidRPr="006070EA">
        <w:rPr>
          <w:rFonts w:asciiTheme="majorHAnsi" w:hAnsiTheme="majorHAnsi" w:cstheme="majorHAnsi"/>
        </w:rPr>
        <w:t> </w:t>
      </w:r>
      <w:r w:rsidRPr="006070EA">
        <w:rPr>
          <w:rFonts w:asciiTheme="majorHAnsi" w:hAnsiTheme="majorHAnsi" w:cstheme="majorHAnsi"/>
        </w:rPr>
        <w:t>s</w:t>
      </w:r>
      <w:r w:rsidR="00BA0A74" w:rsidRPr="006070EA">
        <w:rPr>
          <w:rFonts w:asciiTheme="majorHAnsi" w:hAnsiTheme="majorHAnsi" w:cstheme="majorHAnsi"/>
        </w:rPr>
        <w:t> </w:t>
      </w:r>
      <w:r w:rsidRPr="006070EA">
        <w:rPr>
          <w:rFonts w:asciiTheme="majorHAnsi" w:hAnsiTheme="majorHAnsi" w:cstheme="majorHAnsi"/>
        </w:rPr>
        <w:t>přílivem zahraničních investic a podporou určitého sektoru hospodářství. V případě vzniku většího průmyslového odběru bude situace řešená přezbrojením trafostanice nebo postavením nové trafostanice s vrchní primární přípojkou. V</w:t>
      </w:r>
      <w:r w:rsidR="00BA0A74" w:rsidRPr="006070EA">
        <w:rPr>
          <w:rFonts w:asciiTheme="majorHAnsi" w:hAnsiTheme="majorHAnsi" w:cstheme="majorHAnsi"/>
        </w:rPr>
        <w:t> </w:t>
      </w:r>
      <w:r w:rsidRPr="006070EA">
        <w:rPr>
          <w:rFonts w:asciiTheme="majorHAnsi" w:hAnsiTheme="majorHAnsi" w:cstheme="majorHAnsi"/>
        </w:rPr>
        <w:t xml:space="preserve">takovém případě je nutné územním plánem nastavit podmínky umožňující pružnou reakci a umožnění výstavby elektroenergetických zařízení podle aktuálních potřeb. Na tuto potřebu reaguje návrh Územního plánu </w:t>
      </w:r>
      <w:r w:rsidR="00BA0A74" w:rsidRPr="006070EA">
        <w:rPr>
          <w:rFonts w:asciiTheme="majorHAnsi" w:hAnsiTheme="majorHAnsi" w:cstheme="majorHAnsi"/>
        </w:rPr>
        <w:t>Kostomlaty nad Labem</w:t>
      </w:r>
      <w:r w:rsidRPr="006070EA">
        <w:rPr>
          <w:rFonts w:asciiTheme="majorHAnsi" w:hAnsiTheme="majorHAnsi" w:cstheme="majorHAnsi"/>
        </w:rPr>
        <w:t xml:space="preserve"> stanovením podmínek využití jednotlivých ploch s rozdílným způsobem využití, které umožňují realizaci zařízení pro zásobování elektrickou energií prakticky ve všech plochách s rozdílným způsobem využití.</w:t>
      </w:r>
    </w:p>
    <w:p w14:paraId="7B5AC841" w14:textId="72B96DA4" w:rsidR="00F8666A" w:rsidRPr="006070EA" w:rsidRDefault="00F8666A" w:rsidP="00F8666A">
      <w:pPr>
        <w:pStyle w:val="Atext"/>
        <w:spacing w:after="60"/>
        <w:rPr>
          <w:rFonts w:asciiTheme="majorHAnsi" w:hAnsiTheme="majorHAnsi" w:cstheme="majorHAnsi"/>
        </w:rPr>
      </w:pPr>
      <w:r w:rsidRPr="006070EA">
        <w:rPr>
          <w:rFonts w:asciiTheme="majorHAnsi" w:hAnsiTheme="majorHAnsi" w:cstheme="majorHAnsi"/>
        </w:rPr>
        <w:t>Při napojení zastavitelných ploch a při rekonstrukci současných vrchních vedení nízkého napětí se doporučuje v</w:t>
      </w:r>
      <w:r w:rsidR="00BA0A74" w:rsidRPr="006070EA">
        <w:rPr>
          <w:rFonts w:asciiTheme="majorHAnsi" w:hAnsiTheme="majorHAnsi" w:cstheme="majorHAnsi"/>
        </w:rPr>
        <w:t> </w:t>
      </w:r>
      <w:r w:rsidRPr="006070EA">
        <w:rPr>
          <w:rFonts w:asciiTheme="majorHAnsi" w:hAnsiTheme="majorHAnsi" w:cstheme="majorHAnsi"/>
        </w:rPr>
        <w:t xml:space="preserve">zastavěném území obce provádět nové elektrorozvody kabelizací. Upřednostnění kabelových vedení zejména v zastavěném území před nadzemním vedením je doporučeno </w:t>
      </w:r>
      <w:r w:rsidR="00BA0A74" w:rsidRPr="006070EA">
        <w:rPr>
          <w:rFonts w:asciiTheme="majorHAnsi" w:hAnsiTheme="majorHAnsi" w:cstheme="majorHAnsi"/>
        </w:rPr>
        <w:t>především</w:t>
      </w:r>
      <w:r w:rsidRPr="006070EA">
        <w:rPr>
          <w:rFonts w:asciiTheme="majorHAnsi" w:hAnsiTheme="majorHAnsi" w:cstheme="majorHAnsi"/>
        </w:rPr>
        <w:t xml:space="preserve"> z důvodu vyšší bezpečnosti, nižších provozních nákladů</w:t>
      </w:r>
      <w:r w:rsidR="00C8442F" w:rsidRPr="006070EA">
        <w:rPr>
          <w:rFonts w:asciiTheme="majorHAnsi" w:hAnsiTheme="majorHAnsi" w:cstheme="majorHAnsi"/>
        </w:rPr>
        <w:t>,</w:t>
      </w:r>
      <w:r w:rsidRPr="006070EA">
        <w:rPr>
          <w:rFonts w:asciiTheme="majorHAnsi" w:hAnsiTheme="majorHAnsi" w:cstheme="majorHAnsi"/>
        </w:rPr>
        <w:t xml:space="preserve"> a také s</w:t>
      </w:r>
      <w:r w:rsidR="00BA0A74" w:rsidRPr="006070EA">
        <w:rPr>
          <w:rFonts w:asciiTheme="majorHAnsi" w:hAnsiTheme="majorHAnsi" w:cstheme="majorHAnsi"/>
        </w:rPr>
        <w:t> </w:t>
      </w:r>
      <w:r w:rsidRPr="006070EA">
        <w:rPr>
          <w:rFonts w:asciiTheme="majorHAnsi" w:hAnsiTheme="majorHAnsi" w:cstheme="majorHAnsi"/>
        </w:rPr>
        <w:t xml:space="preserve">ohledem na menší vizuální dopad (zvýšení ochrany krajinného rázu). Případné přeložky stávajících energetických zařízení budou řešeny v souladu s § 47 zákona č. 458/2000 Sb., o podmínkách podnikání a o výkonu státní správy v energetických odvětvích a o změně některých zákonů (energetický zákon), ve znění pozdějších předpisů (dále jen „energetický zákon“). </w:t>
      </w:r>
    </w:p>
    <w:p w14:paraId="64C157BA" w14:textId="77777777" w:rsidR="00F8666A" w:rsidRPr="006070EA" w:rsidRDefault="00F8666A" w:rsidP="00F8666A">
      <w:pPr>
        <w:pStyle w:val="Atext"/>
        <w:spacing w:after="60"/>
        <w:rPr>
          <w:rFonts w:asciiTheme="majorHAnsi" w:hAnsiTheme="majorHAnsi" w:cstheme="majorHAnsi"/>
        </w:rPr>
      </w:pPr>
      <w:r w:rsidRPr="006070EA">
        <w:rPr>
          <w:rFonts w:asciiTheme="majorHAnsi" w:hAnsiTheme="majorHAnsi" w:cstheme="majorHAnsi"/>
        </w:rPr>
        <w:lastRenderedPageBreak/>
        <w:t>Rozvoj distribuční soustavy s možným posílením výkonu stávajících trafostanic, případně výstavbou nových trafostanic bude probíhat na základě posouzení konfigurace a výpočtu sítí nn. Případné umístění nových trafostanic vn/nn bude v rámci možností voleno co nejblíže k předpokládanému centru odběru včetně tras vedení vn a nn.</w:t>
      </w:r>
    </w:p>
    <w:p w14:paraId="684F6CFC" w14:textId="6A4F1948" w:rsidR="00F8666A" w:rsidRPr="006070EA" w:rsidRDefault="00F8666A" w:rsidP="00F8666A">
      <w:pPr>
        <w:pStyle w:val="Atext"/>
        <w:spacing w:after="60"/>
        <w:rPr>
          <w:rFonts w:asciiTheme="majorHAnsi" w:hAnsiTheme="majorHAnsi" w:cstheme="majorHAnsi"/>
        </w:rPr>
      </w:pPr>
      <w:r w:rsidRPr="006070EA">
        <w:rPr>
          <w:rFonts w:asciiTheme="majorHAnsi" w:hAnsiTheme="majorHAnsi" w:cstheme="majorHAnsi"/>
        </w:rPr>
        <w:t>Nové vedení elektrické energie není územním plánem explicitně vymezeno; konkrétní polohu při jeho případné realizaci je nutné prověřit a určit v územních studiích nebo v navazujících řízeních dle podrobného řešení a kapacit budoucí zástavby v jednotlivých plochách. Realizace vedení elektrické energie a souvisejících zařízení pro zásobování elektrické energie je územním plánem umožněna v rámci hlavního, přípustného nebo podmíněně přípustného využití prakticky všech ploch s</w:t>
      </w:r>
      <w:r w:rsidR="0054075C" w:rsidRPr="006070EA">
        <w:rPr>
          <w:rFonts w:asciiTheme="majorHAnsi" w:hAnsiTheme="majorHAnsi" w:cstheme="majorHAnsi"/>
        </w:rPr>
        <w:t> </w:t>
      </w:r>
      <w:r w:rsidRPr="006070EA">
        <w:rPr>
          <w:rFonts w:asciiTheme="majorHAnsi" w:hAnsiTheme="majorHAnsi" w:cstheme="majorHAnsi"/>
        </w:rPr>
        <w:t>rozdílným způsobem využití.</w:t>
      </w:r>
    </w:p>
    <w:p w14:paraId="11FDAC29" w14:textId="45B7367C" w:rsidR="00F8666A" w:rsidRPr="006070EA" w:rsidRDefault="00F8666A" w:rsidP="00F8666A">
      <w:pPr>
        <w:pStyle w:val="Atext"/>
        <w:spacing w:after="60"/>
        <w:rPr>
          <w:rFonts w:asciiTheme="majorHAnsi" w:hAnsiTheme="majorHAnsi" w:cstheme="majorHAnsi"/>
        </w:rPr>
      </w:pPr>
      <w:r w:rsidRPr="006070EA">
        <w:rPr>
          <w:rFonts w:asciiTheme="majorHAnsi" w:hAnsiTheme="majorHAnsi" w:cstheme="majorHAnsi"/>
        </w:rPr>
        <w:t xml:space="preserve">Schematické znázornění stávajících vedení elektrické energie a objektů elektroenergetického systému je zobrazeno na </w:t>
      </w:r>
      <w:r w:rsidR="00C8442F" w:rsidRPr="006070EA">
        <w:rPr>
          <w:rFonts w:asciiTheme="majorHAnsi" w:hAnsiTheme="majorHAnsi" w:cstheme="majorHAnsi"/>
        </w:rPr>
        <w:t xml:space="preserve">v </w:t>
      </w:r>
      <w:r w:rsidRPr="006070EA">
        <w:rPr>
          <w:rFonts w:asciiTheme="majorHAnsi" w:hAnsiTheme="majorHAnsi" w:cstheme="majorHAnsi"/>
        </w:rPr>
        <w:t xml:space="preserve">grafické části ÚP </w:t>
      </w:r>
      <w:r w:rsidR="00C8442F" w:rsidRPr="006070EA">
        <w:rPr>
          <w:rFonts w:asciiTheme="majorHAnsi" w:hAnsiTheme="majorHAnsi" w:cstheme="majorHAnsi"/>
        </w:rPr>
        <w:t>Kostomlaty nad Labem</w:t>
      </w:r>
      <w:r w:rsidRPr="006070EA">
        <w:rPr>
          <w:rFonts w:asciiTheme="majorHAnsi" w:hAnsiTheme="majorHAnsi" w:cstheme="majorHAnsi"/>
        </w:rPr>
        <w:t xml:space="preserve">, </w:t>
      </w:r>
      <w:r w:rsidR="00C8442F" w:rsidRPr="006070EA">
        <w:rPr>
          <w:rFonts w:asciiTheme="majorHAnsi" w:hAnsiTheme="majorHAnsi" w:cstheme="majorHAnsi"/>
        </w:rPr>
        <w:t xml:space="preserve">ve </w:t>
      </w:r>
      <w:r w:rsidRPr="006070EA">
        <w:rPr>
          <w:rFonts w:asciiTheme="majorHAnsi" w:hAnsiTheme="majorHAnsi" w:cstheme="majorHAnsi"/>
        </w:rPr>
        <w:t>výkresu 1 Koordinační výkres. S ohledem na měřítko územního plánu jde pouze o schematické vyjádření koncepce bez vztahu k jednotlivým pozemkům katastru nemovitostí. V navazujících řízeních tak nejsou vyloučeny změny tras jednotlivých řadů a umístění objektů.</w:t>
      </w:r>
    </w:p>
    <w:p w14:paraId="5756AA97" w14:textId="77777777" w:rsidR="00AB1F4C" w:rsidRPr="006070EA" w:rsidRDefault="00AB1F4C" w:rsidP="008A0B02">
      <w:pPr>
        <w:spacing w:before="120" w:after="120" w:line="240" w:lineRule="auto"/>
        <w:jc w:val="both"/>
        <w:rPr>
          <w:rFonts w:asciiTheme="majorHAnsi" w:eastAsiaTheme="minorEastAsia" w:hAnsiTheme="majorHAnsi" w:cstheme="majorHAnsi"/>
          <w:b/>
          <w:sz w:val="18"/>
        </w:rPr>
      </w:pPr>
      <w:r w:rsidRPr="006070EA">
        <w:rPr>
          <w:rFonts w:asciiTheme="majorHAnsi" w:hAnsiTheme="majorHAnsi" w:cstheme="majorHAnsi"/>
          <w:b/>
          <w:sz w:val="18"/>
        </w:rPr>
        <w:t xml:space="preserve">Ochranná pásma </w:t>
      </w:r>
    </w:p>
    <w:p w14:paraId="32DB4038" w14:textId="77777777" w:rsidR="00AB1F4C" w:rsidRPr="006070EA" w:rsidRDefault="00AB1F4C" w:rsidP="009E07E1">
      <w:pPr>
        <w:spacing w:before="60" w:after="60" w:line="240" w:lineRule="auto"/>
        <w:ind w:firstLine="709"/>
        <w:jc w:val="both"/>
        <w:rPr>
          <w:rFonts w:asciiTheme="majorHAnsi" w:eastAsiaTheme="minorEastAsia" w:hAnsiTheme="majorHAnsi" w:cstheme="majorHAnsi"/>
          <w:sz w:val="18"/>
        </w:rPr>
      </w:pPr>
      <w:r w:rsidRPr="006070EA">
        <w:rPr>
          <w:rFonts w:asciiTheme="majorHAnsi" w:eastAsiaTheme="minorEastAsia" w:hAnsiTheme="majorHAnsi" w:cstheme="majorHAnsi"/>
          <w:sz w:val="18"/>
        </w:rPr>
        <w:t>Dle zákona č. 458/2000 Sb., o podmínkách podnikání a o výkonu státní správy v energetických odvětvích a o změně některých zákonů (energetický zákon), ve znění pozdějších předpisů.</w:t>
      </w:r>
    </w:p>
    <w:p w14:paraId="203B6443" w14:textId="77777777" w:rsidR="00AB1F4C" w:rsidRPr="006070EA" w:rsidRDefault="00AB1F4C" w:rsidP="009E07E1">
      <w:pPr>
        <w:spacing w:before="60" w:after="60" w:line="240" w:lineRule="auto"/>
        <w:ind w:firstLine="709"/>
        <w:jc w:val="both"/>
        <w:rPr>
          <w:rFonts w:asciiTheme="majorHAnsi" w:eastAsiaTheme="minorEastAsia" w:hAnsiTheme="majorHAnsi" w:cstheme="majorHAnsi"/>
          <w:sz w:val="18"/>
        </w:rPr>
      </w:pPr>
      <w:r w:rsidRPr="006070EA">
        <w:rPr>
          <w:rFonts w:asciiTheme="majorHAnsi" w:eastAsiaTheme="minorEastAsia" w:hAnsiTheme="majorHAnsi" w:cstheme="majorHAnsi"/>
          <w:sz w:val="18"/>
        </w:rPr>
        <w:t xml:space="preserve">Ochranné pásmo nadzemního vedení je souvislý prostor vymezený svislými rovinami vedenými po obou stranách vedení ve vodorovné vzdálenosti měřené kolmo na vedení. </w:t>
      </w:r>
    </w:p>
    <w:p w14:paraId="21820F7F" w14:textId="77777777" w:rsidR="00AB1F4C" w:rsidRPr="006070EA" w:rsidRDefault="00AB1F4C" w:rsidP="00795EBA">
      <w:pPr>
        <w:spacing w:before="60" w:after="60" w:line="240" w:lineRule="auto"/>
        <w:ind w:firstLine="709"/>
        <w:jc w:val="both"/>
        <w:rPr>
          <w:rFonts w:asciiTheme="majorHAnsi" w:eastAsiaTheme="minorEastAsia" w:hAnsiTheme="majorHAnsi" w:cstheme="majorHAnsi"/>
          <w:i/>
          <w:sz w:val="18"/>
        </w:rPr>
      </w:pPr>
      <w:r w:rsidRPr="006070EA">
        <w:rPr>
          <w:rFonts w:asciiTheme="majorHAnsi" w:eastAsiaTheme="minorEastAsia" w:hAnsiTheme="majorHAnsi" w:cstheme="majorHAnsi"/>
          <w:i/>
          <w:sz w:val="18"/>
        </w:rPr>
        <w:t>Pro zařízení vybudovaná před 1. 1. 2000 a po 1. 1. 1995 platí ochranná pásma:</w:t>
      </w:r>
    </w:p>
    <w:p w14:paraId="1599349C" w14:textId="77777777" w:rsidR="00AB1F4C" w:rsidRPr="006070EA" w:rsidRDefault="00AB1F4C" w:rsidP="00795EBA">
      <w:pPr>
        <w:spacing w:before="60" w:after="0" w:line="240" w:lineRule="auto"/>
        <w:ind w:left="709"/>
        <w:jc w:val="both"/>
        <w:rPr>
          <w:rFonts w:asciiTheme="majorHAnsi" w:eastAsiaTheme="minorEastAsia" w:hAnsiTheme="majorHAnsi" w:cstheme="majorHAnsi"/>
          <w:sz w:val="18"/>
        </w:rPr>
      </w:pPr>
      <w:r w:rsidRPr="006070EA">
        <w:rPr>
          <w:rFonts w:asciiTheme="majorHAnsi" w:eastAsiaTheme="minorEastAsia" w:hAnsiTheme="majorHAnsi" w:cstheme="majorHAnsi"/>
          <w:sz w:val="18"/>
        </w:rPr>
        <w:t>Vrchní primární vedení do 35 kV = 7 m od krajních vodičů (ochranné pásmo je vymezeno po obou stranách vedení ve vodorovné vzdálenosti měřené kolmo na vedení).</w:t>
      </w:r>
    </w:p>
    <w:p w14:paraId="3184045D" w14:textId="77777777" w:rsidR="00AB1F4C" w:rsidRPr="006070EA" w:rsidRDefault="00AB1F4C" w:rsidP="00795EBA">
      <w:pPr>
        <w:spacing w:after="0" w:line="240" w:lineRule="auto"/>
        <w:ind w:left="709"/>
        <w:jc w:val="both"/>
        <w:rPr>
          <w:rFonts w:asciiTheme="majorHAnsi" w:eastAsiaTheme="minorEastAsia" w:hAnsiTheme="majorHAnsi" w:cstheme="majorHAnsi"/>
          <w:sz w:val="18"/>
        </w:rPr>
      </w:pPr>
      <w:r w:rsidRPr="006070EA">
        <w:rPr>
          <w:rFonts w:asciiTheme="majorHAnsi" w:eastAsiaTheme="minorEastAsia" w:hAnsiTheme="majorHAnsi" w:cstheme="majorHAnsi"/>
          <w:sz w:val="18"/>
        </w:rPr>
        <w:t>Vrchní primární vedení do 400 kV = 20 m od krajních vodičů.</w:t>
      </w:r>
    </w:p>
    <w:p w14:paraId="30A82666" w14:textId="77777777" w:rsidR="00AB1F4C" w:rsidRPr="006070EA" w:rsidRDefault="00AB1F4C" w:rsidP="00795EBA">
      <w:pPr>
        <w:spacing w:after="0" w:line="240" w:lineRule="auto"/>
        <w:ind w:left="709"/>
        <w:jc w:val="both"/>
        <w:rPr>
          <w:rFonts w:asciiTheme="majorHAnsi" w:eastAsiaTheme="minorEastAsia" w:hAnsiTheme="majorHAnsi" w:cstheme="majorHAnsi"/>
          <w:sz w:val="18"/>
        </w:rPr>
      </w:pPr>
      <w:r w:rsidRPr="006070EA">
        <w:rPr>
          <w:rFonts w:asciiTheme="majorHAnsi" w:eastAsiaTheme="minorEastAsia" w:hAnsiTheme="majorHAnsi" w:cstheme="majorHAnsi"/>
          <w:sz w:val="18"/>
        </w:rPr>
        <w:t>Trafostanice vn/nn do 35 kV stožárová = jako vrchní vedení do 35 kV.</w:t>
      </w:r>
    </w:p>
    <w:p w14:paraId="3DD5DCE3" w14:textId="77777777" w:rsidR="00AB1F4C" w:rsidRPr="006070EA" w:rsidRDefault="00AB1F4C" w:rsidP="00795EBA">
      <w:pPr>
        <w:spacing w:after="0" w:line="240" w:lineRule="auto"/>
        <w:ind w:left="709"/>
        <w:jc w:val="both"/>
        <w:rPr>
          <w:rFonts w:asciiTheme="majorHAnsi" w:eastAsiaTheme="minorEastAsia" w:hAnsiTheme="majorHAnsi" w:cstheme="majorHAnsi"/>
          <w:sz w:val="18"/>
        </w:rPr>
      </w:pPr>
      <w:r w:rsidRPr="006070EA">
        <w:rPr>
          <w:rFonts w:asciiTheme="majorHAnsi" w:eastAsiaTheme="minorEastAsia" w:hAnsiTheme="majorHAnsi" w:cstheme="majorHAnsi"/>
          <w:sz w:val="18"/>
        </w:rPr>
        <w:t>Trafostanice vn/nn do 35 kV zděná = 20 m od obvodové zdi.</w:t>
      </w:r>
    </w:p>
    <w:p w14:paraId="5087D564" w14:textId="77777777" w:rsidR="00AB1F4C" w:rsidRPr="006070EA" w:rsidRDefault="00AB1F4C" w:rsidP="00795EBA">
      <w:pPr>
        <w:spacing w:after="60" w:line="240" w:lineRule="auto"/>
        <w:ind w:left="709"/>
        <w:jc w:val="both"/>
        <w:rPr>
          <w:rFonts w:asciiTheme="majorHAnsi" w:eastAsiaTheme="minorEastAsia" w:hAnsiTheme="majorHAnsi" w:cstheme="majorHAnsi"/>
          <w:sz w:val="18"/>
        </w:rPr>
      </w:pPr>
      <w:r w:rsidRPr="006070EA">
        <w:rPr>
          <w:rFonts w:asciiTheme="majorHAnsi" w:eastAsiaTheme="minorEastAsia" w:hAnsiTheme="majorHAnsi" w:cstheme="majorHAnsi"/>
          <w:sz w:val="18"/>
        </w:rPr>
        <w:t>Kabelová veden všech druhů (do 35 kV) = 1 m na každou stranu od krajního kabelu.</w:t>
      </w:r>
    </w:p>
    <w:p w14:paraId="061250DF" w14:textId="77777777" w:rsidR="00AB1F4C" w:rsidRPr="006070EA" w:rsidRDefault="00AB1F4C" w:rsidP="00795EBA">
      <w:pPr>
        <w:spacing w:before="60" w:after="60" w:line="240" w:lineRule="auto"/>
        <w:ind w:left="709"/>
        <w:jc w:val="both"/>
        <w:rPr>
          <w:rFonts w:asciiTheme="majorHAnsi" w:eastAsiaTheme="minorEastAsia" w:hAnsiTheme="majorHAnsi" w:cstheme="majorHAnsi"/>
          <w:i/>
          <w:sz w:val="18"/>
        </w:rPr>
      </w:pPr>
      <w:r w:rsidRPr="006070EA">
        <w:rPr>
          <w:rFonts w:asciiTheme="majorHAnsi" w:eastAsiaTheme="minorEastAsia" w:hAnsiTheme="majorHAnsi" w:cstheme="majorHAnsi"/>
          <w:i/>
          <w:sz w:val="18"/>
        </w:rPr>
        <w:t>Pro zařízení vybudovaná před 1. 1. 1995 platí ochranná pásma:</w:t>
      </w:r>
    </w:p>
    <w:p w14:paraId="07B531F0" w14:textId="77777777" w:rsidR="00AB1F4C" w:rsidRPr="006070EA" w:rsidRDefault="00AB1F4C" w:rsidP="00795EBA">
      <w:pPr>
        <w:spacing w:before="60" w:after="0" w:line="240" w:lineRule="auto"/>
        <w:ind w:left="709"/>
        <w:jc w:val="both"/>
        <w:rPr>
          <w:rFonts w:asciiTheme="majorHAnsi" w:eastAsiaTheme="minorEastAsia" w:hAnsiTheme="majorHAnsi" w:cstheme="majorHAnsi"/>
          <w:sz w:val="18"/>
        </w:rPr>
      </w:pPr>
      <w:r w:rsidRPr="006070EA">
        <w:rPr>
          <w:rFonts w:asciiTheme="majorHAnsi" w:eastAsiaTheme="minorEastAsia" w:hAnsiTheme="majorHAnsi" w:cstheme="majorHAnsi"/>
          <w:sz w:val="18"/>
        </w:rPr>
        <w:t>Vrchní primární vedení do 35 kV = 10 m od krajních vodičů (ochranné pásmo je vymezeno po obou stranách vedení ve vodorovné vzdálenosti měřené kolmo na vedení).</w:t>
      </w:r>
    </w:p>
    <w:p w14:paraId="4D497D22" w14:textId="77777777" w:rsidR="00AB1F4C" w:rsidRPr="006070EA" w:rsidRDefault="00AB1F4C" w:rsidP="00795EBA">
      <w:pPr>
        <w:spacing w:after="0" w:line="240" w:lineRule="auto"/>
        <w:ind w:left="709"/>
        <w:jc w:val="both"/>
        <w:rPr>
          <w:rFonts w:asciiTheme="majorHAnsi" w:eastAsiaTheme="minorEastAsia" w:hAnsiTheme="majorHAnsi" w:cstheme="majorHAnsi"/>
          <w:sz w:val="18"/>
        </w:rPr>
      </w:pPr>
      <w:r w:rsidRPr="006070EA">
        <w:rPr>
          <w:rFonts w:asciiTheme="majorHAnsi" w:eastAsiaTheme="minorEastAsia" w:hAnsiTheme="majorHAnsi" w:cstheme="majorHAnsi"/>
          <w:sz w:val="18"/>
        </w:rPr>
        <w:t>Vrchní primární vedení do 400 kV = 25 m od krajních vodičů.</w:t>
      </w:r>
    </w:p>
    <w:p w14:paraId="17525CFE" w14:textId="77777777" w:rsidR="00AB1F4C" w:rsidRPr="006070EA" w:rsidRDefault="00AB1F4C" w:rsidP="00795EBA">
      <w:pPr>
        <w:spacing w:after="0" w:line="240" w:lineRule="auto"/>
        <w:ind w:left="709"/>
        <w:jc w:val="both"/>
        <w:rPr>
          <w:rFonts w:asciiTheme="majorHAnsi" w:eastAsiaTheme="minorEastAsia" w:hAnsiTheme="majorHAnsi" w:cstheme="majorHAnsi"/>
          <w:sz w:val="18"/>
        </w:rPr>
      </w:pPr>
      <w:r w:rsidRPr="006070EA">
        <w:rPr>
          <w:rFonts w:asciiTheme="majorHAnsi" w:eastAsiaTheme="minorEastAsia" w:hAnsiTheme="majorHAnsi" w:cstheme="majorHAnsi"/>
          <w:sz w:val="18"/>
        </w:rPr>
        <w:t>Trafostanice vn/nn do 35 kV stožárová = jako vrchní vedení do 35 kV.</w:t>
      </w:r>
    </w:p>
    <w:p w14:paraId="4DC6355E" w14:textId="77777777" w:rsidR="00AB1F4C" w:rsidRPr="006070EA" w:rsidRDefault="00AB1F4C" w:rsidP="00795EBA">
      <w:pPr>
        <w:spacing w:after="0" w:line="240" w:lineRule="auto"/>
        <w:ind w:left="709"/>
        <w:jc w:val="both"/>
        <w:rPr>
          <w:rFonts w:asciiTheme="majorHAnsi" w:eastAsiaTheme="minorEastAsia" w:hAnsiTheme="majorHAnsi" w:cstheme="majorHAnsi"/>
          <w:sz w:val="18"/>
        </w:rPr>
      </w:pPr>
      <w:r w:rsidRPr="006070EA">
        <w:rPr>
          <w:rFonts w:asciiTheme="majorHAnsi" w:eastAsiaTheme="minorEastAsia" w:hAnsiTheme="majorHAnsi" w:cstheme="majorHAnsi"/>
          <w:sz w:val="18"/>
        </w:rPr>
        <w:t>Trafostanice vn/nn do 35 kV zděná = 30 m od obvodové zdi.</w:t>
      </w:r>
    </w:p>
    <w:p w14:paraId="47FA40B9" w14:textId="77777777" w:rsidR="00AB1F4C" w:rsidRPr="006070EA" w:rsidRDefault="00AB1F4C" w:rsidP="00795EBA">
      <w:pPr>
        <w:spacing w:after="60" w:line="240" w:lineRule="auto"/>
        <w:ind w:left="709"/>
        <w:jc w:val="both"/>
        <w:rPr>
          <w:rFonts w:asciiTheme="majorHAnsi" w:eastAsiaTheme="minorEastAsia" w:hAnsiTheme="majorHAnsi" w:cstheme="majorHAnsi"/>
          <w:sz w:val="18"/>
        </w:rPr>
      </w:pPr>
      <w:r w:rsidRPr="006070EA">
        <w:rPr>
          <w:rFonts w:asciiTheme="majorHAnsi" w:eastAsiaTheme="minorEastAsia" w:hAnsiTheme="majorHAnsi" w:cstheme="majorHAnsi"/>
          <w:sz w:val="18"/>
        </w:rPr>
        <w:t>Kabelová veden všech druhů (do 35 kV) = 1 m na každou stranu od krajního kabelu.</w:t>
      </w:r>
    </w:p>
    <w:p w14:paraId="6691D06C" w14:textId="77777777" w:rsidR="00AB1F4C" w:rsidRPr="006070EA" w:rsidRDefault="00501F6A" w:rsidP="009E07E1">
      <w:pPr>
        <w:keepNext/>
        <w:shd w:val="clear" w:color="auto" w:fill="F2F2F2" w:themeFill="background1" w:themeFillShade="F2"/>
        <w:spacing w:before="120" w:after="120" w:line="240" w:lineRule="auto"/>
        <w:rPr>
          <w:rFonts w:asciiTheme="majorHAnsi" w:hAnsiTheme="majorHAnsi" w:cstheme="majorHAnsi"/>
          <w:b/>
          <w:sz w:val="20"/>
        </w:rPr>
      </w:pPr>
      <w:r w:rsidRPr="006070EA">
        <w:rPr>
          <w:rFonts w:asciiTheme="majorHAnsi" w:hAnsiTheme="majorHAnsi" w:cstheme="majorHAnsi"/>
          <w:b/>
          <w:sz w:val="20"/>
        </w:rPr>
        <w:t xml:space="preserve">Zásobování teplem </w:t>
      </w:r>
      <w:r w:rsidR="00575767" w:rsidRPr="006070EA">
        <w:rPr>
          <w:rFonts w:asciiTheme="majorHAnsi" w:hAnsiTheme="majorHAnsi" w:cstheme="majorHAnsi"/>
          <w:b/>
          <w:sz w:val="20"/>
        </w:rPr>
        <w:t>a plynem</w:t>
      </w:r>
    </w:p>
    <w:p w14:paraId="02F5A990" w14:textId="01F568CC" w:rsidR="00A927FD" w:rsidRPr="006070EA" w:rsidRDefault="00A927FD" w:rsidP="009E07E1">
      <w:pPr>
        <w:pStyle w:val="Atext"/>
        <w:keepNext/>
        <w:ind w:firstLine="0"/>
        <w:jc w:val="right"/>
        <w:rPr>
          <w:rFonts w:asciiTheme="majorHAnsi" w:hAnsiTheme="majorHAnsi" w:cstheme="majorHAnsi"/>
          <w:i/>
          <w:snapToGrid w:val="0"/>
          <w:u w:val="single"/>
        </w:rPr>
      </w:pPr>
      <w:r w:rsidRPr="006070EA">
        <w:rPr>
          <w:rFonts w:asciiTheme="majorHAnsi" w:hAnsiTheme="majorHAnsi" w:cstheme="majorHAnsi"/>
          <w:i/>
          <w:snapToGrid w:val="0"/>
          <w:u w:val="single"/>
        </w:rPr>
        <w:t xml:space="preserve">Odůvodnění odst. </w:t>
      </w:r>
      <w:r w:rsidRPr="006070EA">
        <w:rPr>
          <w:rFonts w:asciiTheme="majorHAnsi" w:hAnsiTheme="majorHAnsi" w:cstheme="majorHAnsi"/>
          <w:b/>
          <w:i/>
          <w:snapToGrid w:val="0"/>
          <w:u w:val="single"/>
        </w:rPr>
        <w:t>(</w:t>
      </w:r>
      <w:r w:rsidR="00C8442F" w:rsidRPr="006070EA">
        <w:rPr>
          <w:rFonts w:asciiTheme="majorHAnsi" w:hAnsiTheme="majorHAnsi" w:cstheme="majorHAnsi"/>
          <w:b/>
          <w:i/>
          <w:snapToGrid w:val="0"/>
          <w:u w:val="single"/>
        </w:rPr>
        <w:t>4</w:t>
      </w:r>
      <w:r w:rsidR="0021590A">
        <w:rPr>
          <w:rFonts w:asciiTheme="majorHAnsi" w:hAnsiTheme="majorHAnsi" w:cstheme="majorHAnsi"/>
          <w:b/>
          <w:i/>
          <w:snapToGrid w:val="0"/>
          <w:u w:val="single"/>
        </w:rPr>
        <w:t>1</w:t>
      </w:r>
      <w:r w:rsidRPr="006070EA">
        <w:rPr>
          <w:rFonts w:asciiTheme="majorHAnsi" w:hAnsiTheme="majorHAnsi" w:cstheme="majorHAnsi"/>
          <w:b/>
          <w:i/>
          <w:snapToGrid w:val="0"/>
          <w:u w:val="single"/>
        </w:rPr>
        <w:t xml:space="preserve">) </w:t>
      </w:r>
      <w:r w:rsidRPr="006070EA">
        <w:rPr>
          <w:rFonts w:asciiTheme="majorHAnsi" w:hAnsiTheme="majorHAnsi" w:cstheme="majorHAnsi"/>
          <w:i/>
          <w:snapToGrid w:val="0"/>
          <w:u w:val="single"/>
        </w:rPr>
        <w:t>výrokové části</w:t>
      </w:r>
    </w:p>
    <w:p w14:paraId="2576A320" w14:textId="4BBDE44D" w:rsidR="00AB1F4C" w:rsidRPr="006070EA" w:rsidRDefault="00D0220D" w:rsidP="009E07E1">
      <w:pPr>
        <w:keepNext/>
        <w:spacing w:before="120" w:after="120" w:line="240" w:lineRule="auto"/>
        <w:jc w:val="both"/>
        <w:rPr>
          <w:rFonts w:asciiTheme="majorHAnsi" w:eastAsiaTheme="minorEastAsia" w:hAnsiTheme="majorHAnsi" w:cstheme="majorHAnsi"/>
          <w:b/>
          <w:sz w:val="18"/>
        </w:rPr>
      </w:pPr>
      <w:r w:rsidRPr="006070EA">
        <w:rPr>
          <w:rFonts w:asciiTheme="majorHAnsi" w:eastAsiaTheme="minorEastAsia" w:hAnsiTheme="majorHAnsi" w:cstheme="majorHAnsi"/>
          <w:b/>
          <w:sz w:val="18"/>
        </w:rPr>
        <w:t>Popis st</w:t>
      </w:r>
      <w:r w:rsidR="00AB1F4C" w:rsidRPr="006070EA">
        <w:rPr>
          <w:rFonts w:asciiTheme="majorHAnsi" w:eastAsiaTheme="minorEastAsia" w:hAnsiTheme="majorHAnsi" w:cstheme="majorHAnsi"/>
          <w:b/>
          <w:sz w:val="18"/>
        </w:rPr>
        <w:t>ávající situace</w:t>
      </w:r>
      <w:r w:rsidRPr="006070EA">
        <w:rPr>
          <w:rFonts w:asciiTheme="majorHAnsi" w:eastAsiaTheme="minorEastAsia" w:hAnsiTheme="majorHAnsi" w:cstheme="majorHAnsi"/>
          <w:b/>
          <w:sz w:val="18"/>
        </w:rPr>
        <w:t xml:space="preserve"> a návrh</w:t>
      </w:r>
    </w:p>
    <w:p w14:paraId="1C1B3C22" w14:textId="2A434437" w:rsidR="009E5E88" w:rsidRPr="006070EA" w:rsidRDefault="00C8442F" w:rsidP="009E5E88">
      <w:pPr>
        <w:pStyle w:val="Atext"/>
        <w:rPr>
          <w:rFonts w:asciiTheme="majorHAnsi" w:hAnsiTheme="majorHAnsi" w:cstheme="majorHAnsi"/>
        </w:rPr>
      </w:pPr>
      <w:r w:rsidRPr="006070EA">
        <w:rPr>
          <w:rFonts w:asciiTheme="majorHAnsi" w:hAnsiTheme="majorHAnsi" w:cstheme="majorHAnsi"/>
        </w:rPr>
        <w:t xml:space="preserve">Sídlo Kostomlaty nad Labem je plynofikováno. </w:t>
      </w:r>
      <w:r w:rsidR="009E5E88" w:rsidRPr="006070EA">
        <w:rPr>
          <w:rFonts w:asciiTheme="majorHAnsi" w:hAnsiTheme="majorHAnsi" w:cstheme="majorHAnsi"/>
        </w:rPr>
        <w:t xml:space="preserve">Distribuce plynu je realizována středotlakými plynovody. </w:t>
      </w:r>
      <w:r w:rsidRPr="006070EA">
        <w:rPr>
          <w:rFonts w:asciiTheme="majorHAnsi" w:hAnsiTheme="majorHAnsi" w:cstheme="majorHAnsi"/>
        </w:rPr>
        <w:t xml:space="preserve">Středotlaký plynovod je veden </w:t>
      </w:r>
      <w:r w:rsidR="00771951" w:rsidRPr="006070EA">
        <w:rPr>
          <w:rFonts w:asciiTheme="majorHAnsi" w:hAnsiTheme="majorHAnsi" w:cstheme="majorHAnsi"/>
        </w:rPr>
        <w:t>odbočkou z původního plynovodu vedeného od Nymburka do zemědělského areálu jižně od zastavěného území. Ostatní sídla v řešeném území nejsou plynofikována.</w:t>
      </w:r>
    </w:p>
    <w:p w14:paraId="5DCCF8EB" w14:textId="77777777" w:rsidR="009E5E88" w:rsidRPr="006070EA" w:rsidRDefault="009E5E88" w:rsidP="009E5E88">
      <w:pPr>
        <w:pStyle w:val="Atext"/>
        <w:spacing w:before="60" w:after="60"/>
        <w:rPr>
          <w:rFonts w:asciiTheme="majorHAnsi" w:hAnsiTheme="majorHAnsi" w:cstheme="majorHAnsi"/>
        </w:rPr>
      </w:pPr>
      <w:r w:rsidRPr="006070EA">
        <w:rPr>
          <w:rFonts w:asciiTheme="majorHAnsi" w:hAnsiTheme="majorHAnsi" w:cstheme="majorHAnsi"/>
        </w:rPr>
        <w:t>Zásobování teplem je v místních částech řešeného území převážně decentralizované. Pro vytápění a ohřev TUV je v Kostomlatech nad Labem využíván převážně plyn, v ostatních sídlech převažují tuhá (fosilní) paliva, popř. elektrická energie, propan-butan.</w:t>
      </w:r>
    </w:p>
    <w:p w14:paraId="30302D28" w14:textId="77777777" w:rsidR="009E5E88" w:rsidRPr="006070EA" w:rsidRDefault="009E5E88" w:rsidP="009E5E88">
      <w:pPr>
        <w:pStyle w:val="Anadpispodtren"/>
        <w:rPr>
          <w:rFonts w:asciiTheme="majorHAnsi" w:hAnsiTheme="majorHAnsi" w:cstheme="majorHAnsi"/>
        </w:rPr>
      </w:pPr>
      <w:r w:rsidRPr="006070EA">
        <w:rPr>
          <w:rFonts w:asciiTheme="majorHAnsi" w:hAnsiTheme="majorHAnsi" w:cstheme="majorHAnsi"/>
        </w:rPr>
        <w:t>Ochranná a bezpečnostní pásma:</w:t>
      </w:r>
    </w:p>
    <w:p w14:paraId="434111FA" w14:textId="77777777" w:rsidR="009E5E88" w:rsidRPr="006070EA" w:rsidRDefault="009E5E88" w:rsidP="009E5E88">
      <w:pPr>
        <w:pStyle w:val="Atext"/>
        <w:rPr>
          <w:rFonts w:asciiTheme="majorHAnsi" w:hAnsiTheme="majorHAnsi" w:cstheme="majorHAnsi"/>
        </w:rPr>
      </w:pPr>
      <w:r w:rsidRPr="006070EA">
        <w:rPr>
          <w:rFonts w:asciiTheme="majorHAnsi" w:hAnsiTheme="majorHAnsi" w:cstheme="majorHAnsi"/>
        </w:rPr>
        <w:t>Dle § 68 Zákona 48/2000 Sb., ve znění pozdějších předpisů (energetický zákon), se ochranným pásmem rozumí souvislý prostor v bezprostřední blízkosti plynárenského zařízení, který činí:</w:t>
      </w:r>
    </w:p>
    <w:p w14:paraId="325B715F" w14:textId="77777777" w:rsidR="009E5E88" w:rsidRPr="006070EA" w:rsidRDefault="009E5E88" w:rsidP="009E5E88">
      <w:pPr>
        <w:pStyle w:val="Atext"/>
        <w:ind w:left="993" w:hanging="284"/>
        <w:rPr>
          <w:rFonts w:asciiTheme="majorHAnsi" w:hAnsiTheme="majorHAnsi" w:cstheme="majorHAnsi"/>
          <w:i/>
        </w:rPr>
      </w:pPr>
      <w:r w:rsidRPr="006070EA">
        <w:rPr>
          <w:rFonts w:asciiTheme="majorHAnsi" w:hAnsiTheme="majorHAnsi" w:cstheme="majorHAnsi"/>
          <w:i/>
        </w:rPr>
        <w:t>a) u nízkotlakých a středotlakých plynovodů a plynovodních přípojek, jimiž se rozvádí plyn v zastavěném území obce 1 m na obě strany od půdorysu,</w:t>
      </w:r>
    </w:p>
    <w:p w14:paraId="79192346" w14:textId="77777777" w:rsidR="009E5E88" w:rsidRPr="006070EA" w:rsidRDefault="009E5E88" w:rsidP="009E5E88">
      <w:pPr>
        <w:pStyle w:val="Atext"/>
        <w:rPr>
          <w:rFonts w:asciiTheme="majorHAnsi" w:hAnsiTheme="majorHAnsi" w:cstheme="majorHAnsi"/>
          <w:i/>
        </w:rPr>
      </w:pPr>
      <w:r w:rsidRPr="006070EA">
        <w:rPr>
          <w:rFonts w:asciiTheme="majorHAnsi" w:hAnsiTheme="majorHAnsi" w:cstheme="majorHAnsi"/>
          <w:i/>
        </w:rPr>
        <w:t>b) u ostatních plynovodů a plynovodních přípojek 4 m na obě strany od půdorysu,</w:t>
      </w:r>
    </w:p>
    <w:p w14:paraId="546B257F" w14:textId="77777777" w:rsidR="009E5E88" w:rsidRPr="006070EA" w:rsidRDefault="009E5E88" w:rsidP="009E5E88">
      <w:pPr>
        <w:pStyle w:val="Atext"/>
        <w:rPr>
          <w:rFonts w:asciiTheme="majorHAnsi" w:hAnsiTheme="majorHAnsi" w:cstheme="majorHAnsi"/>
          <w:i/>
        </w:rPr>
      </w:pPr>
      <w:r w:rsidRPr="006070EA">
        <w:rPr>
          <w:rFonts w:asciiTheme="majorHAnsi" w:hAnsiTheme="majorHAnsi" w:cstheme="majorHAnsi"/>
          <w:i/>
        </w:rPr>
        <w:t>c) u technologických objektů 4 m od půdorysu.</w:t>
      </w:r>
    </w:p>
    <w:p w14:paraId="2D8A56B9" w14:textId="7D9E515C" w:rsidR="009E5E88" w:rsidRPr="006070EA" w:rsidRDefault="009E5E88" w:rsidP="009E5E88">
      <w:pPr>
        <w:pStyle w:val="Atext"/>
        <w:rPr>
          <w:rFonts w:asciiTheme="majorHAnsi" w:hAnsiTheme="majorHAnsi" w:cstheme="majorHAnsi"/>
          <w:i/>
        </w:rPr>
      </w:pPr>
      <w:r w:rsidRPr="006070EA">
        <w:rPr>
          <w:rFonts w:asciiTheme="majorHAnsi" w:hAnsiTheme="majorHAnsi" w:cstheme="majorHAnsi"/>
          <w:i/>
        </w:rPr>
        <w:t>V ochranném pásmu je zakázáno provádět činnosti, které by mohly ohrozit plynárenská zařízení, jejich spolehlivost a</w:t>
      </w:r>
      <w:r w:rsidR="0054075C" w:rsidRPr="006070EA">
        <w:rPr>
          <w:rFonts w:asciiTheme="majorHAnsi" w:hAnsiTheme="majorHAnsi" w:cstheme="majorHAnsi"/>
          <w:i/>
        </w:rPr>
        <w:t> </w:t>
      </w:r>
      <w:r w:rsidRPr="006070EA">
        <w:rPr>
          <w:rFonts w:asciiTheme="majorHAnsi" w:hAnsiTheme="majorHAnsi" w:cstheme="majorHAnsi"/>
          <w:i/>
        </w:rPr>
        <w:t>bezpečnost provozu. Při provádění veškerých činností v ochranném pásmu i mimo ně nesmí dojít k poškození plynárenského zařízení.</w:t>
      </w:r>
    </w:p>
    <w:p w14:paraId="7AC4831C" w14:textId="77777777" w:rsidR="00AB1F4C" w:rsidRPr="006070EA" w:rsidRDefault="00AB1F4C" w:rsidP="009E07E1">
      <w:pPr>
        <w:keepNext/>
        <w:spacing w:before="120" w:after="120" w:line="240" w:lineRule="auto"/>
        <w:jc w:val="both"/>
        <w:rPr>
          <w:rFonts w:asciiTheme="majorHAnsi" w:eastAsiaTheme="minorEastAsia" w:hAnsiTheme="majorHAnsi" w:cstheme="majorHAnsi"/>
          <w:b/>
          <w:sz w:val="18"/>
        </w:rPr>
      </w:pPr>
      <w:r w:rsidRPr="006070EA">
        <w:rPr>
          <w:rFonts w:asciiTheme="majorHAnsi" w:eastAsiaTheme="minorEastAsia" w:hAnsiTheme="majorHAnsi" w:cstheme="majorHAnsi"/>
          <w:b/>
          <w:sz w:val="18"/>
        </w:rPr>
        <w:lastRenderedPageBreak/>
        <w:t>Odůvodnění koncepce zásobování teplem a plynem</w:t>
      </w:r>
    </w:p>
    <w:p w14:paraId="1D920F96" w14:textId="22DB081B" w:rsidR="00771951" w:rsidRPr="006070EA" w:rsidRDefault="00771951" w:rsidP="00771951">
      <w:pPr>
        <w:spacing w:after="60" w:line="240" w:lineRule="auto"/>
        <w:ind w:firstLine="709"/>
        <w:jc w:val="both"/>
        <w:rPr>
          <w:rFonts w:asciiTheme="majorHAnsi" w:eastAsiaTheme="minorEastAsia" w:hAnsiTheme="majorHAnsi" w:cstheme="majorHAnsi"/>
          <w:bCs/>
          <w:iCs/>
          <w:sz w:val="18"/>
        </w:rPr>
      </w:pPr>
      <w:r w:rsidRPr="006070EA">
        <w:rPr>
          <w:rFonts w:asciiTheme="majorHAnsi" w:eastAsiaTheme="minorEastAsia" w:hAnsiTheme="majorHAnsi" w:cstheme="majorHAnsi"/>
          <w:bCs/>
          <w:iCs/>
          <w:sz w:val="18"/>
        </w:rPr>
        <w:t xml:space="preserve">Systém zásobování plynem je kapacitně schopný pokrýt požadavky v návrhovém období územního plánu při naplnění koncepce rozvoje území v Kostomlatech nad Labem. Územní plán stanovuje zachování stávajícího způsobu zásobování plynem a podporuje rozvoj plynovodu v plochách určených pro urbanistický rozvoj sídla. Při návrhu nových tras budou zhodnoceny stávající rozvody a případně navržena jejich úprava či náhrada (přehodnocení dimenzí stávající sítě, výměna některých úseků plynovodu apod.). </w:t>
      </w:r>
    </w:p>
    <w:p w14:paraId="076CBE7E" w14:textId="5FCAAA21" w:rsidR="00771951" w:rsidRPr="006070EA" w:rsidRDefault="00771951" w:rsidP="00771951">
      <w:pPr>
        <w:spacing w:after="60" w:line="240" w:lineRule="auto"/>
        <w:ind w:firstLine="709"/>
        <w:jc w:val="both"/>
        <w:rPr>
          <w:rFonts w:asciiTheme="majorHAnsi" w:eastAsiaTheme="minorEastAsia" w:hAnsiTheme="majorHAnsi" w:cstheme="majorHAnsi"/>
          <w:bCs/>
          <w:iCs/>
          <w:sz w:val="18"/>
        </w:rPr>
      </w:pPr>
      <w:r w:rsidRPr="006070EA">
        <w:rPr>
          <w:rFonts w:asciiTheme="majorHAnsi" w:eastAsiaTheme="minorEastAsia" w:hAnsiTheme="majorHAnsi" w:cstheme="majorHAnsi"/>
          <w:bCs/>
          <w:iCs/>
          <w:sz w:val="18"/>
        </w:rPr>
        <w:t>V částech území mimo dosah plynovodního systému bude vytápění řešeno individuálním způsobem. Objekty, které nebudou napojeny na rozvod zemního plynu, je vhodné vytápět jiným druhem ekologicky šetrnějšího paliva (např. biomasa). Pro předehřev teplé užitkové vody je doporučeno využívat obnovitelných zdrojů energie. Tendence postupující převahy energeticky méně náročných, úsporných a pasivních technologií, které nebudou v budoucnu klást zvýšené nároky na energetické systémy, mohou způsobit utlumení centrálních systémů zásobování tepelnou energií. Využívání alternativních zdrojů energie je územním plánem doporučeno z důvodu jejich vyšší provozní efektivity a rentability. Důvodem stanovení výroku je mimo jiné požadavek PÚR ČR (priorita 31) „Vytvářet územní podmínky pro rozvoj decentralizované, efektivní a bezpečné výroby energie z obnovitelných zdrojů, šetrné k životnímu prostředí, s cílem minimalizace jejich negativních vlivů a</w:t>
      </w:r>
      <w:r w:rsidR="0054075C" w:rsidRPr="006070EA">
        <w:rPr>
          <w:rFonts w:asciiTheme="majorHAnsi" w:eastAsiaTheme="minorEastAsia" w:hAnsiTheme="majorHAnsi" w:cstheme="majorHAnsi"/>
          <w:bCs/>
          <w:iCs/>
          <w:sz w:val="18"/>
        </w:rPr>
        <w:t> </w:t>
      </w:r>
      <w:r w:rsidRPr="006070EA">
        <w:rPr>
          <w:rFonts w:asciiTheme="majorHAnsi" w:eastAsiaTheme="minorEastAsia" w:hAnsiTheme="majorHAnsi" w:cstheme="majorHAnsi"/>
          <w:bCs/>
          <w:iCs/>
          <w:sz w:val="18"/>
        </w:rPr>
        <w:t xml:space="preserve">rizik při respektování přednosti zajištění bezpečného zásobování území energiemi.“ </w:t>
      </w:r>
    </w:p>
    <w:p w14:paraId="71D4A8CF" w14:textId="77777777" w:rsidR="00771951" w:rsidRPr="006070EA" w:rsidRDefault="00771951" w:rsidP="00771951">
      <w:pPr>
        <w:spacing w:after="60" w:line="240" w:lineRule="auto"/>
        <w:ind w:firstLine="709"/>
        <w:jc w:val="both"/>
        <w:rPr>
          <w:rFonts w:asciiTheme="majorHAnsi" w:eastAsiaTheme="minorEastAsia" w:hAnsiTheme="majorHAnsi" w:cstheme="majorHAnsi"/>
          <w:bCs/>
          <w:iCs/>
          <w:sz w:val="18"/>
        </w:rPr>
      </w:pPr>
      <w:r w:rsidRPr="006070EA">
        <w:rPr>
          <w:rFonts w:asciiTheme="majorHAnsi" w:eastAsiaTheme="minorEastAsia" w:hAnsiTheme="majorHAnsi" w:cstheme="majorHAnsi"/>
          <w:bCs/>
          <w:iCs/>
          <w:sz w:val="18"/>
        </w:rPr>
        <w:t xml:space="preserve">Aktuální trendy v oblasti architektury a stavitelství ukazují snahu preferovat individuální, na centrálních zdrojích energií nezávislé, projekty s minimálními nároky na potřebu energetických vstupů. Tendence postupující převahy energeticky méně náročných, úsporných a pasivních technologií, které nebudou v budoucnu klást nároky na energetické systémy, jsou zřejmé. Současné systémy dimenzované na mnohonásobně vyšší energetické potřeby budou disponovat stále větší výkonovou rezervou. Problematická bude naopak jejich provozní udržitelnost. </w:t>
      </w:r>
    </w:p>
    <w:p w14:paraId="7355D86B" w14:textId="4B58B4BE" w:rsidR="00771951" w:rsidRPr="006070EA" w:rsidRDefault="00771951" w:rsidP="00771951">
      <w:pPr>
        <w:spacing w:after="60" w:line="240" w:lineRule="auto"/>
        <w:ind w:firstLine="709"/>
        <w:jc w:val="both"/>
        <w:rPr>
          <w:rFonts w:asciiTheme="majorHAnsi" w:eastAsiaTheme="minorEastAsia" w:hAnsiTheme="majorHAnsi" w:cstheme="majorHAnsi"/>
          <w:bCs/>
          <w:iCs/>
          <w:sz w:val="18"/>
        </w:rPr>
      </w:pPr>
      <w:r w:rsidRPr="006070EA">
        <w:rPr>
          <w:rFonts w:asciiTheme="majorHAnsi" w:eastAsiaTheme="minorEastAsia" w:hAnsiTheme="majorHAnsi" w:cstheme="majorHAnsi"/>
          <w:bCs/>
          <w:iCs/>
          <w:sz w:val="18"/>
        </w:rPr>
        <w:t>Schematické znázornění stávajících vedení STL plynovodu je zobrazeno v grafické části Odůvodnění ÚP Kostomlaty nad Labem, výkresu 1 Koordinační výkres. S ohledem na měřítko územního plánu jde pouze o schematické vyjádření koncepce bez vztahu k jednotlivým pozemkům katastru nemovitostí. V navazujících řízeních tak nejsou vyloučeny změny tras jednotlivých řadů a umístění objektů</w:t>
      </w:r>
      <w:r w:rsidR="00372BD0" w:rsidRPr="006070EA">
        <w:rPr>
          <w:rFonts w:asciiTheme="majorHAnsi" w:eastAsiaTheme="minorEastAsia" w:hAnsiTheme="majorHAnsi" w:cstheme="majorHAnsi"/>
          <w:bCs/>
          <w:iCs/>
          <w:sz w:val="18"/>
        </w:rPr>
        <w:t>.</w:t>
      </w:r>
    </w:p>
    <w:p w14:paraId="0DFF0242" w14:textId="77777777" w:rsidR="00AB1F4C" w:rsidRPr="006070EA" w:rsidRDefault="00501F6A" w:rsidP="009E07E1">
      <w:pPr>
        <w:keepNext/>
        <w:shd w:val="clear" w:color="auto" w:fill="F2F2F2" w:themeFill="background1" w:themeFillShade="F2"/>
        <w:spacing w:before="120" w:after="120" w:line="240" w:lineRule="auto"/>
        <w:rPr>
          <w:rFonts w:asciiTheme="majorHAnsi" w:hAnsiTheme="majorHAnsi" w:cstheme="majorHAnsi"/>
          <w:b/>
          <w:sz w:val="20"/>
        </w:rPr>
      </w:pPr>
      <w:r w:rsidRPr="006070EA">
        <w:rPr>
          <w:rFonts w:asciiTheme="majorHAnsi" w:hAnsiTheme="majorHAnsi" w:cstheme="majorHAnsi"/>
          <w:b/>
          <w:sz w:val="20"/>
        </w:rPr>
        <w:t>Telekomunikace a radiokomunikace</w:t>
      </w:r>
    </w:p>
    <w:p w14:paraId="0B066769" w14:textId="37D1CB2C" w:rsidR="00A927FD" w:rsidRPr="006070EA" w:rsidRDefault="00A927FD" w:rsidP="009E07E1">
      <w:pPr>
        <w:pStyle w:val="Atext"/>
        <w:keepNext/>
        <w:ind w:firstLine="0"/>
        <w:jc w:val="right"/>
        <w:rPr>
          <w:rFonts w:asciiTheme="majorHAnsi" w:hAnsiTheme="majorHAnsi" w:cstheme="majorHAnsi"/>
          <w:i/>
          <w:snapToGrid w:val="0"/>
          <w:szCs w:val="18"/>
          <w:u w:val="single"/>
        </w:rPr>
      </w:pPr>
      <w:r w:rsidRPr="006070EA">
        <w:rPr>
          <w:rFonts w:asciiTheme="majorHAnsi" w:hAnsiTheme="majorHAnsi" w:cstheme="majorHAnsi"/>
          <w:i/>
          <w:snapToGrid w:val="0"/>
          <w:szCs w:val="18"/>
          <w:u w:val="single"/>
        </w:rPr>
        <w:t xml:space="preserve">Odůvodnění odst. </w:t>
      </w:r>
      <w:r w:rsidRPr="006070EA">
        <w:rPr>
          <w:rFonts w:asciiTheme="majorHAnsi" w:hAnsiTheme="majorHAnsi" w:cstheme="majorHAnsi"/>
          <w:b/>
          <w:i/>
          <w:snapToGrid w:val="0"/>
          <w:szCs w:val="18"/>
          <w:u w:val="single"/>
        </w:rPr>
        <w:t>(</w:t>
      </w:r>
      <w:r w:rsidR="00372BD0" w:rsidRPr="006070EA">
        <w:rPr>
          <w:rFonts w:asciiTheme="majorHAnsi" w:hAnsiTheme="majorHAnsi" w:cstheme="majorHAnsi"/>
          <w:b/>
          <w:i/>
          <w:snapToGrid w:val="0"/>
          <w:szCs w:val="18"/>
          <w:u w:val="single"/>
        </w:rPr>
        <w:t>4</w:t>
      </w:r>
      <w:r w:rsidR="0021590A">
        <w:rPr>
          <w:rFonts w:asciiTheme="majorHAnsi" w:hAnsiTheme="majorHAnsi" w:cstheme="majorHAnsi"/>
          <w:b/>
          <w:i/>
          <w:snapToGrid w:val="0"/>
          <w:szCs w:val="18"/>
          <w:u w:val="single"/>
        </w:rPr>
        <w:t>2</w:t>
      </w:r>
      <w:r w:rsidRPr="006070EA">
        <w:rPr>
          <w:rFonts w:asciiTheme="majorHAnsi" w:hAnsiTheme="majorHAnsi" w:cstheme="majorHAnsi"/>
          <w:b/>
          <w:i/>
          <w:snapToGrid w:val="0"/>
          <w:szCs w:val="18"/>
          <w:u w:val="single"/>
        </w:rPr>
        <w:t xml:space="preserve">) </w:t>
      </w:r>
      <w:r w:rsidRPr="006070EA">
        <w:rPr>
          <w:rFonts w:asciiTheme="majorHAnsi" w:hAnsiTheme="majorHAnsi" w:cstheme="majorHAnsi"/>
          <w:i/>
          <w:snapToGrid w:val="0"/>
          <w:szCs w:val="18"/>
          <w:u w:val="single"/>
        </w:rPr>
        <w:t>výrokové části</w:t>
      </w:r>
    </w:p>
    <w:p w14:paraId="0FB9DAEC" w14:textId="77777777" w:rsidR="00A927FD" w:rsidRPr="006070EA" w:rsidRDefault="00A927FD" w:rsidP="009E07E1">
      <w:pPr>
        <w:keepNext/>
        <w:spacing w:before="120" w:after="120" w:line="240" w:lineRule="auto"/>
        <w:jc w:val="both"/>
        <w:rPr>
          <w:rFonts w:asciiTheme="majorHAnsi" w:eastAsiaTheme="minorEastAsia" w:hAnsiTheme="majorHAnsi" w:cstheme="majorHAnsi"/>
          <w:b/>
          <w:sz w:val="18"/>
          <w:szCs w:val="18"/>
        </w:rPr>
      </w:pPr>
      <w:r w:rsidRPr="006070EA">
        <w:rPr>
          <w:rFonts w:asciiTheme="majorHAnsi" w:eastAsiaTheme="minorEastAsia" w:hAnsiTheme="majorHAnsi" w:cstheme="majorHAnsi"/>
          <w:b/>
          <w:sz w:val="18"/>
          <w:szCs w:val="18"/>
        </w:rPr>
        <w:t>Popis stávající situace a návrh</w:t>
      </w:r>
    </w:p>
    <w:p w14:paraId="1CE59692" w14:textId="083D0B73" w:rsidR="00372BD0" w:rsidRPr="006070EA" w:rsidRDefault="00372BD0" w:rsidP="009E5E88">
      <w:pPr>
        <w:pStyle w:val="Atext"/>
        <w:rPr>
          <w:rFonts w:asciiTheme="majorHAnsi" w:hAnsiTheme="majorHAnsi" w:cstheme="majorHAnsi"/>
          <w:lang w:eastAsia="cs-CZ"/>
        </w:rPr>
      </w:pPr>
      <w:r w:rsidRPr="006070EA">
        <w:rPr>
          <w:rFonts w:asciiTheme="majorHAnsi" w:hAnsiTheme="majorHAnsi" w:cstheme="majorHAnsi"/>
          <w:lang w:eastAsia="cs-CZ"/>
        </w:rPr>
        <w:t>Řešené území je napojeno z telefonního obvodu Středočeský (31, 32). Provozovatelem telefonní sítě je Telefonica O2 Czech Republic, a.s. Území města je plně napojeno do veřejné telefonní sítě a lze uspokojit veškeré nároky na připojení telefonních stanic.</w:t>
      </w:r>
    </w:p>
    <w:p w14:paraId="631B4CB3" w14:textId="1DDC151C" w:rsidR="009E5E88" w:rsidRPr="006070EA" w:rsidRDefault="00372BD0" w:rsidP="009E5E88">
      <w:pPr>
        <w:pStyle w:val="Atext"/>
        <w:rPr>
          <w:rFonts w:asciiTheme="majorHAnsi" w:hAnsiTheme="majorHAnsi" w:cstheme="majorHAnsi"/>
          <w:lang w:eastAsia="cs-CZ"/>
        </w:rPr>
      </w:pPr>
      <w:r w:rsidRPr="006070EA">
        <w:rPr>
          <w:rFonts w:asciiTheme="majorHAnsi" w:hAnsiTheme="majorHAnsi" w:cstheme="majorHAnsi"/>
          <w:lang w:eastAsia="cs-CZ"/>
        </w:rPr>
        <w:t xml:space="preserve">V řešeném území se nacházejí komunikační zařízení. </w:t>
      </w:r>
      <w:r w:rsidR="009E5E88" w:rsidRPr="006070EA">
        <w:rPr>
          <w:rFonts w:asciiTheme="majorHAnsi" w:hAnsiTheme="majorHAnsi" w:cstheme="majorHAnsi"/>
          <w:lang w:eastAsia="cs-CZ"/>
        </w:rPr>
        <w:t xml:space="preserve">Provozovatelem radiových stanic v území je firma T-mobile. Sítě elektronický podzemních komunikací zajišťuje společnost CETIN. Územím vede zemní trasa </w:t>
      </w:r>
      <w:r w:rsidRPr="006070EA">
        <w:rPr>
          <w:rFonts w:asciiTheme="majorHAnsi" w:hAnsiTheme="majorHAnsi" w:cstheme="majorHAnsi"/>
          <w:lang w:eastAsia="cs-CZ"/>
        </w:rPr>
        <w:t xml:space="preserve">zařízení </w:t>
      </w:r>
      <w:r w:rsidR="009E5E88" w:rsidRPr="006070EA">
        <w:rPr>
          <w:rFonts w:asciiTheme="majorHAnsi" w:hAnsiTheme="majorHAnsi" w:cstheme="majorHAnsi"/>
          <w:lang w:eastAsia="cs-CZ"/>
        </w:rPr>
        <w:t xml:space="preserve">HDPE se zafouknutým optickým kabelem provozovaná společností ČD Telematika. V území </w:t>
      </w:r>
      <w:r w:rsidRPr="006070EA">
        <w:rPr>
          <w:rFonts w:asciiTheme="majorHAnsi" w:hAnsiTheme="majorHAnsi" w:cstheme="majorHAnsi"/>
          <w:lang w:eastAsia="cs-CZ"/>
        </w:rPr>
        <w:t xml:space="preserve">je provozováno </w:t>
      </w:r>
      <w:r w:rsidR="009E5E88" w:rsidRPr="006070EA">
        <w:rPr>
          <w:rFonts w:asciiTheme="majorHAnsi" w:hAnsiTheme="majorHAnsi" w:cstheme="majorHAnsi"/>
          <w:lang w:eastAsia="cs-CZ"/>
        </w:rPr>
        <w:t>komunikační vedení Českých drah.</w:t>
      </w:r>
      <w:r w:rsidRPr="006070EA">
        <w:rPr>
          <w:rFonts w:asciiTheme="majorHAnsi" w:hAnsiTheme="majorHAnsi" w:cstheme="majorHAnsi"/>
          <w:lang w:eastAsia="cs-CZ"/>
        </w:rPr>
        <w:t xml:space="preserve"> </w:t>
      </w:r>
      <w:r w:rsidR="009E5E88" w:rsidRPr="006070EA">
        <w:rPr>
          <w:rFonts w:asciiTheme="majorHAnsi" w:hAnsiTheme="majorHAnsi" w:cstheme="majorHAnsi"/>
          <w:lang w:eastAsia="cs-CZ"/>
        </w:rPr>
        <w:t xml:space="preserve"> </w:t>
      </w:r>
    </w:p>
    <w:p w14:paraId="295A5708" w14:textId="78ED73FF" w:rsidR="009E5E88" w:rsidRPr="006070EA" w:rsidRDefault="009E5E88" w:rsidP="009E5E88">
      <w:pPr>
        <w:pStyle w:val="Atext"/>
        <w:rPr>
          <w:rFonts w:asciiTheme="majorHAnsi" w:hAnsiTheme="majorHAnsi" w:cstheme="majorHAnsi"/>
          <w:lang w:eastAsia="cs-CZ"/>
        </w:rPr>
      </w:pPr>
      <w:r w:rsidRPr="006070EA">
        <w:rPr>
          <w:rFonts w:asciiTheme="majorHAnsi" w:hAnsiTheme="majorHAnsi" w:cstheme="majorHAnsi"/>
          <w:lang w:eastAsia="cs-CZ"/>
        </w:rPr>
        <w:t xml:space="preserve">Přes dané území </w:t>
      </w:r>
      <w:r w:rsidR="00372BD0" w:rsidRPr="006070EA">
        <w:rPr>
          <w:rFonts w:asciiTheme="majorHAnsi" w:hAnsiTheme="majorHAnsi" w:cstheme="majorHAnsi"/>
          <w:lang w:eastAsia="cs-CZ"/>
        </w:rPr>
        <w:t xml:space="preserve">prochází </w:t>
      </w:r>
      <w:r w:rsidRPr="006070EA">
        <w:rPr>
          <w:rFonts w:asciiTheme="majorHAnsi" w:hAnsiTheme="majorHAnsi" w:cstheme="majorHAnsi"/>
          <w:lang w:eastAsia="cs-CZ"/>
        </w:rPr>
        <w:t>6 radioreléových tras společnosti T</w:t>
      </w:r>
      <w:r w:rsidR="00372BD0" w:rsidRPr="006070EA">
        <w:rPr>
          <w:rFonts w:asciiTheme="majorHAnsi" w:hAnsiTheme="majorHAnsi" w:cstheme="majorHAnsi"/>
          <w:lang w:eastAsia="cs-CZ"/>
        </w:rPr>
        <w:t>-m</w:t>
      </w:r>
      <w:r w:rsidRPr="006070EA">
        <w:rPr>
          <w:rFonts w:asciiTheme="majorHAnsi" w:hAnsiTheme="majorHAnsi" w:cstheme="majorHAnsi"/>
          <w:lang w:eastAsia="cs-CZ"/>
        </w:rPr>
        <w:t>obile a 1 radioreléová trasa společnosti CETIN.</w:t>
      </w:r>
      <w:r w:rsidR="00D17639" w:rsidRPr="006070EA">
        <w:rPr>
          <w:rFonts w:asciiTheme="majorHAnsi" w:hAnsiTheme="majorHAnsi" w:cstheme="majorHAnsi"/>
          <w:lang w:eastAsia="cs-CZ"/>
        </w:rPr>
        <w:t xml:space="preserve"> Na řešené území zasahují ochranná pásma radioreléové trasy a komunikačního vedení.</w:t>
      </w:r>
    </w:p>
    <w:p w14:paraId="0AAA181F" w14:textId="3C661326" w:rsidR="00372BD0" w:rsidRPr="006070EA" w:rsidRDefault="00AB1F4C" w:rsidP="00372BD0">
      <w:pPr>
        <w:pStyle w:val="Atext"/>
        <w:rPr>
          <w:rFonts w:asciiTheme="majorHAnsi" w:hAnsiTheme="majorHAnsi" w:cstheme="majorHAnsi"/>
        </w:rPr>
      </w:pPr>
      <w:r w:rsidRPr="006070EA">
        <w:rPr>
          <w:rFonts w:asciiTheme="majorHAnsi" w:eastAsiaTheme="minorEastAsia" w:hAnsiTheme="majorHAnsi" w:cstheme="majorHAnsi"/>
          <w:szCs w:val="18"/>
        </w:rPr>
        <w:t>Výše uvedené trasy</w:t>
      </w:r>
      <w:r w:rsidR="00933267" w:rsidRPr="006070EA">
        <w:rPr>
          <w:rFonts w:asciiTheme="majorHAnsi" w:eastAsiaTheme="minorEastAsia" w:hAnsiTheme="majorHAnsi" w:cstheme="majorHAnsi"/>
          <w:szCs w:val="18"/>
        </w:rPr>
        <w:t xml:space="preserve">, </w:t>
      </w:r>
      <w:r w:rsidRPr="006070EA">
        <w:rPr>
          <w:rFonts w:asciiTheme="majorHAnsi" w:eastAsiaTheme="minorEastAsia" w:hAnsiTheme="majorHAnsi" w:cstheme="majorHAnsi"/>
          <w:szCs w:val="18"/>
        </w:rPr>
        <w:t xml:space="preserve">ochranná pásma a </w:t>
      </w:r>
      <w:r w:rsidR="00933267" w:rsidRPr="006070EA">
        <w:rPr>
          <w:rFonts w:asciiTheme="majorHAnsi" w:eastAsiaTheme="minorEastAsia" w:hAnsiTheme="majorHAnsi" w:cstheme="majorHAnsi"/>
          <w:szCs w:val="18"/>
        </w:rPr>
        <w:t xml:space="preserve">komunikační </w:t>
      </w:r>
      <w:r w:rsidRPr="006070EA">
        <w:rPr>
          <w:rFonts w:asciiTheme="majorHAnsi" w:eastAsiaTheme="minorEastAsia" w:hAnsiTheme="majorHAnsi" w:cstheme="majorHAnsi"/>
          <w:szCs w:val="18"/>
        </w:rPr>
        <w:t xml:space="preserve">zařízení </w:t>
      </w:r>
      <w:r w:rsidR="00700C54" w:rsidRPr="006070EA">
        <w:rPr>
          <w:rFonts w:asciiTheme="majorHAnsi" w:eastAsiaTheme="minorEastAsia" w:hAnsiTheme="majorHAnsi" w:cstheme="majorHAnsi"/>
          <w:szCs w:val="18"/>
        </w:rPr>
        <w:t xml:space="preserve">v řešeném území </w:t>
      </w:r>
      <w:r w:rsidRPr="006070EA">
        <w:rPr>
          <w:rFonts w:asciiTheme="majorHAnsi" w:eastAsiaTheme="minorEastAsia" w:hAnsiTheme="majorHAnsi" w:cstheme="majorHAnsi"/>
          <w:szCs w:val="18"/>
        </w:rPr>
        <w:t xml:space="preserve">jsou územním plánem respektovány. Jejich grafické znázornění je obsahem grafické části Odůvodnění ÚP </w:t>
      </w:r>
      <w:r w:rsidR="00372BD0" w:rsidRPr="006070EA">
        <w:rPr>
          <w:rFonts w:asciiTheme="majorHAnsi" w:eastAsiaTheme="minorEastAsia" w:hAnsiTheme="majorHAnsi" w:cstheme="majorHAnsi"/>
          <w:szCs w:val="18"/>
        </w:rPr>
        <w:t>Kostomlaty nad Labem</w:t>
      </w:r>
      <w:r w:rsidR="00700C54" w:rsidRPr="006070EA">
        <w:rPr>
          <w:rFonts w:asciiTheme="majorHAnsi" w:eastAsiaTheme="minorEastAsia" w:hAnsiTheme="majorHAnsi" w:cstheme="majorHAnsi"/>
          <w:szCs w:val="18"/>
        </w:rPr>
        <w:t xml:space="preserve"> </w:t>
      </w:r>
      <w:r w:rsidRPr="006070EA">
        <w:rPr>
          <w:rFonts w:asciiTheme="majorHAnsi" w:eastAsiaTheme="minorEastAsia" w:hAnsiTheme="majorHAnsi" w:cstheme="majorHAnsi"/>
          <w:szCs w:val="18"/>
        </w:rPr>
        <w:t>(Koordinační výkres).</w:t>
      </w:r>
      <w:r w:rsidR="00372BD0" w:rsidRPr="006070EA">
        <w:rPr>
          <w:rFonts w:asciiTheme="majorHAnsi" w:hAnsiTheme="majorHAnsi" w:cstheme="majorHAnsi"/>
        </w:rPr>
        <w:t xml:space="preserve"> </w:t>
      </w:r>
    </w:p>
    <w:p w14:paraId="7164E124" w14:textId="77777777" w:rsidR="00AB1F4C" w:rsidRPr="006070EA" w:rsidRDefault="00AB1F4C" w:rsidP="009E07E1">
      <w:pPr>
        <w:spacing w:after="60" w:line="240" w:lineRule="auto"/>
        <w:jc w:val="both"/>
        <w:rPr>
          <w:rFonts w:asciiTheme="majorHAnsi" w:eastAsiaTheme="minorEastAsia" w:hAnsiTheme="majorHAnsi" w:cstheme="majorHAnsi"/>
          <w:b/>
          <w:sz w:val="18"/>
          <w:szCs w:val="18"/>
        </w:rPr>
      </w:pPr>
      <w:r w:rsidRPr="006070EA">
        <w:rPr>
          <w:rFonts w:asciiTheme="majorHAnsi" w:hAnsiTheme="majorHAnsi" w:cstheme="majorHAnsi"/>
          <w:b/>
          <w:sz w:val="18"/>
          <w:szCs w:val="18"/>
        </w:rPr>
        <w:t>Odůvodnění koncepce telekomunikací a radiokomunikací</w:t>
      </w:r>
    </w:p>
    <w:p w14:paraId="461E0D27" w14:textId="1157725C" w:rsidR="00AB1F4C" w:rsidRPr="006070EA" w:rsidRDefault="00AB1F4C" w:rsidP="009E07E1">
      <w:pPr>
        <w:spacing w:after="60" w:line="240" w:lineRule="auto"/>
        <w:ind w:firstLine="709"/>
        <w:jc w:val="both"/>
        <w:rPr>
          <w:rFonts w:asciiTheme="majorHAnsi" w:eastAsiaTheme="minorEastAsia" w:hAnsiTheme="majorHAnsi" w:cstheme="majorHAnsi"/>
          <w:sz w:val="18"/>
          <w:szCs w:val="18"/>
        </w:rPr>
      </w:pPr>
      <w:r w:rsidRPr="006070EA">
        <w:rPr>
          <w:rFonts w:asciiTheme="majorHAnsi" w:eastAsiaTheme="minorEastAsia" w:hAnsiTheme="majorHAnsi" w:cstheme="majorHAnsi"/>
          <w:sz w:val="18"/>
          <w:szCs w:val="18"/>
        </w:rPr>
        <w:t>Územní plán umožňuje umísťování telekomunikačních vedení a zařízení v jednotlivých plochách s rozdílným způsobem využití v zastavěném území i v zastavitelných plochách. V nezastavěném území lze veřejnou technickou infrastrukturu umísťovat v souladu s § 18, odst. 5 zákona č. 183/2006 Sb., ve znění pozdějších předpisů.</w:t>
      </w:r>
      <w:r w:rsidR="00D17639" w:rsidRPr="006070EA">
        <w:rPr>
          <w:rFonts w:asciiTheme="majorHAnsi" w:hAnsiTheme="majorHAnsi" w:cstheme="majorHAnsi"/>
        </w:rPr>
        <w:t xml:space="preserve"> </w:t>
      </w:r>
      <w:r w:rsidR="00D17639" w:rsidRPr="006070EA">
        <w:rPr>
          <w:rFonts w:asciiTheme="majorHAnsi" w:eastAsiaTheme="minorEastAsia" w:hAnsiTheme="majorHAnsi" w:cstheme="majorHAnsi"/>
          <w:sz w:val="18"/>
          <w:szCs w:val="18"/>
        </w:rPr>
        <w:t xml:space="preserve">Ve snaze o zajištění vhodných podmínek pro výstavbu je územním plánem stanoveno umisťovat telekomunikační a radiokomunikační vedení přednostně v rámci ploch </w:t>
      </w:r>
      <w:r w:rsidR="0054075C" w:rsidRPr="006070EA">
        <w:rPr>
          <w:rFonts w:asciiTheme="majorHAnsi" w:eastAsiaTheme="minorEastAsia" w:hAnsiTheme="majorHAnsi" w:cstheme="majorHAnsi"/>
          <w:sz w:val="18"/>
          <w:szCs w:val="18"/>
        </w:rPr>
        <w:t>dopravy</w:t>
      </w:r>
      <w:r w:rsidR="00D17639" w:rsidRPr="006070EA">
        <w:rPr>
          <w:rFonts w:asciiTheme="majorHAnsi" w:eastAsiaTheme="minorEastAsia" w:hAnsiTheme="majorHAnsi" w:cstheme="majorHAnsi"/>
          <w:sz w:val="18"/>
          <w:szCs w:val="18"/>
        </w:rPr>
        <w:t xml:space="preserve"> silniční (DS) nebo veřejných prostranství</w:t>
      </w:r>
      <w:r w:rsidR="0054075C" w:rsidRPr="006070EA">
        <w:rPr>
          <w:rFonts w:asciiTheme="majorHAnsi" w:eastAsiaTheme="minorEastAsia" w:hAnsiTheme="majorHAnsi" w:cstheme="majorHAnsi"/>
          <w:sz w:val="18"/>
          <w:szCs w:val="18"/>
        </w:rPr>
        <w:t xml:space="preserve"> všeobecných</w:t>
      </w:r>
      <w:r w:rsidR="00D17639" w:rsidRPr="006070EA">
        <w:rPr>
          <w:rFonts w:asciiTheme="majorHAnsi" w:eastAsiaTheme="minorEastAsia" w:hAnsiTheme="majorHAnsi" w:cstheme="majorHAnsi"/>
          <w:sz w:val="18"/>
          <w:szCs w:val="18"/>
        </w:rPr>
        <w:t xml:space="preserve"> (P</w:t>
      </w:r>
      <w:r w:rsidR="0054075C" w:rsidRPr="006070EA">
        <w:rPr>
          <w:rFonts w:asciiTheme="majorHAnsi" w:eastAsiaTheme="minorEastAsia" w:hAnsiTheme="majorHAnsi" w:cstheme="majorHAnsi"/>
          <w:sz w:val="18"/>
          <w:szCs w:val="18"/>
        </w:rPr>
        <w:t>U</w:t>
      </w:r>
      <w:r w:rsidR="00D17639" w:rsidRPr="006070EA">
        <w:rPr>
          <w:rFonts w:asciiTheme="majorHAnsi" w:eastAsiaTheme="minorEastAsia" w:hAnsiTheme="majorHAnsi" w:cstheme="majorHAnsi"/>
          <w:sz w:val="18"/>
          <w:szCs w:val="18"/>
        </w:rPr>
        <w:t>).</w:t>
      </w:r>
    </w:p>
    <w:p w14:paraId="09EB5A60" w14:textId="77777777" w:rsidR="00D147D3" w:rsidRPr="006070EA" w:rsidRDefault="00D147D3" w:rsidP="009E07E1">
      <w:pPr>
        <w:spacing w:after="60" w:line="240" w:lineRule="auto"/>
        <w:ind w:firstLine="709"/>
        <w:jc w:val="both"/>
        <w:rPr>
          <w:rFonts w:asciiTheme="majorHAnsi" w:eastAsiaTheme="minorEastAsia" w:hAnsiTheme="majorHAnsi" w:cstheme="majorHAnsi"/>
          <w:bCs/>
          <w:iCs/>
          <w:sz w:val="18"/>
          <w:szCs w:val="18"/>
        </w:rPr>
      </w:pPr>
      <w:r w:rsidRPr="006070EA">
        <w:rPr>
          <w:rFonts w:asciiTheme="majorHAnsi" w:eastAsiaTheme="minorEastAsia" w:hAnsiTheme="majorHAnsi" w:cstheme="majorHAnsi"/>
          <w:bCs/>
          <w:iCs/>
          <w:sz w:val="18"/>
          <w:szCs w:val="18"/>
        </w:rPr>
        <w:t xml:space="preserve">Výše uvedené trasy, vedení a zařízení jsou územním plánem respektovány. Připojení nové výstavby bude řešeno v rámci stávající sítě, resp. samostatnými stavbami v případě většího rozsahu výstavby. Vymezení nových tras pro napojení v rámci zastavitelných ploch bude s ohledem na měřítko ÚP řešeno v navazujících podrobnějších dokumentacích. Realizace telekomunikačních a radiokomunikačních tras je umožněna ve všech plochách s rozdílným způsobem využití. </w:t>
      </w:r>
    </w:p>
    <w:p w14:paraId="24F6DA1C" w14:textId="77777777" w:rsidR="00D147D3" w:rsidRPr="006070EA" w:rsidRDefault="00D147D3" w:rsidP="009E07E1">
      <w:pPr>
        <w:spacing w:after="60" w:line="240" w:lineRule="auto"/>
        <w:ind w:firstLine="709"/>
        <w:jc w:val="both"/>
        <w:rPr>
          <w:rFonts w:asciiTheme="majorHAnsi" w:eastAsiaTheme="minorEastAsia" w:hAnsiTheme="majorHAnsi" w:cstheme="majorHAnsi"/>
          <w:bCs/>
          <w:iCs/>
          <w:sz w:val="18"/>
          <w:szCs w:val="18"/>
        </w:rPr>
      </w:pPr>
      <w:r w:rsidRPr="006070EA">
        <w:rPr>
          <w:rFonts w:asciiTheme="majorHAnsi" w:eastAsiaTheme="minorEastAsia" w:hAnsiTheme="majorHAnsi" w:cstheme="majorHAnsi"/>
          <w:bCs/>
          <w:iCs/>
          <w:sz w:val="18"/>
          <w:szCs w:val="18"/>
        </w:rPr>
        <w:t>S ohledem na plošnou telekomunikační síť je při stavebních aktivitách a zemních pracích nutné vyjádření k</w:t>
      </w:r>
      <w:r w:rsidR="00501F6A" w:rsidRPr="006070EA">
        <w:rPr>
          <w:rFonts w:asciiTheme="majorHAnsi" w:eastAsiaTheme="minorEastAsia" w:hAnsiTheme="majorHAnsi" w:cstheme="majorHAnsi"/>
          <w:bCs/>
          <w:iCs/>
          <w:sz w:val="18"/>
          <w:szCs w:val="18"/>
        </w:rPr>
        <w:t> </w:t>
      </w:r>
      <w:r w:rsidRPr="006070EA">
        <w:rPr>
          <w:rFonts w:asciiTheme="majorHAnsi" w:eastAsiaTheme="minorEastAsia" w:hAnsiTheme="majorHAnsi" w:cstheme="majorHAnsi"/>
          <w:bCs/>
          <w:iCs/>
          <w:sz w:val="18"/>
          <w:szCs w:val="18"/>
        </w:rPr>
        <w:t>existenci telekomunikačních kabelů a zařízení v dotčeném území. Při navrhování tras inženýrských sítí bude respektována norma ČSN</w:t>
      </w:r>
      <w:r w:rsidR="00700C54" w:rsidRPr="006070EA">
        <w:rPr>
          <w:rFonts w:asciiTheme="majorHAnsi" w:eastAsiaTheme="minorEastAsia" w:hAnsiTheme="majorHAnsi" w:cstheme="majorHAnsi"/>
          <w:bCs/>
          <w:iCs/>
          <w:sz w:val="18"/>
          <w:szCs w:val="18"/>
        </w:rPr>
        <w:t> </w:t>
      </w:r>
      <w:r w:rsidRPr="006070EA">
        <w:rPr>
          <w:rFonts w:asciiTheme="majorHAnsi" w:eastAsiaTheme="minorEastAsia" w:hAnsiTheme="majorHAnsi" w:cstheme="majorHAnsi"/>
          <w:bCs/>
          <w:iCs/>
          <w:sz w:val="18"/>
          <w:szCs w:val="18"/>
        </w:rPr>
        <w:t>736005 “Prostorové uspořádání sítí technického vybavení“.</w:t>
      </w:r>
    </w:p>
    <w:p w14:paraId="2D1A37B8" w14:textId="77777777" w:rsidR="00AB1F4C" w:rsidRPr="006070EA" w:rsidRDefault="00AB1F4C" w:rsidP="009E07E1">
      <w:pPr>
        <w:spacing w:after="60" w:line="240" w:lineRule="auto"/>
        <w:jc w:val="both"/>
        <w:rPr>
          <w:rFonts w:asciiTheme="majorHAnsi" w:eastAsiaTheme="minorEastAsia" w:hAnsiTheme="majorHAnsi" w:cstheme="majorHAnsi"/>
          <w:b/>
          <w:sz w:val="18"/>
          <w:szCs w:val="18"/>
        </w:rPr>
      </w:pPr>
      <w:r w:rsidRPr="006070EA">
        <w:rPr>
          <w:rFonts w:asciiTheme="majorHAnsi" w:hAnsiTheme="majorHAnsi" w:cstheme="majorHAnsi"/>
          <w:b/>
          <w:sz w:val="18"/>
          <w:szCs w:val="18"/>
        </w:rPr>
        <w:t xml:space="preserve">Ochranná pásma </w:t>
      </w:r>
    </w:p>
    <w:p w14:paraId="61D855A0" w14:textId="77777777" w:rsidR="00AB1F4C" w:rsidRPr="006070EA" w:rsidRDefault="00AB1F4C" w:rsidP="009E07E1">
      <w:pPr>
        <w:spacing w:after="60" w:line="240" w:lineRule="auto"/>
        <w:jc w:val="both"/>
        <w:rPr>
          <w:rFonts w:asciiTheme="majorHAnsi" w:eastAsiaTheme="minorEastAsia" w:hAnsiTheme="majorHAnsi" w:cstheme="majorHAnsi"/>
          <w:sz w:val="18"/>
          <w:szCs w:val="18"/>
        </w:rPr>
      </w:pPr>
      <w:r w:rsidRPr="006070EA">
        <w:rPr>
          <w:rFonts w:asciiTheme="majorHAnsi" w:eastAsiaTheme="minorEastAsia" w:hAnsiTheme="majorHAnsi" w:cstheme="majorHAnsi"/>
          <w:sz w:val="18"/>
          <w:szCs w:val="18"/>
        </w:rPr>
        <w:t xml:space="preserve">Ochranné pásmo podzemního kabelového vedení činí 1,5 m na každou stranu od krajního vodiče. </w:t>
      </w:r>
    </w:p>
    <w:p w14:paraId="4359B56A" w14:textId="77777777" w:rsidR="00AB1F4C" w:rsidRPr="006070EA" w:rsidRDefault="00AB1F4C" w:rsidP="009E07E1">
      <w:pPr>
        <w:spacing w:after="60" w:line="240" w:lineRule="auto"/>
        <w:ind w:firstLine="709"/>
        <w:jc w:val="both"/>
        <w:rPr>
          <w:rFonts w:asciiTheme="majorHAnsi" w:eastAsiaTheme="minorEastAsia" w:hAnsiTheme="majorHAnsi" w:cstheme="majorHAnsi"/>
          <w:sz w:val="18"/>
          <w:szCs w:val="18"/>
        </w:rPr>
      </w:pPr>
      <w:r w:rsidRPr="006070EA">
        <w:rPr>
          <w:rFonts w:asciiTheme="majorHAnsi" w:eastAsiaTheme="minorEastAsia" w:hAnsiTheme="majorHAnsi" w:cstheme="majorHAnsi"/>
          <w:sz w:val="18"/>
          <w:szCs w:val="18"/>
        </w:rPr>
        <w:t>V OP podzemních telekomunikačních vedení je zakázáno:</w:t>
      </w:r>
    </w:p>
    <w:p w14:paraId="639178A0" w14:textId="77777777" w:rsidR="00AB1F4C" w:rsidRPr="006070EA" w:rsidRDefault="00AB1F4C" w:rsidP="00EF7B4B">
      <w:pPr>
        <w:pStyle w:val="Odstavecseseznamem"/>
        <w:numPr>
          <w:ilvl w:val="0"/>
          <w:numId w:val="9"/>
        </w:numPr>
        <w:spacing w:after="0" w:line="240" w:lineRule="auto"/>
        <w:ind w:left="851" w:hanging="142"/>
        <w:contextualSpacing w:val="0"/>
        <w:jc w:val="both"/>
        <w:rPr>
          <w:rFonts w:asciiTheme="majorHAnsi" w:eastAsiaTheme="minorEastAsia" w:hAnsiTheme="majorHAnsi" w:cstheme="majorHAnsi"/>
          <w:sz w:val="18"/>
          <w:szCs w:val="18"/>
        </w:rPr>
      </w:pPr>
      <w:r w:rsidRPr="006070EA">
        <w:rPr>
          <w:rFonts w:asciiTheme="majorHAnsi" w:eastAsiaTheme="minorEastAsia" w:hAnsiTheme="majorHAnsi" w:cstheme="majorHAnsi"/>
          <w:sz w:val="18"/>
          <w:szCs w:val="18"/>
        </w:rPr>
        <w:t>provádět bez souhlasu jejich vlastníka zemní práce;</w:t>
      </w:r>
    </w:p>
    <w:p w14:paraId="5ECD7926" w14:textId="77777777" w:rsidR="00AB1F4C" w:rsidRPr="006070EA" w:rsidRDefault="00AB1F4C" w:rsidP="0036779E">
      <w:pPr>
        <w:pStyle w:val="Odstavecseseznamem"/>
        <w:numPr>
          <w:ilvl w:val="0"/>
          <w:numId w:val="9"/>
        </w:numPr>
        <w:spacing w:after="120" w:line="240" w:lineRule="auto"/>
        <w:ind w:left="851" w:hanging="142"/>
        <w:contextualSpacing w:val="0"/>
        <w:jc w:val="both"/>
        <w:rPr>
          <w:rFonts w:asciiTheme="majorHAnsi" w:eastAsiaTheme="minorEastAsia" w:hAnsiTheme="majorHAnsi" w:cstheme="majorHAnsi"/>
          <w:sz w:val="18"/>
          <w:szCs w:val="18"/>
        </w:rPr>
      </w:pPr>
      <w:r w:rsidRPr="006070EA">
        <w:rPr>
          <w:rFonts w:asciiTheme="majorHAnsi" w:eastAsiaTheme="minorEastAsia" w:hAnsiTheme="majorHAnsi" w:cstheme="majorHAnsi"/>
          <w:sz w:val="18"/>
          <w:szCs w:val="18"/>
        </w:rPr>
        <w:lastRenderedPageBreak/>
        <w:t>zřizovat stavby či umisťovat konstrukce nebo jiná podobná zařízení a provádět činnosti, které by znemožňovaly nebo podstatně znesnadňovaly přístup k podzemnímu telekomunikačnímu vedení.</w:t>
      </w:r>
    </w:p>
    <w:p w14:paraId="0BAD9DA5" w14:textId="77777777" w:rsidR="00AB1F4C" w:rsidRPr="006070EA" w:rsidRDefault="00501F6A" w:rsidP="009E07E1">
      <w:pPr>
        <w:keepNext/>
        <w:shd w:val="clear" w:color="auto" w:fill="F2F2F2" w:themeFill="background1" w:themeFillShade="F2"/>
        <w:spacing w:before="120" w:after="120" w:line="240" w:lineRule="auto"/>
        <w:rPr>
          <w:rFonts w:asciiTheme="majorHAnsi" w:hAnsiTheme="majorHAnsi" w:cstheme="majorHAnsi"/>
          <w:b/>
          <w:sz w:val="20"/>
        </w:rPr>
      </w:pPr>
      <w:r w:rsidRPr="006070EA">
        <w:rPr>
          <w:rFonts w:asciiTheme="majorHAnsi" w:hAnsiTheme="majorHAnsi" w:cstheme="majorHAnsi"/>
          <w:b/>
          <w:sz w:val="20"/>
        </w:rPr>
        <w:t>Nakládání s odpady</w:t>
      </w:r>
    </w:p>
    <w:p w14:paraId="1E857991" w14:textId="7F942094" w:rsidR="00D147D3" w:rsidRPr="006070EA" w:rsidRDefault="00D147D3" w:rsidP="009E07E1">
      <w:pPr>
        <w:pStyle w:val="Atext"/>
        <w:keepNext/>
        <w:ind w:firstLine="0"/>
        <w:jc w:val="right"/>
        <w:rPr>
          <w:rFonts w:asciiTheme="majorHAnsi" w:hAnsiTheme="majorHAnsi" w:cstheme="majorHAnsi"/>
          <w:i/>
          <w:snapToGrid w:val="0"/>
          <w:szCs w:val="18"/>
          <w:u w:val="single"/>
        </w:rPr>
      </w:pPr>
      <w:r w:rsidRPr="006070EA">
        <w:rPr>
          <w:rFonts w:asciiTheme="majorHAnsi" w:hAnsiTheme="majorHAnsi" w:cstheme="majorHAnsi"/>
          <w:i/>
          <w:snapToGrid w:val="0"/>
          <w:szCs w:val="18"/>
          <w:u w:val="single"/>
        </w:rPr>
        <w:t xml:space="preserve">Odůvodnění odst. </w:t>
      </w:r>
      <w:r w:rsidRPr="006070EA">
        <w:rPr>
          <w:rFonts w:asciiTheme="majorHAnsi" w:hAnsiTheme="majorHAnsi" w:cstheme="majorHAnsi"/>
          <w:b/>
          <w:i/>
          <w:snapToGrid w:val="0"/>
          <w:szCs w:val="18"/>
          <w:u w:val="single"/>
        </w:rPr>
        <w:t>(</w:t>
      </w:r>
      <w:r w:rsidR="00CE40D1" w:rsidRPr="006070EA">
        <w:rPr>
          <w:rFonts w:asciiTheme="majorHAnsi" w:hAnsiTheme="majorHAnsi" w:cstheme="majorHAnsi"/>
          <w:b/>
          <w:i/>
          <w:snapToGrid w:val="0"/>
          <w:szCs w:val="18"/>
          <w:u w:val="single"/>
        </w:rPr>
        <w:t>4</w:t>
      </w:r>
      <w:r w:rsidR="0021590A">
        <w:rPr>
          <w:rFonts w:asciiTheme="majorHAnsi" w:hAnsiTheme="majorHAnsi" w:cstheme="majorHAnsi"/>
          <w:b/>
          <w:i/>
          <w:snapToGrid w:val="0"/>
          <w:szCs w:val="18"/>
          <w:u w:val="single"/>
        </w:rPr>
        <w:t>3</w:t>
      </w:r>
      <w:r w:rsidRPr="006070EA">
        <w:rPr>
          <w:rFonts w:asciiTheme="majorHAnsi" w:hAnsiTheme="majorHAnsi" w:cstheme="majorHAnsi"/>
          <w:b/>
          <w:i/>
          <w:snapToGrid w:val="0"/>
          <w:szCs w:val="18"/>
          <w:u w:val="single"/>
        </w:rPr>
        <w:t xml:space="preserve">) </w:t>
      </w:r>
      <w:r w:rsidRPr="006070EA">
        <w:rPr>
          <w:rFonts w:asciiTheme="majorHAnsi" w:hAnsiTheme="majorHAnsi" w:cstheme="majorHAnsi"/>
          <w:i/>
          <w:snapToGrid w:val="0"/>
          <w:szCs w:val="18"/>
          <w:u w:val="single"/>
        </w:rPr>
        <w:t>výrokové části</w:t>
      </w:r>
    </w:p>
    <w:p w14:paraId="0195731E" w14:textId="77777777" w:rsidR="00D147D3" w:rsidRPr="006070EA" w:rsidRDefault="00D147D3" w:rsidP="009E07E1">
      <w:pPr>
        <w:keepNext/>
        <w:spacing w:before="120" w:after="120" w:line="240" w:lineRule="auto"/>
        <w:jc w:val="both"/>
        <w:rPr>
          <w:rFonts w:asciiTheme="majorHAnsi" w:eastAsiaTheme="minorEastAsia" w:hAnsiTheme="majorHAnsi" w:cstheme="majorHAnsi"/>
          <w:b/>
          <w:sz w:val="18"/>
          <w:szCs w:val="18"/>
        </w:rPr>
      </w:pPr>
      <w:r w:rsidRPr="006070EA">
        <w:rPr>
          <w:rFonts w:asciiTheme="majorHAnsi" w:eastAsiaTheme="minorEastAsia" w:hAnsiTheme="majorHAnsi" w:cstheme="majorHAnsi"/>
          <w:b/>
          <w:sz w:val="18"/>
          <w:szCs w:val="18"/>
        </w:rPr>
        <w:t>Popis stávající situace a návrh</w:t>
      </w:r>
    </w:p>
    <w:p w14:paraId="5D6DE54B" w14:textId="0C4F765D" w:rsidR="00AB1F4C" w:rsidRPr="006070EA" w:rsidRDefault="00C25162" w:rsidP="009E07E1">
      <w:pPr>
        <w:spacing w:after="60" w:line="240" w:lineRule="auto"/>
        <w:ind w:firstLine="709"/>
        <w:jc w:val="both"/>
        <w:rPr>
          <w:rFonts w:asciiTheme="majorHAnsi" w:eastAsiaTheme="minorEastAsia" w:hAnsiTheme="majorHAnsi" w:cstheme="majorHAnsi"/>
          <w:sz w:val="18"/>
          <w:szCs w:val="18"/>
        </w:rPr>
      </w:pPr>
      <w:r w:rsidRPr="006070EA">
        <w:rPr>
          <w:rFonts w:asciiTheme="majorHAnsi" w:eastAsiaTheme="minorEastAsia" w:hAnsiTheme="majorHAnsi" w:cstheme="majorHAnsi"/>
          <w:sz w:val="18"/>
          <w:szCs w:val="18"/>
        </w:rPr>
        <w:t>Nakládání s odpady vychází ze závazné části Plánu odpadového hospodářství Středočeského kraje pro období 2016 – 2025.</w:t>
      </w:r>
      <w:r w:rsidR="00AB1F4C" w:rsidRPr="006070EA">
        <w:rPr>
          <w:rFonts w:asciiTheme="majorHAnsi" w:eastAsiaTheme="minorEastAsia" w:hAnsiTheme="majorHAnsi" w:cstheme="majorHAnsi"/>
          <w:sz w:val="18"/>
          <w:szCs w:val="18"/>
        </w:rPr>
        <w:t xml:space="preserve"> Při nakládání s odpady je nutné respektovat zákon č. 185/2001 Sb., o odpadech a</w:t>
      </w:r>
      <w:r w:rsidR="008F1A6C" w:rsidRPr="006070EA">
        <w:rPr>
          <w:rFonts w:asciiTheme="majorHAnsi" w:eastAsiaTheme="minorEastAsia" w:hAnsiTheme="majorHAnsi" w:cstheme="majorHAnsi"/>
          <w:sz w:val="18"/>
          <w:szCs w:val="18"/>
        </w:rPr>
        <w:t> </w:t>
      </w:r>
      <w:r w:rsidR="00AB1F4C" w:rsidRPr="006070EA">
        <w:rPr>
          <w:rFonts w:asciiTheme="majorHAnsi" w:eastAsiaTheme="minorEastAsia" w:hAnsiTheme="majorHAnsi" w:cstheme="majorHAnsi"/>
          <w:sz w:val="18"/>
          <w:szCs w:val="18"/>
        </w:rPr>
        <w:t>o</w:t>
      </w:r>
      <w:r w:rsidR="008F1A6C" w:rsidRPr="006070EA">
        <w:rPr>
          <w:rFonts w:asciiTheme="majorHAnsi" w:eastAsiaTheme="minorEastAsia" w:hAnsiTheme="majorHAnsi" w:cstheme="majorHAnsi"/>
          <w:sz w:val="18"/>
          <w:szCs w:val="18"/>
        </w:rPr>
        <w:t> </w:t>
      </w:r>
      <w:r w:rsidR="00AB1F4C" w:rsidRPr="006070EA">
        <w:rPr>
          <w:rFonts w:asciiTheme="majorHAnsi" w:eastAsiaTheme="minorEastAsia" w:hAnsiTheme="majorHAnsi" w:cstheme="majorHAnsi"/>
          <w:sz w:val="18"/>
          <w:szCs w:val="18"/>
        </w:rPr>
        <w:t>změně některých dalších zákonů, ve znění pozdějších předpisů (dále také jen „zákon o odpadech“), a zákon č. 201/2012 Sb., o ochraně ovzduší a</w:t>
      </w:r>
      <w:r w:rsidR="0049212C" w:rsidRPr="006070EA">
        <w:rPr>
          <w:rFonts w:asciiTheme="majorHAnsi" w:eastAsiaTheme="minorEastAsia" w:hAnsiTheme="majorHAnsi" w:cstheme="majorHAnsi"/>
          <w:sz w:val="18"/>
          <w:szCs w:val="18"/>
        </w:rPr>
        <w:t> </w:t>
      </w:r>
      <w:r w:rsidR="00AB1F4C" w:rsidRPr="006070EA">
        <w:rPr>
          <w:rFonts w:asciiTheme="majorHAnsi" w:eastAsiaTheme="minorEastAsia" w:hAnsiTheme="majorHAnsi" w:cstheme="majorHAnsi"/>
          <w:sz w:val="18"/>
          <w:szCs w:val="18"/>
        </w:rPr>
        <w:t>o</w:t>
      </w:r>
      <w:r w:rsidR="0049212C" w:rsidRPr="006070EA">
        <w:rPr>
          <w:rFonts w:asciiTheme="majorHAnsi" w:eastAsiaTheme="minorEastAsia" w:hAnsiTheme="majorHAnsi" w:cstheme="majorHAnsi"/>
          <w:sz w:val="18"/>
          <w:szCs w:val="18"/>
        </w:rPr>
        <w:t> </w:t>
      </w:r>
      <w:r w:rsidR="00AB1F4C" w:rsidRPr="006070EA">
        <w:rPr>
          <w:rFonts w:asciiTheme="majorHAnsi" w:eastAsiaTheme="minorEastAsia" w:hAnsiTheme="majorHAnsi" w:cstheme="majorHAnsi"/>
          <w:sz w:val="18"/>
          <w:szCs w:val="18"/>
        </w:rPr>
        <w:t>změně některých dalších zákonů, ve znění pozdějších předpisů (dále také jen „zákon o ochraně ovzduší).</w:t>
      </w:r>
    </w:p>
    <w:p w14:paraId="357796BF" w14:textId="77777777" w:rsidR="009E5E88" w:rsidRPr="006070EA" w:rsidRDefault="009E5E88" w:rsidP="009E5E88">
      <w:pPr>
        <w:pStyle w:val="Atext"/>
        <w:rPr>
          <w:rFonts w:asciiTheme="majorHAnsi" w:hAnsiTheme="majorHAnsi" w:cstheme="majorHAnsi"/>
          <w:szCs w:val="18"/>
        </w:rPr>
      </w:pPr>
      <w:r w:rsidRPr="006070EA">
        <w:rPr>
          <w:rFonts w:asciiTheme="majorHAnsi" w:hAnsiTheme="majorHAnsi" w:cstheme="majorHAnsi"/>
          <w:szCs w:val="18"/>
        </w:rPr>
        <w:t>Dále je nakládání s odpady řízeno dle Obecně závazné vyhlášky obce Kostomlaty nad Labem č. 1/2016, o stanovení systému shromažďování, sběru, přepravy, třídění, využívání a odstraňování komunálních odpadů a nakládání se stavebním odpadem na území obce Kostomlaty nad Labem, která nabyla účinnosti dne 1. 1. 2017.</w:t>
      </w:r>
    </w:p>
    <w:p w14:paraId="47DEDC07" w14:textId="7CBA45AC" w:rsidR="009E5E88" w:rsidRPr="006070EA" w:rsidRDefault="009E5E88" w:rsidP="009E5E88">
      <w:pPr>
        <w:pStyle w:val="Anadpispodtren"/>
        <w:rPr>
          <w:rFonts w:asciiTheme="majorHAnsi" w:hAnsiTheme="majorHAnsi" w:cstheme="majorHAnsi"/>
          <w:szCs w:val="18"/>
        </w:rPr>
      </w:pPr>
      <w:r w:rsidRPr="006070EA">
        <w:rPr>
          <w:rFonts w:asciiTheme="majorHAnsi" w:hAnsiTheme="majorHAnsi" w:cstheme="majorHAnsi"/>
          <w:szCs w:val="18"/>
        </w:rPr>
        <w:t>Směsný komunální odpad</w:t>
      </w:r>
      <w:r w:rsidR="00C25162" w:rsidRPr="006070EA">
        <w:rPr>
          <w:rFonts w:asciiTheme="majorHAnsi" w:hAnsiTheme="majorHAnsi" w:cstheme="majorHAnsi"/>
          <w:szCs w:val="18"/>
        </w:rPr>
        <w:t xml:space="preserve"> (SKO)</w:t>
      </w:r>
    </w:p>
    <w:p w14:paraId="4BABCCB0" w14:textId="77777777" w:rsidR="009E5E88" w:rsidRPr="006070EA" w:rsidRDefault="009E5E88" w:rsidP="009E5E88">
      <w:pPr>
        <w:pStyle w:val="Atext"/>
        <w:rPr>
          <w:rFonts w:asciiTheme="majorHAnsi" w:hAnsiTheme="majorHAnsi" w:cstheme="majorHAnsi"/>
          <w:szCs w:val="18"/>
        </w:rPr>
      </w:pPr>
      <w:r w:rsidRPr="006070EA">
        <w:rPr>
          <w:rFonts w:asciiTheme="majorHAnsi" w:hAnsiTheme="majorHAnsi" w:cstheme="majorHAnsi"/>
          <w:szCs w:val="18"/>
        </w:rPr>
        <w:t xml:space="preserve">Směsný komunální odpad se shromažďuje do sběrných nádob (typizované sběrné nádoby, kontejnery, odpadkové koše na veřejných prostranstvích města a další) a odváží mimo řešené území. </w:t>
      </w:r>
    </w:p>
    <w:p w14:paraId="18D8551B" w14:textId="77777777" w:rsidR="009E5E88" w:rsidRPr="006070EA" w:rsidRDefault="009E5E88" w:rsidP="009E5E88">
      <w:pPr>
        <w:pStyle w:val="Anadpispodtren"/>
        <w:rPr>
          <w:rFonts w:asciiTheme="majorHAnsi" w:hAnsiTheme="majorHAnsi" w:cstheme="majorHAnsi"/>
          <w:color w:val="000000"/>
          <w:szCs w:val="18"/>
        </w:rPr>
      </w:pPr>
      <w:r w:rsidRPr="006070EA">
        <w:rPr>
          <w:rFonts w:asciiTheme="majorHAnsi" w:hAnsiTheme="majorHAnsi" w:cstheme="majorHAnsi"/>
          <w:color w:val="000000"/>
          <w:szCs w:val="18"/>
        </w:rPr>
        <w:t>Tříděný komunální odpad</w:t>
      </w:r>
    </w:p>
    <w:p w14:paraId="3E45A621" w14:textId="4F518AF4" w:rsidR="009E5E88" w:rsidRPr="006070EA" w:rsidRDefault="009E5E88" w:rsidP="009E5E88">
      <w:pPr>
        <w:pStyle w:val="Atext"/>
        <w:rPr>
          <w:rFonts w:asciiTheme="majorHAnsi" w:hAnsiTheme="majorHAnsi" w:cstheme="majorHAnsi"/>
          <w:color w:val="000000"/>
          <w:szCs w:val="18"/>
        </w:rPr>
      </w:pPr>
      <w:r w:rsidRPr="006070EA">
        <w:rPr>
          <w:rFonts w:asciiTheme="majorHAnsi" w:hAnsiTheme="majorHAnsi" w:cstheme="majorHAnsi"/>
          <w:color w:val="000000"/>
          <w:szCs w:val="18"/>
        </w:rPr>
        <w:t xml:space="preserve">Tříděný (separovaný) odpad je v řešeném území shromažďován </w:t>
      </w:r>
      <w:r w:rsidR="00C25162" w:rsidRPr="006070EA">
        <w:rPr>
          <w:rFonts w:asciiTheme="majorHAnsi" w:hAnsiTheme="majorHAnsi" w:cstheme="majorHAnsi"/>
          <w:color w:val="000000"/>
          <w:szCs w:val="18"/>
        </w:rPr>
        <w:t xml:space="preserve">v rámci učených veřejných prostranství </w:t>
      </w:r>
      <w:r w:rsidRPr="006070EA">
        <w:rPr>
          <w:rFonts w:asciiTheme="majorHAnsi" w:hAnsiTheme="majorHAnsi" w:cstheme="majorHAnsi"/>
          <w:color w:val="000000"/>
          <w:szCs w:val="18"/>
        </w:rPr>
        <w:t>do zvláštních sběrných nádob</w:t>
      </w:r>
      <w:r w:rsidR="00C25162" w:rsidRPr="006070EA">
        <w:rPr>
          <w:rFonts w:asciiTheme="majorHAnsi" w:hAnsiTheme="majorHAnsi" w:cstheme="majorHAnsi"/>
          <w:color w:val="000000"/>
          <w:szCs w:val="18"/>
        </w:rPr>
        <w:t>)</w:t>
      </w:r>
      <w:r w:rsidRPr="006070EA">
        <w:rPr>
          <w:rFonts w:asciiTheme="majorHAnsi" w:hAnsiTheme="majorHAnsi" w:cstheme="majorHAnsi"/>
          <w:color w:val="000000"/>
          <w:szCs w:val="18"/>
        </w:rPr>
        <w:t xml:space="preserve">. </w:t>
      </w:r>
    </w:p>
    <w:p w14:paraId="1103181B" w14:textId="77777777" w:rsidR="009E5E88" w:rsidRPr="006070EA" w:rsidRDefault="009E5E88" w:rsidP="009E5E88">
      <w:pPr>
        <w:pStyle w:val="Atext"/>
        <w:rPr>
          <w:rFonts w:asciiTheme="majorHAnsi" w:hAnsiTheme="majorHAnsi" w:cstheme="majorHAnsi"/>
          <w:color w:val="000000"/>
          <w:szCs w:val="18"/>
        </w:rPr>
      </w:pPr>
      <w:r w:rsidRPr="006070EA">
        <w:rPr>
          <w:rFonts w:asciiTheme="majorHAnsi" w:hAnsiTheme="majorHAnsi" w:cstheme="majorHAnsi"/>
          <w:color w:val="000000"/>
          <w:szCs w:val="18"/>
        </w:rPr>
        <w:t>Obec je zapojena do zpětného odběru elektrozařízení a drobného elektroodpadu, které se ukládají do kontejnerů, v rámci kterých je možno odložit odpad do příslušných sběrných nádob.</w:t>
      </w:r>
    </w:p>
    <w:p w14:paraId="3EC08EAA" w14:textId="77777777" w:rsidR="009E5E88" w:rsidRPr="006070EA" w:rsidRDefault="009E5E88" w:rsidP="009E5E88">
      <w:pPr>
        <w:pStyle w:val="Atext"/>
        <w:rPr>
          <w:rFonts w:asciiTheme="majorHAnsi" w:hAnsiTheme="majorHAnsi" w:cstheme="majorHAnsi"/>
          <w:color w:val="000000"/>
          <w:szCs w:val="18"/>
        </w:rPr>
      </w:pPr>
      <w:r w:rsidRPr="006070EA">
        <w:rPr>
          <w:rFonts w:asciiTheme="majorHAnsi" w:hAnsiTheme="majorHAnsi" w:cstheme="majorHAnsi"/>
          <w:color w:val="000000"/>
          <w:szCs w:val="18"/>
        </w:rPr>
        <w:t>Tříděný odpad lze také odevzdávat ve sběrném místě, které je umístěno v Kostomlatech nad Labem v ul. Hradišťská a v Hroněticích.</w:t>
      </w:r>
    </w:p>
    <w:p w14:paraId="7C2DD4D7" w14:textId="77777777" w:rsidR="009E5E88" w:rsidRPr="006070EA" w:rsidRDefault="009E5E88" w:rsidP="009E5E88">
      <w:pPr>
        <w:pStyle w:val="Anadpispodtren"/>
        <w:rPr>
          <w:rFonts w:asciiTheme="majorHAnsi" w:hAnsiTheme="majorHAnsi" w:cstheme="majorHAnsi"/>
          <w:szCs w:val="18"/>
        </w:rPr>
      </w:pPr>
      <w:r w:rsidRPr="006070EA">
        <w:rPr>
          <w:rFonts w:asciiTheme="majorHAnsi" w:hAnsiTheme="majorHAnsi" w:cstheme="majorHAnsi"/>
          <w:szCs w:val="18"/>
        </w:rPr>
        <w:t>Nebezpečné složky komunálního odpadu</w:t>
      </w:r>
    </w:p>
    <w:p w14:paraId="054B2815" w14:textId="1E81664A" w:rsidR="009E5E88" w:rsidRPr="006070EA" w:rsidRDefault="009E5E88" w:rsidP="009E5E88">
      <w:pPr>
        <w:pStyle w:val="Atext"/>
        <w:rPr>
          <w:rFonts w:asciiTheme="majorHAnsi" w:hAnsiTheme="majorHAnsi" w:cstheme="majorHAnsi"/>
          <w:szCs w:val="18"/>
        </w:rPr>
      </w:pPr>
      <w:r w:rsidRPr="006070EA">
        <w:rPr>
          <w:rFonts w:asciiTheme="majorHAnsi" w:hAnsiTheme="majorHAnsi" w:cstheme="majorHAnsi"/>
          <w:szCs w:val="18"/>
        </w:rPr>
        <w:t>Sběr a svoz nebezpečných složek komunálního odpadu je zajišťován minimálně dvakrát ročně jejich odebíráním na předem vyhlášených přechodných stanovištích přímo do zvláštních sběrných nádob k tomuto sběru určených. Informace o</w:t>
      </w:r>
      <w:r w:rsidR="0054075C" w:rsidRPr="006070EA">
        <w:rPr>
          <w:rFonts w:asciiTheme="majorHAnsi" w:hAnsiTheme="majorHAnsi" w:cstheme="majorHAnsi"/>
          <w:szCs w:val="18"/>
        </w:rPr>
        <w:t> </w:t>
      </w:r>
      <w:r w:rsidRPr="006070EA">
        <w:rPr>
          <w:rFonts w:asciiTheme="majorHAnsi" w:hAnsiTheme="majorHAnsi" w:cstheme="majorHAnsi"/>
          <w:szCs w:val="18"/>
        </w:rPr>
        <w:t>sběru jsou zveřejňovány na informačních deskách v obci Kostomlaty nad Labem, Vápensku, Hroněticích, Lánech, Rozkoši, v místním rozhlase a na webových stránkách obce.</w:t>
      </w:r>
    </w:p>
    <w:p w14:paraId="2F4D575E" w14:textId="77777777" w:rsidR="009E5E88" w:rsidRPr="006070EA" w:rsidRDefault="009E5E88" w:rsidP="009E5E88">
      <w:pPr>
        <w:pStyle w:val="Anadpispodtren"/>
        <w:rPr>
          <w:rFonts w:asciiTheme="majorHAnsi" w:hAnsiTheme="majorHAnsi" w:cstheme="majorHAnsi"/>
          <w:szCs w:val="18"/>
        </w:rPr>
      </w:pPr>
      <w:r w:rsidRPr="006070EA">
        <w:rPr>
          <w:rFonts w:asciiTheme="majorHAnsi" w:hAnsiTheme="majorHAnsi" w:cstheme="majorHAnsi"/>
          <w:szCs w:val="18"/>
        </w:rPr>
        <w:t>Objemný odpad</w:t>
      </w:r>
    </w:p>
    <w:p w14:paraId="451D6B4B" w14:textId="77777777" w:rsidR="009E5E88" w:rsidRPr="006070EA" w:rsidRDefault="009E5E88" w:rsidP="009E5E88">
      <w:pPr>
        <w:pStyle w:val="Atext"/>
        <w:rPr>
          <w:rFonts w:asciiTheme="majorHAnsi" w:hAnsiTheme="majorHAnsi" w:cstheme="majorHAnsi"/>
          <w:szCs w:val="18"/>
        </w:rPr>
      </w:pPr>
      <w:r w:rsidRPr="006070EA">
        <w:rPr>
          <w:rFonts w:asciiTheme="majorHAnsi" w:hAnsiTheme="majorHAnsi" w:cstheme="majorHAnsi"/>
          <w:szCs w:val="18"/>
        </w:rPr>
        <w:t>Sběr a svoz objemného odpadu je zajišťován čtyřikrát ročně jeho odebíráním na předem vyhlášených přechodných stanovištích přímo do zvláštních sběrných nádob k tomuto účelu určených. Informace o sběru jsou zveřejňovány na informačních deskách obecního úřadu, místním rozhlase a na webových stránkách obce.</w:t>
      </w:r>
    </w:p>
    <w:p w14:paraId="14A9F44A" w14:textId="77777777" w:rsidR="009E5E88" w:rsidRPr="006070EA" w:rsidRDefault="009E5E88" w:rsidP="009E5E88">
      <w:pPr>
        <w:pStyle w:val="Atext"/>
        <w:rPr>
          <w:rFonts w:asciiTheme="majorHAnsi" w:hAnsiTheme="majorHAnsi" w:cstheme="majorHAnsi"/>
          <w:szCs w:val="18"/>
        </w:rPr>
      </w:pPr>
      <w:r w:rsidRPr="006070EA">
        <w:rPr>
          <w:rFonts w:asciiTheme="majorHAnsi" w:hAnsiTheme="majorHAnsi" w:cstheme="majorHAnsi"/>
          <w:szCs w:val="18"/>
        </w:rPr>
        <w:t xml:space="preserve">Objemný odpad lze také odevzdávat ve sběrném místě, které je umístěno v Kostomlatech nad Labem ul. Hradišťská a v Hroněticích. </w:t>
      </w:r>
    </w:p>
    <w:p w14:paraId="570D7EC4" w14:textId="77777777" w:rsidR="009E5E88" w:rsidRPr="006070EA" w:rsidRDefault="009E5E88" w:rsidP="009E5E88">
      <w:pPr>
        <w:pStyle w:val="Anadpispodtren"/>
        <w:rPr>
          <w:rFonts w:asciiTheme="majorHAnsi" w:hAnsiTheme="majorHAnsi" w:cstheme="majorHAnsi"/>
          <w:szCs w:val="18"/>
        </w:rPr>
      </w:pPr>
      <w:r w:rsidRPr="006070EA">
        <w:rPr>
          <w:rFonts w:asciiTheme="majorHAnsi" w:hAnsiTheme="majorHAnsi" w:cstheme="majorHAnsi"/>
          <w:szCs w:val="18"/>
        </w:rPr>
        <w:t>Stavební odpad</w:t>
      </w:r>
    </w:p>
    <w:p w14:paraId="09EC4E57" w14:textId="3BC514C6" w:rsidR="009E5E88" w:rsidRPr="006070EA" w:rsidRDefault="009E5E88" w:rsidP="009E5E88">
      <w:pPr>
        <w:spacing w:after="60" w:line="240" w:lineRule="auto"/>
        <w:ind w:firstLine="709"/>
        <w:jc w:val="both"/>
        <w:rPr>
          <w:rFonts w:asciiTheme="majorHAnsi" w:eastAsiaTheme="minorEastAsia" w:hAnsiTheme="majorHAnsi" w:cstheme="majorHAnsi"/>
          <w:sz w:val="18"/>
          <w:szCs w:val="18"/>
        </w:rPr>
      </w:pPr>
      <w:r w:rsidRPr="006070EA">
        <w:rPr>
          <w:rFonts w:asciiTheme="majorHAnsi" w:hAnsiTheme="majorHAnsi" w:cstheme="majorHAnsi"/>
          <w:sz w:val="18"/>
          <w:szCs w:val="18"/>
        </w:rPr>
        <w:t>Pro odložení stavebního odpadu je možné objednat kontejner, který bude přistaven a odvezen za úplatu dle ceníku objednané firmy. Obecní úřad může zprostředkovat kontakt na tuto firmu.</w:t>
      </w:r>
    </w:p>
    <w:p w14:paraId="496A4981" w14:textId="77777777" w:rsidR="00AB1F4C" w:rsidRPr="006070EA" w:rsidRDefault="00AB1F4C" w:rsidP="009E07E1">
      <w:pPr>
        <w:keepNext/>
        <w:spacing w:before="120" w:after="120" w:line="240" w:lineRule="auto"/>
        <w:jc w:val="both"/>
        <w:rPr>
          <w:rFonts w:asciiTheme="majorHAnsi" w:eastAsiaTheme="minorEastAsia" w:hAnsiTheme="majorHAnsi" w:cstheme="majorHAnsi"/>
          <w:b/>
          <w:sz w:val="18"/>
          <w:szCs w:val="18"/>
        </w:rPr>
      </w:pPr>
      <w:r w:rsidRPr="006070EA">
        <w:rPr>
          <w:rFonts w:asciiTheme="majorHAnsi" w:eastAsiaTheme="minorEastAsia" w:hAnsiTheme="majorHAnsi" w:cstheme="majorHAnsi"/>
          <w:b/>
          <w:sz w:val="18"/>
          <w:szCs w:val="18"/>
        </w:rPr>
        <w:t>Odůvodnění koncepce nakládání s odpady</w:t>
      </w:r>
    </w:p>
    <w:p w14:paraId="04DF8A26" w14:textId="24EE412B" w:rsidR="00CE40D1" w:rsidRPr="006070EA" w:rsidRDefault="00CE40D1" w:rsidP="00CE40D1">
      <w:pPr>
        <w:pStyle w:val="Atext"/>
        <w:keepNext/>
        <w:ind w:firstLine="0"/>
        <w:jc w:val="right"/>
        <w:rPr>
          <w:rFonts w:asciiTheme="majorHAnsi" w:hAnsiTheme="majorHAnsi" w:cstheme="majorHAnsi"/>
          <w:i/>
          <w:snapToGrid w:val="0"/>
          <w:u w:val="single"/>
        </w:rPr>
      </w:pPr>
      <w:r w:rsidRPr="006070EA">
        <w:rPr>
          <w:rFonts w:asciiTheme="majorHAnsi" w:hAnsiTheme="majorHAnsi" w:cstheme="majorHAnsi"/>
          <w:i/>
          <w:snapToGrid w:val="0"/>
          <w:u w:val="single"/>
        </w:rPr>
        <w:t xml:space="preserve">Odůvodnění odst. </w:t>
      </w:r>
      <w:r w:rsidRPr="006070EA">
        <w:rPr>
          <w:rFonts w:asciiTheme="majorHAnsi" w:hAnsiTheme="majorHAnsi" w:cstheme="majorHAnsi"/>
          <w:b/>
          <w:i/>
          <w:snapToGrid w:val="0"/>
          <w:u w:val="single"/>
        </w:rPr>
        <w:t>(</w:t>
      </w:r>
      <w:r w:rsidR="0021590A">
        <w:rPr>
          <w:rFonts w:asciiTheme="majorHAnsi" w:hAnsiTheme="majorHAnsi" w:cstheme="majorHAnsi"/>
          <w:b/>
          <w:i/>
          <w:snapToGrid w:val="0"/>
          <w:u w:val="single"/>
        </w:rPr>
        <w:t>44</w:t>
      </w:r>
      <w:r w:rsidRPr="006070EA">
        <w:rPr>
          <w:rFonts w:asciiTheme="majorHAnsi" w:hAnsiTheme="majorHAnsi" w:cstheme="majorHAnsi"/>
          <w:b/>
          <w:i/>
          <w:snapToGrid w:val="0"/>
          <w:u w:val="single"/>
        </w:rPr>
        <w:t xml:space="preserve">) </w:t>
      </w:r>
      <w:r w:rsidRPr="006070EA">
        <w:rPr>
          <w:rFonts w:asciiTheme="majorHAnsi" w:hAnsiTheme="majorHAnsi" w:cstheme="majorHAnsi"/>
          <w:i/>
          <w:snapToGrid w:val="0"/>
          <w:u w:val="single"/>
        </w:rPr>
        <w:t>výrokové části</w:t>
      </w:r>
    </w:p>
    <w:p w14:paraId="4708B42A" w14:textId="5285E7D9" w:rsidR="00C25162" w:rsidRPr="006070EA" w:rsidRDefault="00CE40D1" w:rsidP="00C25162">
      <w:pPr>
        <w:pStyle w:val="Atext"/>
        <w:spacing w:before="60" w:after="60"/>
        <w:rPr>
          <w:rFonts w:asciiTheme="majorHAnsi" w:hAnsiTheme="majorHAnsi" w:cstheme="majorHAnsi"/>
          <w:szCs w:val="18"/>
        </w:rPr>
      </w:pPr>
      <w:r w:rsidRPr="006070EA">
        <w:rPr>
          <w:rFonts w:asciiTheme="majorHAnsi" w:hAnsiTheme="majorHAnsi" w:cstheme="majorHAnsi"/>
          <w:szCs w:val="18"/>
        </w:rPr>
        <w:t>Stávající systém nakládání s odpady je vyhovující, předpokládá se jeho zachování a dílčí rozvoj – realizace sběrného dvora v Hroněticích, viz níže.</w:t>
      </w:r>
      <w:r w:rsidR="00C25162" w:rsidRPr="006070EA">
        <w:rPr>
          <w:rFonts w:asciiTheme="majorHAnsi" w:hAnsiTheme="majorHAnsi" w:cstheme="majorHAnsi"/>
          <w:szCs w:val="18"/>
        </w:rPr>
        <w:t xml:space="preserve"> Územní plán stabilizuje stávající sběrný dvůr v Kostomlatech nad Labem v jako plochu technické infrastruktury </w:t>
      </w:r>
      <w:r w:rsidR="0054075C" w:rsidRPr="006070EA">
        <w:rPr>
          <w:rFonts w:asciiTheme="majorHAnsi" w:hAnsiTheme="majorHAnsi" w:cstheme="majorHAnsi"/>
          <w:szCs w:val="18"/>
        </w:rPr>
        <w:t xml:space="preserve">všeobecné </w:t>
      </w:r>
      <w:r w:rsidR="00C25162" w:rsidRPr="006070EA">
        <w:rPr>
          <w:rFonts w:asciiTheme="majorHAnsi" w:hAnsiTheme="majorHAnsi" w:cstheme="majorHAnsi"/>
          <w:szCs w:val="18"/>
        </w:rPr>
        <w:t>(T</w:t>
      </w:r>
      <w:r w:rsidR="0054075C" w:rsidRPr="006070EA">
        <w:rPr>
          <w:rFonts w:asciiTheme="majorHAnsi" w:hAnsiTheme="majorHAnsi" w:cstheme="majorHAnsi"/>
          <w:szCs w:val="18"/>
        </w:rPr>
        <w:t>U</w:t>
      </w:r>
      <w:r w:rsidR="00C25162" w:rsidRPr="006070EA">
        <w:rPr>
          <w:rFonts w:asciiTheme="majorHAnsi" w:hAnsiTheme="majorHAnsi" w:cstheme="majorHAnsi"/>
          <w:szCs w:val="18"/>
        </w:rPr>
        <w:t xml:space="preserve">). </w:t>
      </w:r>
    </w:p>
    <w:p w14:paraId="0EC37D9E" w14:textId="74BEA8D7" w:rsidR="00CE40D1" w:rsidRPr="006070EA" w:rsidRDefault="00C25162" w:rsidP="00CE40D1">
      <w:pPr>
        <w:pStyle w:val="Atext"/>
        <w:spacing w:before="60" w:after="60"/>
        <w:rPr>
          <w:rFonts w:asciiTheme="majorHAnsi" w:hAnsiTheme="majorHAnsi" w:cstheme="majorHAnsi"/>
          <w:szCs w:val="18"/>
        </w:rPr>
      </w:pPr>
      <w:r w:rsidRPr="006070EA">
        <w:rPr>
          <w:rFonts w:asciiTheme="majorHAnsi" w:hAnsiTheme="majorHAnsi" w:cstheme="majorHAnsi"/>
          <w:szCs w:val="18"/>
        </w:rPr>
        <w:t>V obci nebude založena žádná skládka. Důležité je sledovat všechny producenty průmyslových odpadů a to, zda s nimi nakládají v souladu se zákonem o odpadech.</w:t>
      </w:r>
    </w:p>
    <w:p w14:paraId="1DC8EA5B" w14:textId="77777777" w:rsidR="00CE40D1" w:rsidRPr="006070EA" w:rsidRDefault="00CE40D1" w:rsidP="00CE40D1">
      <w:pPr>
        <w:pStyle w:val="Atext"/>
        <w:spacing w:before="60" w:after="60"/>
        <w:rPr>
          <w:rFonts w:asciiTheme="majorHAnsi" w:hAnsiTheme="majorHAnsi" w:cstheme="majorHAnsi"/>
          <w:szCs w:val="18"/>
        </w:rPr>
      </w:pPr>
      <w:r w:rsidRPr="006070EA">
        <w:rPr>
          <w:rFonts w:asciiTheme="majorHAnsi" w:hAnsiTheme="majorHAnsi" w:cstheme="majorHAnsi"/>
          <w:szCs w:val="18"/>
        </w:rPr>
        <w:t xml:space="preserve">Komunální a separovaný odpad je ukládán do pravidelně vyvážených sběrných nádob, které jsou umístěny v rámci veřejných prostranství na území sídel. Specifické složky odpadu jsou sbírány a odváženy pomocí mobilních kontejnerů. Možnost umístění odpadních nádob je zajištěna zejména v rámci ploch veřejných prostranství, v podrobnosti územního plánu je vymezen dostatek stabilizovaných i navrhovaných ploch veřejných prostranství. </w:t>
      </w:r>
    </w:p>
    <w:p w14:paraId="3FD35B3B" w14:textId="311776A3" w:rsidR="00CE40D1" w:rsidRPr="006070EA" w:rsidRDefault="00CE40D1" w:rsidP="00CE40D1">
      <w:pPr>
        <w:pStyle w:val="Atext"/>
        <w:keepNext/>
        <w:ind w:firstLine="0"/>
        <w:jc w:val="right"/>
        <w:rPr>
          <w:rFonts w:asciiTheme="majorHAnsi" w:hAnsiTheme="majorHAnsi" w:cstheme="majorHAnsi"/>
          <w:i/>
          <w:snapToGrid w:val="0"/>
          <w:u w:val="single"/>
        </w:rPr>
      </w:pPr>
      <w:r w:rsidRPr="006070EA">
        <w:rPr>
          <w:rFonts w:asciiTheme="majorHAnsi" w:hAnsiTheme="majorHAnsi" w:cstheme="majorHAnsi"/>
          <w:i/>
          <w:snapToGrid w:val="0"/>
          <w:u w:val="single"/>
        </w:rPr>
        <w:lastRenderedPageBreak/>
        <w:t xml:space="preserve">Odůvodnění odst. </w:t>
      </w:r>
      <w:r w:rsidRPr="006070EA">
        <w:rPr>
          <w:rFonts w:asciiTheme="majorHAnsi" w:hAnsiTheme="majorHAnsi" w:cstheme="majorHAnsi"/>
          <w:b/>
          <w:i/>
          <w:snapToGrid w:val="0"/>
          <w:u w:val="single"/>
        </w:rPr>
        <w:t>(4</w:t>
      </w:r>
      <w:r w:rsidR="0021590A">
        <w:rPr>
          <w:rFonts w:asciiTheme="majorHAnsi" w:hAnsiTheme="majorHAnsi" w:cstheme="majorHAnsi"/>
          <w:b/>
          <w:i/>
          <w:snapToGrid w:val="0"/>
          <w:u w:val="single"/>
        </w:rPr>
        <w:t>5</w:t>
      </w:r>
      <w:r w:rsidRPr="006070EA">
        <w:rPr>
          <w:rFonts w:asciiTheme="majorHAnsi" w:hAnsiTheme="majorHAnsi" w:cstheme="majorHAnsi"/>
          <w:b/>
          <w:i/>
          <w:snapToGrid w:val="0"/>
          <w:u w:val="single"/>
        </w:rPr>
        <w:t xml:space="preserve">) </w:t>
      </w:r>
      <w:r w:rsidRPr="006070EA">
        <w:rPr>
          <w:rFonts w:asciiTheme="majorHAnsi" w:hAnsiTheme="majorHAnsi" w:cstheme="majorHAnsi"/>
          <w:i/>
          <w:snapToGrid w:val="0"/>
          <w:u w:val="single"/>
        </w:rPr>
        <w:t>výrokové části</w:t>
      </w:r>
    </w:p>
    <w:p w14:paraId="281D3DFB" w14:textId="30B995ED" w:rsidR="00CE40D1" w:rsidRPr="006070EA" w:rsidRDefault="00CE40D1" w:rsidP="00106C28">
      <w:pPr>
        <w:pStyle w:val="Atext"/>
        <w:keepLines/>
        <w:spacing w:before="60" w:after="60"/>
        <w:rPr>
          <w:rFonts w:asciiTheme="majorHAnsi" w:hAnsiTheme="majorHAnsi" w:cstheme="majorHAnsi"/>
          <w:color w:val="FF0000"/>
          <w:szCs w:val="18"/>
        </w:rPr>
      </w:pPr>
      <w:r w:rsidRPr="006070EA">
        <w:rPr>
          <w:rFonts w:asciiTheme="majorHAnsi" w:hAnsiTheme="majorHAnsi" w:cstheme="majorHAnsi"/>
          <w:szCs w:val="18"/>
        </w:rPr>
        <w:t>ÚP Kostomlaty nad Labem vymezuje na základě podkladu, poskytnutého ze strany obce v průběhu zpracování návrhu pro společné jednání (projektová dokumentace) plochu Z</w:t>
      </w:r>
      <w:r w:rsidR="00CF391E" w:rsidRPr="006070EA">
        <w:rPr>
          <w:rFonts w:asciiTheme="majorHAnsi" w:hAnsiTheme="majorHAnsi" w:cstheme="majorHAnsi"/>
          <w:szCs w:val="18"/>
        </w:rPr>
        <w:t>.</w:t>
      </w:r>
      <w:r w:rsidRPr="006070EA">
        <w:rPr>
          <w:rFonts w:asciiTheme="majorHAnsi" w:hAnsiTheme="majorHAnsi" w:cstheme="majorHAnsi"/>
          <w:szCs w:val="18"/>
        </w:rPr>
        <w:t>23 (T</w:t>
      </w:r>
      <w:r w:rsidR="00CF391E" w:rsidRPr="006070EA">
        <w:rPr>
          <w:rFonts w:asciiTheme="majorHAnsi" w:hAnsiTheme="majorHAnsi" w:cstheme="majorHAnsi"/>
          <w:szCs w:val="18"/>
        </w:rPr>
        <w:t>U</w:t>
      </w:r>
      <w:r w:rsidRPr="006070EA">
        <w:rPr>
          <w:rFonts w:asciiTheme="majorHAnsi" w:hAnsiTheme="majorHAnsi" w:cstheme="majorHAnsi"/>
          <w:szCs w:val="18"/>
        </w:rPr>
        <w:t>) pro realizaci sběrného dvora v Hroněticích. Podrobné odůvodnění uvedené zastavitelné plochy je součástí komplexního zdůvodnění přijatého řešení a podrobně je uvedeno v kapitole 11.3.3.</w:t>
      </w:r>
    </w:p>
    <w:p w14:paraId="6DDB54D7" w14:textId="77777777" w:rsidR="00AB1F4C" w:rsidRPr="006070EA" w:rsidRDefault="00AB1F4C" w:rsidP="00795EBA">
      <w:pPr>
        <w:pStyle w:val="Mra2-reakceern"/>
        <w:keepNext/>
        <w:pBdr>
          <w:left w:val="none" w:sz="0" w:space="0" w:color="auto"/>
        </w:pBdr>
        <w:shd w:val="clear" w:color="auto" w:fill="DEEAF6" w:themeFill="accent1" w:themeFillTint="33"/>
        <w:spacing w:before="240" w:after="120"/>
        <w:ind w:left="705" w:hanging="705"/>
        <w:rPr>
          <w:rFonts w:asciiTheme="majorHAnsi" w:hAnsiTheme="majorHAnsi" w:cstheme="majorHAnsi"/>
          <w:b/>
          <w:i/>
          <w:color w:val="auto"/>
          <w:sz w:val="22"/>
        </w:rPr>
      </w:pPr>
      <w:r w:rsidRPr="006070EA">
        <w:rPr>
          <w:rFonts w:asciiTheme="majorHAnsi" w:hAnsiTheme="majorHAnsi" w:cstheme="majorHAnsi"/>
          <w:b/>
          <w:i/>
          <w:color w:val="auto"/>
          <w:sz w:val="22"/>
        </w:rPr>
        <w:t>AD 5</w:t>
      </w:r>
      <w:r w:rsidRPr="006070EA">
        <w:rPr>
          <w:rFonts w:asciiTheme="majorHAnsi" w:hAnsiTheme="majorHAnsi" w:cstheme="majorHAnsi"/>
          <w:b/>
          <w:i/>
          <w:color w:val="auto"/>
          <w:sz w:val="22"/>
        </w:rPr>
        <w:tab/>
        <w:t xml:space="preserve">Koncepce uspořádání krajiny, včetně vymezení ploch </w:t>
      </w:r>
      <w:r w:rsidR="003367DF" w:rsidRPr="006070EA">
        <w:rPr>
          <w:rFonts w:asciiTheme="majorHAnsi" w:hAnsiTheme="majorHAnsi" w:cstheme="majorHAnsi"/>
          <w:b/>
          <w:i/>
          <w:color w:val="auto"/>
          <w:sz w:val="22"/>
        </w:rPr>
        <w:t xml:space="preserve">s rozdílným způsobem využití, ploch změn v krajině </w:t>
      </w:r>
      <w:r w:rsidRPr="006070EA">
        <w:rPr>
          <w:rFonts w:asciiTheme="majorHAnsi" w:hAnsiTheme="majorHAnsi" w:cstheme="majorHAnsi"/>
          <w:b/>
          <w:i/>
          <w:color w:val="auto"/>
          <w:sz w:val="22"/>
        </w:rPr>
        <w:t>a stanovení podmínek pro jejich využití, územní systém ekologické stability, prostupnost krajiny, protierozní opatření, ochrana před povodněmi, rekreace, dobývání ložisek nerostných surovin a</w:t>
      </w:r>
      <w:r w:rsidR="00795EBA" w:rsidRPr="006070EA">
        <w:rPr>
          <w:rFonts w:asciiTheme="majorHAnsi" w:hAnsiTheme="majorHAnsi" w:cstheme="majorHAnsi"/>
          <w:b/>
          <w:i/>
          <w:color w:val="auto"/>
          <w:sz w:val="22"/>
        </w:rPr>
        <w:t> </w:t>
      </w:r>
      <w:r w:rsidRPr="006070EA">
        <w:rPr>
          <w:rFonts w:asciiTheme="majorHAnsi" w:hAnsiTheme="majorHAnsi" w:cstheme="majorHAnsi"/>
          <w:b/>
          <w:i/>
          <w:color w:val="auto"/>
          <w:sz w:val="22"/>
        </w:rPr>
        <w:t>podobně</w:t>
      </w:r>
    </w:p>
    <w:p w14:paraId="1252AB14" w14:textId="77777777" w:rsidR="00AB1F4C" w:rsidRPr="006070EA" w:rsidRDefault="00AB1F4C" w:rsidP="003A4B1E">
      <w:pPr>
        <w:pStyle w:val="Odstavecseseznamem"/>
        <w:keepNext/>
        <w:numPr>
          <w:ilvl w:val="1"/>
          <w:numId w:val="30"/>
        </w:numPr>
        <w:spacing w:before="160" w:after="120" w:line="240" w:lineRule="auto"/>
        <w:ind w:left="709" w:hanging="709"/>
        <w:contextualSpacing w:val="0"/>
        <w:outlineLvl w:val="1"/>
        <w:rPr>
          <w:rFonts w:asciiTheme="majorHAnsi" w:hAnsiTheme="majorHAnsi" w:cstheme="majorHAnsi"/>
          <w:b/>
          <w:sz w:val="24"/>
          <w:szCs w:val="20"/>
        </w:rPr>
      </w:pPr>
      <w:bookmarkStart w:id="357" w:name="_Toc424119856"/>
      <w:bookmarkStart w:id="358" w:name="_Toc204678202"/>
      <w:r w:rsidRPr="006070EA">
        <w:rPr>
          <w:rFonts w:asciiTheme="majorHAnsi" w:hAnsiTheme="majorHAnsi" w:cstheme="majorHAnsi"/>
          <w:b/>
          <w:sz w:val="24"/>
          <w:szCs w:val="20"/>
        </w:rPr>
        <w:t>Odůvodnění koncepce uspořádání krajiny</w:t>
      </w:r>
      <w:bookmarkEnd w:id="357"/>
      <w:bookmarkEnd w:id="358"/>
    </w:p>
    <w:p w14:paraId="0879D232" w14:textId="77777777" w:rsidR="00AB1F4C" w:rsidRPr="006070EA" w:rsidRDefault="00AB1F4C" w:rsidP="003A4B1E">
      <w:pPr>
        <w:pStyle w:val="Odstavecseseznamem"/>
        <w:keepNext/>
        <w:numPr>
          <w:ilvl w:val="2"/>
          <w:numId w:val="30"/>
        </w:numPr>
        <w:spacing w:before="160" w:after="120" w:line="240" w:lineRule="auto"/>
        <w:ind w:left="709" w:hanging="709"/>
        <w:contextualSpacing w:val="0"/>
        <w:outlineLvl w:val="2"/>
        <w:rPr>
          <w:rFonts w:asciiTheme="majorHAnsi" w:hAnsiTheme="majorHAnsi" w:cstheme="majorHAnsi"/>
          <w:b/>
        </w:rPr>
      </w:pPr>
      <w:bookmarkStart w:id="359" w:name="_Toc415756008"/>
      <w:bookmarkStart w:id="360" w:name="_Toc415756374"/>
      <w:bookmarkStart w:id="361" w:name="_Toc415756733"/>
      <w:bookmarkStart w:id="362" w:name="_Toc415756983"/>
      <w:bookmarkStart w:id="363" w:name="_Toc415757233"/>
      <w:bookmarkStart w:id="364" w:name="_Toc415757482"/>
      <w:bookmarkStart w:id="365" w:name="_Toc415757640"/>
      <w:bookmarkStart w:id="366" w:name="_Toc424050160"/>
      <w:bookmarkStart w:id="367" w:name="_Toc424050334"/>
      <w:bookmarkStart w:id="368" w:name="_Toc424050492"/>
      <w:bookmarkStart w:id="369" w:name="_Toc424112354"/>
      <w:bookmarkStart w:id="370" w:name="_Toc424119378"/>
      <w:bookmarkStart w:id="371" w:name="_Toc424119857"/>
      <w:bookmarkStart w:id="372" w:name="_Toc424120113"/>
      <w:bookmarkStart w:id="373" w:name="_Toc424120551"/>
      <w:bookmarkStart w:id="374" w:name="_Toc424126257"/>
      <w:bookmarkStart w:id="375" w:name="_Toc424138838"/>
      <w:bookmarkStart w:id="376" w:name="_Toc445291970"/>
      <w:bookmarkStart w:id="377" w:name="_Toc445910483"/>
      <w:bookmarkStart w:id="378" w:name="_Toc448831967"/>
      <w:bookmarkStart w:id="379" w:name="_Toc448832134"/>
      <w:bookmarkStart w:id="380" w:name="_Toc450037794"/>
      <w:bookmarkStart w:id="381" w:name="_Toc450223088"/>
      <w:bookmarkStart w:id="382" w:name="_Toc472325719"/>
      <w:bookmarkStart w:id="383" w:name="_Toc485214935"/>
      <w:bookmarkStart w:id="384" w:name="_Toc485378088"/>
      <w:bookmarkStart w:id="385" w:name="_Toc485378210"/>
      <w:bookmarkStart w:id="386" w:name="_Toc424119858"/>
      <w:bookmarkStart w:id="387" w:name="_Toc204678203"/>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r w:rsidRPr="006070EA">
        <w:rPr>
          <w:rFonts w:asciiTheme="majorHAnsi" w:hAnsiTheme="majorHAnsi" w:cstheme="majorHAnsi"/>
          <w:b/>
        </w:rPr>
        <w:t xml:space="preserve">Východiska pro návrh řešení – </w:t>
      </w:r>
      <w:bookmarkEnd w:id="386"/>
      <w:r w:rsidR="00A93F46" w:rsidRPr="006070EA">
        <w:rPr>
          <w:rFonts w:asciiTheme="majorHAnsi" w:hAnsiTheme="majorHAnsi" w:cstheme="majorHAnsi"/>
          <w:b/>
        </w:rPr>
        <w:t>přírodní podmínky v území</w:t>
      </w:r>
      <w:bookmarkEnd w:id="387"/>
    </w:p>
    <w:p w14:paraId="448176EB" w14:textId="77777777" w:rsidR="00A93F46" w:rsidRPr="006070EA" w:rsidRDefault="00A93F46" w:rsidP="009E07E1">
      <w:pPr>
        <w:pStyle w:val="Atext"/>
        <w:keepNext/>
        <w:ind w:firstLine="0"/>
        <w:jc w:val="right"/>
        <w:rPr>
          <w:rFonts w:asciiTheme="majorHAnsi" w:hAnsiTheme="majorHAnsi" w:cstheme="majorHAnsi"/>
          <w:i/>
          <w:snapToGrid w:val="0"/>
          <w:u w:val="single"/>
        </w:rPr>
      </w:pPr>
      <w:r w:rsidRPr="006070EA">
        <w:rPr>
          <w:rFonts w:asciiTheme="majorHAnsi" w:hAnsiTheme="majorHAnsi" w:cstheme="majorHAnsi"/>
          <w:i/>
          <w:snapToGrid w:val="0"/>
          <w:u w:val="single"/>
        </w:rPr>
        <w:t xml:space="preserve">Obecné odůvodnění </w:t>
      </w:r>
      <w:r w:rsidR="00F860FB" w:rsidRPr="006070EA">
        <w:rPr>
          <w:rFonts w:asciiTheme="majorHAnsi" w:hAnsiTheme="majorHAnsi" w:cstheme="majorHAnsi"/>
          <w:i/>
          <w:snapToGrid w:val="0"/>
          <w:u w:val="single"/>
        </w:rPr>
        <w:t xml:space="preserve">kapitoly </w:t>
      </w:r>
      <w:r w:rsidR="00F860FB" w:rsidRPr="006070EA">
        <w:rPr>
          <w:rFonts w:asciiTheme="majorHAnsi" w:hAnsiTheme="majorHAnsi" w:cstheme="majorHAnsi"/>
          <w:b/>
          <w:i/>
          <w:snapToGrid w:val="0"/>
          <w:u w:val="single"/>
        </w:rPr>
        <w:t>5</w:t>
      </w:r>
      <w:r w:rsidRPr="006070EA">
        <w:rPr>
          <w:rFonts w:asciiTheme="majorHAnsi" w:hAnsiTheme="majorHAnsi" w:cstheme="majorHAnsi"/>
          <w:b/>
          <w:i/>
          <w:snapToGrid w:val="0"/>
          <w:u w:val="single"/>
        </w:rPr>
        <w:t xml:space="preserve"> </w:t>
      </w:r>
      <w:r w:rsidRPr="006070EA">
        <w:rPr>
          <w:rFonts w:asciiTheme="majorHAnsi" w:hAnsiTheme="majorHAnsi" w:cstheme="majorHAnsi"/>
          <w:i/>
          <w:snapToGrid w:val="0"/>
          <w:u w:val="single"/>
        </w:rPr>
        <w:t>výrokové části</w:t>
      </w:r>
    </w:p>
    <w:p w14:paraId="5A830B13" w14:textId="284164C8" w:rsidR="000311FD" w:rsidRPr="006070EA" w:rsidRDefault="000311FD" w:rsidP="000311FD">
      <w:pPr>
        <w:pStyle w:val="Atext"/>
        <w:rPr>
          <w:rFonts w:asciiTheme="majorHAnsi" w:eastAsiaTheme="minorEastAsia" w:hAnsiTheme="majorHAnsi" w:cstheme="majorHAnsi"/>
        </w:rPr>
      </w:pPr>
      <w:r w:rsidRPr="006070EA">
        <w:rPr>
          <w:rFonts w:asciiTheme="majorHAnsi" w:eastAsiaTheme="minorEastAsia" w:hAnsiTheme="majorHAnsi" w:cstheme="majorHAnsi"/>
        </w:rPr>
        <w:t>Koncepce uspořádání krajiny stanovená v územním plánu vychází ze stávajícího stabilizovaného uspořádání území a krajiny, zajišťuje ochranu zásadních přírodních a krajinných hodnot území</w:t>
      </w:r>
      <w:r w:rsidR="00265EF4" w:rsidRPr="006070EA">
        <w:rPr>
          <w:rFonts w:asciiTheme="majorHAnsi" w:eastAsiaTheme="minorEastAsia" w:hAnsiTheme="majorHAnsi" w:cstheme="majorHAnsi"/>
        </w:rPr>
        <w:t xml:space="preserve"> </w:t>
      </w:r>
      <w:r w:rsidRPr="006070EA">
        <w:rPr>
          <w:rFonts w:asciiTheme="majorHAnsi" w:eastAsiaTheme="minorEastAsia" w:hAnsiTheme="majorHAnsi" w:cstheme="majorHAnsi"/>
        </w:rPr>
        <w:t xml:space="preserve">a hospodářské (zemědělské a lesnické) využívání krajiny, a na podkladu současného stavu území zajišťuje podmínky pro zvýšení ekologické stability formou ÚSES, zvýšení retenční schopnosti krajiny a rozvoj krajinných prvků. </w:t>
      </w:r>
    </w:p>
    <w:p w14:paraId="704CCB37" w14:textId="77777777" w:rsidR="000311FD" w:rsidRPr="006070EA" w:rsidRDefault="000311FD" w:rsidP="000311FD">
      <w:pPr>
        <w:pStyle w:val="Atext"/>
        <w:rPr>
          <w:rFonts w:asciiTheme="majorHAnsi" w:hAnsiTheme="majorHAnsi" w:cstheme="majorHAnsi"/>
        </w:rPr>
      </w:pPr>
      <w:r w:rsidRPr="006070EA">
        <w:rPr>
          <w:rFonts w:asciiTheme="majorHAnsi" w:hAnsiTheme="majorHAnsi" w:cstheme="majorHAnsi"/>
        </w:rPr>
        <w:t>Koncepce uspořádání krajiny je stanovena zejména dle následujících východisek a podkladů:</w:t>
      </w:r>
    </w:p>
    <w:p w14:paraId="4D1CEBB9" w14:textId="77777777" w:rsidR="000311FD" w:rsidRPr="006070EA" w:rsidRDefault="000311FD" w:rsidP="000311FD">
      <w:pPr>
        <w:pStyle w:val="Odstavecseseznamem"/>
        <w:numPr>
          <w:ilvl w:val="0"/>
          <w:numId w:val="4"/>
        </w:numPr>
        <w:spacing w:before="40" w:after="40" w:line="240" w:lineRule="auto"/>
        <w:contextualSpacing w:val="0"/>
        <w:jc w:val="both"/>
        <w:rPr>
          <w:rFonts w:asciiTheme="majorHAnsi" w:hAnsiTheme="majorHAnsi" w:cstheme="majorHAnsi"/>
          <w:sz w:val="18"/>
        </w:rPr>
      </w:pPr>
      <w:r w:rsidRPr="006070EA">
        <w:rPr>
          <w:rFonts w:asciiTheme="majorHAnsi" w:hAnsiTheme="majorHAnsi" w:cstheme="majorHAnsi"/>
          <w:b/>
          <w:sz w:val="18"/>
        </w:rPr>
        <w:t>priority a zásady koncepce rozvoje území města</w:t>
      </w:r>
      <w:r w:rsidRPr="006070EA">
        <w:rPr>
          <w:rFonts w:asciiTheme="majorHAnsi" w:hAnsiTheme="majorHAnsi" w:cstheme="majorHAnsi"/>
          <w:sz w:val="18"/>
        </w:rPr>
        <w:t xml:space="preserve"> definované v kapitole 2.1. textové části výroku ÚP a podrobně popsané a odůvodněné v kapitole 11.2.2. tohoto odůvodnění </w:t>
      </w:r>
    </w:p>
    <w:p w14:paraId="698C0407" w14:textId="6CEC570E" w:rsidR="000311FD" w:rsidRPr="006070EA" w:rsidRDefault="000311FD" w:rsidP="000311FD">
      <w:pPr>
        <w:pStyle w:val="Import1"/>
        <w:numPr>
          <w:ilvl w:val="0"/>
          <w:numId w:val="4"/>
        </w:numPr>
        <w:tabs>
          <w:tab w:val="left" w:pos="0"/>
        </w:tabs>
        <w:spacing w:before="40" w:after="40" w:line="240" w:lineRule="auto"/>
        <w:jc w:val="both"/>
        <w:rPr>
          <w:rFonts w:asciiTheme="majorHAnsi" w:hAnsiTheme="majorHAnsi" w:cstheme="majorHAnsi"/>
          <w:sz w:val="18"/>
        </w:rPr>
      </w:pPr>
      <w:r w:rsidRPr="006070EA">
        <w:rPr>
          <w:rFonts w:asciiTheme="majorHAnsi" w:hAnsiTheme="majorHAnsi" w:cstheme="majorHAnsi"/>
          <w:b/>
          <w:bCs/>
          <w:sz w:val="18"/>
        </w:rPr>
        <w:t>přírodní hodnoty území</w:t>
      </w:r>
      <w:r w:rsidRPr="006070EA">
        <w:rPr>
          <w:rFonts w:asciiTheme="majorHAnsi" w:hAnsiTheme="majorHAnsi" w:cstheme="majorHAnsi"/>
          <w:sz w:val="18"/>
        </w:rPr>
        <w:t xml:space="preserve"> definované v kapitole 2 textové části výroku ÚP </w:t>
      </w:r>
      <w:r w:rsidR="00265EF4" w:rsidRPr="006070EA">
        <w:rPr>
          <w:rFonts w:asciiTheme="majorHAnsi" w:hAnsiTheme="majorHAnsi" w:cstheme="majorHAnsi"/>
          <w:sz w:val="18"/>
        </w:rPr>
        <w:t>Kostomlaty nad Labem</w:t>
      </w:r>
    </w:p>
    <w:p w14:paraId="3B8368FE" w14:textId="1FADFD99" w:rsidR="000311FD" w:rsidRPr="006070EA" w:rsidRDefault="000311FD" w:rsidP="000311FD">
      <w:pPr>
        <w:pStyle w:val="Odstavecseseznamem"/>
        <w:numPr>
          <w:ilvl w:val="0"/>
          <w:numId w:val="4"/>
        </w:numPr>
        <w:spacing w:before="40" w:after="40"/>
        <w:contextualSpacing w:val="0"/>
        <w:rPr>
          <w:rFonts w:asciiTheme="majorHAnsi" w:hAnsiTheme="majorHAnsi" w:cstheme="majorHAnsi"/>
          <w:sz w:val="18"/>
        </w:rPr>
      </w:pPr>
      <w:r w:rsidRPr="006070EA">
        <w:rPr>
          <w:rFonts w:asciiTheme="majorHAnsi" w:hAnsiTheme="majorHAnsi" w:cstheme="majorHAnsi"/>
          <w:b/>
          <w:bCs/>
          <w:sz w:val="18"/>
        </w:rPr>
        <w:t>požadavky na rozvoj města</w:t>
      </w:r>
      <w:r w:rsidRPr="006070EA">
        <w:rPr>
          <w:rFonts w:asciiTheme="majorHAnsi" w:hAnsiTheme="majorHAnsi" w:cstheme="majorHAnsi"/>
          <w:sz w:val="18"/>
        </w:rPr>
        <w:t xml:space="preserve"> obsažené v PÚR ČR, ZÚR SK a ve schváleném Zadání ÚP </w:t>
      </w:r>
      <w:r w:rsidR="00265EF4" w:rsidRPr="006070EA">
        <w:rPr>
          <w:rFonts w:asciiTheme="majorHAnsi" w:hAnsiTheme="majorHAnsi" w:cstheme="majorHAnsi"/>
          <w:sz w:val="18"/>
        </w:rPr>
        <w:t>Kostomlaty nad Labem</w:t>
      </w:r>
    </w:p>
    <w:p w14:paraId="3B5FBA0E" w14:textId="77777777" w:rsidR="000311FD" w:rsidRPr="006070EA" w:rsidRDefault="000311FD" w:rsidP="000311FD">
      <w:pPr>
        <w:pStyle w:val="Odstavecseseznamem"/>
        <w:numPr>
          <w:ilvl w:val="0"/>
          <w:numId w:val="4"/>
        </w:numPr>
        <w:spacing w:before="40" w:after="40" w:line="240" w:lineRule="auto"/>
        <w:contextualSpacing w:val="0"/>
        <w:jc w:val="both"/>
        <w:rPr>
          <w:rFonts w:asciiTheme="majorHAnsi" w:hAnsiTheme="majorHAnsi" w:cstheme="majorHAnsi"/>
          <w:sz w:val="18"/>
        </w:rPr>
      </w:pPr>
      <w:r w:rsidRPr="006070EA">
        <w:rPr>
          <w:rFonts w:asciiTheme="majorHAnsi" w:hAnsiTheme="majorHAnsi" w:cstheme="majorHAnsi"/>
          <w:b/>
          <w:bCs/>
          <w:sz w:val="18"/>
        </w:rPr>
        <w:t>požadavky platných právních předpisů</w:t>
      </w:r>
      <w:r w:rsidRPr="006070EA">
        <w:rPr>
          <w:rFonts w:asciiTheme="majorHAnsi" w:hAnsiTheme="majorHAnsi" w:cstheme="majorHAnsi"/>
          <w:sz w:val="18"/>
        </w:rPr>
        <w:t>, zejména zákona č. 114/1992 Sb., o ochraně přírody a krajiny, v platném znění</w:t>
      </w:r>
    </w:p>
    <w:p w14:paraId="6271867F" w14:textId="77777777" w:rsidR="000311FD" w:rsidRPr="006070EA" w:rsidRDefault="000311FD" w:rsidP="000311FD">
      <w:pPr>
        <w:pStyle w:val="Odstavecseseznamem"/>
        <w:numPr>
          <w:ilvl w:val="0"/>
          <w:numId w:val="4"/>
        </w:numPr>
        <w:spacing w:before="40" w:after="40" w:line="240" w:lineRule="auto"/>
        <w:contextualSpacing w:val="0"/>
        <w:jc w:val="both"/>
        <w:rPr>
          <w:rFonts w:asciiTheme="majorHAnsi" w:hAnsiTheme="majorHAnsi" w:cstheme="majorHAnsi"/>
          <w:b/>
          <w:bCs/>
          <w:sz w:val="18"/>
        </w:rPr>
      </w:pPr>
      <w:r w:rsidRPr="006070EA">
        <w:rPr>
          <w:rFonts w:asciiTheme="majorHAnsi" w:hAnsiTheme="majorHAnsi" w:cstheme="majorHAnsi"/>
          <w:b/>
          <w:bCs/>
          <w:sz w:val="18"/>
        </w:rPr>
        <w:t>požadavky dle Evropské úmluvy o krajině</w:t>
      </w:r>
    </w:p>
    <w:p w14:paraId="49B293A9" w14:textId="550E50D0" w:rsidR="000311FD" w:rsidRPr="006070EA" w:rsidRDefault="000311FD" w:rsidP="000311FD">
      <w:pPr>
        <w:pStyle w:val="Odstavecseseznamem"/>
        <w:numPr>
          <w:ilvl w:val="0"/>
          <w:numId w:val="4"/>
        </w:numPr>
        <w:spacing w:before="40" w:after="40" w:line="240" w:lineRule="auto"/>
        <w:contextualSpacing w:val="0"/>
        <w:jc w:val="both"/>
        <w:rPr>
          <w:rFonts w:asciiTheme="majorHAnsi" w:hAnsiTheme="majorHAnsi" w:cstheme="majorHAnsi"/>
          <w:b/>
          <w:bCs/>
          <w:sz w:val="18"/>
        </w:rPr>
      </w:pPr>
      <w:r w:rsidRPr="006070EA">
        <w:rPr>
          <w:rFonts w:asciiTheme="majorHAnsi" w:hAnsiTheme="majorHAnsi" w:cstheme="majorHAnsi"/>
          <w:b/>
          <w:bCs/>
          <w:sz w:val="18"/>
        </w:rPr>
        <w:t>koncepce rozvoje území města stanovená v platném ÚP</w:t>
      </w:r>
      <w:r w:rsidR="00265EF4" w:rsidRPr="006070EA">
        <w:rPr>
          <w:rFonts w:asciiTheme="majorHAnsi" w:hAnsiTheme="majorHAnsi" w:cstheme="majorHAnsi"/>
          <w:b/>
          <w:bCs/>
          <w:sz w:val="18"/>
        </w:rPr>
        <w:t>O</w:t>
      </w:r>
      <w:r w:rsidRPr="006070EA">
        <w:rPr>
          <w:rFonts w:asciiTheme="majorHAnsi" w:hAnsiTheme="majorHAnsi" w:cstheme="majorHAnsi"/>
          <w:b/>
          <w:bCs/>
          <w:sz w:val="18"/>
        </w:rPr>
        <w:t xml:space="preserve"> </w:t>
      </w:r>
      <w:r w:rsidR="00265EF4" w:rsidRPr="006070EA">
        <w:rPr>
          <w:rFonts w:asciiTheme="majorHAnsi" w:hAnsiTheme="majorHAnsi" w:cstheme="majorHAnsi"/>
          <w:b/>
          <w:bCs/>
          <w:sz w:val="18"/>
        </w:rPr>
        <w:t>Kostomlaty nad Labem</w:t>
      </w:r>
    </w:p>
    <w:p w14:paraId="62D7907C" w14:textId="77777777" w:rsidR="000311FD" w:rsidRPr="006070EA" w:rsidRDefault="000311FD" w:rsidP="000311FD">
      <w:pPr>
        <w:pStyle w:val="Odstavecseseznamem"/>
        <w:numPr>
          <w:ilvl w:val="0"/>
          <w:numId w:val="4"/>
        </w:numPr>
        <w:spacing w:before="40" w:after="40" w:line="240" w:lineRule="auto"/>
        <w:contextualSpacing w:val="0"/>
        <w:jc w:val="both"/>
        <w:rPr>
          <w:rFonts w:asciiTheme="majorHAnsi" w:hAnsiTheme="majorHAnsi" w:cstheme="majorHAnsi"/>
          <w:b/>
          <w:bCs/>
          <w:sz w:val="18"/>
        </w:rPr>
      </w:pPr>
      <w:r w:rsidRPr="006070EA">
        <w:rPr>
          <w:rFonts w:asciiTheme="majorHAnsi" w:hAnsiTheme="majorHAnsi" w:cstheme="majorHAnsi"/>
          <w:b/>
          <w:bCs/>
          <w:sz w:val="18"/>
        </w:rPr>
        <w:t>existující funkční, prostorové a provozní vazby v území, stabilizované prostorové a funkční uspořádání území</w:t>
      </w:r>
    </w:p>
    <w:p w14:paraId="02CED9F0" w14:textId="77777777" w:rsidR="000311FD" w:rsidRPr="006070EA" w:rsidRDefault="000311FD" w:rsidP="000311FD">
      <w:pPr>
        <w:pStyle w:val="Odstavecseseznamem"/>
        <w:numPr>
          <w:ilvl w:val="0"/>
          <w:numId w:val="4"/>
        </w:numPr>
        <w:spacing w:before="40" w:after="40" w:line="240" w:lineRule="auto"/>
        <w:contextualSpacing w:val="0"/>
        <w:jc w:val="both"/>
        <w:rPr>
          <w:rFonts w:asciiTheme="majorHAnsi" w:hAnsiTheme="majorHAnsi" w:cstheme="majorHAnsi"/>
          <w:b/>
          <w:bCs/>
          <w:sz w:val="18"/>
        </w:rPr>
      </w:pPr>
      <w:r w:rsidRPr="006070EA">
        <w:rPr>
          <w:rFonts w:asciiTheme="majorHAnsi" w:hAnsiTheme="majorHAnsi" w:cstheme="majorHAnsi"/>
          <w:b/>
          <w:bCs/>
          <w:sz w:val="18"/>
        </w:rPr>
        <w:t>limity využití území a hodnoty území</w:t>
      </w:r>
    </w:p>
    <w:p w14:paraId="548B8D73" w14:textId="77777777" w:rsidR="000311FD" w:rsidRPr="006070EA" w:rsidRDefault="000311FD" w:rsidP="000311FD">
      <w:pPr>
        <w:pStyle w:val="Odstavecseseznamem"/>
        <w:numPr>
          <w:ilvl w:val="0"/>
          <w:numId w:val="4"/>
        </w:numPr>
        <w:spacing w:before="40" w:after="40" w:line="240" w:lineRule="auto"/>
        <w:ind w:left="1066" w:hanging="357"/>
        <w:contextualSpacing w:val="0"/>
        <w:jc w:val="both"/>
        <w:rPr>
          <w:rFonts w:asciiTheme="majorHAnsi" w:hAnsiTheme="majorHAnsi" w:cstheme="majorHAnsi"/>
          <w:b/>
          <w:bCs/>
          <w:sz w:val="18"/>
        </w:rPr>
      </w:pPr>
      <w:r w:rsidRPr="006070EA">
        <w:rPr>
          <w:rFonts w:asciiTheme="majorHAnsi" w:hAnsiTheme="majorHAnsi" w:cstheme="majorHAnsi"/>
          <w:b/>
          <w:bCs/>
          <w:sz w:val="18"/>
        </w:rPr>
        <w:t>přírodní podmínky, charakter území a volné krajiny</w:t>
      </w:r>
    </w:p>
    <w:p w14:paraId="08BE56A4" w14:textId="77777777" w:rsidR="000311FD" w:rsidRPr="006070EA" w:rsidRDefault="000311FD" w:rsidP="000311FD">
      <w:pPr>
        <w:pStyle w:val="Odstavecseseznamem"/>
        <w:numPr>
          <w:ilvl w:val="0"/>
          <w:numId w:val="4"/>
        </w:numPr>
        <w:spacing w:before="40" w:after="40" w:line="240" w:lineRule="auto"/>
        <w:contextualSpacing w:val="0"/>
        <w:jc w:val="both"/>
        <w:rPr>
          <w:rFonts w:asciiTheme="majorHAnsi" w:hAnsiTheme="majorHAnsi" w:cstheme="majorHAnsi"/>
          <w:sz w:val="18"/>
        </w:rPr>
      </w:pPr>
      <w:r w:rsidRPr="006070EA">
        <w:rPr>
          <w:rFonts w:asciiTheme="majorHAnsi" w:hAnsiTheme="majorHAnsi" w:cstheme="majorHAnsi"/>
          <w:sz w:val="18"/>
        </w:rPr>
        <w:t>terénní průzkum zpracovatele ÚP</w:t>
      </w:r>
    </w:p>
    <w:p w14:paraId="253D5739" w14:textId="77777777" w:rsidR="00BD369D" w:rsidRPr="006070EA" w:rsidRDefault="00BD369D" w:rsidP="00BD369D">
      <w:pPr>
        <w:pStyle w:val="Anadpistun"/>
        <w:rPr>
          <w:rFonts w:asciiTheme="majorHAnsi" w:hAnsiTheme="majorHAnsi" w:cstheme="majorHAnsi"/>
        </w:rPr>
      </w:pPr>
      <w:r w:rsidRPr="006070EA">
        <w:rPr>
          <w:rFonts w:asciiTheme="majorHAnsi" w:hAnsiTheme="majorHAnsi" w:cstheme="majorHAnsi"/>
        </w:rPr>
        <w:t>Přírodní podmínky</w:t>
      </w:r>
    </w:p>
    <w:p w14:paraId="101B9471" w14:textId="77777777" w:rsidR="00265EF4" w:rsidRPr="006070EA" w:rsidRDefault="00265EF4" w:rsidP="00265EF4">
      <w:pPr>
        <w:spacing w:after="60" w:line="240" w:lineRule="auto"/>
        <w:ind w:firstLine="709"/>
        <w:jc w:val="both"/>
        <w:rPr>
          <w:rFonts w:asciiTheme="majorHAnsi" w:eastAsiaTheme="minorEastAsia" w:hAnsiTheme="majorHAnsi" w:cstheme="majorHAnsi"/>
          <w:bCs/>
          <w:iCs/>
          <w:sz w:val="18"/>
        </w:rPr>
      </w:pPr>
      <w:r w:rsidRPr="006070EA">
        <w:rPr>
          <w:rFonts w:asciiTheme="majorHAnsi" w:eastAsiaTheme="minorEastAsia" w:hAnsiTheme="majorHAnsi" w:cstheme="majorHAnsi"/>
          <w:sz w:val="18"/>
        </w:rPr>
        <w:t xml:space="preserve">Uspořádání krajiny je ovlivněno přírodními podmínkami. Ty jsou jedním z výchozích podkladů pro koncepci uspořádání krajiny i pro urbanistické řešení. </w:t>
      </w:r>
      <w:r w:rsidRPr="006070EA">
        <w:rPr>
          <w:rFonts w:asciiTheme="majorHAnsi" w:eastAsiaTheme="minorEastAsia" w:hAnsiTheme="majorHAnsi" w:cstheme="majorHAnsi"/>
          <w:bCs/>
          <w:iCs/>
          <w:sz w:val="18"/>
        </w:rPr>
        <w:t>Jedná se zvláště o podmínky klimatické, geologické a geomorfologické, hydrologické a fytogeografické.</w:t>
      </w:r>
    </w:p>
    <w:p w14:paraId="0A4F3BA3" w14:textId="6E81FA9A" w:rsidR="00BD369D" w:rsidRPr="006070EA" w:rsidRDefault="00BD369D" w:rsidP="00BD369D">
      <w:pPr>
        <w:pStyle w:val="Atext"/>
        <w:rPr>
          <w:rFonts w:asciiTheme="majorHAnsi" w:hAnsiTheme="majorHAnsi" w:cstheme="majorHAnsi"/>
          <w:color w:val="000000"/>
        </w:rPr>
      </w:pPr>
      <w:r w:rsidRPr="006070EA">
        <w:rPr>
          <w:rFonts w:asciiTheme="majorHAnsi" w:hAnsiTheme="majorHAnsi" w:cstheme="majorHAnsi"/>
          <w:color w:val="000000"/>
        </w:rPr>
        <w:t xml:space="preserve">Reliéf </w:t>
      </w:r>
      <w:r w:rsidR="00265EF4" w:rsidRPr="006070EA">
        <w:rPr>
          <w:rFonts w:asciiTheme="majorHAnsi" w:hAnsiTheme="majorHAnsi" w:cstheme="majorHAnsi"/>
          <w:color w:val="000000"/>
        </w:rPr>
        <w:t xml:space="preserve">území </w:t>
      </w:r>
      <w:r w:rsidRPr="006070EA">
        <w:rPr>
          <w:rFonts w:asciiTheme="majorHAnsi" w:hAnsiTheme="majorHAnsi" w:cstheme="majorHAnsi"/>
          <w:color w:val="000000"/>
        </w:rPr>
        <w:t xml:space="preserve">je celkově </w:t>
      </w:r>
      <w:r w:rsidR="00265EF4" w:rsidRPr="006070EA">
        <w:rPr>
          <w:rFonts w:asciiTheme="majorHAnsi" w:hAnsiTheme="majorHAnsi" w:cstheme="majorHAnsi"/>
          <w:color w:val="000000"/>
        </w:rPr>
        <w:t xml:space="preserve">převážně </w:t>
      </w:r>
      <w:r w:rsidRPr="006070EA">
        <w:rPr>
          <w:rFonts w:asciiTheme="majorHAnsi" w:hAnsiTheme="majorHAnsi" w:cstheme="majorHAnsi"/>
          <w:color w:val="000000"/>
        </w:rPr>
        <w:t xml:space="preserve">plochý a má ráz roviny s převýšením do 30 m na vzdálenost 4 km. Pouze v oblasti hřbetů a hůr převýšení dosahuje 60 – 70 m a reliéf tak nabývá rázu ploché pahorkatiny. </w:t>
      </w:r>
      <w:r w:rsidR="00265EF4" w:rsidRPr="006070EA">
        <w:rPr>
          <w:rFonts w:asciiTheme="majorHAnsi" w:hAnsiTheme="majorHAnsi" w:cstheme="majorHAnsi"/>
          <w:color w:val="000000"/>
        </w:rPr>
        <w:t>K</w:t>
      </w:r>
      <w:r w:rsidRPr="006070EA">
        <w:rPr>
          <w:rFonts w:asciiTheme="majorHAnsi" w:hAnsiTheme="majorHAnsi" w:cstheme="majorHAnsi"/>
          <w:color w:val="000000"/>
        </w:rPr>
        <w:t>rajin</w:t>
      </w:r>
      <w:r w:rsidR="00265EF4" w:rsidRPr="006070EA">
        <w:rPr>
          <w:rFonts w:asciiTheme="majorHAnsi" w:hAnsiTheme="majorHAnsi" w:cstheme="majorHAnsi"/>
          <w:color w:val="000000"/>
        </w:rPr>
        <w:t>a</w:t>
      </w:r>
      <w:r w:rsidRPr="006070EA">
        <w:rPr>
          <w:rFonts w:asciiTheme="majorHAnsi" w:hAnsiTheme="majorHAnsi" w:cstheme="majorHAnsi"/>
          <w:color w:val="000000"/>
        </w:rPr>
        <w:t xml:space="preserve"> je uspořádán ve třech „patrech“: Nejnižší polohu tvoří niva řek s velmi horizontálně členitými okraji, nad ně se zvedají 5 – 15 m vysokým a poměrně příkrým svahem plošiny rozsáhlých teras a nad ně jako ostrovní hory vystupují uvedené hřbety, hůry a vrchy. V nivě řek se vyskytují pomalu zanikající odstavená ramena řek, zpravidla ve formě zákrutů s poloměrem i 0,4 km, dále se v oblasti vyskytují četné a</w:t>
      </w:r>
      <w:r w:rsidR="00433C39" w:rsidRPr="006070EA">
        <w:rPr>
          <w:rFonts w:asciiTheme="majorHAnsi" w:hAnsiTheme="majorHAnsi" w:cstheme="majorHAnsi"/>
          <w:color w:val="000000"/>
        </w:rPr>
        <w:t> </w:t>
      </w:r>
      <w:r w:rsidRPr="006070EA">
        <w:rPr>
          <w:rFonts w:asciiTheme="majorHAnsi" w:hAnsiTheme="majorHAnsi" w:cstheme="majorHAnsi"/>
          <w:color w:val="000000"/>
        </w:rPr>
        <w:t>rozsáhlé zatopené pískovny, a to jak v nivě, tak hlavně v terasách. K drobným leč charakteristickým tvarům náležejí sesuvy na svazích kopců a pískové duny na povrchu teras. Klima oblasti je teplé a poměrně suché. Pro oblast je typický vyšší výskyt mlh na jaře a na podzim. Zvláště v nivách řek a depresích jsou noci a v zimě typické přízemní teplotní inverse, doprovázené vyšší vlhkostí vzduchu, hojnou rosou, jinovatkou a přízemními mlhami. Ovšem svahy jižního kvadrantu mají velmi teplé topoklima (spojené s tvorbou teplých svahových zón), které umožňuje i úspěšné pěstování vinné révy a výskyt bohatých stepních lad.</w:t>
      </w:r>
    </w:p>
    <w:p w14:paraId="1CAF8115" w14:textId="660F10EC" w:rsidR="00BD369D" w:rsidRPr="006070EA" w:rsidRDefault="00BD369D" w:rsidP="00BD369D">
      <w:pPr>
        <w:pStyle w:val="Atext"/>
        <w:rPr>
          <w:rFonts w:asciiTheme="majorHAnsi" w:hAnsiTheme="majorHAnsi" w:cstheme="majorHAnsi"/>
          <w:color w:val="000000"/>
        </w:rPr>
      </w:pPr>
      <w:r w:rsidRPr="006070EA">
        <w:rPr>
          <w:rFonts w:asciiTheme="majorHAnsi" w:hAnsiTheme="majorHAnsi" w:cstheme="majorHAnsi"/>
          <w:color w:val="000000"/>
        </w:rPr>
        <w:t>Vodní prvky jsou v oblasti hojně zastoupeny, proti celostátnímu průměru mají více než dvojnásobný podíl (cca 4 % plochy). Tvoří podstatný</w:t>
      </w:r>
      <w:r w:rsidR="00265EF4" w:rsidRPr="006070EA">
        <w:rPr>
          <w:rFonts w:asciiTheme="majorHAnsi" w:hAnsiTheme="majorHAnsi" w:cstheme="majorHAnsi"/>
          <w:color w:val="000000"/>
        </w:rPr>
        <w:t xml:space="preserve"> a určující </w:t>
      </w:r>
      <w:r w:rsidRPr="006070EA">
        <w:rPr>
          <w:rFonts w:asciiTheme="majorHAnsi" w:hAnsiTheme="majorHAnsi" w:cstheme="majorHAnsi"/>
          <w:color w:val="000000"/>
        </w:rPr>
        <w:t xml:space="preserve">rys krajiny. Řeky nanesly rozsáhlé terasy, vytvořily </w:t>
      </w:r>
      <w:r w:rsidR="00265EF4" w:rsidRPr="006070EA">
        <w:rPr>
          <w:rFonts w:asciiTheme="majorHAnsi" w:hAnsiTheme="majorHAnsi" w:cstheme="majorHAnsi"/>
          <w:color w:val="000000"/>
        </w:rPr>
        <w:t>proměnlivé</w:t>
      </w:r>
      <w:r w:rsidRPr="006070EA">
        <w:rPr>
          <w:rFonts w:asciiTheme="majorHAnsi" w:hAnsiTheme="majorHAnsi" w:cstheme="majorHAnsi"/>
          <w:color w:val="000000"/>
        </w:rPr>
        <w:t xml:space="preserve"> nivy a nyní zásobují celou krajinu vodou. K vodním prvkům </w:t>
      </w:r>
      <w:r w:rsidR="00265EF4" w:rsidRPr="006070EA">
        <w:rPr>
          <w:rFonts w:asciiTheme="majorHAnsi" w:hAnsiTheme="majorHAnsi" w:cstheme="majorHAnsi"/>
          <w:color w:val="000000"/>
        </w:rPr>
        <w:t>náleží především řeka Labe</w:t>
      </w:r>
      <w:r w:rsidRPr="006070EA">
        <w:rPr>
          <w:rFonts w:asciiTheme="majorHAnsi" w:hAnsiTheme="majorHAnsi" w:cstheme="majorHAnsi"/>
          <w:color w:val="000000"/>
        </w:rPr>
        <w:t xml:space="preserve">, plavební kanály s komorami, náhony, zatopená odstavená ramena, odvodňovací příkopy, zatopené pískovny, tůně a kaliště. Nepominutelné jsou relativně četné minerální prameny ve východní polovině oblasti. Klasické rybníky zde naopak téměř chybějí, přehrady též, ovšem vyskytují se nadržené hladiny nad jezy. Všechny řeky v oblasti byly regulovány, jejich koryta technicky upravena. Vzhledem k čistotě vody a nevlídnému charakteru většiny břehů řeky neslouží až na výjimky pro rekreaci u vody, hojně jsou využívány jen rybáři. Svéráz oblasti podtrhují minerální prameny, ojedinělé v širokém okolí. </w:t>
      </w:r>
    </w:p>
    <w:p w14:paraId="1DB10908" w14:textId="77777777" w:rsidR="00AB1F4C" w:rsidRPr="006070EA" w:rsidRDefault="00AB1F4C" w:rsidP="00795EBA">
      <w:pPr>
        <w:keepNext/>
        <w:spacing w:before="120" w:after="120" w:line="240" w:lineRule="auto"/>
        <w:rPr>
          <w:rFonts w:asciiTheme="majorHAnsi" w:hAnsiTheme="majorHAnsi" w:cstheme="majorHAnsi"/>
          <w:b/>
          <w:sz w:val="18"/>
        </w:rPr>
      </w:pPr>
      <w:r w:rsidRPr="006070EA">
        <w:rPr>
          <w:rFonts w:asciiTheme="majorHAnsi" w:hAnsiTheme="majorHAnsi" w:cstheme="majorHAnsi"/>
          <w:b/>
          <w:sz w:val="18"/>
        </w:rPr>
        <w:lastRenderedPageBreak/>
        <w:t>Klimatické podmínky</w:t>
      </w:r>
    </w:p>
    <w:p w14:paraId="0A341CA4" w14:textId="77777777" w:rsidR="00B646BB" w:rsidRPr="006070EA" w:rsidRDefault="00B646BB" w:rsidP="00B646BB">
      <w:pPr>
        <w:pStyle w:val="Atext"/>
        <w:rPr>
          <w:rFonts w:asciiTheme="majorHAnsi" w:hAnsiTheme="majorHAnsi" w:cstheme="majorHAnsi"/>
          <w:color w:val="000000"/>
        </w:rPr>
      </w:pPr>
      <w:r w:rsidRPr="006070EA">
        <w:rPr>
          <w:rFonts w:asciiTheme="majorHAnsi" w:hAnsiTheme="majorHAnsi" w:cstheme="majorHAnsi"/>
          <w:color w:val="000000"/>
        </w:rPr>
        <w:t>Dle charakteristiky klimatických oblastí ČSSR (Quitt, Geografický ústav ČSAV Brno, 1971) spadá území obce Kostomlaty nad Labem do klimatické oblasti T2.</w:t>
      </w:r>
    </w:p>
    <w:p w14:paraId="0C3B6C9D" w14:textId="6040190F" w:rsidR="00B646BB" w:rsidRPr="006070EA" w:rsidRDefault="00B646BB" w:rsidP="00B646BB">
      <w:pPr>
        <w:pStyle w:val="Atextkurzva"/>
        <w:keepNext/>
        <w:rPr>
          <w:rFonts w:asciiTheme="majorHAnsi" w:hAnsiTheme="majorHAnsi" w:cstheme="majorHAnsi"/>
          <w:color w:val="000000"/>
        </w:rPr>
      </w:pPr>
      <w:r w:rsidRPr="006070EA">
        <w:rPr>
          <w:rFonts w:asciiTheme="majorHAnsi" w:hAnsiTheme="majorHAnsi" w:cstheme="majorHAnsi"/>
          <w:color w:val="000000"/>
        </w:rPr>
        <w:t>Tab.</w:t>
      </w:r>
      <w:r w:rsidR="00265EF4" w:rsidRPr="006070EA">
        <w:rPr>
          <w:rFonts w:asciiTheme="majorHAnsi" w:hAnsiTheme="majorHAnsi" w:cstheme="majorHAnsi"/>
          <w:color w:val="000000"/>
        </w:rPr>
        <w:t>:</w:t>
      </w:r>
      <w:r w:rsidRPr="006070EA">
        <w:rPr>
          <w:rFonts w:asciiTheme="majorHAnsi" w:hAnsiTheme="majorHAnsi" w:cstheme="majorHAnsi"/>
          <w:color w:val="000000"/>
        </w:rPr>
        <w:t xml:space="preserve"> Přehled klimatických oblastí v řešeném území</w:t>
      </w:r>
    </w:p>
    <w:tbl>
      <w:tblPr>
        <w:tblW w:w="0" w:type="auto"/>
        <w:tblBorders>
          <w:insideH w:val="single" w:sz="4" w:space="0" w:color="auto"/>
          <w:insideV w:val="single" w:sz="4" w:space="0" w:color="auto"/>
        </w:tblBorders>
        <w:tblLook w:val="04A0" w:firstRow="1" w:lastRow="0" w:firstColumn="1" w:lastColumn="0" w:noHBand="0" w:noVBand="1"/>
      </w:tblPr>
      <w:tblGrid>
        <w:gridCol w:w="984"/>
        <w:gridCol w:w="2677"/>
        <w:gridCol w:w="2689"/>
        <w:gridCol w:w="2654"/>
      </w:tblGrid>
      <w:tr w:rsidR="00B646BB" w:rsidRPr="006070EA" w14:paraId="480D4703" w14:textId="77777777" w:rsidTr="00B646BB">
        <w:trPr>
          <w:cantSplit/>
          <w:trHeight w:val="283"/>
          <w:tblHeader/>
        </w:trPr>
        <w:tc>
          <w:tcPr>
            <w:tcW w:w="984" w:type="dxa"/>
            <w:tcBorders>
              <w:top w:val="nil"/>
              <w:left w:val="nil"/>
              <w:bottom w:val="single" w:sz="12" w:space="0" w:color="auto"/>
              <w:right w:val="single" w:sz="12" w:space="0" w:color="auto"/>
            </w:tcBorders>
            <w:shd w:val="clear" w:color="auto" w:fill="auto"/>
            <w:vAlign w:val="center"/>
            <w:hideMark/>
          </w:tcPr>
          <w:p w14:paraId="5EC27CE1" w14:textId="77777777" w:rsidR="00B646BB" w:rsidRPr="006070EA" w:rsidRDefault="00B646BB" w:rsidP="000E35EE">
            <w:pPr>
              <w:pStyle w:val="Bezmezer"/>
              <w:keepNext/>
              <w:rPr>
                <w:rFonts w:asciiTheme="majorHAnsi" w:hAnsiTheme="majorHAnsi" w:cstheme="majorHAnsi"/>
                <w:b/>
                <w:color w:val="000000"/>
                <w:lang w:val="cs-CZ"/>
              </w:rPr>
            </w:pPr>
            <w:r w:rsidRPr="006070EA">
              <w:rPr>
                <w:rFonts w:asciiTheme="majorHAnsi" w:hAnsiTheme="majorHAnsi" w:cstheme="majorHAnsi"/>
                <w:b/>
                <w:color w:val="000000"/>
                <w:lang w:val="cs-CZ"/>
              </w:rPr>
              <w:t>klimatická oblast</w:t>
            </w:r>
          </w:p>
        </w:tc>
        <w:tc>
          <w:tcPr>
            <w:tcW w:w="2677" w:type="dxa"/>
            <w:tcBorders>
              <w:top w:val="nil"/>
              <w:left w:val="single" w:sz="12" w:space="0" w:color="auto"/>
              <w:bottom w:val="single" w:sz="12" w:space="0" w:color="auto"/>
              <w:right w:val="single" w:sz="12" w:space="0" w:color="auto"/>
            </w:tcBorders>
            <w:shd w:val="clear" w:color="auto" w:fill="auto"/>
            <w:vAlign w:val="center"/>
            <w:hideMark/>
          </w:tcPr>
          <w:p w14:paraId="663DA644" w14:textId="77777777" w:rsidR="00B646BB" w:rsidRPr="006070EA" w:rsidRDefault="00B646BB" w:rsidP="000E35EE">
            <w:pPr>
              <w:pStyle w:val="Bezmezer"/>
              <w:keepNext/>
              <w:rPr>
                <w:rFonts w:asciiTheme="majorHAnsi" w:hAnsiTheme="majorHAnsi" w:cstheme="majorHAnsi"/>
                <w:b/>
                <w:color w:val="000000"/>
                <w:lang w:val="cs-CZ"/>
              </w:rPr>
            </w:pPr>
            <w:r w:rsidRPr="006070EA">
              <w:rPr>
                <w:rFonts w:asciiTheme="majorHAnsi" w:hAnsiTheme="majorHAnsi" w:cstheme="majorHAnsi"/>
                <w:b/>
                <w:color w:val="000000"/>
                <w:lang w:val="cs-CZ"/>
              </w:rPr>
              <w:t>léto</w:t>
            </w:r>
          </w:p>
        </w:tc>
        <w:tc>
          <w:tcPr>
            <w:tcW w:w="2689" w:type="dxa"/>
            <w:tcBorders>
              <w:top w:val="nil"/>
              <w:left w:val="single" w:sz="12" w:space="0" w:color="auto"/>
              <w:bottom w:val="single" w:sz="12" w:space="0" w:color="auto"/>
              <w:right w:val="single" w:sz="12" w:space="0" w:color="auto"/>
            </w:tcBorders>
            <w:shd w:val="clear" w:color="auto" w:fill="auto"/>
            <w:vAlign w:val="center"/>
            <w:hideMark/>
          </w:tcPr>
          <w:p w14:paraId="6620796F" w14:textId="77777777" w:rsidR="00B646BB" w:rsidRPr="006070EA" w:rsidRDefault="00B646BB" w:rsidP="000E35EE">
            <w:pPr>
              <w:pStyle w:val="Bezmezer"/>
              <w:keepNext/>
              <w:rPr>
                <w:rFonts w:asciiTheme="majorHAnsi" w:hAnsiTheme="majorHAnsi" w:cstheme="majorHAnsi"/>
                <w:b/>
                <w:color w:val="000000"/>
                <w:lang w:val="cs-CZ"/>
              </w:rPr>
            </w:pPr>
            <w:r w:rsidRPr="006070EA">
              <w:rPr>
                <w:rFonts w:asciiTheme="majorHAnsi" w:hAnsiTheme="majorHAnsi" w:cstheme="majorHAnsi"/>
                <w:b/>
                <w:color w:val="000000"/>
                <w:lang w:val="cs-CZ"/>
              </w:rPr>
              <w:t>zima</w:t>
            </w:r>
          </w:p>
        </w:tc>
        <w:tc>
          <w:tcPr>
            <w:tcW w:w="2654" w:type="dxa"/>
            <w:tcBorders>
              <w:top w:val="nil"/>
              <w:left w:val="single" w:sz="12" w:space="0" w:color="auto"/>
              <w:bottom w:val="single" w:sz="12" w:space="0" w:color="auto"/>
              <w:right w:val="nil"/>
            </w:tcBorders>
            <w:shd w:val="clear" w:color="auto" w:fill="auto"/>
            <w:vAlign w:val="center"/>
            <w:hideMark/>
          </w:tcPr>
          <w:p w14:paraId="06DF8566" w14:textId="77777777" w:rsidR="00B646BB" w:rsidRPr="006070EA" w:rsidRDefault="00B646BB" w:rsidP="000E35EE">
            <w:pPr>
              <w:pStyle w:val="Bezmezer"/>
              <w:keepNext/>
              <w:rPr>
                <w:rFonts w:asciiTheme="majorHAnsi" w:hAnsiTheme="majorHAnsi" w:cstheme="majorHAnsi"/>
                <w:b/>
                <w:color w:val="000000"/>
                <w:lang w:val="cs-CZ"/>
              </w:rPr>
            </w:pPr>
            <w:r w:rsidRPr="006070EA">
              <w:rPr>
                <w:rFonts w:asciiTheme="majorHAnsi" w:hAnsiTheme="majorHAnsi" w:cstheme="majorHAnsi"/>
                <w:b/>
                <w:color w:val="000000"/>
                <w:lang w:val="cs-CZ"/>
              </w:rPr>
              <w:t>přechodná období</w:t>
            </w:r>
          </w:p>
        </w:tc>
      </w:tr>
      <w:tr w:rsidR="00B646BB" w:rsidRPr="006070EA" w14:paraId="764BDF0C" w14:textId="77777777" w:rsidTr="00B646BB">
        <w:trPr>
          <w:trHeight w:val="283"/>
        </w:trPr>
        <w:tc>
          <w:tcPr>
            <w:tcW w:w="984" w:type="dxa"/>
            <w:tcBorders>
              <w:top w:val="single" w:sz="12" w:space="0" w:color="auto"/>
              <w:left w:val="nil"/>
              <w:bottom w:val="nil"/>
              <w:right w:val="single" w:sz="4" w:space="0" w:color="auto"/>
            </w:tcBorders>
            <w:shd w:val="clear" w:color="auto" w:fill="auto"/>
            <w:vAlign w:val="center"/>
            <w:hideMark/>
          </w:tcPr>
          <w:p w14:paraId="406A1754" w14:textId="77777777" w:rsidR="00B646BB" w:rsidRPr="006070EA" w:rsidRDefault="00B646BB" w:rsidP="000E35EE">
            <w:pPr>
              <w:pStyle w:val="Bezmezer"/>
              <w:rPr>
                <w:rFonts w:asciiTheme="majorHAnsi" w:hAnsiTheme="majorHAnsi" w:cstheme="majorHAnsi"/>
                <w:color w:val="000000"/>
                <w:lang w:val="cs-CZ"/>
              </w:rPr>
            </w:pPr>
            <w:r w:rsidRPr="006070EA">
              <w:rPr>
                <w:rFonts w:asciiTheme="majorHAnsi" w:hAnsiTheme="majorHAnsi" w:cstheme="majorHAnsi"/>
                <w:color w:val="000000"/>
                <w:lang w:val="cs-CZ"/>
              </w:rPr>
              <w:t>T2</w:t>
            </w:r>
          </w:p>
        </w:tc>
        <w:tc>
          <w:tcPr>
            <w:tcW w:w="2677" w:type="dxa"/>
            <w:tcBorders>
              <w:top w:val="single" w:sz="12" w:space="0" w:color="auto"/>
              <w:left w:val="single" w:sz="4" w:space="0" w:color="auto"/>
              <w:bottom w:val="nil"/>
              <w:right w:val="single" w:sz="4" w:space="0" w:color="auto"/>
            </w:tcBorders>
            <w:shd w:val="clear" w:color="auto" w:fill="auto"/>
            <w:vAlign w:val="center"/>
            <w:hideMark/>
          </w:tcPr>
          <w:p w14:paraId="410DD82B" w14:textId="77777777" w:rsidR="00B646BB" w:rsidRPr="006070EA" w:rsidRDefault="00B646BB" w:rsidP="000E35EE">
            <w:pPr>
              <w:pStyle w:val="Bezmezer"/>
              <w:rPr>
                <w:rFonts w:asciiTheme="majorHAnsi" w:hAnsiTheme="majorHAnsi" w:cstheme="majorHAnsi"/>
                <w:color w:val="000000"/>
                <w:lang w:val="cs-CZ"/>
              </w:rPr>
            </w:pPr>
            <w:r w:rsidRPr="006070EA">
              <w:rPr>
                <w:rFonts w:asciiTheme="majorHAnsi" w:hAnsiTheme="majorHAnsi" w:cstheme="majorHAnsi"/>
                <w:color w:val="000000"/>
                <w:lang w:val="cs-CZ"/>
              </w:rPr>
              <w:t>dlouhé, teplé, suché</w:t>
            </w:r>
          </w:p>
        </w:tc>
        <w:tc>
          <w:tcPr>
            <w:tcW w:w="2689" w:type="dxa"/>
            <w:tcBorders>
              <w:top w:val="single" w:sz="12" w:space="0" w:color="auto"/>
              <w:left w:val="single" w:sz="4" w:space="0" w:color="auto"/>
              <w:bottom w:val="nil"/>
              <w:right w:val="single" w:sz="4" w:space="0" w:color="auto"/>
            </w:tcBorders>
            <w:shd w:val="clear" w:color="auto" w:fill="auto"/>
            <w:vAlign w:val="center"/>
            <w:hideMark/>
          </w:tcPr>
          <w:p w14:paraId="4B2ABD9E" w14:textId="77777777" w:rsidR="00B646BB" w:rsidRPr="006070EA" w:rsidRDefault="00B646BB" w:rsidP="000E35EE">
            <w:pPr>
              <w:pStyle w:val="Bezmezer"/>
              <w:rPr>
                <w:rFonts w:asciiTheme="majorHAnsi" w:hAnsiTheme="majorHAnsi" w:cstheme="majorHAnsi"/>
                <w:color w:val="000000"/>
                <w:lang w:val="cs-CZ"/>
              </w:rPr>
            </w:pPr>
            <w:r w:rsidRPr="006070EA">
              <w:rPr>
                <w:rFonts w:asciiTheme="majorHAnsi" w:hAnsiTheme="majorHAnsi" w:cstheme="majorHAnsi"/>
                <w:color w:val="000000"/>
                <w:lang w:val="cs-CZ"/>
              </w:rPr>
              <w:t>Krátká, mírně teplá, suchá až velmi suchá</w:t>
            </w:r>
          </w:p>
        </w:tc>
        <w:tc>
          <w:tcPr>
            <w:tcW w:w="2654" w:type="dxa"/>
            <w:tcBorders>
              <w:top w:val="single" w:sz="12" w:space="0" w:color="auto"/>
              <w:left w:val="single" w:sz="4" w:space="0" w:color="auto"/>
              <w:bottom w:val="nil"/>
              <w:right w:val="nil"/>
            </w:tcBorders>
            <w:shd w:val="clear" w:color="auto" w:fill="auto"/>
            <w:vAlign w:val="center"/>
            <w:hideMark/>
          </w:tcPr>
          <w:p w14:paraId="41B921A0" w14:textId="77777777" w:rsidR="00B646BB" w:rsidRPr="006070EA" w:rsidRDefault="00B646BB" w:rsidP="000E35EE">
            <w:pPr>
              <w:pStyle w:val="Bezmezer"/>
              <w:rPr>
                <w:rFonts w:asciiTheme="majorHAnsi" w:hAnsiTheme="majorHAnsi" w:cstheme="majorHAnsi"/>
                <w:color w:val="000000"/>
                <w:lang w:val="cs-CZ"/>
              </w:rPr>
            </w:pPr>
            <w:r w:rsidRPr="006070EA">
              <w:rPr>
                <w:rFonts w:asciiTheme="majorHAnsi" w:hAnsiTheme="majorHAnsi" w:cstheme="majorHAnsi"/>
                <w:color w:val="000000"/>
                <w:lang w:val="cs-CZ"/>
              </w:rPr>
              <w:t>krátká s teplým až mírně teplým jarem a podzimem</w:t>
            </w:r>
          </w:p>
        </w:tc>
      </w:tr>
    </w:tbl>
    <w:p w14:paraId="57B8CD17" w14:textId="160E44D9" w:rsidR="00B646BB" w:rsidRPr="006070EA" w:rsidRDefault="00B646BB" w:rsidP="00B646BB">
      <w:pPr>
        <w:pStyle w:val="Atextkurzva"/>
        <w:keepNext/>
        <w:rPr>
          <w:rFonts w:asciiTheme="majorHAnsi" w:hAnsiTheme="majorHAnsi" w:cstheme="majorHAnsi"/>
          <w:color w:val="000000"/>
        </w:rPr>
      </w:pPr>
      <w:r w:rsidRPr="006070EA">
        <w:rPr>
          <w:rFonts w:asciiTheme="majorHAnsi" w:hAnsiTheme="majorHAnsi" w:cstheme="majorHAnsi"/>
          <w:color w:val="000000"/>
        </w:rPr>
        <w:t>Tab.</w:t>
      </w:r>
      <w:r w:rsidR="00265EF4" w:rsidRPr="006070EA">
        <w:rPr>
          <w:rFonts w:asciiTheme="majorHAnsi" w:hAnsiTheme="majorHAnsi" w:cstheme="majorHAnsi"/>
          <w:color w:val="000000"/>
        </w:rPr>
        <w:t>:</w:t>
      </w:r>
      <w:r w:rsidRPr="006070EA">
        <w:rPr>
          <w:rFonts w:asciiTheme="majorHAnsi" w:hAnsiTheme="majorHAnsi" w:cstheme="majorHAnsi"/>
          <w:color w:val="000000"/>
        </w:rPr>
        <w:t xml:space="preserve"> Přehled klimatických charakteristik pro řešené území</w:t>
      </w:r>
    </w:p>
    <w:tbl>
      <w:tblPr>
        <w:tblW w:w="0" w:type="auto"/>
        <w:jc w:val="center"/>
        <w:tblBorders>
          <w:insideH w:val="single" w:sz="4" w:space="0" w:color="auto"/>
          <w:insideV w:val="single" w:sz="4" w:space="0" w:color="auto"/>
        </w:tblBorders>
        <w:tblLook w:val="04A0" w:firstRow="1" w:lastRow="0" w:firstColumn="1" w:lastColumn="0" w:noHBand="0" w:noVBand="1"/>
      </w:tblPr>
      <w:tblGrid>
        <w:gridCol w:w="2802"/>
        <w:gridCol w:w="2055"/>
      </w:tblGrid>
      <w:tr w:rsidR="00B646BB" w:rsidRPr="006070EA" w14:paraId="32584681" w14:textId="77777777" w:rsidTr="00B646BB">
        <w:trPr>
          <w:trHeight w:val="283"/>
          <w:jc w:val="center"/>
        </w:trPr>
        <w:tc>
          <w:tcPr>
            <w:tcW w:w="2802" w:type="dxa"/>
            <w:tcBorders>
              <w:top w:val="nil"/>
              <w:left w:val="nil"/>
              <w:bottom w:val="single" w:sz="12" w:space="0" w:color="auto"/>
              <w:right w:val="single" w:sz="12" w:space="0" w:color="auto"/>
            </w:tcBorders>
            <w:shd w:val="clear" w:color="auto" w:fill="auto"/>
            <w:vAlign w:val="center"/>
            <w:hideMark/>
          </w:tcPr>
          <w:p w14:paraId="67A0BD66" w14:textId="77777777" w:rsidR="00B646BB" w:rsidRPr="006070EA" w:rsidRDefault="00B646BB" w:rsidP="000E35EE">
            <w:pPr>
              <w:pStyle w:val="Bezmezer"/>
              <w:keepNext/>
              <w:rPr>
                <w:rFonts w:asciiTheme="majorHAnsi" w:hAnsiTheme="majorHAnsi" w:cstheme="majorHAnsi"/>
                <w:b/>
                <w:color w:val="000000"/>
                <w:lang w:val="cs-CZ"/>
              </w:rPr>
            </w:pPr>
            <w:r w:rsidRPr="006070EA">
              <w:rPr>
                <w:rFonts w:asciiTheme="majorHAnsi" w:hAnsiTheme="majorHAnsi" w:cstheme="majorHAnsi"/>
                <w:b/>
                <w:color w:val="000000"/>
                <w:lang w:val="cs-CZ"/>
              </w:rPr>
              <w:t>klimatická charakteristika</w:t>
            </w:r>
          </w:p>
        </w:tc>
        <w:tc>
          <w:tcPr>
            <w:tcW w:w="2055" w:type="dxa"/>
            <w:tcBorders>
              <w:top w:val="nil"/>
              <w:left w:val="single" w:sz="12" w:space="0" w:color="auto"/>
              <w:bottom w:val="single" w:sz="12" w:space="0" w:color="auto"/>
              <w:right w:val="nil"/>
            </w:tcBorders>
            <w:shd w:val="clear" w:color="auto" w:fill="auto"/>
            <w:vAlign w:val="center"/>
            <w:hideMark/>
          </w:tcPr>
          <w:p w14:paraId="1C8EEE4A" w14:textId="77777777" w:rsidR="00B646BB" w:rsidRPr="006070EA" w:rsidRDefault="00B646BB" w:rsidP="000E35EE">
            <w:pPr>
              <w:pStyle w:val="Bezmezer"/>
              <w:keepNext/>
              <w:rPr>
                <w:rFonts w:asciiTheme="majorHAnsi" w:hAnsiTheme="majorHAnsi" w:cstheme="majorHAnsi"/>
                <w:b/>
                <w:color w:val="000000"/>
                <w:lang w:val="cs-CZ"/>
              </w:rPr>
            </w:pPr>
            <w:r w:rsidRPr="006070EA">
              <w:rPr>
                <w:rFonts w:asciiTheme="majorHAnsi" w:hAnsiTheme="majorHAnsi" w:cstheme="majorHAnsi"/>
                <w:b/>
                <w:color w:val="000000"/>
                <w:lang w:val="cs-CZ"/>
              </w:rPr>
              <w:t>T2</w:t>
            </w:r>
          </w:p>
        </w:tc>
      </w:tr>
      <w:tr w:rsidR="00B646BB" w:rsidRPr="006070EA" w14:paraId="2E740E1A" w14:textId="77777777" w:rsidTr="00B646BB">
        <w:trPr>
          <w:trHeight w:val="283"/>
          <w:jc w:val="center"/>
        </w:trPr>
        <w:tc>
          <w:tcPr>
            <w:tcW w:w="2802" w:type="dxa"/>
            <w:tcBorders>
              <w:top w:val="single" w:sz="12" w:space="0" w:color="auto"/>
              <w:left w:val="nil"/>
              <w:bottom w:val="single" w:sz="4" w:space="0" w:color="auto"/>
              <w:right w:val="single" w:sz="4" w:space="0" w:color="auto"/>
            </w:tcBorders>
            <w:shd w:val="clear" w:color="auto" w:fill="auto"/>
            <w:vAlign w:val="center"/>
            <w:hideMark/>
          </w:tcPr>
          <w:p w14:paraId="7F95907C" w14:textId="77777777" w:rsidR="00B646BB" w:rsidRPr="006070EA" w:rsidRDefault="00B646BB" w:rsidP="000E35EE">
            <w:pPr>
              <w:pStyle w:val="Bezmezer"/>
              <w:rPr>
                <w:rFonts w:asciiTheme="majorHAnsi" w:hAnsiTheme="majorHAnsi" w:cstheme="majorHAnsi"/>
                <w:color w:val="000000"/>
                <w:lang w:val="cs-CZ"/>
              </w:rPr>
            </w:pPr>
            <w:r w:rsidRPr="006070EA">
              <w:rPr>
                <w:rFonts w:asciiTheme="majorHAnsi" w:hAnsiTheme="majorHAnsi" w:cstheme="majorHAnsi"/>
                <w:color w:val="000000"/>
                <w:lang w:val="cs-CZ"/>
              </w:rPr>
              <w:t>počet letních dnů</w:t>
            </w:r>
          </w:p>
        </w:tc>
        <w:tc>
          <w:tcPr>
            <w:tcW w:w="2055" w:type="dxa"/>
            <w:tcBorders>
              <w:top w:val="single" w:sz="12" w:space="0" w:color="auto"/>
              <w:left w:val="single" w:sz="4" w:space="0" w:color="auto"/>
              <w:bottom w:val="single" w:sz="4" w:space="0" w:color="auto"/>
              <w:right w:val="nil"/>
            </w:tcBorders>
            <w:shd w:val="clear" w:color="auto" w:fill="auto"/>
            <w:vAlign w:val="center"/>
          </w:tcPr>
          <w:p w14:paraId="27D4EC25" w14:textId="77777777" w:rsidR="00B646BB" w:rsidRPr="006070EA" w:rsidRDefault="00B646BB" w:rsidP="000E35EE">
            <w:pPr>
              <w:pStyle w:val="Bezmezer"/>
              <w:rPr>
                <w:rFonts w:asciiTheme="majorHAnsi" w:hAnsiTheme="majorHAnsi" w:cstheme="majorHAnsi"/>
                <w:color w:val="000000"/>
                <w:lang w:val="cs-CZ"/>
              </w:rPr>
            </w:pPr>
            <w:r w:rsidRPr="006070EA">
              <w:rPr>
                <w:rFonts w:asciiTheme="majorHAnsi" w:hAnsiTheme="majorHAnsi" w:cstheme="majorHAnsi"/>
                <w:color w:val="000000"/>
                <w:szCs w:val="20"/>
                <w:shd w:val="clear" w:color="auto" w:fill="FFFFFF"/>
                <w:lang w:val="cs-CZ"/>
              </w:rPr>
              <w:t>50-60</w:t>
            </w:r>
          </w:p>
        </w:tc>
      </w:tr>
      <w:tr w:rsidR="00B646BB" w:rsidRPr="006070EA" w14:paraId="7A79EE18" w14:textId="77777777" w:rsidTr="00B646BB">
        <w:trPr>
          <w:trHeight w:val="283"/>
          <w:jc w:val="center"/>
        </w:trPr>
        <w:tc>
          <w:tcPr>
            <w:tcW w:w="2802" w:type="dxa"/>
            <w:tcBorders>
              <w:top w:val="single" w:sz="4" w:space="0" w:color="auto"/>
              <w:left w:val="nil"/>
              <w:bottom w:val="single" w:sz="4" w:space="0" w:color="auto"/>
              <w:right w:val="single" w:sz="4" w:space="0" w:color="auto"/>
            </w:tcBorders>
            <w:shd w:val="clear" w:color="auto" w:fill="auto"/>
            <w:vAlign w:val="center"/>
            <w:hideMark/>
          </w:tcPr>
          <w:p w14:paraId="354DB9F0" w14:textId="77777777" w:rsidR="00B646BB" w:rsidRPr="006070EA" w:rsidRDefault="00B646BB" w:rsidP="000E35EE">
            <w:pPr>
              <w:pStyle w:val="Bezmezer"/>
              <w:rPr>
                <w:rFonts w:asciiTheme="majorHAnsi" w:hAnsiTheme="majorHAnsi" w:cstheme="majorHAnsi"/>
                <w:color w:val="000000"/>
                <w:lang w:val="cs-CZ"/>
              </w:rPr>
            </w:pPr>
            <w:r w:rsidRPr="006070EA">
              <w:rPr>
                <w:rFonts w:asciiTheme="majorHAnsi" w:hAnsiTheme="majorHAnsi" w:cstheme="majorHAnsi"/>
                <w:color w:val="000000"/>
                <w:lang w:val="cs-CZ"/>
              </w:rPr>
              <w:t>počet dnů s teplotou &gt; 10 °C</w:t>
            </w:r>
          </w:p>
        </w:tc>
        <w:tc>
          <w:tcPr>
            <w:tcW w:w="2055" w:type="dxa"/>
            <w:tcBorders>
              <w:top w:val="single" w:sz="4" w:space="0" w:color="auto"/>
              <w:left w:val="single" w:sz="4" w:space="0" w:color="auto"/>
              <w:bottom w:val="single" w:sz="4" w:space="0" w:color="auto"/>
              <w:right w:val="nil"/>
            </w:tcBorders>
            <w:shd w:val="clear" w:color="auto" w:fill="auto"/>
            <w:vAlign w:val="center"/>
          </w:tcPr>
          <w:p w14:paraId="01E2F266" w14:textId="77777777" w:rsidR="00B646BB" w:rsidRPr="006070EA" w:rsidRDefault="00B646BB" w:rsidP="000E35EE">
            <w:pPr>
              <w:pStyle w:val="Bezmezer"/>
              <w:rPr>
                <w:rFonts w:asciiTheme="majorHAnsi" w:hAnsiTheme="majorHAnsi" w:cstheme="majorHAnsi"/>
                <w:color w:val="000000"/>
                <w:lang w:val="cs-CZ"/>
              </w:rPr>
            </w:pPr>
            <w:r w:rsidRPr="006070EA">
              <w:rPr>
                <w:rFonts w:asciiTheme="majorHAnsi" w:hAnsiTheme="majorHAnsi" w:cstheme="majorHAnsi"/>
                <w:color w:val="000000"/>
                <w:lang w:val="cs-CZ"/>
              </w:rPr>
              <w:t>160 - 170</w:t>
            </w:r>
          </w:p>
        </w:tc>
      </w:tr>
      <w:tr w:rsidR="00B646BB" w:rsidRPr="006070EA" w14:paraId="294F1909" w14:textId="77777777" w:rsidTr="00B646BB">
        <w:trPr>
          <w:trHeight w:val="283"/>
          <w:jc w:val="center"/>
        </w:trPr>
        <w:tc>
          <w:tcPr>
            <w:tcW w:w="2802" w:type="dxa"/>
            <w:tcBorders>
              <w:top w:val="single" w:sz="4" w:space="0" w:color="auto"/>
              <w:left w:val="nil"/>
              <w:bottom w:val="single" w:sz="4" w:space="0" w:color="auto"/>
              <w:right w:val="single" w:sz="4" w:space="0" w:color="auto"/>
            </w:tcBorders>
            <w:shd w:val="clear" w:color="auto" w:fill="auto"/>
            <w:vAlign w:val="center"/>
            <w:hideMark/>
          </w:tcPr>
          <w:p w14:paraId="32B01405" w14:textId="77777777" w:rsidR="00B646BB" w:rsidRPr="006070EA" w:rsidRDefault="00B646BB" w:rsidP="000E35EE">
            <w:pPr>
              <w:pStyle w:val="Bezmezer"/>
              <w:rPr>
                <w:rFonts w:asciiTheme="majorHAnsi" w:hAnsiTheme="majorHAnsi" w:cstheme="majorHAnsi"/>
                <w:color w:val="000000"/>
                <w:lang w:val="cs-CZ"/>
              </w:rPr>
            </w:pPr>
            <w:r w:rsidRPr="006070EA">
              <w:rPr>
                <w:rFonts w:asciiTheme="majorHAnsi" w:hAnsiTheme="majorHAnsi" w:cstheme="majorHAnsi"/>
                <w:color w:val="000000"/>
                <w:lang w:val="cs-CZ"/>
              </w:rPr>
              <w:t>počet mrazových dnů</w:t>
            </w:r>
          </w:p>
        </w:tc>
        <w:tc>
          <w:tcPr>
            <w:tcW w:w="2055" w:type="dxa"/>
            <w:tcBorders>
              <w:top w:val="single" w:sz="4" w:space="0" w:color="auto"/>
              <w:left w:val="single" w:sz="4" w:space="0" w:color="auto"/>
              <w:bottom w:val="single" w:sz="4" w:space="0" w:color="auto"/>
              <w:right w:val="nil"/>
            </w:tcBorders>
            <w:shd w:val="clear" w:color="auto" w:fill="auto"/>
            <w:vAlign w:val="center"/>
          </w:tcPr>
          <w:p w14:paraId="27FCD39E" w14:textId="77777777" w:rsidR="00B646BB" w:rsidRPr="006070EA" w:rsidRDefault="00B646BB" w:rsidP="000E35EE">
            <w:pPr>
              <w:pStyle w:val="Bezmezer"/>
              <w:rPr>
                <w:rFonts w:asciiTheme="majorHAnsi" w:hAnsiTheme="majorHAnsi" w:cstheme="majorHAnsi"/>
                <w:color w:val="000000"/>
                <w:lang w:val="cs-CZ"/>
              </w:rPr>
            </w:pPr>
            <w:r w:rsidRPr="006070EA">
              <w:rPr>
                <w:rFonts w:asciiTheme="majorHAnsi" w:hAnsiTheme="majorHAnsi" w:cstheme="majorHAnsi"/>
                <w:color w:val="000000"/>
                <w:lang w:val="cs-CZ"/>
              </w:rPr>
              <w:t>100 - 110</w:t>
            </w:r>
          </w:p>
        </w:tc>
      </w:tr>
      <w:tr w:rsidR="00B646BB" w:rsidRPr="006070EA" w14:paraId="53C32168" w14:textId="77777777" w:rsidTr="00B646BB">
        <w:trPr>
          <w:trHeight w:val="283"/>
          <w:jc w:val="center"/>
        </w:trPr>
        <w:tc>
          <w:tcPr>
            <w:tcW w:w="2802" w:type="dxa"/>
            <w:tcBorders>
              <w:top w:val="single" w:sz="4" w:space="0" w:color="auto"/>
              <w:left w:val="nil"/>
              <w:bottom w:val="single" w:sz="4" w:space="0" w:color="auto"/>
              <w:right w:val="single" w:sz="4" w:space="0" w:color="auto"/>
            </w:tcBorders>
            <w:shd w:val="clear" w:color="auto" w:fill="auto"/>
            <w:vAlign w:val="center"/>
            <w:hideMark/>
          </w:tcPr>
          <w:p w14:paraId="5A80306E" w14:textId="77777777" w:rsidR="00B646BB" w:rsidRPr="006070EA" w:rsidRDefault="00B646BB" w:rsidP="000E35EE">
            <w:pPr>
              <w:pStyle w:val="Bezmezer"/>
              <w:rPr>
                <w:rFonts w:asciiTheme="majorHAnsi" w:hAnsiTheme="majorHAnsi" w:cstheme="majorHAnsi"/>
                <w:color w:val="000000"/>
                <w:lang w:val="cs-CZ"/>
              </w:rPr>
            </w:pPr>
            <w:r w:rsidRPr="006070EA">
              <w:rPr>
                <w:rFonts w:asciiTheme="majorHAnsi" w:hAnsiTheme="majorHAnsi" w:cstheme="majorHAnsi"/>
                <w:color w:val="000000"/>
                <w:lang w:val="cs-CZ"/>
              </w:rPr>
              <w:t>počet ledových dnů</w:t>
            </w:r>
          </w:p>
        </w:tc>
        <w:tc>
          <w:tcPr>
            <w:tcW w:w="2055" w:type="dxa"/>
            <w:tcBorders>
              <w:top w:val="single" w:sz="4" w:space="0" w:color="auto"/>
              <w:left w:val="single" w:sz="4" w:space="0" w:color="auto"/>
              <w:bottom w:val="single" w:sz="4" w:space="0" w:color="auto"/>
              <w:right w:val="nil"/>
            </w:tcBorders>
            <w:shd w:val="clear" w:color="auto" w:fill="auto"/>
            <w:vAlign w:val="center"/>
          </w:tcPr>
          <w:p w14:paraId="02CED4B7" w14:textId="77777777" w:rsidR="00B646BB" w:rsidRPr="006070EA" w:rsidRDefault="00B646BB" w:rsidP="000E35EE">
            <w:pPr>
              <w:pStyle w:val="Bezmezer"/>
              <w:rPr>
                <w:rFonts w:asciiTheme="majorHAnsi" w:hAnsiTheme="majorHAnsi" w:cstheme="majorHAnsi"/>
                <w:color w:val="000000"/>
                <w:lang w:val="cs-CZ"/>
              </w:rPr>
            </w:pPr>
            <w:r w:rsidRPr="006070EA">
              <w:rPr>
                <w:rFonts w:asciiTheme="majorHAnsi" w:hAnsiTheme="majorHAnsi" w:cstheme="majorHAnsi"/>
                <w:color w:val="000000"/>
                <w:lang w:val="cs-CZ"/>
              </w:rPr>
              <w:t>30 - 40</w:t>
            </w:r>
          </w:p>
        </w:tc>
      </w:tr>
      <w:tr w:rsidR="00B646BB" w:rsidRPr="006070EA" w14:paraId="1F5328F1" w14:textId="77777777" w:rsidTr="00B646BB">
        <w:trPr>
          <w:trHeight w:val="283"/>
          <w:jc w:val="center"/>
        </w:trPr>
        <w:tc>
          <w:tcPr>
            <w:tcW w:w="2802" w:type="dxa"/>
            <w:tcBorders>
              <w:top w:val="single" w:sz="4" w:space="0" w:color="auto"/>
              <w:left w:val="nil"/>
              <w:bottom w:val="single" w:sz="4" w:space="0" w:color="auto"/>
              <w:right w:val="single" w:sz="4" w:space="0" w:color="auto"/>
            </w:tcBorders>
            <w:shd w:val="clear" w:color="auto" w:fill="auto"/>
            <w:vAlign w:val="center"/>
            <w:hideMark/>
          </w:tcPr>
          <w:p w14:paraId="7FE58412" w14:textId="77777777" w:rsidR="00B646BB" w:rsidRPr="006070EA" w:rsidRDefault="00B646BB" w:rsidP="000E35EE">
            <w:pPr>
              <w:pStyle w:val="Bezmezer"/>
              <w:rPr>
                <w:rFonts w:asciiTheme="majorHAnsi" w:hAnsiTheme="majorHAnsi" w:cstheme="majorHAnsi"/>
                <w:color w:val="000000"/>
                <w:lang w:val="cs-CZ"/>
              </w:rPr>
            </w:pPr>
            <w:r w:rsidRPr="006070EA">
              <w:rPr>
                <w:rFonts w:asciiTheme="majorHAnsi" w:hAnsiTheme="majorHAnsi" w:cstheme="majorHAnsi"/>
                <w:color w:val="000000"/>
                <w:lang w:val="cs-CZ"/>
              </w:rPr>
              <w:t>průměrná teplota v lednu</w:t>
            </w:r>
          </w:p>
        </w:tc>
        <w:tc>
          <w:tcPr>
            <w:tcW w:w="2055" w:type="dxa"/>
            <w:tcBorders>
              <w:top w:val="single" w:sz="4" w:space="0" w:color="auto"/>
              <w:left w:val="single" w:sz="4" w:space="0" w:color="auto"/>
              <w:bottom w:val="single" w:sz="4" w:space="0" w:color="auto"/>
              <w:right w:val="nil"/>
            </w:tcBorders>
            <w:shd w:val="clear" w:color="auto" w:fill="auto"/>
            <w:vAlign w:val="center"/>
          </w:tcPr>
          <w:p w14:paraId="2308AFF6" w14:textId="77777777" w:rsidR="00B646BB" w:rsidRPr="006070EA" w:rsidRDefault="00B646BB" w:rsidP="000E35EE">
            <w:pPr>
              <w:pStyle w:val="Bezmezer"/>
              <w:rPr>
                <w:rFonts w:asciiTheme="majorHAnsi" w:hAnsiTheme="majorHAnsi" w:cstheme="majorHAnsi"/>
                <w:color w:val="000000"/>
                <w:lang w:val="cs-CZ"/>
              </w:rPr>
            </w:pPr>
            <w:r w:rsidRPr="006070EA">
              <w:rPr>
                <w:rFonts w:asciiTheme="majorHAnsi" w:hAnsiTheme="majorHAnsi" w:cstheme="majorHAnsi"/>
                <w:color w:val="000000"/>
                <w:lang w:val="cs-CZ"/>
              </w:rPr>
              <w:t>-2</w:t>
            </w:r>
          </w:p>
        </w:tc>
      </w:tr>
      <w:tr w:rsidR="00B646BB" w:rsidRPr="006070EA" w14:paraId="721AFC9B" w14:textId="77777777" w:rsidTr="00B646BB">
        <w:trPr>
          <w:trHeight w:val="283"/>
          <w:jc w:val="center"/>
        </w:trPr>
        <w:tc>
          <w:tcPr>
            <w:tcW w:w="2802" w:type="dxa"/>
            <w:tcBorders>
              <w:top w:val="single" w:sz="4" w:space="0" w:color="auto"/>
              <w:left w:val="nil"/>
              <w:bottom w:val="single" w:sz="4" w:space="0" w:color="auto"/>
              <w:right w:val="single" w:sz="4" w:space="0" w:color="auto"/>
            </w:tcBorders>
            <w:shd w:val="clear" w:color="auto" w:fill="auto"/>
            <w:vAlign w:val="center"/>
            <w:hideMark/>
          </w:tcPr>
          <w:p w14:paraId="54565E58" w14:textId="77777777" w:rsidR="00B646BB" w:rsidRPr="006070EA" w:rsidRDefault="00B646BB" w:rsidP="000E35EE">
            <w:pPr>
              <w:pStyle w:val="Bezmezer"/>
              <w:rPr>
                <w:rFonts w:asciiTheme="majorHAnsi" w:hAnsiTheme="majorHAnsi" w:cstheme="majorHAnsi"/>
                <w:color w:val="000000"/>
                <w:lang w:val="cs-CZ"/>
              </w:rPr>
            </w:pPr>
            <w:r w:rsidRPr="006070EA">
              <w:rPr>
                <w:rFonts w:asciiTheme="majorHAnsi" w:hAnsiTheme="majorHAnsi" w:cstheme="majorHAnsi"/>
                <w:color w:val="000000"/>
                <w:lang w:val="cs-CZ"/>
              </w:rPr>
              <w:t>průměrná teplota v dubnu</w:t>
            </w:r>
          </w:p>
        </w:tc>
        <w:tc>
          <w:tcPr>
            <w:tcW w:w="2055" w:type="dxa"/>
            <w:tcBorders>
              <w:top w:val="single" w:sz="4" w:space="0" w:color="auto"/>
              <w:left w:val="single" w:sz="4" w:space="0" w:color="auto"/>
              <w:bottom w:val="single" w:sz="4" w:space="0" w:color="auto"/>
              <w:right w:val="nil"/>
            </w:tcBorders>
            <w:shd w:val="clear" w:color="auto" w:fill="auto"/>
            <w:vAlign w:val="center"/>
          </w:tcPr>
          <w:p w14:paraId="106E4A09" w14:textId="77777777" w:rsidR="00B646BB" w:rsidRPr="006070EA" w:rsidRDefault="00B646BB" w:rsidP="000E35EE">
            <w:pPr>
              <w:pStyle w:val="Bezmezer"/>
              <w:rPr>
                <w:rFonts w:asciiTheme="majorHAnsi" w:hAnsiTheme="majorHAnsi" w:cstheme="majorHAnsi"/>
                <w:color w:val="000000"/>
                <w:lang w:val="cs-CZ"/>
              </w:rPr>
            </w:pPr>
            <w:r w:rsidRPr="006070EA">
              <w:rPr>
                <w:rFonts w:asciiTheme="majorHAnsi" w:hAnsiTheme="majorHAnsi" w:cstheme="majorHAnsi"/>
                <w:color w:val="000000"/>
                <w:lang w:val="cs-CZ"/>
              </w:rPr>
              <w:t>8 - 9</w:t>
            </w:r>
          </w:p>
        </w:tc>
      </w:tr>
      <w:tr w:rsidR="00B646BB" w:rsidRPr="006070EA" w14:paraId="38CEF2B7" w14:textId="77777777" w:rsidTr="00B646BB">
        <w:trPr>
          <w:trHeight w:val="283"/>
          <w:jc w:val="center"/>
        </w:trPr>
        <w:tc>
          <w:tcPr>
            <w:tcW w:w="2802" w:type="dxa"/>
            <w:tcBorders>
              <w:top w:val="single" w:sz="4" w:space="0" w:color="auto"/>
              <w:left w:val="nil"/>
              <w:bottom w:val="single" w:sz="4" w:space="0" w:color="auto"/>
              <w:right w:val="single" w:sz="4" w:space="0" w:color="auto"/>
            </w:tcBorders>
            <w:shd w:val="clear" w:color="auto" w:fill="auto"/>
            <w:vAlign w:val="center"/>
            <w:hideMark/>
          </w:tcPr>
          <w:p w14:paraId="1059AF23" w14:textId="77777777" w:rsidR="00B646BB" w:rsidRPr="006070EA" w:rsidRDefault="00B646BB" w:rsidP="000E35EE">
            <w:pPr>
              <w:pStyle w:val="Bezmezer"/>
              <w:rPr>
                <w:rFonts w:asciiTheme="majorHAnsi" w:hAnsiTheme="majorHAnsi" w:cstheme="majorHAnsi"/>
                <w:color w:val="000000"/>
                <w:lang w:val="cs-CZ"/>
              </w:rPr>
            </w:pPr>
            <w:r w:rsidRPr="006070EA">
              <w:rPr>
                <w:rFonts w:asciiTheme="majorHAnsi" w:hAnsiTheme="majorHAnsi" w:cstheme="majorHAnsi"/>
                <w:color w:val="000000"/>
                <w:lang w:val="cs-CZ"/>
              </w:rPr>
              <w:t>průměrná teplota v červenci</w:t>
            </w:r>
          </w:p>
        </w:tc>
        <w:tc>
          <w:tcPr>
            <w:tcW w:w="2055" w:type="dxa"/>
            <w:tcBorders>
              <w:top w:val="single" w:sz="4" w:space="0" w:color="auto"/>
              <w:left w:val="single" w:sz="4" w:space="0" w:color="auto"/>
              <w:bottom w:val="single" w:sz="4" w:space="0" w:color="auto"/>
              <w:right w:val="nil"/>
            </w:tcBorders>
            <w:shd w:val="clear" w:color="auto" w:fill="auto"/>
            <w:vAlign w:val="center"/>
          </w:tcPr>
          <w:p w14:paraId="5BA089AF" w14:textId="77777777" w:rsidR="00B646BB" w:rsidRPr="006070EA" w:rsidRDefault="00B646BB" w:rsidP="000E35EE">
            <w:pPr>
              <w:pStyle w:val="Bezmezer"/>
              <w:rPr>
                <w:rFonts w:asciiTheme="majorHAnsi" w:hAnsiTheme="majorHAnsi" w:cstheme="majorHAnsi"/>
                <w:color w:val="000000"/>
                <w:lang w:val="cs-CZ"/>
              </w:rPr>
            </w:pPr>
            <w:r w:rsidRPr="006070EA">
              <w:rPr>
                <w:rFonts w:asciiTheme="majorHAnsi" w:hAnsiTheme="majorHAnsi" w:cstheme="majorHAnsi"/>
                <w:color w:val="000000"/>
                <w:lang w:val="cs-CZ"/>
              </w:rPr>
              <w:t>18 - 19</w:t>
            </w:r>
          </w:p>
        </w:tc>
      </w:tr>
      <w:tr w:rsidR="00B646BB" w:rsidRPr="006070EA" w14:paraId="684A3CD7" w14:textId="77777777" w:rsidTr="00B646BB">
        <w:trPr>
          <w:trHeight w:val="283"/>
          <w:jc w:val="center"/>
        </w:trPr>
        <w:tc>
          <w:tcPr>
            <w:tcW w:w="2802" w:type="dxa"/>
            <w:tcBorders>
              <w:top w:val="single" w:sz="4" w:space="0" w:color="auto"/>
              <w:left w:val="nil"/>
              <w:bottom w:val="single" w:sz="4" w:space="0" w:color="auto"/>
              <w:right w:val="single" w:sz="4" w:space="0" w:color="auto"/>
            </w:tcBorders>
            <w:shd w:val="clear" w:color="auto" w:fill="auto"/>
            <w:vAlign w:val="center"/>
            <w:hideMark/>
          </w:tcPr>
          <w:p w14:paraId="76421EC9" w14:textId="77777777" w:rsidR="00B646BB" w:rsidRPr="006070EA" w:rsidRDefault="00B646BB" w:rsidP="000E35EE">
            <w:pPr>
              <w:pStyle w:val="Bezmezer"/>
              <w:rPr>
                <w:rFonts w:asciiTheme="majorHAnsi" w:hAnsiTheme="majorHAnsi" w:cstheme="majorHAnsi"/>
                <w:color w:val="000000"/>
                <w:lang w:val="cs-CZ"/>
              </w:rPr>
            </w:pPr>
            <w:r w:rsidRPr="006070EA">
              <w:rPr>
                <w:rFonts w:asciiTheme="majorHAnsi" w:hAnsiTheme="majorHAnsi" w:cstheme="majorHAnsi"/>
                <w:color w:val="000000"/>
                <w:lang w:val="cs-CZ"/>
              </w:rPr>
              <w:t>průměrná teplota v říjnu</w:t>
            </w:r>
          </w:p>
        </w:tc>
        <w:tc>
          <w:tcPr>
            <w:tcW w:w="2055" w:type="dxa"/>
            <w:tcBorders>
              <w:top w:val="single" w:sz="4" w:space="0" w:color="auto"/>
              <w:left w:val="single" w:sz="4" w:space="0" w:color="auto"/>
              <w:bottom w:val="single" w:sz="4" w:space="0" w:color="auto"/>
              <w:right w:val="nil"/>
            </w:tcBorders>
            <w:shd w:val="clear" w:color="auto" w:fill="auto"/>
            <w:vAlign w:val="center"/>
          </w:tcPr>
          <w:p w14:paraId="61A3E9B9" w14:textId="77777777" w:rsidR="00B646BB" w:rsidRPr="006070EA" w:rsidRDefault="00B646BB" w:rsidP="000E35EE">
            <w:pPr>
              <w:pStyle w:val="Bezmezer"/>
              <w:rPr>
                <w:rFonts w:asciiTheme="majorHAnsi" w:hAnsiTheme="majorHAnsi" w:cstheme="majorHAnsi"/>
                <w:color w:val="000000"/>
                <w:lang w:val="cs-CZ"/>
              </w:rPr>
            </w:pPr>
            <w:r w:rsidRPr="006070EA">
              <w:rPr>
                <w:rFonts w:asciiTheme="majorHAnsi" w:hAnsiTheme="majorHAnsi" w:cstheme="majorHAnsi"/>
                <w:color w:val="000000"/>
                <w:lang w:val="cs-CZ"/>
              </w:rPr>
              <w:t>7 - 9</w:t>
            </w:r>
          </w:p>
        </w:tc>
      </w:tr>
      <w:tr w:rsidR="00B646BB" w:rsidRPr="006070EA" w14:paraId="7061C0D0" w14:textId="77777777" w:rsidTr="00B646BB">
        <w:trPr>
          <w:trHeight w:val="283"/>
          <w:jc w:val="center"/>
        </w:trPr>
        <w:tc>
          <w:tcPr>
            <w:tcW w:w="2802" w:type="dxa"/>
            <w:tcBorders>
              <w:top w:val="single" w:sz="4" w:space="0" w:color="auto"/>
              <w:left w:val="nil"/>
              <w:bottom w:val="single" w:sz="4" w:space="0" w:color="auto"/>
              <w:right w:val="single" w:sz="4" w:space="0" w:color="auto"/>
            </w:tcBorders>
            <w:shd w:val="clear" w:color="auto" w:fill="auto"/>
            <w:vAlign w:val="center"/>
            <w:hideMark/>
          </w:tcPr>
          <w:p w14:paraId="030CEDC2" w14:textId="77777777" w:rsidR="00B646BB" w:rsidRPr="006070EA" w:rsidRDefault="00B646BB" w:rsidP="000E35EE">
            <w:pPr>
              <w:pStyle w:val="Bezmezer"/>
              <w:rPr>
                <w:rFonts w:asciiTheme="majorHAnsi" w:hAnsiTheme="majorHAnsi" w:cstheme="majorHAnsi"/>
                <w:color w:val="000000"/>
                <w:lang w:val="cs-CZ"/>
              </w:rPr>
            </w:pPr>
            <w:r w:rsidRPr="006070EA">
              <w:rPr>
                <w:rFonts w:asciiTheme="majorHAnsi" w:hAnsiTheme="majorHAnsi" w:cstheme="majorHAnsi"/>
                <w:color w:val="000000"/>
                <w:lang w:val="cs-CZ"/>
              </w:rPr>
              <w:t>počet dnů se srážkami ≥ 1 mm</w:t>
            </w:r>
          </w:p>
        </w:tc>
        <w:tc>
          <w:tcPr>
            <w:tcW w:w="2055" w:type="dxa"/>
            <w:tcBorders>
              <w:top w:val="single" w:sz="4" w:space="0" w:color="auto"/>
              <w:left w:val="single" w:sz="4" w:space="0" w:color="auto"/>
              <w:bottom w:val="single" w:sz="4" w:space="0" w:color="auto"/>
              <w:right w:val="nil"/>
            </w:tcBorders>
            <w:shd w:val="clear" w:color="auto" w:fill="auto"/>
            <w:vAlign w:val="center"/>
          </w:tcPr>
          <w:p w14:paraId="2209E34D" w14:textId="77777777" w:rsidR="00B646BB" w:rsidRPr="006070EA" w:rsidRDefault="00B646BB" w:rsidP="000E35EE">
            <w:pPr>
              <w:pStyle w:val="Bezmezer"/>
              <w:rPr>
                <w:rFonts w:asciiTheme="majorHAnsi" w:hAnsiTheme="majorHAnsi" w:cstheme="majorHAnsi"/>
                <w:color w:val="000000"/>
                <w:lang w:val="cs-CZ"/>
              </w:rPr>
            </w:pPr>
            <w:r w:rsidRPr="006070EA">
              <w:rPr>
                <w:rFonts w:asciiTheme="majorHAnsi" w:hAnsiTheme="majorHAnsi" w:cstheme="majorHAnsi"/>
                <w:color w:val="000000"/>
                <w:lang w:val="cs-CZ"/>
              </w:rPr>
              <w:t>90 - 100</w:t>
            </w:r>
          </w:p>
        </w:tc>
      </w:tr>
      <w:tr w:rsidR="00B646BB" w:rsidRPr="006070EA" w14:paraId="5A7F078D" w14:textId="77777777" w:rsidTr="00B646BB">
        <w:trPr>
          <w:trHeight w:val="283"/>
          <w:jc w:val="center"/>
        </w:trPr>
        <w:tc>
          <w:tcPr>
            <w:tcW w:w="2802" w:type="dxa"/>
            <w:tcBorders>
              <w:top w:val="single" w:sz="4" w:space="0" w:color="auto"/>
              <w:left w:val="nil"/>
              <w:bottom w:val="single" w:sz="4" w:space="0" w:color="auto"/>
              <w:right w:val="single" w:sz="4" w:space="0" w:color="auto"/>
            </w:tcBorders>
            <w:shd w:val="clear" w:color="auto" w:fill="auto"/>
            <w:vAlign w:val="center"/>
            <w:hideMark/>
          </w:tcPr>
          <w:p w14:paraId="712ED31C" w14:textId="77777777" w:rsidR="00B646BB" w:rsidRPr="006070EA" w:rsidRDefault="00B646BB" w:rsidP="000E35EE">
            <w:pPr>
              <w:pStyle w:val="Bezmezer"/>
              <w:rPr>
                <w:rFonts w:asciiTheme="majorHAnsi" w:hAnsiTheme="majorHAnsi" w:cstheme="majorHAnsi"/>
                <w:color w:val="000000"/>
                <w:lang w:val="cs-CZ"/>
              </w:rPr>
            </w:pPr>
            <w:r w:rsidRPr="006070EA">
              <w:rPr>
                <w:rFonts w:asciiTheme="majorHAnsi" w:hAnsiTheme="majorHAnsi" w:cstheme="majorHAnsi"/>
                <w:color w:val="000000"/>
                <w:lang w:val="cs-CZ"/>
              </w:rPr>
              <w:t>úhrn srážek ve vegetačním období</w:t>
            </w:r>
          </w:p>
        </w:tc>
        <w:tc>
          <w:tcPr>
            <w:tcW w:w="2055" w:type="dxa"/>
            <w:tcBorders>
              <w:top w:val="single" w:sz="4" w:space="0" w:color="auto"/>
              <w:left w:val="single" w:sz="4" w:space="0" w:color="auto"/>
              <w:bottom w:val="single" w:sz="4" w:space="0" w:color="auto"/>
              <w:right w:val="nil"/>
            </w:tcBorders>
            <w:shd w:val="clear" w:color="auto" w:fill="auto"/>
            <w:vAlign w:val="center"/>
          </w:tcPr>
          <w:p w14:paraId="2C65DA93" w14:textId="77777777" w:rsidR="00B646BB" w:rsidRPr="006070EA" w:rsidRDefault="00B646BB" w:rsidP="000E35EE">
            <w:pPr>
              <w:pStyle w:val="Bezmezer"/>
              <w:rPr>
                <w:rFonts w:asciiTheme="majorHAnsi" w:hAnsiTheme="majorHAnsi" w:cstheme="majorHAnsi"/>
                <w:color w:val="000000"/>
                <w:lang w:val="cs-CZ"/>
              </w:rPr>
            </w:pPr>
            <w:r w:rsidRPr="006070EA">
              <w:rPr>
                <w:rFonts w:asciiTheme="majorHAnsi" w:hAnsiTheme="majorHAnsi" w:cstheme="majorHAnsi"/>
                <w:color w:val="000000"/>
                <w:lang w:val="cs-CZ"/>
              </w:rPr>
              <w:t>350 - 400</w:t>
            </w:r>
          </w:p>
        </w:tc>
      </w:tr>
      <w:tr w:rsidR="00B646BB" w:rsidRPr="006070EA" w14:paraId="234A2C2E" w14:textId="77777777" w:rsidTr="00B646BB">
        <w:trPr>
          <w:trHeight w:val="283"/>
          <w:jc w:val="center"/>
        </w:trPr>
        <w:tc>
          <w:tcPr>
            <w:tcW w:w="2802" w:type="dxa"/>
            <w:tcBorders>
              <w:top w:val="single" w:sz="4" w:space="0" w:color="auto"/>
              <w:left w:val="nil"/>
              <w:bottom w:val="single" w:sz="4" w:space="0" w:color="auto"/>
              <w:right w:val="single" w:sz="4" w:space="0" w:color="auto"/>
            </w:tcBorders>
            <w:shd w:val="clear" w:color="auto" w:fill="auto"/>
            <w:vAlign w:val="center"/>
            <w:hideMark/>
          </w:tcPr>
          <w:p w14:paraId="5651975E" w14:textId="77777777" w:rsidR="00B646BB" w:rsidRPr="006070EA" w:rsidRDefault="00B646BB" w:rsidP="000E35EE">
            <w:pPr>
              <w:pStyle w:val="Bezmezer"/>
              <w:rPr>
                <w:rFonts w:asciiTheme="majorHAnsi" w:hAnsiTheme="majorHAnsi" w:cstheme="majorHAnsi"/>
                <w:color w:val="000000"/>
                <w:lang w:val="cs-CZ"/>
              </w:rPr>
            </w:pPr>
            <w:r w:rsidRPr="006070EA">
              <w:rPr>
                <w:rFonts w:asciiTheme="majorHAnsi" w:hAnsiTheme="majorHAnsi" w:cstheme="majorHAnsi"/>
                <w:color w:val="000000"/>
                <w:lang w:val="cs-CZ"/>
              </w:rPr>
              <w:t>úhrn srážek v zimním období</w:t>
            </w:r>
          </w:p>
        </w:tc>
        <w:tc>
          <w:tcPr>
            <w:tcW w:w="2055" w:type="dxa"/>
            <w:tcBorders>
              <w:top w:val="single" w:sz="4" w:space="0" w:color="auto"/>
              <w:left w:val="single" w:sz="4" w:space="0" w:color="auto"/>
              <w:bottom w:val="single" w:sz="4" w:space="0" w:color="auto"/>
              <w:right w:val="nil"/>
            </w:tcBorders>
            <w:shd w:val="clear" w:color="auto" w:fill="auto"/>
            <w:vAlign w:val="center"/>
          </w:tcPr>
          <w:p w14:paraId="1328E79D" w14:textId="77777777" w:rsidR="00B646BB" w:rsidRPr="006070EA" w:rsidRDefault="00B646BB" w:rsidP="000E35EE">
            <w:pPr>
              <w:pStyle w:val="Bezmezer"/>
              <w:rPr>
                <w:rFonts w:asciiTheme="majorHAnsi" w:hAnsiTheme="majorHAnsi" w:cstheme="majorHAnsi"/>
                <w:color w:val="000000"/>
                <w:lang w:val="cs-CZ"/>
              </w:rPr>
            </w:pPr>
            <w:r w:rsidRPr="006070EA">
              <w:rPr>
                <w:rFonts w:asciiTheme="majorHAnsi" w:hAnsiTheme="majorHAnsi" w:cstheme="majorHAnsi"/>
                <w:color w:val="000000"/>
                <w:lang w:val="cs-CZ"/>
              </w:rPr>
              <w:t>200 - 300</w:t>
            </w:r>
          </w:p>
        </w:tc>
      </w:tr>
      <w:tr w:rsidR="00B646BB" w:rsidRPr="006070EA" w14:paraId="286F315B" w14:textId="77777777" w:rsidTr="00B646BB">
        <w:trPr>
          <w:trHeight w:val="283"/>
          <w:jc w:val="center"/>
        </w:trPr>
        <w:tc>
          <w:tcPr>
            <w:tcW w:w="2802" w:type="dxa"/>
            <w:tcBorders>
              <w:top w:val="single" w:sz="4" w:space="0" w:color="auto"/>
              <w:left w:val="nil"/>
              <w:bottom w:val="single" w:sz="4" w:space="0" w:color="auto"/>
              <w:right w:val="single" w:sz="4" w:space="0" w:color="auto"/>
            </w:tcBorders>
            <w:shd w:val="clear" w:color="auto" w:fill="auto"/>
            <w:vAlign w:val="center"/>
            <w:hideMark/>
          </w:tcPr>
          <w:p w14:paraId="6F8DB8C0" w14:textId="77777777" w:rsidR="00B646BB" w:rsidRPr="006070EA" w:rsidRDefault="00B646BB" w:rsidP="000E35EE">
            <w:pPr>
              <w:pStyle w:val="Bezmezer"/>
              <w:rPr>
                <w:rFonts w:asciiTheme="majorHAnsi" w:hAnsiTheme="majorHAnsi" w:cstheme="majorHAnsi"/>
                <w:color w:val="000000"/>
                <w:lang w:val="cs-CZ"/>
              </w:rPr>
            </w:pPr>
            <w:r w:rsidRPr="006070EA">
              <w:rPr>
                <w:rFonts w:asciiTheme="majorHAnsi" w:hAnsiTheme="majorHAnsi" w:cstheme="majorHAnsi"/>
                <w:color w:val="000000"/>
                <w:lang w:val="cs-CZ"/>
              </w:rPr>
              <w:t>počet dnů se sněhovou pokrývkou</w:t>
            </w:r>
          </w:p>
        </w:tc>
        <w:tc>
          <w:tcPr>
            <w:tcW w:w="2055" w:type="dxa"/>
            <w:tcBorders>
              <w:top w:val="single" w:sz="4" w:space="0" w:color="auto"/>
              <w:left w:val="single" w:sz="4" w:space="0" w:color="auto"/>
              <w:bottom w:val="single" w:sz="4" w:space="0" w:color="auto"/>
              <w:right w:val="nil"/>
            </w:tcBorders>
            <w:shd w:val="clear" w:color="auto" w:fill="auto"/>
            <w:vAlign w:val="center"/>
          </w:tcPr>
          <w:p w14:paraId="2AF58800" w14:textId="77777777" w:rsidR="00B646BB" w:rsidRPr="006070EA" w:rsidRDefault="00B646BB" w:rsidP="000E35EE">
            <w:pPr>
              <w:pStyle w:val="Bezmezer"/>
              <w:rPr>
                <w:rFonts w:asciiTheme="majorHAnsi" w:hAnsiTheme="majorHAnsi" w:cstheme="majorHAnsi"/>
                <w:color w:val="000000"/>
                <w:lang w:val="cs-CZ"/>
              </w:rPr>
            </w:pPr>
            <w:r w:rsidRPr="006070EA">
              <w:rPr>
                <w:rFonts w:asciiTheme="majorHAnsi" w:hAnsiTheme="majorHAnsi" w:cstheme="majorHAnsi"/>
                <w:color w:val="000000"/>
                <w:lang w:val="cs-CZ"/>
              </w:rPr>
              <w:t>40 - 50</w:t>
            </w:r>
          </w:p>
        </w:tc>
      </w:tr>
      <w:tr w:rsidR="00B646BB" w:rsidRPr="006070EA" w14:paraId="0E699032" w14:textId="77777777" w:rsidTr="00B646BB">
        <w:trPr>
          <w:trHeight w:val="283"/>
          <w:jc w:val="center"/>
        </w:trPr>
        <w:tc>
          <w:tcPr>
            <w:tcW w:w="2802" w:type="dxa"/>
            <w:tcBorders>
              <w:top w:val="single" w:sz="4" w:space="0" w:color="auto"/>
              <w:left w:val="nil"/>
              <w:bottom w:val="single" w:sz="4" w:space="0" w:color="auto"/>
              <w:right w:val="single" w:sz="4" w:space="0" w:color="auto"/>
            </w:tcBorders>
            <w:shd w:val="clear" w:color="auto" w:fill="auto"/>
            <w:vAlign w:val="center"/>
            <w:hideMark/>
          </w:tcPr>
          <w:p w14:paraId="4CC5433B" w14:textId="77777777" w:rsidR="00B646BB" w:rsidRPr="006070EA" w:rsidRDefault="00B646BB" w:rsidP="000E35EE">
            <w:pPr>
              <w:pStyle w:val="Bezmezer"/>
              <w:rPr>
                <w:rFonts w:asciiTheme="majorHAnsi" w:hAnsiTheme="majorHAnsi" w:cstheme="majorHAnsi"/>
                <w:color w:val="000000"/>
                <w:lang w:val="cs-CZ"/>
              </w:rPr>
            </w:pPr>
            <w:r w:rsidRPr="006070EA">
              <w:rPr>
                <w:rFonts w:asciiTheme="majorHAnsi" w:hAnsiTheme="majorHAnsi" w:cstheme="majorHAnsi"/>
                <w:color w:val="000000"/>
                <w:lang w:val="cs-CZ"/>
              </w:rPr>
              <w:t>počet zamračených dnů</w:t>
            </w:r>
          </w:p>
        </w:tc>
        <w:tc>
          <w:tcPr>
            <w:tcW w:w="2055" w:type="dxa"/>
            <w:tcBorders>
              <w:top w:val="single" w:sz="4" w:space="0" w:color="auto"/>
              <w:left w:val="single" w:sz="4" w:space="0" w:color="auto"/>
              <w:bottom w:val="single" w:sz="4" w:space="0" w:color="auto"/>
              <w:right w:val="nil"/>
            </w:tcBorders>
            <w:shd w:val="clear" w:color="auto" w:fill="auto"/>
            <w:vAlign w:val="center"/>
          </w:tcPr>
          <w:p w14:paraId="46B0F9BD" w14:textId="77777777" w:rsidR="00B646BB" w:rsidRPr="006070EA" w:rsidRDefault="00B646BB" w:rsidP="000E35EE">
            <w:pPr>
              <w:pStyle w:val="Bezmezer"/>
              <w:rPr>
                <w:rFonts w:asciiTheme="majorHAnsi" w:hAnsiTheme="majorHAnsi" w:cstheme="majorHAnsi"/>
                <w:color w:val="000000"/>
                <w:lang w:val="cs-CZ"/>
              </w:rPr>
            </w:pPr>
            <w:r w:rsidRPr="006070EA">
              <w:rPr>
                <w:rFonts w:asciiTheme="majorHAnsi" w:hAnsiTheme="majorHAnsi" w:cstheme="majorHAnsi"/>
                <w:color w:val="000000"/>
                <w:lang w:val="cs-CZ"/>
              </w:rPr>
              <w:t>120 - 140</w:t>
            </w:r>
          </w:p>
        </w:tc>
      </w:tr>
      <w:tr w:rsidR="00B646BB" w:rsidRPr="006070EA" w14:paraId="470D0443" w14:textId="77777777" w:rsidTr="00B646BB">
        <w:trPr>
          <w:trHeight w:val="283"/>
          <w:jc w:val="center"/>
        </w:trPr>
        <w:tc>
          <w:tcPr>
            <w:tcW w:w="2802" w:type="dxa"/>
            <w:tcBorders>
              <w:top w:val="single" w:sz="4" w:space="0" w:color="auto"/>
              <w:left w:val="nil"/>
              <w:bottom w:val="nil"/>
              <w:right w:val="single" w:sz="4" w:space="0" w:color="auto"/>
            </w:tcBorders>
            <w:shd w:val="clear" w:color="auto" w:fill="auto"/>
            <w:vAlign w:val="center"/>
            <w:hideMark/>
          </w:tcPr>
          <w:p w14:paraId="02CD7B0D" w14:textId="77777777" w:rsidR="00B646BB" w:rsidRPr="006070EA" w:rsidRDefault="00B646BB" w:rsidP="000E35EE">
            <w:pPr>
              <w:pStyle w:val="Bezmezer"/>
              <w:rPr>
                <w:rFonts w:asciiTheme="majorHAnsi" w:hAnsiTheme="majorHAnsi" w:cstheme="majorHAnsi"/>
                <w:color w:val="000000"/>
                <w:lang w:val="cs-CZ"/>
              </w:rPr>
            </w:pPr>
            <w:r w:rsidRPr="006070EA">
              <w:rPr>
                <w:rFonts w:asciiTheme="majorHAnsi" w:hAnsiTheme="majorHAnsi" w:cstheme="majorHAnsi"/>
                <w:color w:val="000000"/>
                <w:lang w:val="cs-CZ"/>
              </w:rPr>
              <w:t>počet jasných dnů</w:t>
            </w:r>
          </w:p>
        </w:tc>
        <w:tc>
          <w:tcPr>
            <w:tcW w:w="2055" w:type="dxa"/>
            <w:tcBorders>
              <w:top w:val="single" w:sz="4" w:space="0" w:color="auto"/>
              <w:left w:val="single" w:sz="4" w:space="0" w:color="auto"/>
              <w:bottom w:val="nil"/>
              <w:right w:val="nil"/>
            </w:tcBorders>
            <w:shd w:val="clear" w:color="auto" w:fill="auto"/>
            <w:vAlign w:val="center"/>
          </w:tcPr>
          <w:p w14:paraId="1FF64DA2" w14:textId="77777777" w:rsidR="00B646BB" w:rsidRPr="006070EA" w:rsidRDefault="00B646BB" w:rsidP="000E35EE">
            <w:pPr>
              <w:pStyle w:val="Bezmezer"/>
              <w:rPr>
                <w:rFonts w:asciiTheme="majorHAnsi" w:hAnsiTheme="majorHAnsi" w:cstheme="majorHAnsi"/>
                <w:color w:val="000000"/>
                <w:lang w:val="cs-CZ"/>
              </w:rPr>
            </w:pPr>
            <w:r w:rsidRPr="006070EA">
              <w:rPr>
                <w:rFonts w:asciiTheme="majorHAnsi" w:hAnsiTheme="majorHAnsi" w:cstheme="majorHAnsi"/>
                <w:color w:val="000000"/>
                <w:lang w:val="cs-CZ"/>
              </w:rPr>
              <w:t>40 - 50</w:t>
            </w:r>
          </w:p>
        </w:tc>
      </w:tr>
    </w:tbl>
    <w:p w14:paraId="26FD21FF" w14:textId="77777777" w:rsidR="00AB1F4C" w:rsidRPr="006070EA" w:rsidRDefault="00AB1F4C" w:rsidP="009E07E1">
      <w:pPr>
        <w:keepNext/>
        <w:spacing w:before="120" w:after="120" w:line="240" w:lineRule="auto"/>
        <w:rPr>
          <w:rFonts w:asciiTheme="majorHAnsi" w:hAnsiTheme="majorHAnsi" w:cstheme="majorHAnsi"/>
          <w:b/>
          <w:sz w:val="18"/>
        </w:rPr>
      </w:pPr>
      <w:r w:rsidRPr="006070EA">
        <w:rPr>
          <w:rFonts w:asciiTheme="majorHAnsi" w:hAnsiTheme="majorHAnsi" w:cstheme="majorHAnsi"/>
          <w:b/>
          <w:sz w:val="18"/>
        </w:rPr>
        <w:t>Geologické, geomorfologické a pedologické podmínky</w:t>
      </w:r>
    </w:p>
    <w:p w14:paraId="77B798D7" w14:textId="44DBD447" w:rsidR="0024056D" w:rsidRPr="006070EA" w:rsidRDefault="0024056D" w:rsidP="0024056D">
      <w:pPr>
        <w:pStyle w:val="Atext"/>
        <w:rPr>
          <w:rFonts w:asciiTheme="majorHAnsi" w:hAnsiTheme="majorHAnsi" w:cstheme="majorHAnsi"/>
          <w:szCs w:val="18"/>
        </w:rPr>
      </w:pPr>
      <w:r w:rsidRPr="006070EA">
        <w:rPr>
          <w:rFonts w:asciiTheme="majorHAnsi" w:hAnsiTheme="majorHAnsi" w:cstheme="majorHAnsi"/>
          <w:szCs w:val="18"/>
        </w:rPr>
        <w:t>Dle Zeměpisného lexikonu ČR – Hory a nížiny (Jaromír Demek a kol.) leží řešené území v provincii Česká vysočina (Český masiv),</w:t>
      </w:r>
      <w:r w:rsidR="00265EF4" w:rsidRPr="006070EA">
        <w:rPr>
          <w:rFonts w:asciiTheme="majorHAnsi" w:hAnsiTheme="majorHAnsi" w:cstheme="majorHAnsi"/>
          <w:szCs w:val="18"/>
        </w:rPr>
        <w:t xml:space="preserve"> v</w:t>
      </w:r>
      <w:r w:rsidRPr="006070EA">
        <w:rPr>
          <w:rFonts w:asciiTheme="majorHAnsi" w:hAnsiTheme="majorHAnsi" w:cstheme="majorHAnsi"/>
          <w:szCs w:val="18"/>
        </w:rPr>
        <w:t xml:space="preserve"> subprovincii Česká Tabule.</w:t>
      </w:r>
    </w:p>
    <w:tbl>
      <w:tblPr>
        <w:tblW w:w="0" w:type="auto"/>
        <w:jc w:val="center"/>
        <w:tblBorders>
          <w:insideH w:val="single" w:sz="4" w:space="0" w:color="auto"/>
          <w:insideV w:val="single" w:sz="4" w:space="0" w:color="auto"/>
        </w:tblBorders>
        <w:tblLook w:val="04A0" w:firstRow="1" w:lastRow="0" w:firstColumn="1" w:lastColumn="0" w:noHBand="0" w:noVBand="1"/>
      </w:tblPr>
      <w:tblGrid>
        <w:gridCol w:w="1401"/>
        <w:gridCol w:w="6787"/>
      </w:tblGrid>
      <w:tr w:rsidR="0024056D" w:rsidRPr="006070EA" w14:paraId="0D50195E" w14:textId="77777777" w:rsidTr="000E35EE">
        <w:trPr>
          <w:trHeight w:val="283"/>
          <w:jc w:val="center"/>
        </w:trPr>
        <w:tc>
          <w:tcPr>
            <w:tcW w:w="1401" w:type="dxa"/>
            <w:tcBorders>
              <w:top w:val="nil"/>
              <w:left w:val="nil"/>
              <w:bottom w:val="single" w:sz="12" w:space="0" w:color="auto"/>
              <w:right w:val="single" w:sz="12" w:space="0" w:color="auto"/>
            </w:tcBorders>
            <w:shd w:val="clear" w:color="auto" w:fill="auto"/>
            <w:vAlign w:val="center"/>
            <w:hideMark/>
          </w:tcPr>
          <w:p w14:paraId="596F5675" w14:textId="77777777" w:rsidR="0024056D" w:rsidRPr="006070EA" w:rsidRDefault="0024056D" w:rsidP="000E35EE">
            <w:pPr>
              <w:pStyle w:val="Bezmezer"/>
              <w:rPr>
                <w:rFonts w:asciiTheme="majorHAnsi" w:hAnsiTheme="majorHAnsi" w:cstheme="majorHAnsi"/>
                <w:bCs/>
                <w:color w:val="000000"/>
                <w:szCs w:val="18"/>
                <w:lang w:val="cs-CZ"/>
              </w:rPr>
            </w:pPr>
            <w:r w:rsidRPr="006070EA">
              <w:rPr>
                <w:rFonts w:asciiTheme="majorHAnsi" w:hAnsiTheme="majorHAnsi" w:cstheme="majorHAnsi"/>
                <w:bCs/>
                <w:color w:val="000000"/>
                <w:szCs w:val="18"/>
                <w:lang w:val="cs-CZ"/>
              </w:rPr>
              <w:t>systém</w:t>
            </w:r>
          </w:p>
        </w:tc>
        <w:tc>
          <w:tcPr>
            <w:tcW w:w="6787" w:type="dxa"/>
            <w:tcBorders>
              <w:top w:val="nil"/>
              <w:left w:val="single" w:sz="12" w:space="0" w:color="auto"/>
              <w:bottom w:val="single" w:sz="4" w:space="0" w:color="auto"/>
              <w:right w:val="nil"/>
            </w:tcBorders>
            <w:shd w:val="clear" w:color="auto" w:fill="auto"/>
            <w:vAlign w:val="center"/>
            <w:hideMark/>
          </w:tcPr>
          <w:p w14:paraId="1F54A524" w14:textId="77777777" w:rsidR="0024056D" w:rsidRPr="006070EA" w:rsidRDefault="0024056D" w:rsidP="000E35EE">
            <w:pPr>
              <w:pStyle w:val="Bezmezer"/>
              <w:rPr>
                <w:rFonts w:asciiTheme="majorHAnsi" w:hAnsiTheme="majorHAnsi" w:cstheme="majorHAnsi"/>
                <w:bCs/>
                <w:color w:val="000000"/>
                <w:szCs w:val="18"/>
                <w:lang w:val="cs-CZ"/>
              </w:rPr>
            </w:pPr>
            <w:r w:rsidRPr="006070EA">
              <w:rPr>
                <w:rFonts w:asciiTheme="majorHAnsi" w:hAnsiTheme="majorHAnsi" w:cstheme="majorHAnsi"/>
                <w:bCs/>
                <w:color w:val="000000"/>
                <w:szCs w:val="18"/>
                <w:lang w:val="cs-CZ"/>
              </w:rPr>
              <w:t>Hercynský</w:t>
            </w:r>
          </w:p>
        </w:tc>
      </w:tr>
      <w:tr w:rsidR="0024056D" w:rsidRPr="006070EA" w14:paraId="60247628" w14:textId="77777777" w:rsidTr="000E35EE">
        <w:trPr>
          <w:trHeight w:val="283"/>
          <w:jc w:val="center"/>
        </w:trPr>
        <w:tc>
          <w:tcPr>
            <w:tcW w:w="1401" w:type="dxa"/>
            <w:tcBorders>
              <w:top w:val="single" w:sz="12" w:space="0" w:color="auto"/>
              <w:left w:val="nil"/>
              <w:bottom w:val="single" w:sz="12" w:space="0" w:color="auto"/>
              <w:right w:val="single" w:sz="12" w:space="0" w:color="auto"/>
            </w:tcBorders>
            <w:shd w:val="clear" w:color="auto" w:fill="auto"/>
            <w:vAlign w:val="center"/>
            <w:hideMark/>
          </w:tcPr>
          <w:p w14:paraId="54E9E2F8" w14:textId="77777777" w:rsidR="0024056D" w:rsidRPr="006070EA" w:rsidRDefault="0024056D" w:rsidP="000E35EE">
            <w:pPr>
              <w:pStyle w:val="Bezmezer"/>
              <w:rPr>
                <w:rFonts w:asciiTheme="majorHAnsi" w:hAnsiTheme="majorHAnsi" w:cstheme="majorHAnsi"/>
                <w:bCs/>
                <w:color w:val="000000"/>
                <w:szCs w:val="18"/>
                <w:lang w:val="cs-CZ"/>
              </w:rPr>
            </w:pPr>
            <w:r w:rsidRPr="006070EA">
              <w:rPr>
                <w:rFonts w:asciiTheme="majorHAnsi" w:hAnsiTheme="majorHAnsi" w:cstheme="majorHAnsi"/>
                <w:bCs/>
                <w:color w:val="000000"/>
                <w:szCs w:val="18"/>
                <w:lang w:val="cs-CZ"/>
              </w:rPr>
              <w:t>subsystém</w:t>
            </w:r>
          </w:p>
        </w:tc>
        <w:tc>
          <w:tcPr>
            <w:tcW w:w="6787" w:type="dxa"/>
            <w:tcBorders>
              <w:top w:val="single" w:sz="4" w:space="0" w:color="auto"/>
              <w:left w:val="single" w:sz="12" w:space="0" w:color="auto"/>
              <w:bottom w:val="single" w:sz="4" w:space="0" w:color="auto"/>
              <w:right w:val="nil"/>
            </w:tcBorders>
            <w:shd w:val="clear" w:color="auto" w:fill="auto"/>
            <w:vAlign w:val="center"/>
            <w:hideMark/>
          </w:tcPr>
          <w:p w14:paraId="2BB52A4C" w14:textId="77777777" w:rsidR="0024056D" w:rsidRPr="006070EA" w:rsidRDefault="0024056D" w:rsidP="000E35EE">
            <w:pPr>
              <w:pStyle w:val="Bezmezer"/>
              <w:rPr>
                <w:rFonts w:asciiTheme="majorHAnsi" w:hAnsiTheme="majorHAnsi" w:cstheme="majorHAnsi"/>
                <w:bCs/>
                <w:color w:val="000000"/>
                <w:szCs w:val="18"/>
                <w:lang w:val="cs-CZ"/>
              </w:rPr>
            </w:pPr>
            <w:r w:rsidRPr="006070EA">
              <w:rPr>
                <w:rFonts w:asciiTheme="majorHAnsi" w:hAnsiTheme="majorHAnsi" w:cstheme="majorHAnsi"/>
                <w:bCs/>
                <w:color w:val="000000"/>
                <w:szCs w:val="18"/>
                <w:lang w:val="cs-CZ"/>
              </w:rPr>
              <w:t>Hercynská pohoří</w:t>
            </w:r>
          </w:p>
        </w:tc>
      </w:tr>
      <w:tr w:rsidR="0024056D" w:rsidRPr="006070EA" w14:paraId="1147B7C8" w14:textId="77777777" w:rsidTr="000E35EE">
        <w:trPr>
          <w:trHeight w:val="283"/>
          <w:jc w:val="center"/>
        </w:trPr>
        <w:tc>
          <w:tcPr>
            <w:tcW w:w="1401" w:type="dxa"/>
            <w:tcBorders>
              <w:top w:val="single" w:sz="12" w:space="0" w:color="auto"/>
              <w:left w:val="nil"/>
              <w:bottom w:val="single" w:sz="12" w:space="0" w:color="auto"/>
              <w:right w:val="single" w:sz="12" w:space="0" w:color="auto"/>
            </w:tcBorders>
            <w:shd w:val="clear" w:color="auto" w:fill="auto"/>
            <w:vAlign w:val="center"/>
            <w:hideMark/>
          </w:tcPr>
          <w:p w14:paraId="71D5C07C" w14:textId="77777777" w:rsidR="0024056D" w:rsidRPr="006070EA" w:rsidRDefault="0024056D" w:rsidP="000E35EE">
            <w:pPr>
              <w:pStyle w:val="Bezmezer"/>
              <w:rPr>
                <w:rFonts w:asciiTheme="majorHAnsi" w:hAnsiTheme="majorHAnsi" w:cstheme="majorHAnsi"/>
                <w:bCs/>
                <w:color w:val="000000"/>
                <w:szCs w:val="18"/>
                <w:lang w:val="cs-CZ"/>
              </w:rPr>
            </w:pPr>
            <w:r w:rsidRPr="006070EA">
              <w:rPr>
                <w:rFonts w:asciiTheme="majorHAnsi" w:hAnsiTheme="majorHAnsi" w:cstheme="majorHAnsi"/>
                <w:bCs/>
                <w:color w:val="000000"/>
                <w:szCs w:val="18"/>
                <w:lang w:val="cs-CZ"/>
              </w:rPr>
              <w:t>provincie</w:t>
            </w:r>
          </w:p>
        </w:tc>
        <w:tc>
          <w:tcPr>
            <w:tcW w:w="6787" w:type="dxa"/>
            <w:tcBorders>
              <w:top w:val="single" w:sz="4" w:space="0" w:color="auto"/>
              <w:left w:val="single" w:sz="12" w:space="0" w:color="auto"/>
              <w:bottom w:val="single" w:sz="4" w:space="0" w:color="auto"/>
              <w:right w:val="nil"/>
            </w:tcBorders>
            <w:shd w:val="clear" w:color="auto" w:fill="auto"/>
            <w:vAlign w:val="center"/>
            <w:hideMark/>
          </w:tcPr>
          <w:p w14:paraId="30463ABA" w14:textId="77777777" w:rsidR="0024056D" w:rsidRPr="006070EA" w:rsidRDefault="0024056D" w:rsidP="000E35EE">
            <w:pPr>
              <w:pStyle w:val="Bezmezer"/>
              <w:rPr>
                <w:rFonts w:asciiTheme="majorHAnsi" w:hAnsiTheme="majorHAnsi" w:cstheme="majorHAnsi"/>
                <w:bCs/>
                <w:color w:val="000000"/>
                <w:szCs w:val="18"/>
                <w:lang w:val="cs-CZ"/>
              </w:rPr>
            </w:pPr>
            <w:r w:rsidRPr="006070EA">
              <w:rPr>
                <w:rFonts w:asciiTheme="majorHAnsi" w:hAnsiTheme="majorHAnsi" w:cstheme="majorHAnsi"/>
                <w:bCs/>
                <w:color w:val="000000"/>
                <w:szCs w:val="18"/>
                <w:lang w:val="cs-CZ"/>
              </w:rPr>
              <w:t>Česká vysočina</w:t>
            </w:r>
          </w:p>
        </w:tc>
      </w:tr>
      <w:tr w:rsidR="0024056D" w:rsidRPr="006070EA" w14:paraId="76EF2786" w14:textId="77777777" w:rsidTr="000E35EE">
        <w:trPr>
          <w:trHeight w:val="283"/>
          <w:jc w:val="center"/>
        </w:trPr>
        <w:tc>
          <w:tcPr>
            <w:tcW w:w="1401" w:type="dxa"/>
            <w:tcBorders>
              <w:top w:val="single" w:sz="12" w:space="0" w:color="auto"/>
              <w:left w:val="nil"/>
              <w:bottom w:val="single" w:sz="12" w:space="0" w:color="auto"/>
              <w:right w:val="single" w:sz="12" w:space="0" w:color="auto"/>
            </w:tcBorders>
            <w:shd w:val="clear" w:color="auto" w:fill="auto"/>
            <w:vAlign w:val="center"/>
            <w:hideMark/>
          </w:tcPr>
          <w:p w14:paraId="07622EB4" w14:textId="77777777" w:rsidR="0024056D" w:rsidRPr="006070EA" w:rsidRDefault="0024056D" w:rsidP="000E35EE">
            <w:pPr>
              <w:pStyle w:val="Bezmezer"/>
              <w:rPr>
                <w:rFonts w:asciiTheme="majorHAnsi" w:hAnsiTheme="majorHAnsi" w:cstheme="majorHAnsi"/>
                <w:bCs/>
                <w:color w:val="000000"/>
                <w:szCs w:val="18"/>
                <w:lang w:val="cs-CZ"/>
              </w:rPr>
            </w:pPr>
            <w:r w:rsidRPr="006070EA">
              <w:rPr>
                <w:rFonts w:asciiTheme="majorHAnsi" w:hAnsiTheme="majorHAnsi" w:cstheme="majorHAnsi"/>
                <w:bCs/>
                <w:color w:val="000000"/>
                <w:szCs w:val="18"/>
                <w:lang w:val="cs-CZ"/>
              </w:rPr>
              <w:t>subprovincie</w:t>
            </w:r>
          </w:p>
        </w:tc>
        <w:tc>
          <w:tcPr>
            <w:tcW w:w="6787" w:type="dxa"/>
            <w:tcBorders>
              <w:top w:val="single" w:sz="4" w:space="0" w:color="auto"/>
              <w:left w:val="single" w:sz="12" w:space="0" w:color="auto"/>
              <w:bottom w:val="single" w:sz="4" w:space="0" w:color="auto"/>
              <w:right w:val="nil"/>
            </w:tcBorders>
            <w:shd w:val="clear" w:color="auto" w:fill="auto"/>
            <w:vAlign w:val="center"/>
            <w:hideMark/>
          </w:tcPr>
          <w:p w14:paraId="5CA667F6" w14:textId="77777777" w:rsidR="0024056D" w:rsidRPr="006070EA" w:rsidRDefault="0024056D" w:rsidP="000E35EE">
            <w:pPr>
              <w:pStyle w:val="Bezmezer"/>
              <w:rPr>
                <w:rFonts w:asciiTheme="majorHAnsi" w:hAnsiTheme="majorHAnsi" w:cstheme="majorHAnsi"/>
                <w:bCs/>
                <w:color w:val="000000"/>
                <w:szCs w:val="18"/>
                <w:lang w:val="cs-CZ"/>
              </w:rPr>
            </w:pPr>
            <w:r w:rsidRPr="006070EA">
              <w:rPr>
                <w:rFonts w:asciiTheme="majorHAnsi" w:hAnsiTheme="majorHAnsi" w:cstheme="majorHAnsi"/>
                <w:bCs/>
                <w:color w:val="000000"/>
                <w:szCs w:val="18"/>
                <w:lang w:val="cs-CZ"/>
              </w:rPr>
              <w:t>VI - Česká tabule</w:t>
            </w:r>
          </w:p>
        </w:tc>
      </w:tr>
      <w:tr w:rsidR="0024056D" w:rsidRPr="006070EA" w14:paraId="136E6CE8" w14:textId="77777777" w:rsidTr="000E35EE">
        <w:trPr>
          <w:trHeight w:val="283"/>
          <w:jc w:val="center"/>
        </w:trPr>
        <w:tc>
          <w:tcPr>
            <w:tcW w:w="1401" w:type="dxa"/>
            <w:tcBorders>
              <w:top w:val="single" w:sz="12" w:space="0" w:color="auto"/>
              <w:left w:val="nil"/>
              <w:bottom w:val="single" w:sz="12" w:space="0" w:color="auto"/>
              <w:right w:val="single" w:sz="12" w:space="0" w:color="auto"/>
            </w:tcBorders>
            <w:shd w:val="clear" w:color="auto" w:fill="auto"/>
            <w:vAlign w:val="center"/>
            <w:hideMark/>
          </w:tcPr>
          <w:p w14:paraId="4FCC33BE" w14:textId="77777777" w:rsidR="0024056D" w:rsidRPr="006070EA" w:rsidRDefault="0024056D" w:rsidP="000E35EE">
            <w:pPr>
              <w:pStyle w:val="Bezmezer"/>
              <w:rPr>
                <w:rFonts w:asciiTheme="majorHAnsi" w:hAnsiTheme="majorHAnsi" w:cstheme="majorHAnsi"/>
                <w:bCs/>
                <w:color w:val="000000"/>
                <w:szCs w:val="18"/>
                <w:lang w:val="cs-CZ"/>
              </w:rPr>
            </w:pPr>
            <w:r w:rsidRPr="006070EA">
              <w:rPr>
                <w:rFonts w:asciiTheme="majorHAnsi" w:hAnsiTheme="majorHAnsi" w:cstheme="majorHAnsi"/>
                <w:bCs/>
                <w:color w:val="000000"/>
                <w:szCs w:val="18"/>
                <w:lang w:val="cs-CZ"/>
              </w:rPr>
              <w:t>oblast</w:t>
            </w:r>
          </w:p>
        </w:tc>
        <w:tc>
          <w:tcPr>
            <w:tcW w:w="6787" w:type="dxa"/>
            <w:tcBorders>
              <w:top w:val="single" w:sz="4" w:space="0" w:color="auto"/>
              <w:left w:val="single" w:sz="12" w:space="0" w:color="auto"/>
              <w:bottom w:val="single" w:sz="4" w:space="0" w:color="auto"/>
              <w:right w:val="nil"/>
            </w:tcBorders>
            <w:shd w:val="clear" w:color="auto" w:fill="auto"/>
            <w:vAlign w:val="center"/>
            <w:hideMark/>
          </w:tcPr>
          <w:p w14:paraId="67E9E7CC" w14:textId="77777777" w:rsidR="0024056D" w:rsidRPr="006070EA" w:rsidRDefault="0024056D" w:rsidP="000E35EE">
            <w:pPr>
              <w:pStyle w:val="Bezmezer"/>
              <w:rPr>
                <w:rFonts w:asciiTheme="majorHAnsi" w:hAnsiTheme="majorHAnsi" w:cstheme="majorHAnsi"/>
                <w:bCs/>
                <w:color w:val="000000"/>
                <w:szCs w:val="18"/>
                <w:lang w:val="cs-CZ"/>
              </w:rPr>
            </w:pPr>
            <w:r w:rsidRPr="006070EA">
              <w:rPr>
                <w:rFonts w:asciiTheme="majorHAnsi" w:hAnsiTheme="majorHAnsi" w:cstheme="majorHAnsi"/>
                <w:bCs/>
                <w:color w:val="000000"/>
                <w:szCs w:val="18"/>
                <w:lang w:val="cs-CZ"/>
              </w:rPr>
              <w:t>VIB – Středočeská tabule</w:t>
            </w:r>
          </w:p>
        </w:tc>
      </w:tr>
      <w:tr w:rsidR="0024056D" w:rsidRPr="006070EA" w14:paraId="185B8F34" w14:textId="77777777" w:rsidTr="000E35EE">
        <w:trPr>
          <w:trHeight w:val="283"/>
          <w:jc w:val="center"/>
        </w:trPr>
        <w:tc>
          <w:tcPr>
            <w:tcW w:w="1401" w:type="dxa"/>
            <w:tcBorders>
              <w:top w:val="single" w:sz="12" w:space="0" w:color="auto"/>
              <w:left w:val="nil"/>
              <w:bottom w:val="single" w:sz="12" w:space="0" w:color="auto"/>
              <w:right w:val="single" w:sz="12" w:space="0" w:color="auto"/>
            </w:tcBorders>
            <w:shd w:val="clear" w:color="auto" w:fill="auto"/>
            <w:vAlign w:val="center"/>
            <w:hideMark/>
          </w:tcPr>
          <w:p w14:paraId="0E54B40F" w14:textId="77777777" w:rsidR="0024056D" w:rsidRPr="006070EA" w:rsidRDefault="0024056D" w:rsidP="000E35EE">
            <w:pPr>
              <w:pStyle w:val="Bezmezer"/>
              <w:rPr>
                <w:rFonts w:asciiTheme="majorHAnsi" w:hAnsiTheme="majorHAnsi" w:cstheme="majorHAnsi"/>
                <w:bCs/>
                <w:color w:val="000000"/>
                <w:szCs w:val="18"/>
                <w:lang w:val="cs-CZ"/>
              </w:rPr>
            </w:pPr>
            <w:r w:rsidRPr="006070EA">
              <w:rPr>
                <w:rFonts w:asciiTheme="majorHAnsi" w:hAnsiTheme="majorHAnsi" w:cstheme="majorHAnsi"/>
                <w:bCs/>
                <w:color w:val="000000"/>
                <w:szCs w:val="18"/>
                <w:lang w:val="cs-CZ"/>
              </w:rPr>
              <w:t>celek</w:t>
            </w:r>
          </w:p>
        </w:tc>
        <w:tc>
          <w:tcPr>
            <w:tcW w:w="6787" w:type="dxa"/>
            <w:tcBorders>
              <w:top w:val="single" w:sz="4" w:space="0" w:color="auto"/>
              <w:left w:val="single" w:sz="12" w:space="0" w:color="auto"/>
              <w:bottom w:val="single" w:sz="4" w:space="0" w:color="auto"/>
              <w:right w:val="nil"/>
            </w:tcBorders>
            <w:shd w:val="clear" w:color="auto" w:fill="auto"/>
            <w:vAlign w:val="center"/>
          </w:tcPr>
          <w:p w14:paraId="3FE391C2" w14:textId="406B895A" w:rsidR="0024056D" w:rsidRPr="006070EA" w:rsidRDefault="0024056D" w:rsidP="000E35EE">
            <w:pPr>
              <w:pStyle w:val="Bezmezer"/>
              <w:rPr>
                <w:rFonts w:asciiTheme="majorHAnsi" w:hAnsiTheme="majorHAnsi" w:cstheme="majorHAnsi"/>
                <w:bCs/>
                <w:i/>
                <w:color w:val="000000"/>
                <w:szCs w:val="18"/>
                <w:lang w:val="cs-CZ"/>
              </w:rPr>
            </w:pPr>
            <w:r w:rsidRPr="006070EA">
              <w:rPr>
                <w:rFonts w:asciiTheme="majorHAnsi" w:hAnsiTheme="majorHAnsi" w:cstheme="majorHAnsi"/>
                <w:bCs/>
                <w:color w:val="000000"/>
                <w:szCs w:val="18"/>
                <w:lang w:val="cs-CZ"/>
              </w:rPr>
              <w:t>VIB – 3 – Středolabská tabule</w:t>
            </w:r>
          </w:p>
        </w:tc>
      </w:tr>
      <w:tr w:rsidR="0024056D" w:rsidRPr="006070EA" w14:paraId="499A7E03" w14:textId="77777777" w:rsidTr="000E35EE">
        <w:trPr>
          <w:trHeight w:val="283"/>
          <w:jc w:val="center"/>
        </w:trPr>
        <w:tc>
          <w:tcPr>
            <w:tcW w:w="1401" w:type="dxa"/>
            <w:tcBorders>
              <w:top w:val="single" w:sz="12" w:space="0" w:color="auto"/>
              <w:left w:val="nil"/>
              <w:bottom w:val="single" w:sz="12" w:space="0" w:color="auto"/>
              <w:right w:val="single" w:sz="12" w:space="0" w:color="auto"/>
            </w:tcBorders>
            <w:shd w:val="clear" w:color="auto" w:fill="auto"/>
            <w:vAlign w:val="center"/>
            <w:hideMark/>
          </w:tcPr>
          <w:p w14:paraId="0B917B8F" w14:textId="77777777" w:rsidR="0024056D" w:rsidRPr="006070EA" w:rsidRDefault="0024056D" w:rsidP="000E35EE">
            <w:pPr>
              <w:pStyle w:val="Bezmezer"/>
              <w:rPr>
                <w:rFonts w:asciiTheme="majorHAnsi" w:hAnsiTheme="majorHAnsi" w:cstheme="majorHAnsi"/>
                <w:bCs/>
                <w:color w:val="000000"/>
                <w:szCs w:val="18"/>
                <w:lang w:val="cs-CZ"/>
              </w:rPr>
            </w:pPr>
            <w:r w:rsidRPr="006070EA">
              <w:rPr>
                <w:rFonts w:asciiTheme="majorHAnsi" w:hAnsiTheme="majorHAnsi" w:cstheme="majorHAnsi"/>
                <w:bCs/>
                <w:color w:val="000000"/>
                <w:szCs w:val="18"/>
                <w:lang w:val="cs-CZ"/>
              </w:rPr>
              <w:t>podcelek</w:t>
            </w:r>
          </w:p>
        </w:tc>
        <w:tc>
          <w:tcPr>
            <w:tcW w:w="6787" w:type="dxa"/>
            <w:tcBorders>
              <w:top w:val="single" w:sz="4" w:space="0" w:color="auto"/>
              <w:left w:val="single" w:sz="12" w:space="0" w:color="auto"/>
              <w:bottom w:val="single" w:sz="4" w:space="0" w:color="auto"/>
              <w:right w:val="nil"/>
            </w:tcBorders>
            <w:shd w:val="clear" w:color="auto" w:fill="auto"/>
            <w:vAlign w:val="center"/>
          </w:tcPr>
          <w:p w14:paraId="4C4336CF" w14:textId="78810833" w:rsidR="0024056D" w:rsidRPr="006070EA" w:rsidRDefault="0024056D" w:rsidP="000E35EE">
            <w:pPr>
              <w:pStyle w:val="Bezmezer"/>
              <w:rPr>
                <w:rFonts w:asciiTheme="majorHAnsi" w:hAnsiTheme="majorHAnsi" w:cstheme="majorHAnsi"/>
                <w:bCs/>
                <w:color w:val="000000"/>
                <w:szCs w:val="18"/>
                <w:lang w:val="cs-CZ"/>
              </w:rPr>
            </w:pPr>
            <w:r w:rsidRPr="006070EA">
              <w:rPr>
                <w:rFonts w:asciiTheme="majorHAnsi" w:hAnsiTheme="majorHAnsi" w:cstheme="majorHAnsi"/>
                <w:bCs/>
                <w:color w:val="000000"/>
                <w:szCs w:val="18"/>
                <w:lang w:val="cs-CZ"/>
              </w:rPr>
              <w:t>VIB – 3A – Nymburská kotlina</w:t>
            </w:r>
          </w:p>
        </w:tc>
      </w:tr>
      <w:tr w:rsidR="0024056D" w:rsidRPr="006070EA" w14:paraId="4C2E59A9" w14:textId="77777777" w:rsidTr="000E35EE">
        <w:trPr>
          <w:trHeight w:val="283"/>
          <w:jc w:val="center"/>
        </w:trPr>
        <w:tc>
          <w:tcPr>
            <w:tcW w:w="1401" w:type="dxa"/>
            <w:tcBorders>
              <w:top w:val="single" w:sz="12" w:space="0" w:color="auto"/>
              <w:left w:val="nil"/>
              <w:bottom w:val="nil"/>
              <w:right w:val="single" w:sz="12" w:space="0" w:color="auto"/>
            </w:tcBorders>
            <w:shd w:val="clear" w:color="auto" w:fill="auto"/>
            <w:vAlign w:val="center"/>
            <w:hideMark/>
          </w:tcPr>
          <w:p w14:paraId="46E118A0" w14:textId="77777777" w:rsidR="0024056D" w:rsidRPr="006070EA" w:rsidRDefault="0024056D" w:rsidP="000E35EE">
            <w:pPr>
              <w:pStyle w:val="Bezmezer"/>
              <w:rPr>
                <w:rFonts w:asciiTheme="majorHAnsi" w:hAnsiTheme="majorHAnsi" w:cstheme="majorHAnsi"/>
                <w:bCs/>
                <w:color w:val="000000"/>
                <w:szCs w:val="18"/>
                <w:lang w:val="cs-CZ"/>
              </w:rPr>
            </w:pPr>
            <w:r w:rsidRPr="006070EA">
              <w:rPr>
                <w:rFonts w:asciiTheme="majorHAnsi" w:hAnsiTheme="majorHAnsi" w:cstheme="majorHAnsi"/>
                <w:bCs/>
                <w:color w:val="000000"/>
                <w:szCs w:val="18"/>
                <w:lang w:val="cs-CZ"/>
              </w:rPr>
              <w:t>okrsky</w:t>
            </w:r>
          </w:p>
        </w:tc>
        <w:tc>
          <w:tcPr>
            <w:tcW w:w="6787" w:type="dxa"/>
            <w:tcBorders>
              <w:top w:val="single" w:sz="4" w:space="0" w:color="auto"/>
              <w:left w:val="single" w:sz="12" w:space="0" w:color="auto"/>
              <w:bottom w:val="nil"/>
              <w:right w:val="nil"/>
            </w:tcBorders>
            <w:shd w:val="clear" w:color="auto" w:fill="auto"/>
            <w:vAlign w:val="center"/>
          </w:tcPr>
          <w:p w14:paraId="447A7C4E" w14:textId="77777777" w:rsidR="0024056D" w:rsidRPr="006070EA" w:rsidRDefault="0024056D" w:rsidP="000E35EE">
            <w:pPr>
              <w:pStyle w:val="Bezmezer"/>
              <w:rPr>
                <w:rFonts w:asciiTheme="majorHAnsi" w:hAnsiTheme="majorHAnsi" w:cstheme="majorHAnsi"/>
                <w:bCs/>
                <w:color w:val="000000"/>
                <w:szCs w:val="18"/>
                <w:lang w:val="cs-CZ"/>
              </w:rPr>
            </w:pPr>
            <w:r w:rsidRPr="006070EA">
              <w:rPr>
                <w:rFonts w:asciiTheme="majorHAnsi" w:hAnsiTheme="majorHAnsi" w:cstheme="majorHAnsi"/>
                <w:bCs/>
                <w:color w:val="000000"/>
                <w:szCs w:val="18"/>
                <w:lang w:val="cs-CZ"/>
              </w:rPr>
              <w:t>VIB – 3A – 2 - Milovická kotlina</w:t>
            </w:r>
          </w:p>
          <w:p w14:paraId="29FF8F6F" w14:textId="77777777" w:rsidR="0024056D" w:rsidRPr="006070EA" w:rsidRDefault="0024056D" w:rsidP="000E35EE">
            <w:pPr>
              <w:pStyle w:val="Bezmezer"/>
              <w:rPr>
                <w:rFonts w:asciiTheme="majorHAnsi" w:hAnsiTheme="majorHAnsi" w:cstheme="majorHAnsi"/>
                <w:bCs/>
                <w:color w:val="000000"/>
                <w:szCs w:val="18"/>
                <w:lang w:val="cs-CZ"/>
              </w:rPr>
            </w:pPr>
            <w:r w:rsidRPr="006070EA">
              <w:rPr>
                <w:rFonts w:asciiTheme="majorHAnsi" w:hAnsiTheme="majorHAnsi" w:cstheme="majorHAnsi"/>
                <w:bCs/>
                <w:color w:val="000000"/>
                <w:szCs w:val="18"/>
                <w:lang w:val="cs-CZ"/>
              </w:rPr>
              <w:t>VIB – 3A – 5 – Středolabská niva</w:t>
            </w:r>
          </w:p>
        </w:tc>
      </w:tr>
    </w:tbl>
    <w:p w14:paraId="0FC1203C" w14:textId="0E80971D" w:rsidR="0024056D" w:rsidRPr="006070EA" w:rsidRDefault="00294610" w:rsidP="0024056D">
      <w:pPr>
        <w:pStyle w:val="Atext"/>
        <w:rPr>
          <w:rFonts w:asciiTheme="majorHAnsi" w:hAnsiTheme="majorHAnsi" w:cstheme="majorHAnsi"/>
          <w:color w:val="000000"/>
          <w:szCs w:val="18"/>
        </w:rPr>
      </w:pPr>
      <w:r w:rsidRPr="006070EA">
        <w:rPr>
          <w:rFonts w:asciiTheme="majorHAnsi" w:hAnsiTheme="majorHAnsi" w:cstheme="majorHAnsi"/>
          <w:color w:val="000000"/>
          <w:szCs w:val="18"/>
        </w:rPr>
        <w:t>S</w:t>
      </w:r>
      <w:r w:rsidR="0024056D" w:rsidRPr="006070EA">
        <w:rPr>
          <w:rFonts w:asciiTheme="majorHAnsi" w:hAnsiTheme="majorHAnsi" w:cstheme="majorHAnsi"/>
          <w:color w:val="000000"/>
          <w:szCs w:val="18"/>
        </w:rPr>
        <w:t xml:space="preserve">kladba </w:t>
      </w:r>
      <w:r w:rsidRPr="006070EA">
        <w:rPr>
          <w:rFonts w:asciiTheme="majorHAnsi" w:hAnsiTheme="majorHAnsi" w:cstheme="majorHAnsi"/>
          <w:color w:val="000000"/>
          <w:szCs w:val="18"/>
        </w:rPr>
        <w:t xml:space="preserve">hornin v </w:t>
      </w:r>
      <w:r w:rsidR="0024056D" w:rsidRPr="006070EA">
        <w:rPr>
          <w:rFonts w:asciiTheme="majorHAnsi" w:hAnsiTheme="majorHAnsi" w:cstheme="majorHAnsi"/>
          <w:color w:val="000000"/>
          <w:szCs w:val="18"/>
        </w:rPr>
        <w:t>oblasti je poměrně jednoduchá, výhradně tvořena mladšími nezvrásněnými sedimenty. Podloží tvoří mocné souvrství opuk (slínitých pískovců) a slínovců; vystupuje z roviny ve formě dvou protáhlých hřbetů, Cecemínského a</w:t>
      </w:r>
      <w:r w:rsidR="00433C39" w:rsidRPr="006070EA">
        <w:rPr>
          <w:rFonts w:asciiTheme="majorHAnsi" w:hAnsiTheme="majorHAnsi" w:cstheme="majorHAnsi"/>
          <w:color w:val="000000"/>
          <w:szCs w:val="18"/>
        </w:rPr>
        <w:t> </w:t>
      </w:r>
      <w:r w:rsidR="0024056D" w:rsidRPr="006070EA">
        <w:rPr>
          <w:rFonts w:asciiTheme="majorHAnsi" w:hAnsiTheme="majorHAnsi" w:cstheme="majorHAnsi"/>
          <w:color w:val="000000"/>
          <w:szCs w:val="18"/>
        </w:rPr>
        <w:t>Turbovického, na jehož severozápadním konci stojí historické jádro města Mělník. Tvoří i několik menších, ale poměrně výrazných pahorků (Dřínovský vrch, Přerovská a Semická hůra, Chotuc u Křince, Oškobrh) a plošiny v Nymburské kotlině. Třetinu plochy oblasti však pokrývají kyselé pleistocénní štěrkopískové terasy Labe a jeho přítoků. Pro jejich vysýchavost a neúrodnost jsou zpravidla zalesněny bory. Podél Labe a přítoků 87 se táhne 1-2,5 km široká niva Labe, tvořená převážně vápnitými živnými písčitými hlínami. Na Vltavě před jejím ústím do Labe šířka nivy dosahuje 3,5 – 4,5 km. Pouze v</w:t>
      </w:r>
      <w:r w:rsidRPr="006070EA">
        <w:rPr>
          <w:rFonts w:asciiTheme="majorHAnsi" w:hAnsiTheme="majorHAnsi" w:cstheme="majorHAnsi"/>
          <w:color w:val="000000"/>
          <w:szCs w:val="18"/>
        </w:rPr>
        <w:t> </w:t>
      </w:r>
      <w:r w:rsidR="0024056D" w:rsidRPr="006070EA">
        <w:rPr>
          <w:rFonts w:asciiTheme="majorHAnsi" w:hAnsiTheme="majorHAnsi" w:cstheme="majorHAnsi"/>
          <w:color w:val="000000"/>
          <w:szCs w:val="18"/>
        </w:rPr>
        <w:t>depresích mimo dosah bývalých záplav se vyvinuly organozemní slatiny, jako velmi vzácný typ substrátu.</w:t>
      </w:r>
    </w:p>
    <w:p w14:paraId="5E838CA6" w14:textId="5EC4E7C0" w:rsidR="0024056D" w:rsidRPr="006070EA" w:rsidRDefault="0024056D" w:rsidP="0024056D">
      <w:pPr>
        <w:spacing w:after="60" w:line="240" w:lineRule="auto"/>
        <w:ind w:firstLine="709"/>
        <w:jc w:val="both"/>
        <w:rPr>
          <w:rFonts w:asciiTheme="majorHAnsi" w:hAnsiTheme="majorHAnsi" w:cstheme="majorHAnsi"/>
          <w:bCs/>
          <w:color w:val="FF0000"/>
          <w:sz w:val="18"/>
          <w:szCs w:val="18"/>
        </w:rPr>
      </w:pPr>
      <w:r w:rsidRPr="006070EA">
        <w:rPr>
          <w:rFonts w:asciiTheme="majorHAnsi" w:hAnsiTheme="majorHAnsi" w:cstheme="majorHAnsi"/>
          <w:bCs/>
          <w:color w:val="000000"/>
          <w:sz w:val="18"/>
          <w:szCs w:val="18"/>
        </w:rPr>
        <w:t>Celé území leží v geomorfologické subprovincii Česká tabule, která náleží do provincie Česká Vysočina. Součástí subprovincie Česká tabule je oblast Středočeská tabule.</w:t>
      </w:r>
    </w:p>
    <w:p w14:paraId="50C336A6" w14:textId="77777777" w:rsidR="00AB1F4C" w:rsidRPr="006070EA" w:rsidRDefault="00AB1F4C" w:rsidP="009E07E1">
      <w:pPr>
        <w:keepNext/>
        <w:spacing w:before="120" w:after="120" w:line="240" w:lineRule="auto"/>
        <w:rPr>
          <w:rFonts w:asciiTheme="majorHAnsi" w:hAnsiTheme="majorHAnsi" w:cstheme="majorHAnsi"/>
          <w:b/>
          <w:sz w:val="18"/>
        </w:rPr>
      </w:pPr>
      <w:r w:rsidRPr="006070EA">
        <w:rPr>
          <w:rFonts w:asciiTheme="majorHAnsi" w:hAnsiTheme="majorHAnsi" w:cstheme="majorHAnsi"/>
          <w:b/>
          <w:sz w:val="18"/>
        </w:rPr>
        <w:lastRenderedPageBreak/>
        <w:t>Hydrologické podmínky</w:t>
      </w:r>
    </w:p>
    <w:p w14:paraId="47CF19F8" w14:textId="05B160FE" w:rsidR="0024056D" w:rsidRPr="006070EA" w:rsidRDefault="0024056D" w:rsidP="0024056D">
      <w:pPr>
        <w:pStyle w:val="Atext"/>
        <w:rPr>
          <w:rFonts w:asciiTheme="majorHAnsi" w:hAnsiTheme="majorHAnsi" w:cstheme="majorHAnsi"/>
          <w:color w:val="000000"/>
        </w:rPr>
      </w:pPr>
      <w:r w:rsidRPr="006070EA">
        <w:rPr>
          <w:rFonts w:asciiTheme="majorHAnsi" w:hAnsiTheme="majorHAnsi" w:cstheme="majorHAnsi"/>
          <w:color w:val="000000"/>
        </w:rPr>
        <w:t>Z hlediska hydrogeologické rajonizace náleží řešené území do rajonu 4360 Labská křída v sedimentech svrchní křídy,</w:t>
      </w:r>
      <w:r w:rsidR="00294610" w:rsidRPr="006070EA">
        <w:rPr>
          <w:rFonts w:asciiTheme="majorHAnsi" w:hAnsiTheme="majorHAnsi" w:cstheme="majorHAnsi"/>
          <w:color w:val="000000"/>
        </w:rPr>
        <w:t xml:space="preserve"> </w:t>
      </w:r>
      <w:r w:rsidRPr="006070EA">
        <w:rPr>
          <w:rFonts w:asciiTheme="majorHAnsi" w:hAnsiTheme="majorHAnsi" w:cstheme="majorHAnsi"/>
          <w:color w:val="000000"/>
        </w:rPr>
        <w:t xml:space="preserve">povodí Labe, hlavního povodí Labe, a částečně do rajonu 1171 Kvartér Labe po Jizeru ve svrchní vrstvě, povodí Labe, hlavní povodí Labe a dále do rajonu 4710 Bazální křídový kolektor na Jizeře, povodí Labe, hlavní povodí Labe. </w:t>
      </w:r>
    </w:p>
    <w:p w14:paraId="6F2425AB" w14:textId="77777777" w:rsidR="0024056D" w:rsidRPr="006070EA" w:rsidRDefault="0024056D" w:rsidP="0024056D">
      <w:pPr>
        <w:pStyle w:val="Anadpispodtren"/>
        <w:rPr>
          <w:rFonts w:asciiTheme="majorHAnsi" w:hAnsiTheme="majorHAnsi" w:cstheme="majorHAnsi"/>
          <w:color w:val="000000"/>
        </w:rPr>
      </w:pPr>
      <w:r w:rsidRPr="006070EA">
        <w:rPr>
          <w:rFonts w:asciiTheme="majorHAnsi" w:hAnsiTheme="majorHAnsi" w:cstheme="majorHAnsi"/>
          <w:color w:val="000000"/>
        </w:rPr>
        <w:t>Vodní toky</w:t>
      </w:r>
    </w:p>
    <w:p w14:paraId="03F89FD0" w14:textId="0BECD140" w:rsidR="00294610" w:rsidRPr="006070EA" w:rsidRDefault="0024056D" w:rsidP="0024056D">
      <w:pPr>
        <w:pStyle w:val="Atext"/>
        <w:rPr>
          <w:rFonts w:asciiTheme="majorHAnsi" w:hAnsiTheme="majorHAnsi" w:cstheme="majorHAnsi"/>
          <w:color w:val="000000"/>
        </w:rPr>
      </w:pPr>
      <w:r w:rsidRPr="006070EA">
        <w:rPr>
          <w:rFonts w:asciiTheme="majorHAnsi" w:hAnsiTheme="majorHAnsi" w:cstheme="majorHAnsi"/>
          <w:color w:val="000000"/>
        </w:rPr>
        <w:t xml:space="preserve">Nejvýznamnějším vodním tokem v území je </w:t>
      </w:r>
      <w:r w:rsidR="00294610" w:rsidRPr="006070EA">
        <w:rPr>
          <w:rFonts w:asciiTheme="majorHAnsi" w:hAnsiTheme="majorHAnsi" w:cstheme="majorHAnsi"/>
          <w:color w:val="000000"/>
        </w:rPr>
        <w:t xml:space="preserve">řeka </w:t>
      </w:r>
      <w:r w:rsidRPr="006070EA">
        <w:rPr>
          <w:rFonts w:asciiTheme="majorHAnsi" w:hAnsiTheme="majorHAnsi" w:cstheme="majorHAnsi"/>
          <w:color w:val="000000"/>
        </w:rPr>
        <w:t>Labe, kter</w:t>
      </w:r>
      <w:r w:rsidR="00294610" w:rsidRPr="006070EA">
        <w:rPr>
          <w:rFonts w:asciiTheme="majorHAnsi" w:hAnsiTheme="majorHAnsi" w:cstheme="majorHAnsi"/>
          <w:color w:val="000000"/>
        </w:rPr>
        <w:t>á</w:t>
      </w:r>
      <w:r w:rsidRPr="006070EA">
        <w:rPr>
          <w:rFonts w:asciiTheme="majorHAnsi" w:hAnsiTheme="majorHAnsi" w:cstheme="majorHAnsi"/>
          <w:color w:val="000000"/>
        </w:rPr>
        <w:t xml:space="preserve"> lemuje hranici k. ú. Kostomlaty nad Labem v jeho jižní části. Jedná se jeden z nejvýznamnějších vodních toků v ČR i </w:t>
      </w:r>
      <w:r w:rsidR="00294610" w:rsidRPr="006070EA">
        <w:rPr>
          <w:rFonts w:asciiTheme="majorHAnsi" w:hAnsiTheme="majorHAnsi" w:cstheme="majorHAnsi"/>
          <w:color w:val="000000"/>
        </w:rPr>
        <w:t>v celoevropském měřítku</w:t>
      </w:r>
      <w:r w:rsidRPr="006070EA">
        <w:rPr>
          <w:rFonts w:asciiTheme="majorHAnsi" w:hAnsiTheme="majorHAnsi" w:cstheme="majorHAnsi"/>
          <w:color w:val="000000"/>
        </w:rPr>
        <w:t xml:space="preserve"> (vyhláška Mze č.</w:t>
      </w:r>
      <w:r w:rsidR="00294610" w:rsidRPr="006070EA">
        <w:rPr>
          <w:rFonts w:asciiTheme="majorHAnsi" w:hAnsiTheme="majorHAnsi" w:cstheme="majorHAnsi"/>
          <w:color w:val="000000"/>
        </w:rPr>
        <w:t xml:space="preserve"> </w:t>
      </w:r>
      <w:r w:rsidRPr="006070EA">
        <w:rPr>
          <w:rFonts w:asciiTheme="majorHAnsi" w:hAnsiTheme="majorHAnsi" w:cstheme="majorHAnsi"/>
          <w:color w:val="000000"/>
        </w:rPr>
        <w:t xml:space="preserve">267). </w:t>
      </w:r>
      <w:r w:rsidR="00294610" w:rsidRPr="006070EA">
        <w:rPr>
          <w:rFonts w:asciiTheme="majorHAnsi" w:hAnsiTheme="majorHAnsi" w:cstheme="majorHAnsi"/>
          <w:color w:val="000000"/>
        </w:rPr>
        <w:t>V</w:t>
      </w:r>
      <w:r w:rsidRPr="006070EA">
        <w:rPr>
          <w:rFonts w:asciiTheme="majorHAnsi" w:hAnsiTheme="majorHAnsi" w:cstheme="majorHAnsi"/>
          <w:color w:val="000000"/>
        </w:rPr>
        <w:t xml:space="preserve"> řešeném území je </w:t>
      </w:r>
      <w:r w:rsidR="00294610" w:rsidRPr="006070EA">
        <w:rPr>
          <w:rFonts w:asciiTheme="majorHAnsi" w:hAnsiTheme="majorHAnsi" w:cstheme="majorHAnsi"/>
          <w:color w:val="000000"/>
        </w:rPr>
        <w:t xml:space="preserve">na Labi </w:t>
      </w:r>
      <w:r w:rsidRPr="006070EA">
        <w:rPr>
          <w:rFonts w:asciiTheme="majorHAnsi" w:hAnsiTheme="majorHAnsi" w:cstheme="majorHAnsi"/>
          <w:color w:val="000000"/>
        </w:rPr>
        <w:t xml:space="preserve">stanoveno záplavové území včetně aktivní zóny záplavového území. </w:t>
      </w:r>
      <w:r w:rsidR="00DC143E" w:rsidRPr="006070EA">
        <w:rPr>
          <w:rFonts w:asciiTheme="majorHAnsi" w:hAnsiTheme="majorHAnsi" w:cstheme="majorHAnsi"/>
          <w:color w:val="000000"/>
        </w:rPr>
        <w:t>Vodní tok Labe je současně vodní cestou dopravně významnou.</w:t>
      </w:r>
    </w:p>
    <w:p w14:paraId="3BD56FF3" w14:textId="669AC371" w:rsidR="00294610" w:rsidRPr="006070EA" w:rsidRDefault="0024056D" w:rsidP="0024056D">
      <w:pPr>
        <w:pStyle w:val="Atext"/>
        <w:rPr>
          <w:rFonts w:asciiTheme="majorHAnsi" w:hAnsiTheme="majorHAnsi" w:cstheme="majorHAnsi"/>
          <w:color w:val="000000"/>
        </w:rPr>
      </w:pPr>
      <w:r w:rsidRPr="006070EA">
        <w:rPr>
          <w:rFonts w:asciiTheme="majorHAnsi" w:hAnsiTheme="majorHAnsi" w:cstheme="majorHAnsi"/>
          <w:color w:val="000000"/>
        </w:rPr>
        <w:t xml:space="preserve">Dalším vodním tokem </w:t>
      </w:r>
      <w:r w:rsidR="00294610" w:rsidRPr="006070EA">
        <w:rPr>
          <w:rFonts w:asciiTheme="majorHAnsi" w:hAnsiTheme="majorHAnsi" w:cstheme="majorHAnsi"/>
          <w:color w:val="000000"/>
        </w:rPr>
        <w:t xml:space="preserve">v území </w:t>
      </w:r>
      <w:r w:rsidRPr="006070EA">
        <w:rPr>
          <w:rFonts w:asciiTheme="majorHAnsi" w:hAnsiTheme="majorHAnsi" w:cstheme="majorHAnsi"/>
          <w:color w:val="000000"/>
        </w:rPr>
        <w:t xml:space="preserve">je Vlkava s rameny Farský potok, Hronětický náhon a přítokem Hluboký příkop (někdy označována jako potok), která prochází celým řešeným územím od jižní části přes Kostomlaty nad Labem, podél hranic k. ú. Lány u Kostomlat nad Labem po Hronětice a dále po severovýchodní hranici k. ú Hronětice. </w:t>
      </w:r>
      <w:r w:rsidR="00294610" w:rsidRPr="006070EA">
        <w:rPr>
          <w:rFonts w:asciiTheme="majorHAnsi" w:hAnsiTheme="majorHAnsi" w:cstheme="majorHAnsi"/>
          <w:color w:val="000000"/>
        </w:rPr>
        <w:t>Na toku Vlkavy je vyhlášené záplavové území včetně aktivní zóny záplavového území.</w:t>
      </w:r>
    </w:p>
    <w:p w14:paraId="58C60482" w14:textId="4D7A444B" w:rsidR="0024056D" w:rsidRPr="006070EA" w:rsidRDefault="00294610" w:rsidP="0024056D">
      <w:pPr>
        <w:pStyle w:val="Atext"/>
        <w:rPr>
          <w:rFonts w:asciiTheme="majorHAnsi" w:hAnsiTheme="majorHAnsi" w:cstheme="majorHAnsi"/>
          <w:color w:val="000000"/>
        </w:rPr>
      </w:pPr>
      <w:r w:rsidRPr="006070EA">
        <w:rPr>
          <w:rFonts w:asciiTheme="majorHAnsi" w:hAnsiTheme="majorHAnsi" w:cstheme="majorHAnsi"/>
          <w:color w:val="000000"/>
        </w:rPr>
        <w:t xml:space="preserve">Dále řešeným územím protéká </w:t>
      </w:r>
      <w:r w:rsidR="0024056D" w:rsidRPr="006070EA">
        <w:rPr>
          <w:rFonts w:asciiTheme="majorHAnsi" w:hAnsiTheme="majorHAnsi" w:cstheme="majorHAnsi"/>
          <w:color w:val="000000"/>
        </w:rPr>
        <w:t>potok Mlynařice, který vznikl průsakem vod Vlkavy v prostoru mezi Zbožíčkem a</w:t>
      </w:r>
      <w:r w:rsidRPr="006070EA">
        <w:rPr>
          <w:rFonts w:asciiTheme="majorHAnsi" w:hAnsiTheme="majorHAnsi" w:cstheme="majorHAnsi"/>
          <w:color w:val="000000"/>
        </w:rPr>
        <w:t> </w:t>
      </w:r>
      <w:r w:rsidR="0024056D" w:rsidRPr="006070EA">
        <w:rPr>
          <w:rFonts w:asciiTheme="majorHAnsi" w:hAnsiTheme="majorHAnsi" w:cstheme="majorHAnsi"/>
          <w:color w:val="000000"/>
        </w:rPr>
        <w:t xml:space="preserve">Vápenskem. Na území se dále nachází menší odvodňovací zařízení jako Čilecký kanál a jiná bezejmenná zařízení ovlivňující hydrologické poměry. Z širšího pohledu spadá řešené území Labe a Vlkavy do hlavního povodí Labe. </w:t>
      </w:r>
    </w:p>
    <w:p w14:paraId="3FA7E4F0" w14:textId="77777777" w:rsidR="0024056D" w:rsidRPr="006070EA" w:rsidRDefault="0024056D" w:rsidP="0024056D">
      <w:pPr>
        <w:pStyle w:val="Anadpiskurzva"/>
        <w:rPr>
          <w:rFonts w:asciiTheme="majorHAnsi" w:hAnsiTheme="majorHAnsi" w:cstheme="majorHAnsi"/>
          <w:color w:val="000000"/>
        </w:rPr>
      </w:pPr>
      <w:r w:rsidRPr="006070EA">
        <w:rPr>
          <w:rFonts w:asciiTheme="majorHAnsi" w:hAnsiTheme="majorHAnsi" w:cstheme="majorHAnsi"/>
          <w:color w:val="000000"/>
        </w:rPr>
        <w:t>Tab. Hydrologická data a čísla pořadí vodních toků a jejich správci</w:t>
      </w:r>
    </w:p>
    <w:tbl>
      <w:tblPr>
        <w:tblW w:w="0" w:type="auto"/>
        <w:jc w:val="center"/>
        <w:tblBorders>
          <w:insideH w:val="single" w:sz="4" w:space="0" w:color="auto"/>
          <w:insideV w:val="single" w:sz="4" w:space="0" w:color="auto"/>
        </w:tblBorders>
        <w:tblLook w:val="04A0" w:firstRow="1" w:lastRow="0" w:firstColumn="1" w:lastColumn="0" w:noHBand="0" w:noVBand="1"/>
      </w:tblPr>
      <w:tblGrid>
        <w:gridCol w:w="1656"/>
        <w:gridCol w:w="1711"/>
        <w:gridCol w:w="1529"/>
      </w:tblGrid>
      <w:tr w:rsidR="00294610" w:rsidRPr="006070EA" w14:paraId="56B03700" w14:textId="77777777" w:rsidTr="00FC1E99">
        <w:trPr>
          <w:cantSplit/>
          <w:trHeight w:val="283"/>
          <w:tblHeader/>
          <w:jc w:val="center"/>
        </w:trPr>
        <w:tc>
          <w:tcPr>
            <w:tcW w:w="1656" w:type="dxa"/>
            <w:tcBorders>
              <w:top w:val="nil"/>
              <w:left w:val="nil"/>
              <w:bottom w:val="single" w:sz="12" w:space="0" w:color="auto"/>
              <w:right w:val="single" w:sz="12" w:space="0" w:color="auto"/>
            </w:tcBorders>
            <w:shd w:val="clear" w:color="auto" w:fill="auto"/>
            <w:vAlign w:val="center"/>
            <w:hideMark/>
          </w:tcPr>
          <w:p w14:paraId="2706B2BE" w14:textId="77777777" w:rsidR="00294610" w:rsidRPr="006070EA" w:rsidRDefault="00294610" w:rsidP="00294610">
            <w:pPr>
              <w:pStyle w:val="Bezmezer"/>
              <w:keepNext/>
              <w:jc w:val="center"/>
              <w:rPr>
                <w:rFonts w:asciiTheme="majorHAnsi" w:hAnsiTheme="majorHAnsi" w:cstheme="majorHAnsi"/>
                <w:b/>
                <w:color w:val="000000"/>
                <w:lang w:val="cs-CZ"/>
              </w:rPr>
            </w:pPr>
            <w:r w:rsidRPr="006070EA">
              <w:rPr>
                <w:rFonts w:asciiTheme="majorHAnsi" w:hAnsiTheme="majorHAnsi" w:cstheme="majorHAnsi"/>
                <w:b/>
                <w:color w:val="000000"/>
                <w:lang w:val="cs-CZ"/>
              </w:rPr>
              <w:t>vodní tok</w:t>
            </w:r>
          </w:p>
        </w:tc>
        <w:tc>
          <w:tcPr>
            <w:tcW w:w="1711" w:type="dxa"/>
            <w:tcBorders>
              <w:top w:val="nil"/>
              <w:left w:val="single" w:sz="12" w:space="0" w:color="auto"/>
              <w:bottom w:val="single" w:sz="12" w:space="0" w:color="auto"/>
              <w:right w:val="single" w:sz="12" w:space="0" w:color="auto"/>
            </w:tcBorders>
            <w:shd w:val="clear" w:color="auto" w:fill="auto"/>
            <w:vAlign w:val="center"/>
            <w:hideMark/>
          </w:tcPr>
          <w:p w14:paraId="4703D78C" w14:textId="77777777" w:rsidR="00294610" w:rsidRPr="006070EA" w:rsidRDefault="00294610" w:rsidP="00294610">
            <w:pPr>
              <w:pStyle w:val="Bezmezer"/>
              <w:keepNext/>
              <w:jc w:val="center"/>
              <w:rPr>
                <w:rFonts w:asciiTheme="majorHAnsi" w:hAnsiTheme="majorHAnsi" w:cstheme="majorHAnsi"/>
                <w:b/>
                <w:color w:val="000000"/>
                <w:lang w:val="cs-CZ"/>
              </w:rPr>
            </w:pPr>
            <w:r w:rsidRPr="006070EA">
              <w:rPr>
                <w:rFonts w:asciiTheme="majorHAnsi" w:hAnsiTheme="majorHAnsi" w:cstheme="majorHAnsi"/>
                <w:b/>
                <w:color w:val="000000"/>
                <w:lang w:val="cs-CZ"/>
              </w:rPr>
              <w:t>id toku</w:t>
            </w:r>
          </w:p>
        </w:tc>
        <w:tc>
          <w:tcPr>
            <w:tcW w:w="1529" w:type="dxa"/>
            <w:tcBorders>
              <w:top w:val="nil"/>
              <w:left w:val="single" w:sz="12" w:space="0" w:color="auto"/>
              <w:bottom w:val="single" w:sz="12" w:space="0" w:color="auto"/>
              <w:right w:val="nil"/>
            </w:tcBorders>
            <w:shd w:val="clear" w:color="auto" w:fill="auto"/>
            <w:vAlign w:val="center"/>
            <w:hideMark/>
          </w:tcPr>
          <w:p w14:paraId="1C507BF5" w14:textId="77777777" w:rsidR="00294610" w:rsidRPr="006070EA" w:rsidRDefault="00294610" w:rsidP="00294610">
            <w:pPr>
              <w:pStyle w:val="Bezmezer"/>
              <w:keepNext/>
              <w:jc w:val="center"/>
              <w:rPr>
                <w:rFonts w:asciiTheme="majorHAnsi" w:hAnsiTheme="majorHAnsi" w:cstheme="majorHAnsi"/>
                <w:b/>
                <w:color w:val="000000"/>
                <w:lang w:val="cs-CZ"/>
              </w:rPr>
            </w:pPr>
            <w:r w:rsidRPr="006070EA">
              <w:rPr>
                <w:rFonts w:asciiTheme="majorHAnsi" w:hAnsiTheme="majorHAnsi" w:cstheme="majorHAnsi"/>
                <w:b/>
                <w:color w:val="000000"/>
                <w:lang w:val="cs-CZ"/>
              </w:rPr>
              <w:t>správce</w:t>
            </w:r>
          </w:p>
        </w:tc>
      </w:tr>
      <w:tr w:rsidR="00294610" w:rsidRPr="006070EA" w14:paraId="3325C717" w14:textId="77777777" w:rsidTr="00FC1E99">
        <w:trPr>
          <w:trHeight w:val="283"/>
          <w:jc w:val="center"/>
        </w:trPr>
        <w:tc>
          <w:tcPr>
            <w:tcW w:w="1656" w:type="dxa"/>
            <w:tcBorders>
              <w:top w:val="single" w:sz="12" w:space="0" w:color="auto"/>
              <w:left w:val="nil"/>
              <w:bottom w:val="single" w:sz="4" w:space="0" w:color="auto"/>
              <w:right w:val="single" w:sz="4" w:space="0" w:color="auto"/>
            </w:tcBorders>
            <w:shd w:val="clear" w:color="auto" w:fill="auto"/>
            <w:vAlign w:val="center"/>
          </w:tcPr>
          <w:p w14:paraId="413AE267" w14:textId="77777777" w:rsidR="00294610" w:rsidRPr="006070EA" w:rsidRDefault="00294610" w:rsidP="00294610">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Labe</w:t>
            </w:r>
          </w:p>
        </w:tc>
        <w:tc>
          <w:tcPr>
            <w:tcW w:w="1711" w:type="dxa"/>
            <w:tcBorders>
              <w:top w:val="single" w:sz="12" w:space="0" w:color="auto"/>
              <w:left w:val="single" w:sz="4" w:space="0" w:color="auto"/>
              <w:bottom w:val="single" w:sz="4" w:space="0" w:color="auto"/>
              <w:right w:val="single" w:sz="4" w:space="0" w:color="auto"/>
            </w:tcBorders>
            <w:shd w:val="clear" w:color="auto" w:fill="auto"/>
            <w:vAlign w:val="center"/>
          </w:tcPr>
          <w:p w14:paraId="0B0C565F" w14:textId="77777777" w:rsidR="00294610" w:rsidRPr="006070EA" w:rsidRDefault="00294610" w:rsidP="00294610">
            <w:pPr>
              <w:pStyle w:val="Bezmezer"/>
              <w:jc w:val="center"/>
              <w:rPr>
                <w:rFonts w:asciiTheme="majorHAnsi" w:hAnsiTheme="majorHAnsi" w:cstheme="majorHAnsi"/>
                <w:color w:val="000000"/>
                <w:szCs w:val="18"/>
                <w:shd w:val="clear" w:color="auto" w:fill="FFFFFF"/>
                <w:lang w:val="cs-CZ"/>
              </w:rPr>
            </w:pPr>
            <w:r w:rsidRPr="006070EA">
              <w:rPr>
                <w:rFonts w:asciiTheme="majorHAnsi" w:hAnsiTheme="majorHAnsi" w:cstheme="majorHAnsi"/>
                <w:color w:val="000000"/>
                <w:szCs w:val="18"/>
                <w:shd w:val="clear" w:color="auto" w:fill="FFFFFF"/>
                <w:lang w:val="cs-CZ"/>
              </w:rPr>
              <w:t>10100002</w:t>
            </w:r>
          </w:p>
        </w:tc>
        <w:tc>
          <w:tcPr>
            <w:tcW w:w="1529" w:type="dxa"/>
            <w:tcBorders>
              <w:top w:val="single" w:sz="12" w:space="0" w:color="auto"/>
              <w:left w:val="single" w:sz="4" w:space="0" w:color="auto"/>
              <w:bottom w:val="single" w:sz="4" w:space="0" w:color="auto"/>
              <w:right w:val="nil"/>
            </w:tcBorders>
            <w:shd w:val="clear" w:color="auto" w:fill="auto"/>
            <w:vAlign w:val="center"/>
          </w:tcPr>
          <w:p w14:paraId="669311FB" w14:textId="77777777" w:rsidR="00294610" w:rsidRPr="006070EA" w:rsidRDefault="00294610" w:rsidP="00294610">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Povodí Labe, s. p.</w:t>
            </w:r>
          </w:p>
        </w:tc>
      </w:tr>
      <w:tr w:rsidR="00294610" w:rsidRPr="006070EA" w14:paraId="25061595" w14:textId="77777777" w:rsidTr="00FC1E99">
        <w:trPr>
          <w:trHeight w:val="283"/>
          <w:jc w:val="center"/>
        </w:trPr>
        <w:tc>
          <w:tcPr>
            <w:tcW w:w="1656" w:type="dxa"/>
            <w:tcBorders>
              <w:top w:val="single" w:sz="4" w:space="0" w:color="auto"/>
              <w:left w:val="nil"/>
              <w:bottom w:val="single" w:sz="4" w:space="0" w:color="auto"/>
              <w:right w:val="single" w:sz="4" w:space="0" w:color="auto"/>
            </w:tcBorders>
            <w:shd w:val="clear" w:color="auto" w:fill="auto"/>
            <w:vAlign w:val="center"/>
            <w:hideMark/>
          </w:tcPr>
          <w:p w14:paraId="4B538F54" w14:textId="77777777" w:rsidR="00294610" w:rsidRPr="006070EA" w:rsidRDefault="00294610" w:rsidP="00294610">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Vlkava</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AE586A" w14:textId="77777777" w:rsidR="00294610" w:rsidRPr="006070EA" w:rsidRDefault="00294610" w:rsidP="00294610">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shd w:val="clear" w:color="auto" w:fill="FFFFFF"/>
                <w:lang w:val="cs-CZ"/>
              </w:rPr>
              <w:t>10100104</w:t>
            </w:r>
          </w:p>
        </w:tc>
        <w:tc>
          <w:tcPr>
            <w:tcW w:w="1529" w:type="dxa"/>
            <w:tcBorders>
              <w:top w:val="single" w:sz="4" w:space="0" w:color="auto"/>
              <w:left w:val="single" w:sz="4" w:space="0" w:color="auto"/>
              <w:bottom w:val="single" w:sz="4" w:space="0" w:color="auto"/>
              <w:right w:val="nil"/>
            </w:tcBorders>
            <w:shd w:val="clear" w:color="auto" w:fill="auto"/>
            <w:vAlign w:val="center"/>
            <w:hideMark/>
          </w:tcPr>
          <w:p w14:paraId="5B4C9BE9" w14:textId="77777777" w:rsidR="00294610" w:rsidRPr="006070EA" w:rsidRDefault="00294610" w:rsidP="00294610">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Povodí Labe, s. p.</w:t>
            </w:r>
          </w:p>
        </w:tc>
      </w:tr>
      <w:tr w:rsidR="00294610" w:rsidRPr="006070EA" w14:paraId="19CACBCC" w14:textId="77777777" w:rsidTr="00294610">
        <w:trPr>
          <w:trHeight w:val="283"/>
          <w:jc w:val="center"/>
        </w:trPr>
        <w:tc>
          <w:tcPr>
            <w:tcW w:w="1656" w:type="dxa"/>
            <w:tcBorders>
              <w:top w:val="single" w:sz="4" w:space="0" w:color="auto"/>
              <w:left w:val="nil"/>
              <w:bottom w:val="single" w:sz="4" w:space="0" w:color="auto"/>
              <w:right w:val="single" w:sz="4" w:space="0" w:color="auto"/>
            </w:tcBorders>
            <w:shd w:val="clear" w:color="auto" w:fill="auto"/>
            <w:vAlign w:val="center"/>
            <w:hideMark/>
          </w:tcPr>
          <w:p w14:paraId="7576CA18" w14:textId="77777777" w:rsidR="00294610" w:rsidRPr="006070EA" w:rsidRDefault="00294610" w:rsidP="00294610">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Farský potok</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33FA2B" w14:textId="77777777" w:rsidR="00294610" w:rsidRPr="006070EA" w:rsidRDefault="00294610" w:rsidP="00294610">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shd w:val="clear" w:color="auto" w:fill="FFFFFF"/>
                <w:lang w:val="cs-CZ"/>
              </w:rPr>
              <w:t>10179433</w:t>
            </w:r>
          </w:p>
        </w:tc>
        <w:tc>
          <w:tcPr>
            <w:tcW w:w="1529" w:type="dxa"/>
            <w:tcBorders>
              <w:top w:val="single" w:sz="4" w:space="0" w:color="auto"/>
              <w:left w:val="single" w:sz="4" w:space="0" w:color="auto"/>
              <w:bottom w:val="single" w:sz="4" w:space="0" w:color="auto"/>
              <w:right w:val="nil"/>
            </w:tcBorders>
            <w:shd w:val="clear" w:color="auto" w:fill="auto"/>
            <w:vAlign w:val="center"/>
            <w:hideMark/>
          </w:tcPr>
          <w:p w14:paraId="223D03E2" w14:textId="77777777" w:rsidR="00294610" w:rsidRPr="006070EA" w:rsidRDefault="00294610" w:rsidP="00294610">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Povodí Labe, s. p.</w:t>
            </w:r>
          </w:p>
        </w:tc>
      </w:tr>
      <w:tr w:rsidR="00294610" w:rsidRPr="006070EA" w14:paraId="4E5D2768" w14:textId="77777777" w:rsidTr="00294610">
        <w:trPr>
          <w:trHeight w:val="283"/>
          <w:jc w:val="center"/>
        </w:trPr>
        <w:tc>
          <w:tcPr>
            <w:tcW w:w="1656" w:type="dxa"/>
            <w:tcBorders>
              <w:top w:val="single" w:sz="4" w:space="0" w:color="auto"/>
              <w:left w:val="nil"/>
              <w:bottom w:val="single" w:sz="4" w:space="0" w:color="auto"/>
              <w:right w:val="single" w:sz="4" w:space="0" w:color="auto"/>
            </w:tcBorders>
            <w:shd w:val="clear" w:color="auto" w:fill="auto"/>
            <w:vAlign w:val="center"/>
            <w:hideMark/>
          </w:tcPr>
          <w:p w14:paraId="13F90AA8" w14:textId="77777777" w:rsidR="00294610" w:rsidRPr="006070EA" w:rsidRDefault="00294610" w:rsidP="00294610">
            <w:pPr>
              <w:pStyle w:val="Bezmezer"/>
              <w:jc w:val="center"/>
              <w:rPr>
                <w:rFonts w:asciiTheme="majorHAnsi" w:hAnsiTheme="majorHAnsi" w:cstheme="majorHAnsi"/>
                <w:color w:val="000000"/>
                <w:lang w:val="cs-CZ"/>
              </w:rPr>
            </w:pPr>
            <w:r w:rsidRPr="006070EA">
              <w:rPr>
                <w:rFonts w:asciiTheme="majorHAnsi" w:hAnsiTheme="majorHAnsi" w:cstheme="majorHAnsi"/>
                <w:color w:val="000000"/>
                <w:lang w:val="cs-CZ"/>
              </w:rPr>
              <w:t>Hluboký příkop</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1A95B0" w14:textId="77777777" w:rsidR="00294610" w:rsidRPr="006070EA" w:rsidRDefault="00294610" w:rsidP="00294610">
            <w:pPr>
              <w:pStyle w:val="Bezmezer"/>
              <w:jc w:val="center"/>
              <w:rPr>
                <w:rFonts w:asciiTheme="majorHAnsi" w:hAnsiTheme="majorHAnsi" w:cstheme="majorHAnsi"/>
                <w:color w:val="000000"/>
                <w:lang w:val="cs-CZ"/>
              </w:rPr>
            </w:pPr>
            <w:r w:rsidRPr="006070EA">
              <w:rPr>
                <w:rFonts w:asciiTheme="majorHAnsi" w:hAnsiTheme="majorHAnsi" w:cstheme="majorHAnsi"/>
                <w:color w:val="000000"/>
                <w:lang w:val="cs-CZ"/>
              </w:rPr>
              <w:t>10179399</w:t>
            </w:r>
          </w:p>
        </w:tc>
        <w:tc>
          <w:tcPr>
            <w:tcW w:w="1529" w:type="dxa"/>
            <w:tcBorders>
              <w:top w:val="single" w:sz="4" w:space="0" w:color="auto"/>
              <w:left w:val="single" w:sz="4" w:space="0" w:color="auto"/>
              <w:bottom w:val="single" w:sz="4" w:space="0" w:color="auto"/>
              <w:right w:val="nil"/>
            </w:tcBorders>
            <w:shd w:val="clear" w:color="auto" w:fill="auto"/>
            <w:vAlign w:val="center"/>
            <w:hideMark/>
          </w:tcPr>
          <w:p w14:paraId="5692874B" w14:textId="77777777" w:rsidR="00294610" w:rsidRPr="006070EA" w:rsidRDefault="00294610" w:rsidP="00294610">
            <w:pPr>
              <w:pStyle w:val="Bezmezer"/>
              <w:jc w:val="center"/>
              <w:rPr>
                <w:rFonts w:asciiTheme="majorHAnsi" w:hAnsiTheme="majorHAnsi" w:cstheme="majorHAnsi"/>
                <w:color w:val="000000"/>
                <w:lang w:val="cs-CZ"/>
              </w:rPr>
            </w:pPr>
            <w:r w:rsidRPr="006070EA">
              <w:rPr>
                <w:rFonts w:asciiTheme="majorHAnsi" w:hAnsiTheme="majorHAnsi" w:cstheme="majorHAnsi"/>
                <w:color w:val="000000"/>
                <w:szCs w:val="18"/>
                <w:lang w:val="cs-CZ"/>
              </w:rPr>
              <w:t>Povodí Labe, s. p</w:t>
            </w:r>
          </w:p>
        </w:tc>
      </w:tr>
      <w:tr w:rsidR="00294610" w:rsidRPr="006070EA" w14:paraId="6771B8C0" w14:textId="77777777" w:rsidTr="00294610">
        <w:trPr>
          <w:trHeight w:val="283"/>
          <w:jc w:val="center"/>
        </w:trPr>
        <w:tc>
          <w:tcPr>
            <w:tcW w:w="1656" w:type="dxa"/>
            <w:tcBorders>
              <w:top w:val="single" w:sz="4" w:space="0" w:color="auto"/>
              <w:left w:val="nil"/>
              <w:bottom w:val="single" w:sz="4" w:space="0" w:color="auto"/>
              <w:right w:val="single" w:sz="4" w:space="0" w:color="auto"/>
            </w:tcBorders>
            <w:shd w:val="clear" w:color="auto" w:fill="auto"/>
            <w:vAlign w:val="center"/>
            <w:hideMark/>
          </w:tcPr>
          <w:p w14:paraId="66BD8E7B" w14:textId="77777777" w:rsidR="00294610" w:rsidRPr="006070EA" w:rsidRDefault="00294610" w:rsidP="00294610">
            <w:pPr>
              <w:pStyle w:val="Bezmezer"/>
              <w:jc w:val="center"/>
              <w:rPr>
                <w:rFonts w:asciiTheme="majorHAnsi" w:hAnsiTheme="majorHAnsi" w:cstheme="majorHAnsi"/>
                <w:color w:val="000000"/>
                <w:lang w:val="cs-CZ"/>
              </w:rPr>
            </w:pPr>
            <w:r w:rsidRPr="006070EA">
              <w:rPr>
                <w:rFonts w:asciiTheme="majorHAnsi" w:hAnsiTheme="majorHAnsi" w:cstheme="majorHAnsi"/>
                <w:color w:val="000000"/>
                <w:lang w:val="cs-CZ"/>
              </w:rPr>
              <w:t>Hronětický náhon</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0FEC63" w14:textId="77777777" w:rsidR="00294610" w:rsidRPr="006070EA" w:rsidRDefault="00294610" w:rsidP="00294610">
            <w:pPr>
              <w:pStyle w:val="Bezmezer"/>
              <w:jc w:val="center"/>
              <w:rPr>
                <w:rFonts w:asciiTheme="majorHAnsi" w:hAnsiTheme="majorHAnsi" w:cstheme="majorHAnsi"/>
                <w:color w:val="000000"/>
                <w:lang w:val="cs-CZ"/>
              </w:rPr>
            </w:pPr>
            <w:r w:rsidRPr="006070EA">
              <w:rPr>
                <w:rFonts w:asciiTheme="majorHAnsi" w:hAnsiTheme="majorHAnsi" w:cstheme="majorHAnsi"/>
                <w:color w:val="000000"/>
                <w:lang w:val="cs-CZ"/>
              </w:rPr>
              <w:t>10185578</w:t>
            </w:r>
          </w:p>
        </w:tc>
        <w:tc>
          <w:tcPr>
            <w:tcW w:w="1529" w:type="dxa"/>
            <w:tcBorders>
              <w:top w:val="single" w:sz="4" w:space="0" w:color="auto"/>
              <w:left w:val="single" w:sz="4" w:space="0" w:color="auto"/>
              <w:bottom w:val="single" w:sz="4" w:space="0" w:color="auto"/>
              <w:right w:val="nil"/>
            </w:tcBorders>
            <w:shd w:val="clear" w:color="auto" w:fill="auto"/>
            <w:vAlign w:val="center"/>
            <w:hideMark/>
          </w:tcPr>
          <w:p w14:paraId="5ECC875C" w14:textId="77777777" w:rsidR="00294610" w:rsidRPr="006070EA" w:rsidRDefault="00294610" w:rsidP="00294610">
            <w:pPr>
              <w:pStyle w:val="Bezmezer"/>
              <w:jc w:val="center"/>
              <w:rPr>
                <w:rFonts w:asciiTheme="majorHAnsi" w:hAnsiTheme="majorHAnsi" w:cstheme="majorHAnsi"/>
                <w:color w:val="000000"/>
                <w:lang w:val="cs-CZ"/>
              </w:rPr>
            </w:pPr>
            <w:r w:rsidRPr="006070EA">
              <w:rPr>
                <w:rFonts w:asciiTheme="majorHAnsi" w:hAnsiTheme="majorHAnsi" w:cstheme="majorHAnsi"/>
                <w:color w:val="000000"/>
                <w:szCs w:val="18"/>
                <w:lang w:val="cs-CZ"/>
              </w:rPr>
              <w:t>Povodí Labe, s. p.</w:t>
            </w:r>
          </w:p>
        </w:tc>
      </w:tr>
      <w:tr w:rsidR="00294610" w:rsidRPr="006070EA" w14:paraId="541CB723" w14:textId="77777777" w:rsidTr="00FC1E99">
        <w:trPr>
          <w:trHeight w:val="283"/>
          <w:jc w:val="center"/>
        </w:trPr>
        <w:tc>
          <w:tcPr>
            <w:tcW w:w="1656" w:type="dxa"/>
            <w:tcBorders>
              <w:top w:val="single" w:sz="4" w:space="0" w:color="auto"/>
              <w:left w:val="nil"/>
              <w:bottom w:val="single" w:sz="4" w:space="0" w:color="auto"/>
              <w:right w:val="single" w:sz="4" w:space="0" w:color="auto"/>
            </w:tcBorders>
            <w:shd w:val="clear" w:color="auto" w:fill="auto"/>
            <w:vAlign w:val="center"/>
            <w:hideMark/>
          </w:tcPr>
          <w:p w14:paraId="10C97FE9" w14:textId="77777777" w:rsidR="00294610" w:rsidRPr="006070EA" w:rsidRDefault="00294610" w:rsidP="00294610">
            <w:pPr>
              <w:pStyle w:val="Bezmezer"/>
              <w:jc w:val="center"/>
              <w:rPr>
                <w:rFonts w:asciiTheme="majorHAnsi" w:hAnsiTheme="majorHAnsi" w:cstheme="majorHAnsi"/>
                <w:color w:val="000000"/>
                <w:lang w:val="cs-CZ"/>
              </w:rPr>
            </w:pPr>
            <w:r w:rsidRPr="006070EA">
              <w:rPr>
                <w:rFonts w:asciiTheme="majorHAnsi" w:hAnsiTheme="majorHAnsi" w:cstheme="majorHAnsi"/>
                <w:color w:val="000000"/>
                <w:lang w:val="cs-CZ"/>
              </w:rPr>
              <w:t>Mlynařice</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3CBF2D" w14:textId="77777777" w:rsidR="00294610" w:rsidRPr="006070EA" w:rsidRDefault="00294610" w:rsidP="00294610">
            <w:pPr>
              <w:pStyle w:val="Bezmezer"/>
              <w:jc w:val="center"/>
              <w:rPr>
                <w:rFonts w:asciiTheme="majorHAnsi" w:hAnsiTheme="majorHAnsi" w:cstheme="majorHAnsi"/>
                <w:color w:val="000000"/>
                <w:lang w:val="cs-CZ"/>
              </w:rPr>
            </w:pPr>
            <w:r w:rsidRPr="006070EA">
              <w:rPr>
                <w:rFonts w:asciiTheme="majorHAnsi" w:hAnsiTheme="majorHAnsi" w:cstheme="majorHAnsi"/>
                <w:color w:val="000000"/>
                <w:lang w:val="cs-CZ"/>
              </w:rPr>
              <w:t>10100434</w:t>
            </w:r>
          </w:p>
        </w:tc>
        <w:tc>
          <w:tcPr>
            <w:tcW w:w="1529" w:type="dxa"/>
            <w:tcBorders>
              <w:top w:val="single" w:sz="4" w:space="0" w:color="auto"/>
              <w:left w:val="single" w:sz="4" w:space="0" w:color="auto"/>
              <w:bottom w:val="single" w:sz="4" w:space="0" w:color="auto"/>
              <w:right w:val="nil"/>
            </w:tcBorders>
            <w:shd w:val="clear" w:color="auto" w:fill="auto"/>
            <w:vAlign w:val="center"/>
          </w:tcPr>
          <w:p w14:paraId="5FAB9269" w14:textId="77777777" w:rsidR="00294610" w:rsidRPr="006070EA" w:rsidRDefault="00294610" w:rsidP="00294610">
            <w:pPr>
              <w:pStyle w:val="Bezmezer"/>
              <w:jc w:val="center"/>
              <w:rPr>
                <w:rFonts w:asciiTheme="majorHAnsi" w:hAnsiTheme="majorHAnsi" w:cstheme="majorHAnsi"/>
                <w:color w:val="000000"/>
                <w:lang w:val="cs-CZ"/>
              </w:rPr>
            </w:pPr>
            <w:r w:rsidRPr="006070EA">
              <w:rPr>
                <w:rFonts w:asciiTheme="majorHAnsi" w:hAnsiTheme="majorHAnsi" w:cstheme="majorHAnsi"/>
                <w:color w:val="000000"/>
                <w:szCs w:val="18"/>
                <w:lang w:val="cs-CZ"/>
              </w:rPr>
              <w:t>Povodí Labe, s. p.</w:t>
            </w:r>
          </w:p>
        </w:tc>
      </w:tr>
      <w:tr w:rsidR="007C4D7F" w:rsidRPr="006070EA" w14:paraId="70B42552" w14:textId="77777777" w:rsidTr="00294610">
        <w:trPr>
          <w:trHeight w:val="283"/>
          <w:jc w:val="center"/>
        </w:trPr>
        <w:tc>
          <w:tcPr>
            <w:tcW w:w="1656" w:type="dxa"/>
            <w:tcBorders>
              <w:top w:val="single" w:sz="4" w:space="0" w:color="auto"/>
              <w:left w:val="nil"/>
              <w:bottom w:val="nil"/>
              <w:right w:val="single" w:sz="4" w:space="0" w:color="auto"/>
            </w:tcBorders>
            <w:shd w:val="clear" w:color="auto" w:fill="auto"/>
            <w:vAlign w:val="center"/>
          </w:tcPr>
          <w:p w14:paraId="34501946" w14:textId="1128CD15" w:rsidR="007C4D7F" w:rsidRPr="006070EA" w:rsidRDefault="007C4D7F" w:rsidP="00294610">
            <w:pPr>
              <w:pStyle w:val="Bezmezer"/>
              <w:jc w:val="center"/>
              <w:rPr>
                <w:rFonts w:asciiTheme="majorHAnsi" w:hAnsiTheme="majorHAnsi" w:cstheme="majorHAnsi"/>
                <w:color w:val="000000"/>
                <w:lang w:val="cs-CZ"/>
              </w:rPr>
            </w:pPr>
            <w:r w:rsidRPr="006070EA">
              <w:rPr>
                <w:rFonts w:asciiTheme="majorHAnsi" w:hAnsiTheme="majorHAnsi" w:cstheme="majorHAnsi"/>
                <w:color w:val="000000"/>
                <w:lang w:val="cs-CZ"/>
              </w:rPr>
              <w:t>levostranný přítok</w:t>
            </w:r>
          </w:p>
        </w:tc>
        <w:tc>
          <w:tcPr>
            <w:tcW w:w="1711" w:type="dxa"/>
            <w:tcBorders>
              <w:top w:val="single" w:sz="4" w:space="0" w:color="auto"/>
              <w:left w:val="single" w:sz="4" w:space="0" w:color="auto"/>
              <w:bottom w:val="nil"/>
              <w:right w:val="single" w:sz="4" w:space="0" w:color="auto"/>
            </w:tcBorders>
            <w:shd w:val="clear" w:color="auto" w:fill="auto"/>
            <w:vAlign w:val="center"/>
          </w:tcPr>
          <w:p w14:paraId="7FE6606D" w14:textId="0806D111" w:rsidR="007C4D7F" w:rsidRPr="006070EA" w:rsidRDefault="007C4D7F" w:rsidP="00294610">
            <w:pPr>
              <w:pStyle w:val="Bezmezer"/>
              <w:jc w:val="center"/>
              <w:rPr>
                <w:rFonts w:asciiTheme="majorHAnsi" w:hAnsiTheme="majorHAnsi" w:cstheme="majorHAnsi"/>
                <w:color w:val="000000"/>
                <w:lang w:val="cs-CZ"/>
              </w:rPr>
            </w:pPr>
            <w:r w:rsidRPr="006070EA">
              <w:rPr>
                <w:rFonts w:asciiTheme="majorHAnsi" w:hAnsiTheme="majorHAnsi" w:cstheme="majorHAnsi"/>
                <w:color w:val="000000"/>
                <w:lang w:val="cs-CZ"/>
              </w:rPr>
              <w:t>10179407</w:t>
            </w:r>
          </w:p>
        </w:tc>
        <w:tc>
          <w:tcPr>
            <w:tcW w:w="1529" w:type="dxa"/>
            <w:tcBorders>
              <w:top w:val="single" w:sz="4" w:space="0" w:color="auto"/>
              <w:left w:val="single" w:sz="4" w:space="0" w:color="auto"/>
              <w:bottom w:val="nil"/>
              <w:right w:val="nil"/>
            </w:tcBorders>
            <w:shd w:val="clear" w:color="auto" w:fill="auto"/>
            <w:vAlign w:val="center"/>
          </w:tcPr>
          <w:p w14:paraId="440E392C" w14:textId="1FF3B6B9" w:rsidR="007C4D7F" w:rsidRPr="006070EA" w:rsidRDefault="007C4D7F" w:rsidP="00294610">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Povodí Labe, s. p.</w:t>
            </w:r>
          </w:p>
        </w:tc>
      </w:tr>
    </w:tbl>
    <w:p w14:paraId="1F278719" w14:textId="4FF8C05B" w:rsidR="007C4D7F" w:rsidRPr="006070EA" w:rsidRDefault="007C4D7F" w:rsidP="007C4D7F">
      <w:pPr>
        <w:pStyle w:val="Anadpispodtren"/>
        <w:ind w:firstLine="709"/>
        <w:rPr>
          <w:rFonts w:asciiTheme="majorHAnsi" w:hAnsiTheme="majorHAnsi" w:cstheme="majorHAnsi"/>
          <w:color w:val="000000"/>
          <w:u w:val="none"/>
        </w:rPr>
      </w:pPr>
      <w:r w:rsidRPr="006070EA">
        <w:rPr>
          <w:rFonts w:asciiTheme="majorHAnsi" w:hAnsiTheme="majorHAnsi" w:cstheme="majorHAnsi"/>
          <w:color w:val="000000"/>
          <w:u w:val="none"/>
        </w:rPr>
        <w:t>Územní plán respektuje vodní toky v řešeném území. Některé zastavitelné plochy (Z6, Z12, Z14) jsou vymezeny v blízkosti výše uvedených vodních toků (Vlkava, Hluboký příkop, bezejmenný vodní tok). Dle § 49 vodního zákona může správce významného vodního toku Vlkava užívat pozemků sousedících s korytem vodního toku v šířce do 8 m od břehové čáry a</w:t>
      </w:r>
      <w:r w:rsidR="00433C39" w:rsidRPr="006070EA">
        <w:rPr>
          <w:rFonts w:asciiTheme="majorHAnsi" w:hAnsiTheme="majorHAnsi" w:cstheme="majorHAnsi"/>
          <w:color w:val="000000"/>
          <w:u w:val="none"/>
        </w:rPr>
        <w:t> </w:t>
      </w:r>
      <w:r w:rsidRPr="006070EA">
        <w:rPr>
          <w:rFonts w:asciiTheme="majorHAnsi" w:hAnsiTheme="majorHAnsi" w:cstheme="majorHAnsi"/>
          <w:color w:val="000000"/>
          <w:u w:val="none"/>
        </w:rPr>
        <w:t>u</w:t>
      </w:r>
      <w:r w:rsidR="00433C39" w:rsidRPr="006070EA">
        <w:rPr>
          <w:rFonts w:asciiTheme="majorHAnsi" w:hAnsiTheme="majorHAnsi" w:cstheme="majorHAnsi"/>
          <w:color w:val="000000"/>
          <w:u w:val="none"/>
        </w:rPr>
        <w:t> </w:t>
      </w:r>
      <w:r w:rsidRPr="006070EA">
        <w:rPr>
          <w:rFonts w:asciiTheme="majorHAnsi" w:hAnsiTheme="majorHAnsi" w:cstheme="majorHAnsi"/>
          <w:color w:val="000000"/>
          <w:u w:val="none"/>
        </w:rPr>
        <w:t xml:space="preserve">drobného vodního toku Hluboký příkop a vodního toku (IDVT 10179407) v šířce do 6 m od břehové čáry. </w:t>
      </w:r>
    </w:p>
    <w:p w14:paraId="72A15297" w14:textId="604222BD" w:rsidR="007C4D7F" w:rsidRPr="006070EA" w:rsidRDefault="007C4D7F" w:rsidP="00FC1E99">
      <w:pPr>
        <w:pStyle w:val="Anadpispodtren"/>
        <w:ind w:firstLine="709"/>
        <w:rPr>
          <w:rFonts w:asciiTheme="majorHAnsi" w:hAnsiTheme="majorHAnsi" w:cstheme="majorHAnsi"/>
          <w:color w:val="000000"/>
          <w:u w:val="none"/>
        </w:rPr>
      </w:pPr>
      <w:r w:rsidRPr="006070EA">
        <w:rPr>
          <w:rFonts w:asciiTheme="majorHAnsi" w:hAnsiTheme="majorHAnsi" w:cstheme="majorHAnsi"/>
          <w:color w:val="000000"/>
          <w:u w:val="none"/>
        </w:rPr>
        <w:t xml:space="preserve">Uvedený volný nezastavitelný pruh podél toku je územním plánem respektován a v rámci stanovených podmínek využití pro dotčené plochy s rozdílným způsobem využití jsou vytvořeny podmínky pro nezastavění částí pozemků </w:t>
      </w:r>
      <w:r w:rsidR="00043B66" w:rsidRPr="006070EA">
        <w:rPr>
          <w:rFonts w:asciiTheme="majorHAnsi" w:hAnsiTheme="majorHAnsi" w:cstheme="majorHAnsi"/>
          <w:color w:val="000000"/>
          <w:u w:val="none"/>
        </w:rPr>
        <w:t xml:space="preserve">v přímém sousedství vodních toků a pro </w:t>
      </w:r>
      <w:r w:rsidRPr="006070EA">
        <w:rPr>
          <w:rFonts w:asciiTheme="majorHAnsi" w:hAnsiTheme="majorHAnsi" w:cstheme="majorHAnsi"/>
          <w:color w:val="000000"/>
          <w:u w:val="none"/>
        </w:rPr>
        <w:t>zajištění přístupu pro užívání pozemků sousedících s koryty vodních toků správc</w:t>
      </w:r>
      <w:r w:rsidR="00043B66" w:rsidRPr="006070EA">
        <w:rPr>
          <w:rFonts w:asciiTheme="majorHAnsi" w:hAnsiTheme="majorHAnsi" w:cstheme="majorHAnsi"/>
          <w:color w:val="000000"/>
          <w:u w:val="none"/>
        </w:rPr>
        <w:t>i</w:t>
      </w:r>
      <w:r w:rsidRPr="006070EA">
        <w:rPr>
          <w:rFonts w:asciiTheme="majorHAnsi" w:hAnsiTheme="majorHAnsi" w:cstheme="majorHAnsi"/>
          <w:color w:val="000000"/>
          <w:u w:val="none"/>
        </w:rPr>
        <w:t xml:space="preserve"> vodních toků.</w:t>
      </w:r>
    </w:p>
    <w:p w14:paraId="6CAA9041" w14:textId="14509643" w:rsidR="0024056D" w:rsidRPr="006070EA" w:rsidRDefault="0024056D" w:rsidP="0024056D">
      <w:pPr>
        <w:pStyle w:val="Anadpispodtren"/>
        <w:rPr>
          <w:rFonts w:asciiTheme="majorHAnsi" w:hAnsiTheme="majorHAnsi" w:cstheme="majorHAnsi"/>
          <w:color w:val="000000"/>
          <w:sz w:val="22"/>
          <w:szCs w:val="22"/>
          <w:lang w:eastAsia="en-US"/>
        </w:rPr>
      </w:pPr>
      <w:r w:rsidRPr="006070EA">
        <w:rPr>
          <w:rFonts w:asciiTheme="majorHAnsi" w:hAnsiTheme="majorHAnsi" w:cstheme="majorHAnsi"/>
          <w:color w:val="000000"/>
        </w:rPr>
        <w:t>Vodní plochy v území</w:t>
      </w:r>
    </w:p>
    <w:p w14:paraId="666D05F2" w14:textId="1CE0E28E" w:rsidR="0024056D" w:rsidRPr="006070EA" w:rsidRDefault="0024056D" w:rsidP="0024056D">
      <w:pPr>
        <w:pStyle w:val="Atext"/>
        <w:rPr>
          <w:rFonts w:asciiTheme="majorHAnsi" w:hAnsiTheme="majorHAnsi" w:cstheme="majorHAnsi"/>
        </w:rPr>
      </w:pPr>
      <w:r w:rsidRPr="006070EA">
        <w:rPr>
          <w:rFonts w:asciiTheme="majorHAnsi" w:hAnsiTheme="majorHAnsi" w:cstheme="majorHAnsi"/>
          <w:color w:val="000000"/>
        </w:rPr>
        <w:t xml:space="preserve">V území se nachází několik vodních ploch. Jediný pojmenovaný je rybník Žitina v jihozápadní části území, který však do k. ú. Kostomlaty nad Labem zasahuje jen </w:t>
      </w:r>
      <w:r w:rsidR="00294610" w:rsidRPr="006070EA">
        <w:rPr>
          <w:rFonts w:asciiTheme="majorHAnsi" w:hAnsiTheme="majorHAnsi" w:cstheme="majorHAnsi"/>
          <w:color w:val="000000"/>
        </w:rPr>
        <w:t>okrajově</w:t>
      </w:r>
      <w:r w:rsidRPr="006070EA">
        <w:rPr>
          <w:rFonts w:asciiTheme="majorHAnsi" w:hAnsiTheme="majorHAnsi" w:cstheme="majorHAnsi"/>
          <w:color w:val="000000"/>
        </w:rPr>
        <w:t xml:space="preserve">. Dále jsou v sídlech umístěny malé umělé vodní nádrže (Kostomlaty, Rozkoš) a jedna větší východně od části obce Vápensko na hranicích k. ú. Tyto vodní plochy však nejsou svojí velikostí příliš </w:t>
      </w:r>
      <w:r w:rsidRPr="006070EA">
        <w:rPr>
          <w:rFonts w:asciiTheme="majorHAnsi" w:hAnsiTheme="majorHAnsi" w:cstheme="majorHAnsi"/>
        </w:rPr>
        <w:t>významné, stejně jako několik lesních tůní. Tato soustava je součástí zaniklého ramene řeky Labe.</w:t>
      </w:r>
    </w:p>
    <w:p w14:paraId="115B06D9" w14:textId="77777777" w:rsidR="00AB1F4C" w:rsidRPr="006070EA" w:rsidRDefault="00AB1F4C" w:rsidP="009E07E1">
      <w:pPr>
        <w:keepNext/>
        <w:spacing w:before="120" w:after="120" w:line="240" w:lineRule="auto"/>
        <w:rPr>
          <w:rFonts w:asciiTheme="majorHAnsi" w:hAnsiTheme="majorHAnsi" w:cstheme="majorHAnsi"/>
          <w:b/>
          <w:sz w:val="18"/>
        </w:rPr>
      </w:pPr>
      <w:r w:rsidRPr="006070EA">
        <w:rPr>
          <w:rFonts w:asciiTheme="majorHAnsi" w:hAnsiTheme="majorHAnsi" w:cstheme="majorHAnsi"/>
          <w:b/>
          <w:sz w:val="18"/>
        </w:rPr>
        <w:t>Fytogeografie a fytocenologie</w:t>
      </w:r>
    </w:p>
    <w:p w14:paraId="692275E7" w14:textId="787D0C93" w:rsidR="00BD369D" w:rsidRPr="006070EA" w:rsidRDefault="00BD369D" w:rsidP="00BD369D">
      <w:pPr>
        <w:pStyle w:val="Atext"/>
        <w:rPr>
          <w:rFonts w:asciiTheme="majorHAnsi" w:hAnsiTheme="majorHAnsi" w:cstheme="majorHAnsi"/>
        </w:rPr>
      </w:pPr>
      <w:r w:rsidRPr="006070EA">
        <w:rPr>
          <w:rFonts w:asciiTheme="majorHAnsi" w:hAnsiTheme="majorHAnsi" w:cstheme="majorHAnsi"/>
        </w:rPr>
        <w:t xml:space="preserve">Dle regionálně fytogeografického členění spadá řešené území do oblasti T </w:t>
      </w:r>
      <w:r w:rsidR="00CF391E" w:rsidRPr="006070EA">
        <w:rPr>
          <w:rFonts w:asciiTheme="majorHAnsi" w:hAnsiTheme="majorHAnsi" w:cstheme="majorHAnsi"/>
        </w:rPr>
        <w:t>–</w:t>
      </w:r>
      <w:r w:rsidRPr="006070EA">
        <w:rPr>
          <w:rFonts w:asciiTheme="majorHAnsi" w:hAnsiTheme="majorHAnsi" w:cstheme="majorHAnsi"/>
        </w:rPr>
        <w:t xml:space="preserve"> Thermoptikum, obvodu České thermoptikum.</w:t>
      </w:r>
    </w:p>
    <w:p w14:paraId="6A1217DA" w14:textId="77777777" w:rsidR="00BD369D" w:rsidRPr="006070EA" w:rsidRDefault="00BD369D" w:rsidP="00BD369D">
      <w:pPr>
        <w:pStyle w:val="Atext"/>
        <w:rPr>
          <w:rFonts w:asciiTheme="majorHAnsi" w:hAnsiTheme="majorHAnsi" w:cstheme="majorHAnsi"/>
        </w:rPr>
      </w:pPr>
      <w:r w:rsidRPr="006070EA">
        <w:rPr>
          <w:rFonts w:asciiTheme="majorHAnsi" w:hAnsiTheme="majorHAnsi" w:cstheme="majorHAnsi"/>
        </w:rPr>
        <w:t xml:space="preserve">Z hlediska geobotanické rekonstrukce (Mikyška, 1972) se v území nachází následující vegetační jednotky: </w:t>
      </w:r>
    </w:p>
    <w:p w14:paraId="5329E67A" w14:textId="77777777" w:rsidR="00BD369D" w:rsidRPr="006070EA" w:rsidRDefault="00BD369D" w:rsidP="00BD369D">
      <w:pPr>
        <w:pStyle w:val="Bezmezer"/>
        <w:rPr>
          <w:rFonts w:asciiTheme="majorHAnsi" w:hAnsiTheme="majorHAnsi" w:cstheme="majorHAnsi"/>
          <w:lang w:val="cs-CZ"/>
        </w:rPr>
      </w:pPr>
      <w:r w:rsidRPr="006070EA">
        <w:rPr>
          <w:rFonts w:asciiTheme="majorHAnsi" w:hAnsiTheme="majorHAnsi" w:cstheme="majorHAnsi"/>
          <w:b/>
          <w:lang w:val="cs-CZ"/>
        </w:rPr>
        <w:tab/>
        <w:t>AU</w:t>
      </w:r>
      <w:r w:rsidRPr="006070EA">
        <w:rPr>
          <w:rFonts w:asciiTheme="majorHAnsi" w:hAnsiTheme="majorHAnsi" w:cstheme="majorHAnsi"/>
          <w:b/>
          <w:lang w:val="cs-CZ"/>
        </w:rPr>
        <w:tab/>
      </w:r>
      <w:r w:rsidRPr="006070EA">
        <w:rPr>
          <w:rFonts w:asciiTheme="majorHAnsi" w:hAnsiTheme="majorHAnsi" w:cstheme="majorHAnsi"/>
          <w:lang w:val="cs-CZ"/>
        </w:rPr>
        <w:t>luhy a olšiny</w:t>
      </w:r>
    </w:p>
    <w:p w14:paraId="097BBFD3" w14:textId="77777777" w:rsidR="00BD369D" w:rsidRPr="006070EA" w:rsidRDefault="00BD369D" w:rsidP="00BD369D">
      <w:pPr>
        <w:pStyle w:val="Bezmezer"/>
        <w:rPr>
          <w:rFonts w:asciiTheme="majorHAnsi" w:hAnsiTheme="majorHAnsi" w:cstheme="majorHAnsi"/>
          <w:lang w:val="cs-CZ"/>
        </w:rPr>
      </w:pPr>
      <w:r w:rsidRPr="006070EA">
        <w:rPr>
          <w:rFonts w:asciiTheme="majorHAnsi" w:hAnsiTheme="majorHAnsi" w:cstheme="majorHAnsi"/>
          <w:lang w:val="cs-CZ"/>
        </w:rPr>
        <w:tab/>
      </w:r>
      <w:r w:rsidRPr="006070EA">
        <w:rPr>
          <w:rFonts w:asciiTheme="majorHAnsi" w:hAnsiTheme="majorHAnsi" w:cstheme="majorHAnsi"/>
          <w:b/>
          <w:lang w:val="cs-CZ"/>
        </w:rPr>
        <w:t>C</w:t>
      </w:r>
      <w:r w:rsidRPr="006070EA">
        <w:rPr>
          <w:rFonts w:asciiTheme="majorHAnsi" w:hAnsiTheme="majorHAnsi" w:cstheme="majorHAnsi"/>
          <w:b/>
          <w:lang w:val="cs-CZ"/>
        </w:rPr>
        <w:tab/>
      </w:r>
      <w:r w:rsidRPr="006070EA">
        <w:rPr>
          <w:rFonts w:asciiTheme="majorHAnsi" w:hAnsiTheme="majorHAnsi" w:cstheme="majorHAnsi"/>
          <w:lang w:val="cs-CZ"/>
        </w:rPr>
        <w:t>dubo-habrové háje</w:t>
      </w:r>
    </w:p>
    <w:p w14:paraId="6B7AAB89" w14:textId="77777777" w:rsidR="00BD369D" w:rsidRPr="006070EA" w:rsidRDefault="00BD369D" w:rsidP="00BD369D">
      <w:pPr>
        <w:pStyle w:val="Bezmezer"/>
        <w:rPr>
          <w:rFonts w:asciiTheme="majorHAnsi" w:hAnsiTheme="majorHAnsi" w:cstheme="majorHAnsi"/>
          <w:lang w:val="cs-CZ"/>
        </w:rPr>
      </w:pPr>
      <w:r w:rsidRPr="006070EA">
        <w:rPr>
          <w:rFonts w:asciiTheme="majorHAnsi" w:hAnsiTheme="majorHAnsi" w:cstheme="majorHAnsi"/>
          <w:b/>
          <w:lang w:val="cs-CZ"/>
        </w:rPr>
        <w:tab/>
        <w:t xml:space="preserve">PQ            </w:t>
      </w:r>
      <w:r w:rsidRPr="006070EA">
        <w:rPr>
          <w:rFonts w:asciiTheme="majorHAnsi" w:hAnsiTheme="majorHAnsi" w:cstheme="majorHAnsi"/>
          <w:lang w:val="cs-CZ"/>
        </w:rPr>
        <w:t>borové doubravy</w:t>
      </w:r>
    </w:p>
    <w:p w14:paraId="5C6A9284" w14:textId="77777777" w:rsidR="00AB1F4C" w:rsidRPr="006070EA" w:rsidRDefault="00AB1F4C" w:rsidP="009E07E1">
      <w:pPr>
        <w:keepNext/>
        <w:spacing w:before="120" w:after="120" w:line="240" w:lineRule="auto"/>
        <w:rPr>
          <w:rFonts w:asciiTheme="majorHAnsi" w:hAnsiTheme="majorHAnsi" w:cstheme="majorHAnsi"/>
          <w:b/>
          <w:sz w:val="18"/>
        </w:rPr>
      </w:pPr>
      <w:r w:rsidRPr="006070EA">
        <w:rPr>
          <w:rFonts w:asciiTheme="majorHAnsi" w:hAnsiTheme="majorHAnsi" w:cstheme="majorHAnsi"/>
          <w:b/>
          <w:sz w:val="18"/>
        </w:rPr>
        <w:t>Biogeografické členění</w:t>
      </w:r>
    </w:p>
    <w:p w14:paraId="4BB77378" w14:textId="3062EC50" w:rsidR="00BD369D" w:rsidRPr="006070EA" w:rsidRDefault="00BD369D" w:rsidP="00BD369D">
      <w:pPr>
        <w:pStyle w:val="Atext"/>
        <w:rPr>
          <w:rStyle w:val="AnadpistunChar"/>
          <w:rFonts w:asciiTheme="majorHAnsi" w:hAnsiTheme="majorHAnsi" w:cstheme="majorHAnsi"/>
          <w:szCs w:val="18"/>
        </w:rPr>
      </w:pPr>
      <w:r w:rsidRPr="006070EA">
        <w:rPr>
          <w:rFonts w:asciiTheme="majorHAnsi" w:hAnsiTheme="majorHAnsi" w:cstheme="majorHAnsi"/>
          <w:szCs w:val="18"/>
        </w:rPr>
        <w:t>Do území zasahují celkem 3 biogeografické regiony – Českobrodský bioregion 1.5, Mladoboleslavský bioregion 1.6 a</w:t>
      </w:r>
      <w:r w:rsidR="00294610" w:rsidRPr="006070EA">
        <w:rPr>
          <w:rFonts w:asciiTheme="majorHAnsi" w:hAnsiTheme="majorHAnsi" w:cstheme="majorHAnsi"/>
          <w:szCs w:val="18"/>
        </w:rPr>
        <w:t> </w:t>
      </w:r>
      <w:r w:rsidRPr="006070EA">
        <w:rPr>
          <w:rFonts w:asciiTheme="majorHAnsi" w:hAnsiTheme="majorHAnsi" w:cstheme="majorHAnsi"/>
          <w:szCs w:val="18"/>
        </w:rPr>
        <w:t>Polabský bioregion 1.7 Níže je uvedena bližší specifikace jednotlivých bioregionů.</w:t>
      </w:r>
    </w:p>
    <w:p w14:paraId="3B2F455B" w14:textId="77777777" w:rsidR="00BD369D" w:rsidRPr="006070EA" w:rsidRDefault="00BD369D" w:rsidP="00BD369D">
      <w:pPr>
        <w:pStyle w:val="Atext"/>
        <w:rPr>
          <w:rFonts w:asciiTheme="majorHAnsi" w:hAnsiTheme="majorHAnsi" w:cstheme="majorHAnsi"/>
          <w:szCs w:val="18"/>
        </w:rPr>
      </w:pPr>
      <w:r w:rsidRPr="006070EA">
        <w:rPr>
          <w:rStyle w:val="AnadpistunChar"/>
          <w:rFonts w:asciiTheme="majorHAnsi" w:hAnsiTheme="majorHAnsi" w:cstheme="majorHAnsi"/>
          <w:szCs w:val="18"/>
        </w:rPr>
        <w:t>1.5 Českobrodský bioregion</w:t>
      </w:r>
      <w:r w:rsidRPr="006070EA">
        <w:rPr>
          <w:rFonts w:asciiTheme="majorHAnsi" w:hAnsiTheme="majorHAnsi" w:cstheme="majorHAnsi"/>
          <w:szCs w:val="18"/>
        </w:rPr>
        <w:t xml:space="preserve"> – zasahuje do jihozápadní části území. Bioregion leží uprostřed středních Čech, zabírá přibližně Českobrodskou tabuli, východní část Pražské plošiny a část Čáslavské kotliny. Bioregion tvoří úpatí Českomoravské vrchoviny a Středočeské pahorkatiny směrem k Polabí. Převažuje zde slabě teplomilná biota 2. (bukovo-dubového) vegetačního </w:t>
      </w:r>
      <w:r w:rsidRPr="006070EA">
        <w:rPr>
          <w:rFonts w:asciiTheme="majorHAnsi" w:hAnsiTheme="majorHAnsi" w:cstheme="majorHAnsi"/>
          <w:szCs w:val="18"/>
        </w:rPr>
        <w:lastRenderedPageBreak/>
        <w:t>stupně, biodiverzita je podprůměrná, exklávních a mezních prvků je velmi málo. Vegetační stupeň dle Skalického je kolinní až suprakolinní.</w:t>
      </w:r>
    </w:p>
    <w:p w14:paraId="3A758B8A" w14:textId="128CF1FF" w:rsidR="00BD369D" w:rsidRPr="006070EA" w:rsidRDefault="00BD369D" w:rsidP="00BD369D">
      <w:pPr>
        <w:pStyle w:val="Atext"/>
        <w:rPr>
          <w:rFonts w:asciiTheme="majorHAnsi" w:hAnsiTheme="majorHAnsi" w:cstheme="majorHAnsi"/>
          <w:szCs w:val="18"/>
        </w:rPr>
      </w:pPr>
      <w:r w:rsidRPr="006070EA">
        <w:rPr>
          <w:rStyle w:val="AnadpistunChar"/>
          <w:rFonts w:asciiTheme="majorHAnsi" w:hAnsiTheme="majorHAnsi" w:cstheme="majorHAnsi"/>
          <w:szCs w:val="18"/>
        </w:rPr>
        <w:t>1.6 Mladoboleslavský bioregion</w:t>
      </w:r>
      <w:r w:rsidRPr="006070EA">
        <w:rPr>
          <w:rFonts w:asciiTheme="majorHAnsi" w:hAnsiTheme="majorHAnsi" w:cstheme="majorHAnsi"/>
          <w:szCs w:val="18"/>
        </w:rPr>
        <w:t xml:space="preserve"> – zasahuje do severní části správního obvodu. Bioregion leží na severovýchodě středních Čech, zabírá nižší reliéf tvořený Mrlinskou tabulí, východní částí Jizerské tabule a jižní částí Turnovské pahorkatiny. Typická část bioregionu je tvořena slínovcovou pahorkatinou s těžkými jílovitými půdami a poměrně teplým vlhkým klimatem a tomu odpovídajícími zvláštními biocenózami. Dominuje 2. bukovo-dubový vegetační stupeň s dubohabrovými háji a</w:t>
      </w:r>
      <w:r w:rsidR="00433C39" w:rsidRPr="006070EA">
        <w:rPr>
          <w:rFonts w:asciiTheme="majorHAnsi" w:hAnsiTheme="majorHAnsi" w:cstheme="majorHAnsi"/>
          <w:szCs w:val="18"/>
        </w:rPr>
        <w:t> </w:t>
      </w:r>
      <w:r w:rsidRPr="006070EA">
        <w:rPr>
          <w:rFonts w:asciiTheme="majorHAnsi" w:hAnsiTheme="majorHAnsi" w:cstheme="majorHAnsi"/>
          <w:szCs w:val="18"/>
        </w:rPr>
        <w:t xml:space="preserve">teplomilnými doubravami, potočními luhy a bažinnými olšinami i slatinami. </w:t>
      </w:r>
    </w:p>
    <w:p w14:paraId="51BB227E" w14:textId="7A9FF129" w:rsidR="00BD369D" w:rsidRPr="006070EA" w:rsidRDefault="00BD369D" w:rsidP="00BD369D">
      <w:pPr>
        <w:pStyle w:val="Atext"/>
        <w:rPr>
          <w:rFonts w:asciiTheme="majorHAnsi" w:hAnsiTheme="majorHAnsi" w:cstheme="majorHAnsi"/>
          <w:szCs w:val="18"/>
        </w:rPr>
      </w:pPr>
      <w:r w:rsidRPr="006070EA">
        <w:rPr>
          <w:rStyle w:val="AnadpistunChar"/>
          <w:rFonts w:asciiTheme="majorHAnsi" w:hAnsiTheme="majorHAnsi" w:cstheme="majorHAnsi"/>
          <w:szCs w:val="18"/>
        </w:rPr>
        <w:t>1.7 Polabský bioregion</w:t>
      </w:r>
      <w:r w:rsidRPr="006070EA">
        <w:rPr>
          <w:rFonts w:asciiTheme="majorHAnsi" w:hAnsiTheme="majorHAnsi" w:cstheme="majorHAnsi"/>
          <w:szCs w:val="18"/>
        </w:rPr>
        <w:t xml:space="preserve"> – zabírá centrální a jižní část území. Bioregion leží ve střední části středních Čech, zabírá Terezínskou, Mělnickou a Nymburskou kotlinu a rozkládá se tak v nejnižší části celé České kotliny. Povrch bioregionu tvoří z</w:t>
      </w:r>
      <w:r w:rsidR="00433C39" w:rsidRPr="006070EA">
        <w:rPr>
          <w:rFonts w:asciiTheme="majorHAnsi" w:hAnsiTheme="majorHAnsi" w:cstheme="majorHAnsi"/>
          <w:szCs w:val="18"/>
        </w:rPr>
        <w:t> </w:t>
      </w:r>
      <w:r w:rsidRPr="006070EA">
        <w:rPr>
          <w:rFonts w:asciiTheme="majorHAnsi" w:hAnsiTheme="majorHAnsi" w:cstheme="majorHAnsi"/>
          <w:szCs w:val="18"/>
        </w:rPr>
        <w:t>velké části sedimenty kvartéru, jednak v různé míře písčité až jílovité hlíny labské nivy, jednak štěrkopísky až písky nižších teras, které pokrývají rozsáhlé plochy.</w:t>
      </w:r>
    </w:p>
    <w:p w14:paraId="5ED969AB" w14:textId="77777777" w:rsidR="00BD369D" w:rsidRPr="006070EA" w:rsidRDefault="00BD369D" w:rsidP="00BD369D">
      <w:pPr>
        <w:pStyle w:val="Atext"/>
        <w:rPr>
          <w:rFonts w:asciiTheme="majorHAnsi" w:hAnsiTheme="majorHAnsi" w:cstheme="majorHAnsi"/>
          <w:szCs w:val="18"/>
        </w:rPr>
      </w:pPr>
      <w:r w:rsidRPr="006070EA">
        <w:rPr>
          <w:rFonts w:asciiTheme="majorHAnsi" w:hAnsiTheme="majorHAnsi" w:cstheme="majorHAnsi"/>
          <w:szCs w:val="18"/>
        </w:rPr>
        <w:t>V řešeném území je bioregion zastoupen následujícími biochorami:</w:t>
      </w:r>
    </w:p>
    <w:p w14:paraId="55B7B896" w14:textId="77777777" w:rsidR="00BD369D" w:rsidRPr="006070EA" w:rsidRDefault="00BD369D" w:rsidP="00F3474A">
      <w:pPr>
        <w:pStyle w:val="Atext"/>
        <w:spacing w:after="0"/>
        <w:rPr>
          <w:rFonts w:asciiTheme="majorHAnsi" w:hAnsiTheme="majorHAnsi" w:cstheme="majorHAnsi"/>
          <w:b/>
          <w:szCs w:val="18"/>
        </w:rPr>
      </w:pPr>
      <w:r w:rsidRPr="006070EA">
        <w:rPr>
          <w:rFonts w:asciiTheme="majorHAnsi" w:hAnsiTheme="majorHAnsi" w:cstheme="majorHAnsi"/>
          <w:b/>
          <w:szCs w:val="18"/>
        </w:rPr>
        <w:t>2BL –</w:t>
      </w:r>
      <w:r w:rsidRPr="006070EA">
        <w:rPr>
          <w:rFonts w:asciiTheme="majorHAnsi" w:hAnsiTheme="majorHAnsi" w:cstheme="majorHAnsi"/>
          <w:szCs w:val="18"/>
          <w:shd w:val="clear" w:color="auto" w:fill="FFFFFF"/>
        </w:rPr>
        <w:t xml:space="preserve"> bukodubový - rozřezané plošiny (s mělkými údolími) - neutrální permské sedimenty</w:t>
      </w:r>
    </w:p>
    <w:p w14:paraId="043128D0" w14:textId="77777777" w:rsidR="00BD369D" w:rsidRPr="006070EA" w:rsidRDefault="00BD369D" w:rsidP="00F3474A">
      <w:pPr>
        <w:pStyle w:val="Atext"/>
        <w:spacing w:before="0" w:after="0"/>
        <w:rPr>
          <w:rFonts w:asciiTheme="majorHAnsi" w:hAnsiTheme="majorHAnsi" w:cstheme="majorHAnsi"/>
          <w:b/>
          <w:szCs w:val="18"/>
        </w:rPr>
      </w:pPr>
      <w:r w:rsidRPr="006070EA">
        <w:rPr>
          <w:rFonts w:asciiTheme="majorHAnsi" w:hAnsiTheme="majorHAnsi" w:cstheme="majorHAnsi"/>
          <w:b/>
          <w:szCs w:val="18"/>
        </w:rPr>
        <w:t>2BE –</w:t>
      </w:r>
      <w:r w:rsidRPr="006070EA">
        <w:rPr>
          <w:rFonts w:asciiTheme="majorHAnsi" w:hAnsiTheme="majorHAnsi" w:cstheme="majorHAnsi"/>
          <w:szCs w:val="18"/>
          <w:shd w:val="clear" w:color="auto" w:fill="FFFFFF"/>
        </w:rPr>
        <w:t xml:space="preserve"> bukodubový - rozřezané plošiny (s mělkými údolími) -  spraše (a sprašové hlíny)</w:t>
      </w:r>
    </w:p>
    <w:p w14:paraId="6CF770A0" w14:textId="77777777" w:rsidR="00BD369D" w:rsidRPr="006070EA" w:rsidRDefault="00BD369D" w:rsidP="00F3474A">
      <w:pPr>
        <w:pStyle w:val="Atext"/>
        <w:spacing w:before="0" w:after="0"/>
        <w:rPr>
          <w:rFonts w:asciiTheme="majorHAnsi" w:hAnsiTheme="majorHAnsi" w:cstheme="majorHAnsi"/>
          <w:b/>
          <w:szCs w:val="18"/>
        </w:rPr>
      </w:pPr>
      <w:r w:rsidRPr="006070EA">
        <w:rPr>
          <w:rFonts w:asciiTheme="majorHAnsi" w:hAnsiTheme="majorHAnsi" w:cstheme="majorHAnsi"/>
          <w:b/>
          <w:szCs w:val="18"/>
        </w:rPr>
        <w:t xml:space="preserve">2Db – </w:t>
      </w:r>
      <w:r w:rsidRPr="006070EA">
        <w:rPr>
          <w:rFonts w:asciiTheme="majorHAnsi" w:hAnsiTheme="majorHAnsi" w:cstheme="majorHAnsi"/>
          <w:szCs w:val="18"/>
          <w:shd w:val="clear" w:color="auto" w:fill="FFFFFF"/>
        </w:rPr>
        <w:t>bukodubový - sníženiny (deprese, zpravidla podmáčené) - slíny (slínovce, vápnité jíly)</w:t>
      </w:r>
    </w:p>
    <w:p w14:paraId="6BA8ABC0" w14:textId="77777777" w:rsidR="00BD369D" w:rsidRPr="006070EA" w:rsidRDefault="00BD369D" w:rsidP="00F3474A">
      <w:pPr>
        <w:pStyle w:val="Atext"/>
        <w:spacing w:before="0" w:after="0"/>
        <w:rPr>
          <w:rFonts w:asciiTheme="majorHAnsi" w:hAnsiTheme="majorHAnsi" w:cstheme="majorHAnsi"/>
          <w:b/>
          <w:szCs w:val="18"/>
        </w:rPr>
      </w:pPr>
      <w:r w:rsidRPr="006070EA">
        <w:rPr>
          <w:rFonts w:asciiTheme="majorHAnsi" w:hAnsiTheme="majorHAnsi" w:cstheme="majorHAnsi"/>
          <w:b/>
          <w:szCs w:val="18"/>
        </w:rPr>
        <w:t xml:space="preserve">2Do – </w:t>
      </w:r>
      <w:r w:rsidRPr="006070EA">
        <w:rPr>
          <w:rFonts w:asciiTheme="majorHAnsi" w:hAnsiTheme="majorHAnsi" w:cstheme="majorHAnsi"/>
          <w:szCs w:val="18"/>
          <w:shd w:val="clear" w:color="auto" w:fill="FFFFFF"/>
        </w:rPr>
        <w:t>bukodubový - sníženiny (deprese, zpravidla podmáčené) - neutrální vulkanity</w:t>
      </w:r>
    </w:p>
    <w:p w14:paraId="40D1C7E1" w14:textId="77777777" w:rsidR="00BD369D" w:rsidRPr="006070EA" w:rsidRDefault="00BD369D" w:rsidP="00F3474A">
      <w:pPr>
        <w:pStyle w:val="Atext"/>
        <w:spacing w:before="0" w:after="0"/>
        <w:rPr>
          <w:rFonts w:asciiTheme="majorHAnsi" w:hAnsiTheme="majorHAnsi" w:cstheme="majorHAnsi"/>
          <w:b/>
          <w:szCs w:val="18"/>
        </w:rPr>
      </w:pPr>
      <w:r w:rsidRPr="006070EA">
        <w:rPr>
          <w:rFonts w:asciiTheme="majorHAnsi" w:hAnsiTheme="majorHAnsi" w:cstheme="majorHAnsi"/>
          <w:b/>
          <w:szCs w:val="18"/>
        </w:rPr>
        <w:t xml:space="preserve"> 2Lh – </w:t>
      </w:r>
      <w:r w:rsidRPr="006070EA">
        <w:rPr>
          <w:rFonts w:asciiTheme="majorHAnsi" w:hAnsiTheme="majorHAnsi" w:cstheme="majorHAnsi"/>
          <w:szCs w:val="18"/>
          <w:shd w:val="clear" w:color="auto" w:fill="FFFFFF"/>
        </w:rPr>
        <w:t>bukodubový - širší nivy (luhy) - hadce</w:t>
      </w:r>
    </w:p>
    <w:p w14:paraId="4AEDE891" w14:textId="77777777" w:rsidR="00BD369D" w:rsidRPr="006070EA" w:rsidRDefault="00BD369D" w:rsidP="00F3474A">
      <w:pPr>
        <w:pStyle w:val="Atext"/>
        <w:spacing w:before="0" w:after="0"/>
        <w:rPr>
          <w:rFonts w:asciiTheme="majorHAnsi" w:hAnsiTheme="majorHAnsi" w:cstheme="majorHAnsi"/>
          <w:b/>
          <w:szCs w:val="18"/>
        </w:rPr>
      </w:pPr>
      <w:r w:rsidRPr="006070EA">
        <w:rPr>
          <w:rFonts w:asciiTheme="majorHAnsi" w:hAnsiTheme="majorHAnsi" w:cstheme="majorHAnsi"/>
          <w:b/>
          <w:szCs w:val="18"/>
        </w:rPr>
        <w:t xml:space="preserve">2Nh – </w:t>
      </w:r>
      <w:r w:rsidRPr="006070EA">
        <w:rPr>
          <w:rFonts w:asciiTheme="majorHAnsi" w:hAnsiTheme="majorHAnsi" w:cstheme="majorHAnsi"/>
          <w:szCs w:val="18"/>
          <w:shd w:val="clear" w:color="auto" w:fill="FFFFFF"/>
        </w:rPr>
        <w:t>bukodubový - užší nivy - hadce</w:t>
      </w:r>
    </w:p>
    <w:p w14:paraId="23FFD6BF" w14:textId="77777777" w:rsidR="00BD369D" w:rsidRPr="006070EA" w:rsidRDefault="00BD369D" w:rsidP="00F3474A">
      <w:pPr>
        <w:pStyle w:val="Atext"/>
        <w:spacing w:before="0" w:after="0"/>
        <w:rPr>
          <w:rFonts w:asciiTheme="majorHAnsi" w:hAnsiTheme="majorHAnsi" w:cstheme="majorHAnsi"/>
          <w:szCs w:val="18"/>
          <w:shd w:val="clear" w:color="auto" w:fill="FFFFFF"/>
        </w:rPr>
      </w:pPr>
      <w:r w:rsidRPr="006070EA">
        <w:rPr>
          <w:rFonts w:asciiTheme="majorHAnsi" w:hAnsiTheme="majorHAnsi" w:cstheme="majorHAnsi"/>
          <w:b/>
          <w:szCs w:val="18"/>
        </w:rPr>
        <w:t xml:space="preserve">2PB – </w:t>
      </w:r>
      <w:r w:rsidRPr="006070EA">
        <w:rPr>
          <w:rFonts w:asciiTheme="majorHAnsi" w:hAnsiTheme="majorHAnsi" w:cstheme="majorHAnsi"/>
          <w:szCs w:val="18"/>
          <w:shd w:val="clear" w:color="auto" w:fill="FFFFFF"/>
        </w:rPr>
        <w:t>bukodubový – pahorkatiny - slíny (slínovce, vápnité jíly)</w:t>
      </w:r>
    </w:p>
    <w:p w14:paraId="28DE2F96" w14:textId="77777777" w:rsidR="00BD369D" w:rsidRPr="006070EA" w:rsidRDefault="00BD369D" w:rsidP="00F3474A">
      <w:pPr>
        <w:pStyle w:val="Atext"/>
        <w:spacing w:before="0" w:after="0"/>
        <w:rPr>
          <w:rFonts w:asciiTheme="majorHAnsi" w:hAnsiTheme="majorHAnsi" w:cstheme="majorHAnsi"/>
          <w:b/>
          <w:szCs w:val="18"/>
        </w:rPr>
      </w:pPr>
      <w:r w:rsidRPr="006070EA">
        <w:rPr>
          <w:rFonts w:asciiTheme="majorHAnsi" w:hAnsiTheme="majorHAnsi" w:cstheme="majorHAnsi"/>
          <w:b/>
          <w:szCs w:val="18"/>
        </w:rPr>
        <w:t>2PB –</w:t>
      </w:r>
      <w:r w:rsidRPr="006070EA">
        <w:rPr>
          <w:rFonts w:asciiTheme="majorHAnsi" w:hAnsiTheme="majorHAnsi" w:cstheme="majorHAnsi"/>
          <w:szCs w:val="18"/>
          <w:shd w:val="clear" w:color="auto" w:fill="FFFFFF"/>
        </w:rPr>
        <w:t xml:space="preserve"> bukodubový – pahorkatiny - slíny (slínovce, vápnité jíly)</w:t>
      </w:r>
    </w:p>
    <w:p w14:paraId="6ED44AEE" w14:textId="77777777" w:rsidR="00BD369D" w:rsidRPr="006070EA" w:rsidRDefault="00BD369D" w:rsidP="00F3474A">
      <w:pPr>
        <w:pStyle w:val="Atext"/>
        <w:spacing w:before="0" w:after="0"/>
        <w:rPr>
          <w:rFonts w:asciiTheme="majorHAnsi" w:hAnsiTheme="majorHAnsi" w:cstheme="majorHAnsi"/>
          <w:b/>
          <w:szCs w:val="18"/>
        </w:rPr>
      </w:pPr>
      <w:r w:rsidRPr="006070EA">
        <w:rPr>
          <w:rFonts w:asciiTheme="majorHAnsi" w:hAnsiTheme="majorHAnsi" w:cstheme="majorHAnsi"/>
          <w:b/>
          <w:szCs w:val="18"/>
        </w:rPr>
        <w:t xml:space="preserve">2RB – </w:t>
      </w:r>
      <w:r w:rsidRPr="006070EA">
        <w:rPr>
          <w:rFonts w:asciiTheme="majorHAnsi" w:hAnsiTheme="majorHAnsi" w:cstheme="majorHAnsi"/>
          <w:szCs w:val="18"/>
          <w:shd w:val="clear" w:color="auto" w:fill="FFFFFF"/>
        </w:rPr>
        <w:t>bukodubový - plošiny (roviny) - slíny (slínovce, vápnité jíly)</w:t>
      </w:r>
    </w:p>
    <w:p w14:paraId="614B8A90" w14:textId="77777777" w:rsidR="00BD369D" w:rsidRPr="006070EA" w:rsidRDefault="00BD369D" w:rsidP="00F3474A">
      <w:pPr>
        <w:pStyle w:val="Atext"/>
        <w:spacing w:before="0" w:after="0"/>
        <w:rPr>
          <w:rFonts w:asciiTheme="majorHAnsi" w:hAnsiTheme="majorHAnsi" w:cstheme="majorHAnsi"/>
          <w:b/>
          <w:szCs w:val="18"/>
        </w:rPr>
      </w:pPr>
      <w:r w:rsidRPr="006070EA">
        <w:rPr>
          <w:rFonts w:asciiTheme="majorHAnsi" w:hAnsiTheme="majorHAnsi" w:cstheme="majorHAnsi"/>
          <w:b/>
          <w:szCs w:val="18"/>
        </w:rPr>
        <w:t xml:space="preserve">2RD – </w:t>
      </w:r>
      <w:r w:rsidRPr="006070EA">
        <w:rPr>
          <w:rFonts w:asciiTheme="majorHAnsi" w:hAnsiTheme="majorHAnsi" w:cstheme="majorHAnsi"/>
          <w:szCs w:val="18"/>
          <w:shd w:val="clear" w:color="auto" w:fill="FFFFFF"/>
        </w:rPr>
        <w:t>bukodubový - plošiny (roviny) - opuky</w:t>
      </w:r>
    </w:p>
    <w:p w14:paraId="2A0FAB21" w14:textId="77777777" w:rsidR="00BD369D" w:rsidRPr="006070EA" w:rsidRDefault="00BD369D" w:rsidP="00F3474A">
      <w:pPr>
        <w:pStyle w:val="Atext"/>
        <w:spacing w:before="0" w:after="0"/>
        <w:rPr>
          <w:rFonts w:asciiTheme="majorHAnsi" w:hAnsiTheme="majorHAnsi" w:cstheme="majorHAnsi"/>
          <w:b/>
          <w:szCs w:val="18"/>
        </w:rPr>
      </w:pPr>
      <w:r w:rsidRPr="006070EA">
        <w:rPr>
          <w:rFonts w:asciiTheme="majorHAnsi" w:hAnsiTheme="majorHAnsi" w:cstheme="majorHAnsi"/>
          <w:b/>
          <w:szCs w:val="18"/>
        </w:rPr>
        <w:t xml:space="preserve">2RE – </w:t>
      </w:r>
      <w:r w:rsidRPr="006070EA">
        <w:rPr>
          <w:rFonts w:asciiTheme="majorHAnsi" w:hAnsiTheme="majorHAnsi" w:cstheme="majorHAnsi"/>
          <w:szCs w:val="18"/>
          <w:shd w:val="clear" w:color="auto" w:fill="FFFFFF"/>
        </w:rPr>
        <w:t>bukodubový - plošiny (roviny) - spraše (a sprašové hlíny)</w:t>
      </w:r>
    </w:p>
    <w:p w14:paraId="3624CB49" w14:textId="77777777" w:rsidR="00BD369D" w:rsidRPr="006070EA" w:rsidRDefault="00BD369D" w:rsidP="00F3474A">
      <w:pPr>
        <w:pStyle w:val="Atext"/>
        <w:spacing w:before="0" w:after="0"/>
        <w:rPr>
          <w:rFonts w:asciiTheme="majorHAnsi" w:hAnsiTheme="majorHAnsi" w:cstheme="majorHAnsi"/>
          <w:b/>
          <w:szCs w:val="18"/>
        </w:rPr>
      </w:pPr>
      <w:r w:rsidRPr="006070EA">
        <w:rPr>
          <w:rFonts w:asciiTheme="majorHAnsi" w:hAnsiTheme="majorHAnsi" w:cstheme="majorHAnsi"/>
          <w:b/>
          <w:szCs w:val="18"/>
        </w:rPr>
        <w:t xml:space="preserve">2RN – </w:t>
      </w:r>
      <w:r w:rsidRPr="006070EA">
        <w:rPr>
          <w:rFonts w:asciiTheme="majorHAnsi" w:hAnsiTheme="majorHAnsi" w:cstheme="majorHAnsi"/>
          <w:szCs w:val="18"/>
          <w:shd w:val="clear" w:color="auto" w:fill="FFFFFF"/>
        </w:rPr>
        <w:t>bukodubový - plošiny (roviny) - zahliněné štěrkopísky</w:t>
      </w:r>
    </w:p>
    <w:p w14:paraId="3C976F22" w14:textId="77777777" w:rsidR="00BD369D" w:rsidRPr="006070EA" w:rsidRDefault="00BD369D" w:rsidP="00F3474A">
      <w:pPr>
        <w:pStyle w:val="Atext"/>
        <w:spacing w:before="0" w:after="0"/>
        <w:rPr>
          <w:rFonts w:asciiTheme="majorHAnsi" w:hAnsiTheme="majorHAnsi" w:cstheme="majorHAnsi"/>
          <w:b/>
          <w:szCs w:val="18"/>
        </w:rPr>
      </w:pPr>
      <w:r w:rsidRPr="006070EA">
        <w:rPr>
          <w:rFonts w:asciiTheme="majorHAnsi" w:hAnsiTheme="majorHAnsi" w:cstheme="majorHAnsi"/>
          <w:b/>
          <w:szCs w:val="18"/>
        </w:rPr>
        <w:t xml:space="preserve">2RU – </w:t>
      </w:r>
      <w:r w:rsidRPr="006070EA">
        <w:rPr>
          <w:rFonts w:asciiTheme="majorHAnsi" w:hAnsiTheme="majorHAnsi" w:cstheme="majorHAnsi"/>
          <w:szCs w:val="18"/>
          <w:shd w:val="clear" w:color="auto" w:fill="FFFFFF"/>
        </w:rPr>
        <w:t>bukodubový - plošiny (roviny) - (terasové) štěrkopísky</w:t>
      </w:r>
    </w:p>
    <w:p w14:paraId="58017A23" w14:textId="188F4D5C" w:rsidR="00BD369D" w:rsidRPr="006070EA" w:rsidRDefault="00BD369D" w:rsidP="00F3474A">
      <w:pPr>
        <w:spacing w:after="60" w:line="240" w:lineRule="auto"/>
        <w:ind w:firstLine="709"/>
        <w:jc w:val="both"/>
        <w:rPr>
          <w:rFonts w:asciiTheme="majorHAnsi" w:eastAsiaTheme="minorEastAsia" w:hAnsiTheme="majorHAnsi" w:cstheme="majorHAnsi"/>
          <w:sz w:val="18"/>
          <w:szCs w:val="18"/>
        </w:rPr>
      </w:pPr>
      <w:r w:rsidRPr="006070EA">
        <w:rPr>
          <w:rFonts w:asciiTheme="majorHAnsi" w:hAnsiTheme="majorHAnsi" w:cstheme="majorHAnsi"/>
          <w:b/>
          <w:sz w:val="18"/>
          <w:szCs w:val="18"/>
        </w:rPr>
        <w:t xml:space="preserve">2RV – </w:t>
      </w:r>
      <w:r w:rsidRPr="006070EA">
        <w:rPr>
          <w:rFonts w:asciiTheme="majorHAnsi" w:hAnsiTheme="majorHAnsi" w:cstheme="majorHAnsi"/>
          <w:sz w:val="18"/>
          <w:szCs w:val="18"/>
          <w:shd w:val="clear" w:color="auto" w:fill="FFFFFF"/>
        </w:rPr>
        <w:t>bukodubový - plošiny (roviny) - váté písky</w:t>
      </w:r>
    </w:p>
    <w:p w14:paraId="5B3A600E" w14:textId="77777777" w:rsidR="00AB1F4C" w:rsidRPr="006070EA" w:rsidRDefault="00D035B2" w:rsidP="009E07E1">
      <w:pPr>
        <w:keepNext/>
        <w:spacing w:before="120" w:after="120" w:line="240" w:lineRule="auto"/>
        <w:rPr>
          <w:rFonts w:asciiTheme="majorHAnsi" w:hAnsiTheme="majorHAnsi" w:cstheme="majorHAnsi"/>
          <w:b/>
          <w:sz w:val="18"/>
        </w:rPr>
      </w:pPr>
      <w:r w:rsidRPr="006070EA">
        <w:rPr>
          <w:rFonts w:asciiTheme="majorHAnsi" w:hAnsiTheme="majorHAnsi" w:cstheme="majorHAnsi"/>
          <w:b/>
          <w:sz w:val="18"/>
        </w:rPr>
        <w:t>Krajinný ráz a cílové charakteristiky krajiny</w:t>
      </w:r>
    </w:p>
    <w:p w14:paraId="0B5D4B24" w14:textId="77777777" w:rsidR="00BD369D" w:rsidRPr="006070EA" w:rsidRDefault="00BD369D" w:rsidP="00BD369D">
      <w:pPr>
        <w:pStyle w:val="Anadpispodtren"/>
        <w:rPr>
          <w:rFonts w:asciiTheme="majorHAnsi" w:hAnsiTheme="majorHAnsi" w:cstheme="majorHAnsi"/>
          <w:color w:val="000000"/>
        </w:rPr>
      </w:pPr>
      <w:r w:rsidRPr="006070EA">
        <w:rPr>
          <w:rFonts w:asciiTheme="majorHAnsi" w:hAnsiTheme="majorHAnsi" w:cstheme="majorHAnsi"/>
          <w:color w:val="000000"/>
        </w:rPr>
        <w:t>Krajinný ráz</w:t>
      </w:r>
    </w:p>
    <w:p w14:paraId="15184D84" w14:textId="77777777" w:rsidR="00BD369D" w:rsidRPr="006070EA" w:rsidRDefault="00BD369D" w:rsidP="00BD369D">
      <w:pPr>
        <w:pStyle w:val="Atext"/>
        <w:rPr>
          <w:rFonts w:asciiTheme="majorHAnsi" w:hAnsiTheme="majorHAnsi" w:cstheme="majorHAnsi"/>
          <w:color w:val="000000"/>
        </w:rPr>
      </w:pPr>
      <w:r w:rsidRPr="006070EA">
        <w:rPr>
          <w:rFonts w:asciiTheme="majorHAnsi" w:hAnsiTheme="majorHAnsi" w:cstheme="majorHAnsi"/>
          <w:color w:val="000000"/>
        </w:rPr>
        <w:t>Krajinný ráz je dán přírodní, kulturní a historickou charakteristikou určitého místa nebo oblasti, resp. vnímatelnými znaky a hodnotami těchto charakteristik.</w:t>
      </w:r>
    </w:p>
    <w:p w14:paraId="60628596" w14:textId="7035C698" w:rsidR="00BD369D" w:rsidRPr="006070EA" w:rsidRDefault="00BD369D" w:rsidP="00BD369D">
      <w:pPr>
        <w:pStyle w:val="Atext"/>
        <w:rPr>
          <w:rFonts w:asciiTheme="majorHAnsi" w:hAnsiTheme="majorHAnsi" w:cstheme="majorHAnsi"/>
          <w:color w:val="000000"/>
        </w:rPr>
      </w:pPr>
      <w:r w:rsidRPr="006070EA">
        <w:rPr>
          <w:rFonts w:asciiTheme="majorHAnsi" w:hAnsiTheme="majorHAnsi" w:cstheme="majorHAnsi"/>
          <w:color w:val="000000"/>
        </w:rPr>
        <w:t>Rozsáhlá oblast pravobřežní části Polabí mezi Kolínem a Mělníkem přestavuje typický obraz Polabské nížiny s</w:t>
      </w:r>
      <w:r w:rsidR="00B7573B" w:rsidRPr="006070EA">
        <w:rPr>
          <w:rFonts w:asciiTheme="majorHAnsi" w:hAnsiTheme="majorHAnsi" w:cstheme="majorHAnsi"/>
          <w:color w:val="000000"/>
        </w:rPr>
        <w:t> </w:t>
      </w:r>
      <w:r w:rsidRPr="006070EA">
        <w:rPr>
          <w:rFonts w:asciiTheme="majorHAnsi" w:hAnsiTheme="majorHAnsi" w:cstheme="majorHAnsi"/>
          <w:color w:val="000000"/>
        </w:rPr>
        <w:t xml:space="preserve">velkým měřítkem intenzivně obhospodařované zemědělské krajiny. V panoramatech velkoplošně členěné krajiny se výrazně projevuje mohutný zelený koridor Labe s pásy doprovodné zeleně, lužními prostory a navazujícími lesními celky. Charakter vizuální scény oblasti se vyznačuje otevřeností a velkým měřítkem krajiny. Předěl krajinných typů </w:t>
      </w:r>
      <w:r w:rsidR="00B7573B" w:rsidRPr="006070EA">
        <w:rPr>
          <w:rFonts w:asciiTheme="majorHAnsi" w:hAnsiTheme="majorHAnsi" w:cstheme="majorHAnsi"/>
          <w:color w:val="000000"/>
        </w:rPr>
        <w:t>–</w:t>
      </w:r>
      <w:r w:rsidRPr="006070EA">
        <w:rPr>
          <w:rFonts w:asciiTheme="majorHAnsi" w:hAnsiTheme="majorHAnsi" w:cstheme="majorHAnsi"/>
          <w:color w:val="000000"/>
        </w:rPr>
        <w:t xml:space="preserve"> agrární krajiny a nivy Labe </w:t>
      </w:r>
      <w:r w:rsidR="00B7573B" w:rsidRPr="006070EA">
        <w:rPr>
          <w:rFonts w:asciiTheme="majorHAnsi" w:hAnsiTheme="majorHAnsi" w:cstheme="majorHAnsi"/>
          <w:color w:val="000000"/>
        </w:rPr>
        <w:t>–</w:t>
      </w:r>
      <w:r w:rsidRPr="006070EA">
        <w:rPr>
          <w:rFonts w:asciiTheme="majorHAnsi" w:hAnsiTheme="majorHAnsi" w:cstheme="majorHAnsi"/>
          <w:color w:val="000000"/>
        </w:rPr>
        <w:t xml:space="preserve"> je velmi mírný, i když je místy tvořen poměrně zřetelným svahem. Přes nevýraznou hranici jsou rozdíly mezi oběma typy krajiny značné. Krajina vyniká četnými krajinářsko-estetickými hodnotami vázanými na přírodě blízké partie koridoru Labe, na scenérie členitějších partií okolí Lysé nad Labem, kde je krajinná scéna prostoru Nymburské kotliny obohacena výrazným kontrastem přehledné nížiny Nymburské kotliny a scenerií nevysokých, ale v krajině významných výšin. Nižší část území </w:t>
      </w:r>
      <w:r w:rsidR="00B7573B" w:rsidRPr="006070EA">
        <w:rPr>
          <w:rFonts w:asciiTheme="majorHAnsi" w:hAnsiTheme="majorHAnsi" w:cstheme="majorHAnsi"/>
          <w:color w:val="000000"/>
        </w:rPr>
        <w:t>–</w:t>
      </w:r>
      <w:r w:rsidRPr="006070EA">
        <w:rPr>
          <w:rFonts w:asciiTheme="majorHAnsi" w:hAnsiTheme="majorHAnsi" w:cstheme="majorHAnsi"/>
          <w:color w:val="000000"/>
        </w:rPr>
        <w:t xml:space="preserve"> niva Labe v nadmořské výšce cca 180 m n.m. - je živá, s říčními rameny, vodními plochami a přítoky Hronětického potoka a Vlkavy, s množstvím drobných lesíků, rozptýlené zeleně a souvislých lužních lesů. Tyto pozitivní znaky se týkají především dílčích scenérií a vnímání proměn krajinné scény při průchodu krajinou (možnost vnímání celkových panoramat tohoto segmentu krajiny není příliš častá). </w:t>
      </w:r>
      <w:r w:rsidR="00B7573B" w:rsidRPr="006070EA">
        <w:rPr>
          <w:rFonts w:asciiTheme="majorHAnsi" w:hAnsiTheme="majorHAnsi" w:cstheme="majorHAnsi"/>
          <w:color w:val="000000"/>
        </w:rPr>
        <w:t>Jedná se</w:t>
      </w:r>
      <w:r w:rsidRPr="006070EA">
        <w:rPr>
          <w:rFonts w:asciiTheme="majorHAnsi" w:hAnsiTheme="majorHAnsi" w:cstheme="majorHAnsi"/>
          <w:color w:val="000000"/>
        </w:rPr>
        <w:t xml:space="preserve"> v tomto případě o krajin</w:t>
      </w:r>
      <w:r w:rsidR="00B7573B" w:rsidRPr="006070EA">
        <w:rPr>
          <w:rFonts w:asciiTheme="majorHAnsi" w:hAnsiTheme="majorHAnsi" w:cstheme="majorHAnsi"/>
          <w:color w:val="000000"/>
        </w:rPr>
        <w:t>u</w:t>
      </w:r>
      <w:r w:rsidRPr="006070EA">
        <w:rPr>
          <w:rFonts w:asciiTheme="majorHAnsi" w:hAnsiTheme="majorHAnsi" w:cstheme="majorHAnsi"/>
          <w:color w:val="000000"/>
        </w:rPr>
        <w:t xml:space="preserve"> s estetickými hodnotami, harmonickým měřítkem a vztahy. Vyšší polohy agrární krajiny v</w:t>
      </w:r>
      <w:r w:rsidR="00433C39" w:rsidRPr="006070EA">
        <w:rPr>
          <w:rFonts w:asciiTheme="majorHAnsi" w:hAnsiTheme="majorHAnsi" w:cstheme="majorHAnsi"/>
          <w:color w:val="000000"/>
        </w:rPr>
        <w:t> </w:t>
      </w:r>
      <w:r w:rsidRPr="006070EA">
        <w:rPr>
          <w:rFonts w:asciiTheme="majorHAnsi" w:hAnsiTheme="majorHAnsi" w:cstheme="majorHAnsi"/>
          <w:color w:val="000000"/>
        </w:rPr>
        <w:t>nadmořské výšce cca 200 - 230 m n.m. představují krajinu velkého měřítka bez členících strukturních prvků, bez zřetelného vymezení. Tento typ krajiny se převážně vyznačuje nevýrazností terénu, malou diverzitou prvků krajinné scény a absencí harmonie měřítka a vztahů v krajině. V přehledné krajině se výrazně projevuje lesnatý okraj Dolnojizerské tabule a Mrlinské tabule. Krajina s velkými zemědělskými obcemi skrývá řadu lokalit s cennou architekturou a</w:t>
      </w:r>
      <w:r w:rsidR="00B7573B" w:rsidRPr="006070EA">
        <w:rPr>
          <w:rFonts w:asciiTheme="majorHAnsi" w:hAnsiTheme="majorHAnsi" w:cstheme="majorHAnsi"/>
          <w:color w:val="000000"/>
        </w:rPr>
        <w:t> </w:t>
      </w:r>
      <w:r w:rsidRPr="006070EA">
        <w:rPr>
          <w:rFonts w:asciiTheme="majorHAnsi" w:hAnsiTheme="majorHAnsi" w:cstheme="majorHAnsi"/>
          <w:color w:val="000000"/>
        </w:rPr>
        <w:t xml:space="preserve">lokality s historickými krajinnými úpravami a parky. V krajinných panoramatech se projevují architektonické dominanty měst Kolína, Poděbrad, Lysé nad Labem a dalších. Vnější pohledy jsou otevřené, se vzdálenými horizonty, zobrazující krajinu velkých prostorových dimenzí a velkého měřítka. </w:t>
      </w:r>
    </w:p>
    <w:p w14:paraId="3EABB404" w14:textId="77777777" w:rsidR="00BD369D" w:rsidRPr="006070EA" w:rsidRDefault="00BD369D" w:rsidP="00CF391E">
      <w:pPr>
        <w:pStyle w:val="Anadpispodtren"/>
        <w:rPr>
          <w:rFonts w:asciiTheme="majorHAnsi" w:hAnsiTheme="majorHAnsi" w:cstheme="majorHAnsi"/>
          <w:color w:val="000000"/>
        </w:rPr>
      </w:pPr>
      <w:r w:rsidRPr="006070EA">
        <w:rPr>
          <w:rFonts w:asciiTheme="majorHAnsi" w:hAnsiTheme="majorHAnsi" w:cstheme="majorHAnsi"/>
          <w:color w:val="000000"/>
        </w:rPr>
        <w:lastRenderedPageBreak/>
        <w:t>Krajinný typ</w:t>
      </w:r>
    </w:p>
    <w:p w14:paraId="5C25E634" w14:textId="77777777" w:rsidR="00BD369D" w:rsidRPr="006070EA" w:rsidRDefault="00BD369D" w:rsidP="00CF391E">
      <w:pPr>
        <w:pStyle w:val="Atext"/>
        <w:keepNext/>
        <w:rPr>
          <w:rFonts w:asciiTheme="majorHAnsi" w:hAnsiTheme="majorHAnsi" w:cstheme="majorHAnsi"/>
          <w:color w:val="000000"/>
        </w:rPr>
      </w:pPr>
      <w:r w:rsidRPr="006070EA">
        <w:rPr>
          <w:rFonts w:asciiTheme="majorHAnsi" w:hAnsiTheme="majorHAnsi" w:cstheme="majorHAnsi"/>
          <w:color w:val="000000"/>
        </w:rPr>
        <w:t>Dle ZÚR Středočeského kraje je krajina správního území obce Kostomlaty nad Labem začleněno do následujících krajinných typů:</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7"/>
        <w:gridCol w:w="6280"/>
      </w:tblGrid>
      <w:tr w:rsidR="00BD369D" w:rsidRPr="006070EA" w14:paraId="3A40606B" w14:textId="77777777" w:rsidTr="00B7573B">
        <w:trPr>
          <w:cantSplit/>
          <w:trHeight w:val="283"/>
          <w:tblHeader/>
          <w:jc w:val="center"/>
        </w:trPr>
        <w:tc>
          <w:tcPr>
            <w:tcW w:w="2617" w:type="dxa"/>
            <w:tcBorders>
              <w:top w:val="nil"/>
              <w:left w:val="nil"/>
              <w:bottom w:val="single" w:sz="12" w:space="0" w:color="auto"/>
              <w:right w:val="single" w:sz="12" w:space="0" w:color="auto"/>
            </w:tcBorders>
            <w:shd w:val="clear" w:color="auto" w:fill="auto"/>
            <w:vAlign w:val="center"/>
            <w:hideMark/>
          </w:tcPr>
          <w:p w14:paraId="34FD302F" w14:textId="77777777" w:rsidR="00BD369D" w:rsidRPr="006070EA" w:rsidRDefault="00BD369D" w:rsidP="00CF391E">
            <w:pPr>
              <w:pStyle w:val="Bezmezer"/>
              <w:keepNext/>
              <w:rPr>
                <w:rFonts w:asciiTheme="majorHAnsi" w:hAnsiTheme="majorHAnsi" w:cstheme="majorHAnsi"/>
                <w:b/>
                <w:color w:val="000000"/>
                <w:lang w:val="cs-CZ"/>
              </w:rPr>
            </w:pPr>
            <w:r w:rsidRPr="006070EA">
              <w:rPr>
                <w:rFonts w:asciiTheme="majorHAnsi" w:hAnsiTheme="majorHAnsi" w:cstheme="majorHAnsi"/>
                <w:b/>
                <w:color w:val="000000"/>
                <w:lang w:val="cs-CZ"/>
              </w:rPr>
              <w:t>krajinný typ dle cílového využití</w:t>
            </w:r>
          </w:p>
        </w:tc>
        <w:tc>
          <w:tcPr>
            <w:tcW w:w="6280" w:type="dxa"/>
            <w:tcBorders>
              <w:top w:val="nil"/>
              <w:left w:val="single" w:sz="12" w:space="0" w:color="auto"/>
              <w:bottom w:val="single" w:sz="12" w:space="0" w:color="auto"/>
              <w:right w:val="nil"/>
            </w:tcBorders>
            <w:shd w:val="clear" w:color="auto" w:fill="auto"/>
            <w:vAlign w:val="center"/>
            <w:hideMark/>
          </w:tcPr>
          <w:p w14:paraId="702E4600" w14:textId="77777777" w:rsidR="00BD369D" w:rsidRPr="006070EA" w:rsidRDefault="00BD369D" w:rsidP="00CF391E">
            <w:pPr>
              <w:pStyle w:val="Bezmezer"/>
              <w:keepNext/>
              <w:rPr>
                <w:rFonts w:asciiTheme="majorHAnsi" w:hAnsiTheme="majorHAnsi" w:cstheme="majorHAnsi"/>
                <w:b/>
                <w:color w:val="000000"/>
                <w:lang w:val="cs-CZ"/>
              </w:rPr>
            </w:pPr>
            <w:r w:rsidRPr="006070EA">
              <w:rPr>
                <w:rFonts w:asciiTheme="majorHAnsi" w:hAnsiTheme="majorHAnsi" w:cstheme="majorHAnsi"/>
                <w:b/>
                <w:color w:val="000000"/>
                <w:lang w:val="cs-CZ"/>
              </w:rPr>
              <w:t>Krajina polní</w:t>
            </w:r>
          </w:p>
        </w:tc>
      </w:tr>
      <w:tr w:rsidR="00BD369D" w:rsidRPr="006070EA" w14:paraId="23D0C733" w14:textId="77777777" w:rsidTr="00B7573B">
        <w:trPr>
          <w:trHeight w:val="283"/>
          <w:jc w:val="center"/>
        </w:trPr>
        <w:tc>
          <w:tcPr>
            <w:tcW w:w="2617" w:type="dxa"/>
            <w:tcBorders>
              <w:top w:val="single" w:sz="12" w:space="0" w:color="auto"/>
              <w:left w:val="nil"/>
              <w:bottom w:val="single" w:sz="12" w:space="0" w:color="auto"/>
              <w:right w:val="single" w:sz="12" w:space="0" w:color="auto"/>
            </w:tcBorders>
            <w:shd w:val="clear" w:color="auto" w:fill="auto"/>
            <w:vAlign w:val="center"/>
            <w:hideMark/>
          </w:tcPr>
          <w:p w14:paraId="52BFAA6F" w14:textId="77777777" w:rsidR="00BD369D" w:rsidRPr="006070EA" w:rsidRDefault="00BD369D" w:rsidP="00CF391E">
            <w:pPr>
              <w:pStyle w:val="Bezmezer"/>
              <w:keepNext/>
              <w:rPr>
                <w:rFonts w:asciiTheme="majorHAnsi" w:hAnsiTheme="majorHAnsi" w:cstheme="majorHAnsi"/>
                <w:b/>
                <w:color w:val="000000"/>
                <w:lang w:val="cs-CZ"/>
              </w:rPr>
            </w:pPr>
            <w:r w:rsidRPr="006070EA">
              <w:rPr>
                <w:rFonts w:asciiTheme="majorHAnsi" w:hAnsiTheme="majorHAnsi" w:cstheme="majorHAnsi"/>
                <w:b/>
                <w:color w:val="000000"/>
                <w:lang w:val="cs-CZ"/>
              </w:rPr>
              <w:t>území</w:t>
            </w:r>
          </w:p>
        </w:tc>
        <w:tc>
          <w:tcPr>
            <w:tcW w:w="6280" w:type="dxa"/>
            <w:tcBorders>
              <w:top w:val="single" w:sz="12" w:space="0" w:color="auto"/>
              <w:left w:val="single" w:sz="12" w:space="0" w:color="auto"/>
              <w:bottom w:val="single" w:sz="4" w:space="0" w:color="auto"/>
              <w:right w:val="nil"/>
            </w:tcBorders>
            <w:shd w:val="clear" w:color="auto" w:fill="auto"/>
            <w:vAlign w:val="center"/>
          </w:tcPr>
          <w:p w14:paraId="1DFA3BB1" w14:textId="77777777" w:rsidR="00BD369D" w:rsidRPr="006070EA" w:rsidRDefault="00BD369D" w:rsidP="00CF391E">
            <w:pPr>
              <w:pStyle w:val="Bezmezer"/>
              <w:keepNext/>
              <w:rPr>
                <w:rFonts w:asciiTheme="majorHAnsi" w:hAnsiTheme="majorHAnsi" w:cstheme="majorHAnsi"/>
                <w:color w:val="000000"/>
                <w:lang w:val="cs-CZ"/>
              </w:rPr>
            </w:pPr>
            <w:r w:rsidRPr="006070EA">
              <w:rPr>
                <w:rFonts w:asciiTheme="majorHAnsi" w:hAnsiTheme="majorHAnsi" w:cstheme="majorHAnsi"/>
                <w:color w:val="000000"/>
                <w:lang w:val="cs-CZ"/>
              </w:rPr>
              <w:t>celé řešené území</w:t>
            </w:r>
          </w:p>
        </w:tc>
      </w:tr>
      <w:tr w:rsidR="00BD369D" w:rsidRPr="006070EA" w14:paraId="382831D0" w14:textId="77777777" w:rsidTr="00B7573B">
        <w:trPr>
          <w:trHeight w:val="283"/>
          <w:jc w:val="center"/>
        </w:trPr>
        <w:tc>
          <w:tcPr>
            <w:tcW w:w="2617" w:type="dxa"/>
            <w:tcBorders>
              <w:top w:val="single" w:sz="12" w:space="0" w:color="auto"/>
              <w:left w:val="nil"/>
              <w:bottom w:val="single" w:sz="12" w:space="0" w:color="auto"/>
              <w:right w:val="single" w:sz="12" w:space="0" w:color="auto"/>
            </w:tcBorders>
            <w:shd w:val="clear" w:color="auto" w:fill="auto"/>
            <w:vAlign w:val="center"/>
            <w:hideMark/>
          </w:tcPr>
          <w:p w14:paraId="1B76B776" w14:textId="77777777" w:rsidR="00BD369D" w:rsidRPr="006070EA" w:rsidRDefault="00BD369D" w:rsidP="000E35EE">
            <w:pPr>
              <w:pStyle w:val="Bezmezer"/>
              <w:rPr>
                <w:rFonts w:asciiTheme="majorHAnsi" w:hAnsiTheme="majorHAnsi" w:cstheme="majorHAnsi"/>
                <w:b/>
                <w:color w:val="000000"/>
                <w:lang w:val="cs-CZ"/>
              </w:rPr>
            </w:pPr>
            <w:r w:rsidRPr="006070EA">
              <w:rPr>
                <w:rFonts w:asciiTheme="majorHAnsi" w:hAnsiTheme="majorHAnsi" w:cstheme="majorHAnsi"/>
                <w:b/>
                <w:color w:val="000000"/>
                <w:lang w:val="cs-CZ"/>
              </w:rPr>
              <w:t>charakteristika krajiny</w:t>
            </w:r>
          </w:p>
        </w:tc>
        <w:tc>
          <w:tcPr>
            <w:tcW w:w="6280" w:type="dxa"/>
            <w:tcBorders>
              <w:top w:val="single" w:sz="4" w:space="0" w:color="auto"/>
              <w:left w:val="single" w:sz="12" w:space="0" w:color="auto"/>
              <w:bottom w:val="single" w:sz="4" w:space="0" w:color="auto"/>
              <w:right w:val="nil"/>
            </w:tcBorders>
            <w:shd w:val="clear" w:color="auto" w:fill="auto"/>
            <w:vAlign w:val="center"/>
            <w:hideMark/>
          </w:tcPr>
          <w:p w14:paraId="3468EBBB" w14:textId="77777777" w:rsidR="00BD369D" w:rsidRPr="006070EA" w:rsidRDefault="00BD369D" w:rsidP="000E35EE">
            <w:pPr>
              <w:autoSpaceDE w:val="0"/>
              <w:autoSpaceDN w:val="0"/>
              <w:adjustRightInd w:val="0"/>
              <w:jc w:val="both"/>
              <w:rPr>
                <w:rFonts w:asciiTheme="majorHAnsi" w:hAnsiTheme="majorHAnsi" w:cstheme="majorHAnsi"/>
                <w:color w:val="000000"/>
                <w:sz w:val="18"/>
                <w:szCs w:val="20"/>
                <w:lang w:eastAsia="cs-CZ"/>
              </w:rPr>
            </w:pPr>
            <w:r w:rsidRPr="006070EA">
              <w:rPr>
                <w:rFonts w:asciiTheme="majorHAnsi" w:hAnsiTheme="majorHAnsi" w:cstheme="majorHAnsi"/>
                <w:color w:val="000000"/>
                <w:sz w:val="18"/>
                <w:szCs w:val="20"/>
                <w:lang w:eastAsia="cs-CZ"/>
              </w:rPr>
              <w:t>oblasti s vysokým podílem zemědělského půdního fondu, které mají příznivé terénní podmínky pro hospodaření a vysokou kvalitu půdy</w:t>
            </w:r>
          </w:p>
        </w:tc>
      </w:tr>
      <w:tr w:rsidR="00BD369D" w:rsidRPr="006070EA" w14:paraId="2AA0F264" w14:textId="77777777" w:rsidTr="00B7573B">
        <w:trPr>
          <w:trHeight w:val="283"/>
          <w:jc w:val="center"/>
        </w:trPr>
        <w:tc>
          <w:tcPr>
            <w:tcW w:w="2617" w:type="dxa"/>
            <w:tcBorders>
              <w:top w:val="single" w:sz="12" w:space="0" w:color="auto"/>
              <w:left w:val="nil"/>
              <w:bottom w:val="single" w:sz="12" w:space="0" w:color="auto"/>
              <w:right w:val="single" w:sz="12" w:space="0" w:color="auto"/>
            </w:tcBorders>
            <w:shd w:val="clear" w:color="auto" w:fill="auto"/>
            <w:vAlign w:val="center"/>
            <w:hideMark/>
          </w:tcPr>
          <w:p w14:paraId="790BB9F9" w14:textId="77777777" w:rsidR="00BD369D" w:rsidRPr="006070EA" w:rsidRDefault="00BD369D" w:rsidP="000E35EE">
            <w:pPr>
              <w:pStyle w:val="Bezmezer"/>
              <w:rPr>
                <w:rFonts w:asciiTheme="majorHAnsi" w:hAnsiTheme="majorHAnsi" w:cstheme="majorHAnsi"/>
                <w:b/>
                <w:color w:val="000000"/>
                <w:lang w:val="cs-CZ"/>
              </w:rPr>
            </w:pPr>
            <w:r w:rsidRPr="006070EA">
              <w:rPr>
                <w:rFonts w:asciiTheme="majorHAnsi" w:hAnsiTheme="majorHAnsi" w:cstheme="majorHAnsi"/>
                <w:b/>
                <w:color w:val="000000"/>
                <w:lang w:val="cs-CZ"/>
              </w:rPr>
              <w:t>hlavní cílové využití dle ZÚR</w:t>
            </w:r>
          </w:p>
        </w:tc>
        <w:tc>
          <w:tcPr>
            <w:tcW w:w="6280" w:type="dxa"/>
            <w:tcBorders>
              <w:top w:val="single" w:sz="4" w:space="0" w:color="auto"/>
              <w:left w:val="single" w:sz="12" w:space="0" w:color="auto"/>
              <w:bottom w:val="single" w:sz="4" w:space="0" w:color="auto"/>
              <w:right w:val="nil"/>
            </w:tcBorders>
            <w:shd w:val="clear" w:color="auto" w:fill="auto"/>
            <w:vAlign w:val="center"/>
            <w:hideMark/>
          </w:tcPr>
          <w:p w14:paraId="51EA7540" w14:textId="77777777" w:rsidR="00BD369D" w:rsidRPr="006070EA" w:rsidRDefault="00BD369D" w:rsidP="000E35EE">
            <w:pPr>
              <w:autoSpaceDE w:val="0"/>
              <w:autoSpaceDN w:val="0"/>
              <w:adjustRightInd w:val="0"/>
              <w:jc w:val="both"/>
              <w:rPr>
                <w:rFonts w:asciiTheme="majorHAnsi" w:hAnsiTheme="majorHAnsi" w:cstheme="majorHAnsi"/>
                <w:color w:val="000000"/>
                <w:sz w:val="18"/>
              </w:rPr>
            </w:pPr>
            <w:r w:rsidRPr="006070EA">
              <w:rPr>
                <w:rFonts w:asciiTheme="majorHAnsi" w:hAnsiTheme="majorHAnsi" w:cstheme="majorHAnsi"/>
                <w:color w:val="000000"/>
                <w:sz w:val="18"/>
                <w:szCs w:val="20"/>
                <w:lang w:eastAsia="cs-CZ"/>
              </w:rPr>
              <w:t>přírodní potenciál území pro vysokou nebo specifickou zemědělskou produkci</w:t>
            </w:r>
          </w:p>
        </w:tc>
      </w:tr>
      <w:tr w:rsidR="00BD369D" w:rsidRPr="006070EA" w14:paraId="12161735" w14:textId="77777777" w:rsidTr="00B7573B">
        <w:trPr>
          <w:trHeight w:val="283"/>
          <w:jc w:val="center"/>
        </w:trPr>
        <w:tc>
          <w:tcPr>
            <w:tcW w:w="2617" w:type="dxa"/>
            <w:tcBorders>
              <w:top w:val="single" w:sz="12" w:space="0" w:color="auto"/>
              <w:left w:val="nil"/>
              <w:bottom w:val="nil"/>
              <w:right w:val="single" w:sz="12" w:space="0" w:color="auto"/>
            </w:tcBorders>
            <w:shd w:val="clear" w:color="auto" w:fill="auto"/>
            <w:vAlign w:val="center"/>
            <w:hideMark/>
          </w:tcPr>
          <w:p w14:paraId="7B7FAD82" w14:textId="77777777" w:rsidR="00BD369D" w:rsidRPr="006070EA" w:rsidRDefault="00BD369D" w:rsidP="00B7573B">
            <w:pPr>
              <w:pStyle w:val="Bezmezer"/>
              <w:rPr>
                <w:rFonts w:asciiTheme="majorHAnsi" w:hAnsiTheme="majorHAnsi" w:cstheme="majorHAnsi"/>
                <w:b/>
                <w:color w:val="000000"/>
                <w:lang w:val="cs-CZ"/>
              </w:rPr>
            </w:pPr>
            <w:r w:rsidRPr="006070EA">
              <w:rPr>
                <w:rFonts w:asciiTheme="majorHAnsi" w:hAnsiTheme="majorHAnsi" w:cstheme="majorHAnsi"/>
                <w:b/>
                <w:color w:val="000000"/>
                <w:lang w:val="cs-CZ"/>
              </w:rPr>
              <w:t>zásady pro činnost v území a rozhodování o změnách v území dle ZÚR</w:t>
            </w:r>
          </w:p>
        </w:tc>
        <w:tc>
          <w:tcPr>
            <w:tcW w:w="6280" w:type="dxa"/>
            <w:tcBorders>
              <w:top w:val="single" w:sz="4" w:space="0" w:color="auto"/>
              <w:left w:val="single" w:sz="12" w:space="0" w:color="auto"/>
              <w:bottom w:val="nil"/>
              <w:right w:val="nil"/>
            </w:tcBorders>
            <w:shd w:val="clear" w:color="auto" w:fill="auto"/>
            <w:vAlign w:val="center"/>
            <w:hideMark/>
          </w:tcPr>
          <w:p w14:paraId="129A2EF0" w14:textId="77777777" w:rsidR="00BD369D" w:rsidRPr="006070EA" w:rsidRDefault="00BD369D" w:rsidP="00B7573B">
            <w:pPr>
              <w:pStyle w:val="Bezmezer"/>
              <w:numPr>
                <w:ilvl w:val="0"/>
                <w:numId w:val="35"/>
              </w:numPr>
              <w:ind w:left="456" w:hanging="284"/>
              <w:rPr>
                <w:rFonts w:asciiTheme="majorHAnsi" w:hAnsiTheme="majorHAnsi" w:cstheme="majorHAnsi"/>
                <w:color w:val="000000"/>
                <w:szCs w:val="20"/>
                <w:lang w:val="cs-CZ" w:eastAsia="cs-CZ"/>
              </w:rPr>
            </w:pPr>
            <w:r w:rsidRPr="006070EA">
              <w:rPr>
                <w:rFonts w:asciiTheme="majorHAnsi" w:hAnsiTheme="majorHAnsi" w:cstheme="majorHAnsi"/>
                <w:color w:val="000000"/>
                <w:szCs w:val="20"/>
                <w:lang w:val="cs-CZ" w:eastAsia="cs-CZ"/>
              </w:rPr>
              <w:t>zachování komparativních výhod pro zemědělské hospodaření</w:t>
            </w:r>
          </w:p>
          <w:p w14:paraId="78A94DAE" w14:textId="77777777" w:rsidR="00BD369D" w:rsidRPr="006070EA" w:rsidRDefault="00BD369D" w:rsidP="00B7573B">
            <w:pPr>
              <w:pStyle w:val="Bezmezer"/>
              <w:numPr>
                <w:ilvl w:val="0"/>
                <w:numId w:val="35"/>
              </w:numPr>
              <w:ind w:left="456" w:hanging="284"/>
              <w:rPr>
                <w:rFonts w:asciiTheme="majorHAnsi" w:hAnsiTheme="majorHAnsi" w:cstheme="majorHAnsi"/>
                <w:color w:val="000000"/>
                <w:lang w:val="cs-CZ"/>
              </w:rPr>
            </w:pPr>
            <w:r w:rsidRPr="006070EA">
              <w:rPr>
                <w:rFonts w:asciiTheme="majorHAnsi" w:hAnsiTheme="majorHAnsi" w:cstheme="majorHAnsi"/>
                <w:color w:val="000000"/>
                <w:szCs w:val="20"/>
                <w:lang w:val="cs-CZ" w:eastAsia="cs-CZ"/>
              </w:rPr>
              <w:t>neohrozit podmínky pro vysokou nebo specifickou zemědělskou funkci</w:t>
            </w:r>
          </w:p>
        </w:tc>
      </w:tr>
    </w:tbl>
    <w:p w14:paraId="680B05CE" w14:textId="0416EB78" w:rsidR="00AB1F4C" w:rsidRPr="006070EA" w:rsidRDefault="006D175C" w:rsidP="00132CA6">
      <w:pPr>
        <w:pStyle w:val="Norml"/>
        <w:spacing w:before="60" w:after="60"/>
        <w:rPr>
          <w:rFonts w:asciiTheme="majorHAnsi" w:hAnsiTheme="majorHAnsi" w:cstheme="majorHAnsi"/>
        </w:rPr>
      </w:pPr>
      <w:bookmarkStart w:id="388" w:name="_Toc424119859"/>
      <w:r w:rsidRPr="006070EA">
        <w:rPr>
          <w:rFonts w:asciiTheme="majorHAnsi" w:hAnsiTheme="majorHAnsi" w:cstheme="majorHAnsi"/>
        </w:rPr>
        <w:t xml:space="preserve">Územní plán zohledňuje a respektuje cílové charakteristiky krajiny, stanovené v ZÚR </w:t>
      </w:r>
      <w:r w:rsidR="00B7573B" w:rsidRPr="006070EA">
        <w:rPr>
          <w:rFonts w:asciiTheme="majorHAnsi" w:hAnsiTheme="majorHAnsi" w:cstheme="majorHAnsi"/>
        </w:rPr>
        <w:t xml:space="preserve">SK </w:t>
      </w:r>
      <w:r w:rsidRPr="006070EA">
        <w:rPr>
          <w:rFonts w:asciiTheme="majorHAnsi" w:hAnsiTheme="majorHAnsi" w:cstheme="majorHAnsi"/>
        </w:rPr>
        <w:t xml:space="preserve">(více viz kap. 3.2 </w:t>
      </w:r>
      <w:r w:rsidR="00B7573B" w:rsidRPr="006070EA">
        <w:rPr>
          <w:rFonts w:asciiTheme="majorHAnsi" w:hAnsiTheme="majorHAnsi" w:cstheme="majorHAnsi"/>
        </w:rPr>
        <w:t>tohoto o</w:t>
      </w:r>
      <w:r w:rsidRPr="006070EA">
        <w:rPr>
          <w:rFonts w:asciiTheme="majorHAnsi" w:hAnsiTheme="majorHAnsi" w:cstheme="majorHAnsi"/>
        </w:rPr>
        <w:t>důvodnění).</w:t>
      </w:r>
      <w:r w:rsidR="00616F2B" w:rsidRPr="006070EA">
        <w:rPr>
          <w:rFonts w:asciiTheme="majorHAnsi" w:hAnsiTheme="majorHAnsi" w:cstheme="majorHAnsi"/>
        </w:rPr>
        <w:t xml:space="preserve"> V</w:t>
      </w:r>
      <w:r w:rsidR="00AB1F4C" w:rsidRPr="006070EA">
        <w:rPr>
          <w:rFonts w:asciiTheme="majorHAnsi" w:hAnsiTheme="majorHAnsi" w:cstheme="majorHAnsi"/>
        </w:rPr>
        <w:t> rámci jednotlivých ploch s rozdílným způsobem využití</w:t>
      </w:r>
      <w:r w:rsidR="00616F2B" w:rsidRPr="006070EA">
        <w:rPr>
          <w:rFonts w:asciiTheme="majorHAnsi" w:hAnsiTheme="majorHAnsi" w:cstheme="majorHAnsi"/>
        </w:rPr>
        <w:t>, na něž je bezvýhradně členěno území obce,</w:t>
      </w:r>
      <w:r w:rsidR="00AB1F4C" w:rsidRPr="006070EA">
        <w:rPr>
          <w:rFonts w:asciiTheme="majorHAnsi" w:hAnsiTheme="majorHAnsi" w:cstheme="majorHAnsi"/>
        </w:rPr>
        <w:t xml:space="preserve"> </w:t>
      </w:r>
      <w:r w:rsidR="00616F2B" w:rsidRPr="006070EA">
        <w:rPr>
          <w:rFonts w:asciiTheme="majorHAnsi" w:hAnsiTheme="majorHAnsi" w:cstheme="majorHAnsi"/>
        </w:rPr>
        <w:t xml:space="preserve">jsou v ÚP </w:t>
      </w:r>
      <w:r w:rsidR="00B7573B" w:rsidRPr="006070EA">
        <w:rPr>
          <w:rFonts w:asciiTheme="majorHAnsi" w:hAnsiTheme="majorHAnsi" w:cstheme="majorHAnsi"/>
        </w:rPr>
        <w:t>Kostomlaty nad Labem</w:t>
      </w:r>
      <w:r w:rsidR="00616F2B" w:rsidRPr="006070EA">
        <w:rPr>
          <w:rFonts w:asciiTheme="majorHAnsi" w:hAnsiTheme="majorHAnsi" w:cstheme="majorHAnsi"/>
        </w:rPr>
        <w:t xml:space="preserve"> </w:t>
      </w:r>
      <w:r w:rsidR="00AB1F4C" w:rsidRPr="006070EA">
        <w:rPr>
          <w:rFonts w:asciiTheme="majorHAnsi" w:hAnsiTheme="majorHAnsi" w:cstheme="majorHAnsi"/>
        </w:rPr>
        <w:t xml:space="preserve">stanoveny základní podmínky ochrany </w:t>
      </w:r>
      <w:r w:rsidR="00616F2B" w:rsidRPr="006070EA">
        <w:rPr>
          <w:rFonts w:asciiTheme="majorHAnsi" w:hAnsiTheme="majorHAnsi" w:cstheme="majorHAnsi"/>
        </w:rPr>
        <w:t>krajinného rázu</w:t>
      </w:r>
      <w:r w:rsidR="00D035B2" w:rsidRPr="006070EA">
        <w:rPr>
          <w:rFonts w:asciiTheme="majorHAnsi" w:hAnsiTheme="majorHAnsi" w:cstheme="majorHAnsi"/>
        </w:rPr>
        <w:t>, které představují zejména podmínky prostorového uspořádání</w:t>
      </w:r>
      <w:r w:rsidR="00AB1F4C" w:rsidRPr="006070EA">
        <w:rPr>
          <w:rFonts w:asciiTheme="majorHAnsi" w:hAnsiTheme="majorHAnsi" w:cstheme="majorHAnsi"/>
        </w:rPr>
        <w:t xml:space="preserve"> (charakter a</w:t>
      </w:r>
      <w:r w:rsidR="00DD4496" w:rsidRPr="006070EA">
        <w:rPr>
          <w:rFonts w:asciiTheme="majorHAnsi" w:hAnsiTheme="majorHAnsi" w:cstheme="majorHAnsi"/>
        </w:rPr>
        <w:t> </w:t>
      </w:r>
      <w:r w:rsidR="00AB1F4C" w:rsidRPr="006070EA">
        <w:rPr>
          <w:rFonts w:asciiTheme="majorHAnsi" w:hAnsiTheme="majorHAnsi" w:cstheme="majorHAnsi"/>
        </w:rPr>
        <w:t xml:space="preserve">struktura zástavby, </w:t>
      </w:r>
      <w:r w:rsidR="00D035B2" w:rsidRPr="006070EA">
        <w:rPr>
          <w:rFonts w:asciiTheme="majorHAnsi" w:hAnsiTheme="majorHAnsi" w:cstheme="majorHAnsi"/>
        </w:rPr>
        <w:t xml:space="preserve">maximální výška zástavby, koeficient maximálního zastavění pozemku, koeficient minimálního podílu zeleně na pozemku, </w:t>
      </w:r>
      <w:r w:rsidR="00DD4496" w:rsidRPr="006070EA">
        <w:rPr>
          <w:rFonts w:asciiTheme="majorHAnsi" w:hAnsiTheme="majorHAnsi" w:cstheme="majorHAnsi"/>
        </w:rPr>
        <w:t>rozmezí</w:t>
      </w:r>
      <w:r w:rsidR="00D035B2" w:rsidRPr="006070EA">
        <w:rPr>
          <w:rFonts w:asciiTheme="majorHAnsi" w:hAnsiTheme="majorHAnsi" w:cstheme="majorHAnsi"/>
        </w:rPr>
        <w:t xml:space="preserve"> výměr</w:t>
      </w:r>
      <w:r w:rsidR="00DD4496" w:rsidRPr="006070EA">
        <w:rPr>
          <w:rFonts w:asciiTheme="majorHAnsi" w:hAnsiTheme="majorHAnsi" w:cstheme="majorHAnsi"/>
        </w:rPr>
        <w:t>y</w:t>
      </w:r>
      <w:r w:rsidR="00D035B2" w:rsidRPr="006070EA">
        <w:rPr>
          <w:rFonts w:asciiTheme="majorHAnsi" w:hAnsiTheme="majorHAnsi" w:cstheme="majorHAnsi"/>
        </w:rPr>
        <w:t xml:space="preserve"> stavebního pozemku, maximální velikost zastavěn</w:t>
      </w:r>
      <w:r w:rsidR="00F3474A" w:rsidRPr="006070EA">
        <w:rPr>
          <w:rFonts w:asciiTheme="majorHAnsi" w:hAnsiTheme="majorHAnsi" w:cstheme="majorHAnsi"/>
        </w:rPr>
        <w:t>é</w:t>
      </w:r>
      <w:r w:rsidR="00D035B2" w:rsidRPr="006070EA">
        <w:rPr>
          <w:rFonts w:asciiTheme="majorHAnsi" w:hAnsiTheme="majorHAnsi" w:cstheme="majorHAnsi"/>
        </w:rPr>
        <w:t xml:space="preserve"> plochy objektu</w:t>
      </w:r>
      <w:r w:rsidR="00AB1F4C" w:rsidRPr="006070EA">
        <w:rPr>
          <w:rFonts w:asciiTheme="majorHAnsi" w:hAnsiTheme="majorHAnsi" w:cstheme="majorHAnsi"/>
        </w:rPr>
        <w:t>).</w:t>
      </w:r>
    </w:p>
    <w:p w14:paraId="09EAAEFE" w14:textId="77777777" w:rsidR="00AB1F4C" w:rsidRPr="006070EA" w:rsidRDefault="00AB1F4C" w:rsidP="003A4B1E">
      <w:pPr>
        <w:pStyle w:val="Odstavecseseznamem"/>
        <w:keepNext/>
        <w:numPr>
          <w:ilvl w:val="2"/>
          <w:numId w:val="30"/>
        </w:numPr>
        <w:spacing w:before="160" w:after="120" w:line="240" w:lineRule="auto"/>
        <w:ind w:left="709" w:hanging="709"/>
        <w:contextualSpacing w:val="0"/>
        <w:outlineLvl w:val="2"/>
        <w:rPr>
          <w:rFonts w:asciiTheme="majorHAnsi" w:hAnsiTheme="majorHAnsi" w:cstheme="majorHAnsi"/>
          <w:b/>
        </w:rPr>
      </w:pPr>
      <w:bookmarkStart w:id="389" w:name="_Toc204678204"/>
      <w:bookmarkEnd w:id="388"/>
      <w:r w:rsidRPr="006070EA">
        <w:rPr>
          <w:rFonts w:asciiTheme="majorHAnsi" w:hAnsiTheme="majorHAnsi" w:cstheme="majorHAnsi"/>
          <w:b/>
        </w:rPr>
        <w:t>Odůvodnění koncepce uspořádání krajiny</w:t>
      </w:r>
      <w:bookmarkEnd w:id="389"/>
    </w:p>
    <w:p w14:paraId="02EBB236" w14:textId="65EFCFCD" w:rsidR="00F3474A" w:rsidRPr="006070EA" w:rsidRDefault="00F3474A" w:rsidP="00F3474A">
      <w:pPr>
        <w:pStyle w:val="Atext"/>
        <w:keepNext/>
        <w:ind w:firstLine="0"/>
        <w:jc w:val="right"/>
        <w:rPr>
          <w:rFonts w:asciiTheme="majorHAnsi" w:hAnsiTheme="majorHAnsi" w:cstheme="majorHAnsi"/>
          <w:i/>
          <w:snapToGrid w:val="0"/>
          <w:u w:val="single"/>
        </w:rPr>
      </w:pPr>
      <w:r w:rsidRPr="006070EA">
        <w:rPr>
          <w:rFonts w:asciiTheme="majorHAnsi" w:hAnsiTheme="majorHAnsi" w:cstheme="majorHAnsi"/>
          <w:i/>
          <w:snapToGrid w:val="0"/>
          <w:u w:val="single"/>
        </w:rPr>
        <w:t xml:space="preserve">Odůvodnění odst. </w:t>
      </w:r>
      <w:r w:rsidRPr="006070EA">
        <w:rPr>
          <w:rFonts w:asciiTheme="majorHAnsi" w:hAnsiTheme="majorHAnsi" w:cstheme="majorHAnsi"/>
          <w:b/>
          <w:i/>
          <w:snapToGrid w:val="0"/>
          <w:u w:val="single"/>
        </w:rPr>
        <w:t>(4</w:t>
      </w:r>
      <w:r w:rsidR="0021590A">
        <w:rPr>
          <w:rFonts w:asciiTheme="majorHAnsi" w:hAnsiTheme="majorHAnsi" w:cstheme="majorHAnsi"/>
          <w:b/>
          <w:i/>
          <w:snapToGrid w:val="0"/>
          <w:u w:val="single"/>
        </w:rPr>
        <w:t>5</w:t>
      </w:r>
      <w:r w:rsidRPr="006070EA">
        <w:rPr>
          <w:rFonts w:asciiTheme="majorHAnsi" w:hAnsiTheme="majorHAnsi" w:cstheme="majorHAnsi"/>
          <w:b/>
          <w:i/>
          <w:snapToGrid w:val="0"/>
          <w:u w:val="single"/>
        </w:rPr>
        <w:t xml:space="preserve">) </w:t>
      </w:r>
      <w:r w:rsidRPr="006070EA">
        <w:rPr>
          <w:rFonts w:asciiTheme="majorHAnsi" w:hAnsiTheme="majorHAnsi" w:cstheme="majorHAnsi"/>
          <w:i/>
          <w:snapToGrid w:val="0"/>
          <w:u w:val="single"/>
        </w:rPr>
        <w:t>výrokové části</w:t>
      </w:r>
    </w:p>
    <w:p w14:paraId="27207EC3" w14:textId="77777777" w:rsidR="00F3474A" w:rsidRPr="006070EA" w:rsidRDefault="00F3474A" w:rsidP="00F3474A">
      <w:pPr>
        <w:pStyle w:val="Atext"/>
        <w:rPr>
          <w:rFonts w:asciiTheme="majorHAnsi" w:hAnsiTheme="majorHAnsi" w:cstheme="majorHAnsi"/>
        </w:rPr>
      </w:pPr>
      <w:r w:rsidRPr="006070EA">
        <w:rPr>
          <w:rFonts w:asciiTheme="majorHAnsi" w:hAnsiTheme="majorHAnsi" w:cstheme="majorHAnsi"/>
        </w:rPr>
        <w:t xml:space="preserve">Krajina města je dokladem dlouhodobého historického vývoje osídlení a rozvoje ekonomických činností na pozadí geomorfologicky výrazného terénu. Současný stav krajiny na území města je výsledkem dlouhodobého intenzívního zemědělského a lesního hospodaření a výrazné urbanizace volné krajiny rekreačními objekty zejména na svazích údolí řeky Sázavy. </w:t>
      </w:r>
    </w:p>
    <w:p w14:paraId="24ABBAB6" w14:textId="221D9EE9" w:rsidR="00F3474A" w:rsidRPr="006070EA" w:rsidRDefault="00F3474A" w:rsidP="00F3474A">
      <w:pPr>
        <w:pStyle w:val="Atext"/>
        <w:rPr>
          <w:rFonts w:asciiTheme="majorHAnsi" w:hAnsiTheme="majorHAnsi" w:cstheme="majorHAnsi"/>
        </w:rPr>
      </w:pPr>
      <w:r w:rsidRPr="006070EA">
        <w:rPr>
          <w:rFonts w:asciiTheme="majorHAnsi" w:hAnsiTheme="majorHAnsi" w:cstheme="majorHAnsi"/>
        </w:rPr>
        <w:t xml:space="preserve">Nosným principem návrhu je co nejvíce </w:t>
      </w:r>
      <w:r w:rsidRPr="006070EA">
        <w:rPr>
          <w:rFonts w:asciiTheme="majorHAnsi" w:hAnsiTheme="majorHAnsi" w:cstheme="majorHAnsi"/>
          <w:b/>
        </w:rPr>
        <w:t>vyvážený vztah volné krajiny a zastavěného (urbanizovaného) území</w:t>
      </w:r>
      <w:r w:rsidRPr="006070EA">
        <w:rPr>
          <w:rFonts w:asciiTheme="majorHAnsi" w:hAnsiTheme="majorHAnsi" w:cstheme="majorHAnsi"/>
        </w:rPr>
        <w:t xml:space="preserve">, který utváří komplexní obraz krajiny města v širším slova smyslu. Volná krajina je definována jako prostor pro ekonomickou činnost (zemědělství a lesnictví) a volnočasové (rekreační) aktivity. Na stejné úrovni jsou sledovány i funkce krajiny pro ochranu přírodního dědictví a pro zajištění přírodních procesů nezbytných pro obnovu přírodních zdrojů a zdravého životního prostředí. Poslední stejně významnou oblastí je celkový ráz krajiny s uplatněním významných prostor, krajinných os, dominant, předělů apod., který je spojen s autentičností, image a obytností prostoru </w:t>
      </w:r>
      <w:r w:rsidR="00CF391E" w:rsidRPr="006070EA">
        <w:rPr>
          <w:rFonts w:asciiTheme="majorHAnsi" w:hAnsiTheme="majorHAnsi" w:cstheme="majorHAnsi"/>
        </w:rPr>
        <w:t>obce</w:t>
      </w:r>
      <w:r w:rsidRPr="006070EA">
        <w:rPr>
          <w:rFonts w:asciiTheme="majorHAnsi" w:hAnsiTheme="majorHAnsi" w:cstheme="majorHAnsi"/>
        </w:rPr>
        <w:t>.</w:t>
      </w:r>
    </w:p>
    <w:p w14:paraId="3A82B6C9" w14:textId="7D00A997" w:rsidR="000630C0" w:rsidRPr="006070EA" w:rsidRDefault="000630C0" w:rsidP="000630C0">
      <w:pPr>
        <w:pStyle w:val="Atext"/>
        <w:rPr>
          <w:rFonts w:asciiTheme="majorHAnsi" w:hAnsiTheme="majorHAnsi" w:cstheme="majorHAnsi"/>
        </w:rPr>
      </w:pPr>
      <w:r w:rsidRPr="006070EA">
        <w:rPr>
          <w:rFonts w:asciiTheme="majorHAnsi" w:hAnsiTheme="majorHAnsi" w:cstheme="majorHAnsi"/>
        </w:rPr>
        <w:t>Krajina řešeného území představuje stabilizovaný systém zemědělsky využívané půdy v návaznosti na sídla. Krajinné osy sledují vodní toky v území a představují hlavní ekostabilizační prvky krajiny. V řešeném území lze identifikovat zejména běžné zemědělské hospodaření a extenzivní hospodaření ve vazbě na jižní část území. V krajině intenzivně využívané je nutné vytvářet podmínky pro další formy jejího využívání a charakteru, a to zejména (s ohledem na výše uvedené podklady) rekreační využívání spojené např. s pěší a cykloturistikou, a posilování přírodních a krajinných hodnot v území, které podpoří stabilitu environmentálního pilíře udržitelného rozvoje území.</w:t>
      </w:r>
    </w:p>
    <w:p w14:paraId="44F92786" w14:textId="28CEDADA" w:rsidR="00F3474A" w:rsidRPr="006070EA" w:rsidRDefault="00DD4076" w:rsidP="00F3474A">
      <w:pPr>
        <w:pStyle w:val="Atext"/>
        <w:rPr>
          <w:rFonts w:asciiTheme="majorHAnsi" w:hAnsiTheme="majorHAnsi" w:cstheme="majorHAnsi"/>
        </w:rPr>
      </w:pPr>
      <w:r w:rsidRPr="006070EA">
        <w:rPr>
          <w:rFonts w:asciiTheme="majorHAnsi" w:hAnsiTheme="majorHAnsi" w:cstheme="majorHAnsi"/>
        </w:rPr>
        <w:t>Zásady koncepce uspořádání krajiny souvisí mj. s požadavkem</w:t>
      </w:r>
      <w:r w:rsidR="00F3474A" w:rsidRPr="006070EA">
        <w:rPr>
          <w:rFonts w:asciiTheme="majorHAnsi" w:hAnsiTheme="majorHAnsi" w:cstheme="majorHAnsi"/>
        </w:rPr>
        <w:t xml:space="preserve"> PÚR ČR („</w:t>
      </w:r>
      <w:r w:rsidR="00F3474A" w:rsidRPr="006070EA">
        <w:rPr>
          <w:rFonts w:asciiTheme="majorHAnsi" w:hAnsiTheme="majorHAnsi" w:cstheme="majorHAnsi"/>
          <w:i/>
          <w:iCs w:val="0"/>
        </w:rPr>
        <w:t>bránit upadání venkovské krajiny jako důsledku nedostatku lidských zásahů“ a „při plánování rozvoje venkovských území a oblastí dbát na rozvoj primárního sektoru při zohlednění ochrany kvalitní zemědělské, především orné půdy a ekologických funkcí krajiny</w:t>
      </w:r>
      <w:r w:rsidR="00F3474A" w:rsidRPr="006070EA">
        <w:rPr>
          <w:rFonts w:asciiTheme="majorHAnsi" w:hAnsiTheme="majorHAnsi" w:cstheme="majorHAnsi"/>
        </w:rPr>
        <w:t>“). Krajina je vnímána (v souladu s výše uvedenými podklady) jako polyfunkční prostor zemědělské produkce, ekologických funkcí a rekreace. Zásada je stanovena z důvodu ochrany a stabilizace stávajícího uspořádání a charakteru volné krajiny na území města.</w:t>
      </w:r>
    </w:p>
    <w:p w14:paraId="0AC1E168" w14:textId="22776B0B" w:rsidR="00F3474A" w:rsidRPr="006070EA" w:rsidRDefault="00F3474A" w:rsidP="00F3474A">
      <w:pPr>
        <w:pStyle w:val="Atext"/>
        <w:rPr>
          <w:rFonts w:asciiTheme="majorHAnsi" w:hAnsiTheme="majorHAnsi" w:cstheme="majorHAnsi"/>
        </w:rPr>
      </w:pPr>
      <w:r w:rsidRPr="006070EA">
        <w:rPr>
          <w:rFonts w:asciiTheme="majorHAnsi" w:hAnsiTheme="majorHAnsi" w:cstheme="majorHAnsi"/>
        </w:rPr>
        <w:t>Ochrana přírodních hodnot území je zakotvena v zákoně č. 114/1992 Sb., o ochraně přírody a krajiny, v platném znění, případně je stanovena v rámci řešení ÚP a odůvodněn v příslušné kapitole 11.2.3</w:t>
      </w:r>
      <w:r w:rsidR="00DD4076" w:rsidRPr="006070EA">
        <w:rPr>
          <w:rFonts w:asciiTheme="majorHAnsi" w:hAnsiTheme="majorHAnsi" w:cstheme="majorHAnsi"/>
        </w:rPr>
        <w:t>.</w:t>
      </w:r>
    </w:p>
    <w:p w14:paraId="1D448FBC" w14:textId="77777777" w:rsidR="00F3474A" w:rsidRPr="006070EA" w:rsidRDefault="00F3474A" w:rsidP="00F3474A">
      <w:pPr>
        <w:pStyle w:val="Atext"/>
        <w:rPr>
          <w:rFonts w:asciiTheme="majorHAnsi" w:hAnsiTheme="majorHAnsi" w:cstheme="majorHAnsi"/>
        </w:rPr>
      </w:pPr>
      <w:r w:rsidRPr="006070EA">
        <w:rPr>
          <w:rFonts w:asciiTheme="majorHAnsi" w:eastAsia="Calibri" w:hAnsiTheme="majorHAnsi" w:cstheme="majorHAnsi"/>
        </w:rPr>
        <w:t xml:space="preserve">Podle § 4 zákona o ochraně přírody a krajiny zajišťuje vymezení systému ekologické stability uchování a reprodukci přírodního bohatství, příznivého působení na okolní méně stabilní části krajiny a na vytvoření základů pro mnohostranné využívání krajiny. </w:t>
      </w:r>
      <w:r w:rsidRPr="006070EA">
        <w:rPr>
          <w:rFonts w:asciiTheme="majorHAnsi" w:eastAsia="Calibri" w:hAnsiTheme="majorHAnsi" w:cstheme="majorHAnsi"/>
          <w:szCs w:val="18"/>
          <w:lang w:eastAsia="en-US"/>
        </w:rPr>
        <w:t xml:space="preserve">Důvodem pro vymezení ÚSES je zejména zvyšování ekologické stability krajiny a zlepšení koeficientu ekologické stability území. Ochrana a rozvoj ÚSES je ve veřejném zájmu. </w:t>
      </w:r>
    </w:p>
    <w:p w14:paraId="4F7777B3" w14:textId="77777777" w:rsidR="00F3474A" w:rsidRPr="006070EA" w:rsidRDefault="00F3474A" w:rsidP="00F3474A">
      <w:pPr>
        <w:pStyle w:val="Atext"/>
        <w:rPr>
          <w:rFonts w:asciiTheme="majorHAnsi" w:hAnsiTheme="majorHAnsi" w:cstheme="majorHAnsi"/>
        </w:rPr>
      </w:pPr>
      <w:r w:rsidRPr="006070EA">
        <w:rPr>
          <w:rFonts w:asciiTheme="majorHAnsi" w:hAnsiTheme="majorHAnsi" w:cstheme="majorHAnsi"/>
        </w:rPr>
        <w:t xml:space="preserve">Podpora protipovodňových, protierozních a revitalizačních opatření je stanovena ve veřejném zájmu na zvyšování retenční schopnosti krajiny a na snižování možných následků přírodních katastrof, zejména erozní a povodňové ohroženosti území. Vychází mimo jiné z úkolů územního plánu § 19 stavebního zákona (písm. g) </w:t>
      </w:r>
      <w:r w:rsidRPr="006070EA">
        <w:rPr>
          <w:rFonts w:asciiTheme="majorHAnsi" w:hAnsiTheme="majorHAnsi" w:cstheme="majorHAnsi"/>
          <w:i/>
          <w:iCs w:val="0"/>
        </w:rPr>
        <w:t>vytvářet v území podmínky pro snižování nebezpečí ekologických a přírodních katastrof a pro odstraňování jejich důsledků, a to především přírodě blízkým způsobem</w:t>
      </w:r>
      <w:r w:rsidRPr="006070EA">
        <w:rPr>
          <w:rFonts w:asciiTheme="majorHAnsi" w:hAnsiTheme="majorHAnsi" w:cstheme="majorHAnsi"/>
        </w:rPr>
        <w:t xml:space="preserve">). </w:t>
      </w:r>
    </w:p>
    <w:p w14:paraId="3537DC7A" w14:textId="21F3AD1C" w:rsidR="00F3474A" w:rsidRPr="006070EA" w:rsidRDefault="00F3474A" w:rsidP="00F3474A">
      <w:pPr>
        <w:pStyle w:val="Atext"/>
        <w:spacing w:before="60" w:after="60"/>
        <w:rPr>
          <w:rFonts w:asciiTheme="majorHAnsi" w:hAnsiTheme="majorHAnsi" w:cstheme="majorHAnsi"/>
        </w:rPr>
      </w:pPr>
      <w:r w:rsidRPr="006070EA">
        <w:rPr>
          <w:rFonts w:asciiTheme="majorHAnsi" w:hAnsiTheme="majorHAnsi" w:cstheme="majorHAnsi"/>
        </w:rPr>
        <w:t>Umožnění realizace protipovodňových opatření a opatření zvyšujících retenční schopnost krajiny vychází dále z</w:t>
      </w:r>
      <w:r w:rsidR="00DD4076" w:rsidRPr="006070EA">
        <w:rPr>
          <w:rFonts w:asciiTheme="majorHAnsi" w:hAnsiTheme="majorHAnsi" w:cstheme="majorHAnsi"/>
        </w:rPr>
        <w:t> </w:t>
      </w:r>
      <w:r w:rsidRPr="006070EA">
        <w:rPr>
          <w:rFonts w:asciiTheme="majorHAnsi" w:hAnsiTheme="majorHAnsi" w:cstheme="majorHAnsi"/>
        </w:rPr>
        <w:t>požadavku PÚR ČR „</w:t>
      </w:r>
      <w:r w:rsidRPr="006070EA">
        <w:rPr>
          <w:rFonts w:asciiTheme="majorHAnsi" w:hAnsiTheme="majorHAnsi" w:cstheme="majorHAnsi"/>
          <w:i/>
        </w:rPr>
        <w:t xml:space="preserve">Vytvářet podmínky pro preventivní ochranu území a obyvatelstva před potenciálními riziky a přírodními katastrofami v území (záplavy, sesuvy půdy, eroze, sucho atd.) s cílem minimalizovat rozsah případných škod. Zejména zajistit </w:t>
      </w:r>
      <w:r w:rsidRPr="006070EA">
        <w:rPr>
          <w:rFonts w:asciiTheme="majorHAnsi" w:hAnsiTheme="majorHAnsi" w:cstheme="majorHAnsi"/>
          <w:i/>
        </w:rPr>
        <w:lastRenderedPageBreak/>
        <w:t>územní ochranu ploch potřebných pro umísťování staveb a opatření na ochranu před povodněmi a pro vymezení území určených k řízeným rozlivům povodní. Vytvářet podmínky pro zvýšení přirozené retence srážkových vod v území s ohledem na strukturu osídlení a kulturní krajinu jako alternativy k umělé akumulaci vod.</w:t>
      </w:r>
      <w:r w:rsidRPr="006070EA">
        <w:rPr>
          <w:rFonts w:asciiTheme="majorHAnsi" w:hAnsiTheme="majorHAnsi" w:cstheme="majorHAnsi"/>
        </w:rPr>
        <w:t xml:space="preserve">“ </w:t>
      </w:r>
    </w:p>
    <w:p w14:paraId="3B1214FA" w14:textId="77777777" w:rsidR="00F3474A" w:rsidRPr="006070EA" w:rsidRDefault="00F3474A" w:rsidP="00F3474A">
      <w:pPr>
        <w:pStyle w:val="Atext"/>
        <w:rPr>
          <w:rFonts w:asciiTheme="majorHAnsi" w:hAnsiTheme="majorHAnsi" w:cstheme="majorHAnsi"/>
        </w:rPr>
      </w:pPr>
      <w:r w:rsidRPr="006070EA">
        <w:rPr>
          <w:rFonts w:asciiTheme="majorHAnsi" w:hAnsiTheme="majorHAnsi" w:cstheme="majorHAnsi"/>
        </w:rPr>
        <w:t>Ochrana vodních toků je zakotvena v zákoně č. 254/2001 Sb., ve znění pozdějších předpisů (vodní zákon). Vodní toky a plochy tvoří významnou část ekologicky stabilních systémů a krajinných os, které je nezbytné chránit a posilovat zejména s ohledem na ochranu přírody a krajiny, zachování hydrologických charakteristik území a zajištění jejich zachování. Vodní prvky jsou významnou atraktivitou každého území, představují obvykle nejvýraznější krajinné osy území a vážou na sebe kromě rozmanitých prvků krajinné zeleně také nejrůznější aktivity lidí (rekreaci a turistiku).</w:t>
      </w:r>
    </w:p>
    <w:p w14:paraId="3FBBA0CC" w14:textId="17FBCDD2" w:rsidR="00F3474A" w:rsidRPr="006070EA" w:rsidRDefault="00F3474A" w:rsidP="00F3474A">
      <w:pPr>
        <w:pStyle w:val="Atext"/>
        <w:rPr>
          <w:rFonts w:asciiTheme="majorHAnsi" w:hAnsiTheme="majorHAnsi" w:cstheme="majorHAnsi"/>
        </w:rPr>
      </w:pPr>
      <w:r w:rsidRPr="006070EA">
        <w:rPr>
          <w:rFonts w:asciiTheme="majorHAnsi" w:hAnsiTheme="majorHAnsi" w:cstheme="majorHAnsi"/>
        </w:rPr>
        <w:t>Vodní toky jsou významnou atraktivitou každého území, představují obvykle nejvýraznější krajinné osy území a</w:t>
      </w:r>
      <w:r w:rsidR="00DD4076" w:rsidRPr="006070EA">
        <w:rPr>
          <w:rFonts w:asciiTheme="majorHAnsi" w:hAnsiTheme="majorHAnsi" w:cstheme="majorHAnsi"/>
        </w:rPr>
        <w:t> </w:t>
      </w:r>
      <w:r w:rsidRPr="006070EA">
        <w:rPr>
          <w:rFonts w:asciiTheme="majorHAnsi" w:hAnsiTheme="majorHAnsi" w:cstheme="majorHAnsi"/>
        </w:rPr>
        <w:t>vážou na sebe kromě rozmanitých prvků krajinné zeleně také nejrůznější aktivity lidí (rekreaci a turistiku). Vodní prvky jsou rovněž významnými krajinnými prvky chráněnými ze zákona. Převážně se podílejí také na ekologické stabilitě území jako součást vymezeného ÚSES.</w:t>
      </w:r>
    </w:p>
    <w:p w14:paraId="5C830CDA" w14:textId="77777777" w:rsidR="00F3474A" w:rsidRPr="006070EA" w:rsidRDefault="00F3474A" w:rsidP="00F3474A">
      <w:pPr>
        <w:pStyle w:val="Atext"/>
        <w:spacing w:before="60" w:after="60"/>
        <w:rPr>
          <w:rFonts w:asciiTheme="majorHAnsi" w:hAnsiTheme="majorHAnsi" w:cstheme="majorHAnsi"/>
        </w:rPr>
      </w:pPr>
      <w:r w:rsidRPr="006070EA">
        <w:rPr>
          <w:rFonts w:asciiTheme="majorHAnsi" w:hAnsiTheme="majorHAnsi" w:cstheme="majorHAnsi"/>
        </w:rPr>
        <w:t xml:space="preserve">ÚP chrání rozptýlenou zeleň v zemědělské krajině, která má vysokou ekologicko-stabilizační hodnotu, vytváří stanoviště pro živočichy, zadržuje vodu v krajině, zabraňuje plošné erozi půdy a v neposlední řadě spoluutváří typický obraz krajiny. Krajinná zeleň má zásadní podíl na pozitivním vnímání krajinného rázu, proto je nezbytné i v rámci ÚP definovat požadavek na její ochranu, obnovu a zakládání. </w:t>
      </w:r>
    </w:p>
    <w:p w14:paraId="2A90EBC0" w14:textId="720F902E" w:rsidR="00F3474A" w:rsidRPr="006070EA" w:rsidRDefault="00F3474A" w:rsidP="00F3474A">
      <w:pPr>
        <w:spacing w:before="60" w:after="60" w:line="240" w:lineRule="auto"/>
        <w:ind w:firstLine="709"/>
        <w:jc w:val="both"/>
        <w:rPr>
          <w:rFonts w:asciiTheme="majorHAnsi" w:hAnsiTheme="majorHAnsi" w:cstheme="majorHAnsi"/>
          <w:sz w:val="18"/>
        </w:rPr>
      </w:pPr>
      <w:r w:rsidRPr="006070EA">
        <w:rPr>
          <w:rFonts w:asciiTheme="majorHAnsi" w:hAnsiTheme="majorHAnsi" w:cstheme="majorHAnsi"/>
          <w:sz w:val="18"/>
        </w:rPr>
        <w:t>Krajinná zeleň představuje nepostradatelné krajinné segmenty obvykle ekotonového charakteru, které zprostředkovávají na lokální úrovni příznivé působení ostatních ekologicky významných krajinných segmentů. Jedná se o</w:t>
      </w:r>
      <w:r w:rsidR="00DD4076" w:rsidRPr="006070EA">
        <w:rPr>
          <w:rFonts w:asciiTheme="majorHAnsi" w:hAnsiTheme="majorHAnsi" w:cstheme="majorHAnsi"/>
          <w:sz w:val="18"/>
        </w:rPr>
        <w:t> </w:t>
      </w:r>
      <w:r w:rsidRPr="006070EA">
        <w:rPr>
          <w:rFonts w:asciiTheme="majorHAnsi" w:hAnsiTheme="majorHAnsi" w:cstheme="majorHAnsi"/>
          <w:sz w:val="18"/>
        </w:rPr>
        <w:t>liniové prvky (stávající, k doplnění, nově navržené), zejména zalesnění v pruzích stromovým a keřovým patrem, obnova krajinných formací podél zachovalých lánů, doplnění a obnovení stromořadí podél cest, břehových porostů, ozelenění a</w:t>
      </w:r>
      <w:r w:rsidR="00DD4076" w:rsidRPr="006070EA">
        <w:rPr>
          <w:rFonts w:asciiTheme="majorHAnsi" w:hAnsiTheme="majorHAnsi" w:cstheme="majorHAnsi"/>
          <w:sz w:val="18"/>
        </w:rPr>
        <w:t> </w:t>
      </w:r>
      <w:r w:rsidRPr="006070EA">
        <w:rPr>
          <w:rFonts w:asciiTheme="majorHAnsi" w:hAnsiTheme="majorHAnsi" w:cstheme="majorHAnsi"/>
          <w:sz w:val="18"/>
        </w:rPr>
        <w:t>udržování tůní a podpora skupin stromů ve volné krajině. Důležité jsou též travnaté pruhy po vrstevnici, které mají protierozní charakter a jsou významné pro živočišnou faunu.</w:t>
      </w:r>
    </w:p>
    <w:p w14:paraId="5C9EF3CF" w14:textId="7D6B7026" w:rsidR="00F3474A" w:rsidRPr="006070EA" w:rsidRDefault="00F3474A" w:rsidP="00F3474A">
      <w:pPr>
        <w:pStyle w:val="Atext"/>
        <w:rPr>
          <w:rFonts w:asciiTheme="majorHAnsi" w:hAnsiTheme="majorHAnsi" w:cstheme="majorHAnsi"/>
        </w:rPr>
      </w:pPr>
      <w:r w:rsidRPr="006070EA">
        <w:rPr>
          <w:rFonts w:asciiTheme="majorHAnsi" w:hAnsiTheme="majorHAnsi" w:cstheme="majorHAnsi"/>
        </w:rPr>
        <w:t>Požadavek</w:t>
      </w:r>
      <w:r w:rsidR="00DD4076" w:rsidRPr="006070EA">
        <w:rPr>
          <w:rFonts w:asciiTheme="majorHAnsi" w:hAnsiTheme="majorHAnsi" w:cstheme="majorHAnsi"/>
        </w:rPr>
        <w:t xml:space="preserve"> na podporu vazeb propojujících urbanizované území s okolní krajinou</w:t>
      </w:r>
      <w:r w:rsidRPr="006070EA">
        <w:rPr>
          <w:rFonts w:asciiTheme="majorHAnsi" w:hAnsiTheme="majorHAnsi" w:cstheme="majorHAnsi"/>
        </w:rPr>
        <w:t xml:space="preserve"> vychází dále zejména z PÚR ČR (</w:t>
      </w:r>
      <w:r w:rsidRPr="006070EA">
        <w:rPr>
          <w:rFonts w:asciiTheme="majorHAnsi" w:hAnsiTheme="majorHAnsi" w:cstheme="majorHAnsi"/>
          <w:i/>
          <w:iCs w:val="0"/>
        </w:rPr>
        <w:t>vytvářet podmínky pro rozvoj a využití předpokladů území pro různé formy cestovního ruchu, podporovat propojení míst turistickými cestami, které umožňují celoroční využití pro různé formy turistiky</w:t>
      </w:r>
      <w:r w:rsidRPr="006070EA">
        <w:rPr>
          <w:rFonts w:asciiTheme="majorHAnsi" w:hAnsiTheme="majorHAnsi" w:cstheme="majorHAnsi"/>
        </w:rPr>
        <w:t>). Propojení sídel s krajinou je základním předpokladem identifikace obyvatel s okolní volnou krajinou a jejího využívání pro každodenní rekreaci. Fyzická prostupnost území (pohyb lidí po veřejných komunikacích a cestách – v územním plánu reprezentovaných plochami veřejných prostranství) je základním předpokladem pro jeho (nejen rekreační) využívání.</w:t>
      </w:r>
    </w:p>
    <w:p w14:paraId="6114A836" w14:textId="77777777" w:rsidR="00F3474A" w:rsidRPr="006070EA" w:rsidRDefault="00F3474A" w:rsidP="00F3474A">
      <w:pPr>
        <w:pStyle w:val="Atext"/>
        <w:rPr>
          <w:rFonts w:asciiTheme="majorHAnsi" w:hAnsiTheme="majorHAnsi" w:cstheme="majorHAnsi"/>
        </w:rPr>
      </w:pPr>
      <w:r w:rsidRPr="006070EA">
        <w:rPr>
          <w:rFonts w:asciiTheme="majorHAnsi" w:hAnsiTheme="majorHAnsi" w:cstheme="majorHAnsi"/>
        </w:rPr>
        <w:t>Zajištění prostupnosti krajiny v plochách veřejných prostranství vyplývá z § 3 odst. 5 vyhlášky č. 501/2006 Sb., ve znění pozdějších předpisů. Vymezení stávajících cest umožňujících bezpečný průchod krajinou vychází ze stávajících komunikací dle evidence katastru nemovitostí, prokazatelně využívaných cest v krajině na základě terénního průzkumu území, a dále z vymezení stabilizovaných turistických tras, cyklistických tras a naučných stezek v řešeném území.</w:t>
      </w:r>
    </w:p>
    <w:p w14:paraId="70860225" w14:textId="77777777" w:rsidR="00F3474A" w:rsidRPr="006070EA" w:rsidRDefault="00F3474A" w:rsidP="00F3474A">
      <w:pPr>
        <w:pStyle w:val="Atext"/>
        <w:rPr>
          <w:rFonts w:asciiTheme="majorHAnsi" w:hAnsiTheme="majorHAnsi" w:cstheme="majorHAnsi"/>
        </w:rPr>
      </w:pPr>
      <w:r w:rsidRPr="006070EA">
        <w:rPr>
          <w:rFonts w:asciiTheme="majorHAnsi" w:hAnsiTheme="majorHAnsi" w:cstheme="majorHAnsi"/>
        </w:rPr>
        <w:t>Ochrana veřejných prostranství je zajištěna stanovením podmínek využití ploch s rozdílným způsobem využití; pro rozvoj sítě veřejných prostranství je vhodné využít i zaniklé historické cesty, které utvářejí výraz kulturní krajiny – podpora úprav, činností a aktivit vedoucí k obnově a zkvalitnění krajinných hodnot v území vychází ze Zásad územního rozvoje Středočeského kraje.</w:t>
      </w:r>
    </w:p>
    <w:p w14:paraId="600D402C" w14:textId="77777777" w:rsidR="00F3474A" w:rsidRPr="006070EA" w:rsidRDefault="00F3474A" w:rsidP="00F3474A">
      <w:pPr>
        <w:pStyle w:val="Atext"/>
        <w:rPr>
          <w:rFonts w:asciiTheme="majorHAnsi" w:hAnsiTheme="majorHAnsi" w:cstheme="majorHAnsi"/>
        </w:rPr>
      </w:pPr>
      <w:r w:rsidRPr="006070EA">
        <w:rPr>
          <w:rFonts w:asciiTheme="majorHAnsi" w:hAnsiTheme="majorHAnsi" w:cstheme="majorHAnsi"/>
        </w:rPr>
        <w:t>S rozvojem cestní sítě v krajině souvisí rozvoj rekreační zeleně podél vodních toků, který je podrobnějším průmětem základní koncepce rozvoje území města, konkrétně bodu „Rozvoj rekreačního využití krajiny.“ Vodní toky jsou významnou atraktivitou každého území, představují obvykle nejvýraznější krajinné osy území a vážou na sebe kromě rozmanitých prvků krajinné zeleně také nejrůznější aktivity lidí (rekreaci a turistiku); proto je rozvoj cestní sítě preferován ve vazbě na vodní toky.</w:t>
      </w:r>
    </w:p>
    <w:p w14:paraId="49B79A26" w14:textId="08CCA237" w:rsidR="00F3474A" w:rsidRPr="006070EA" w:rsidRDefault="00F3474A" w:rsidP="00F3474A">
      <w:pPr>
        <w:pStyle w:val="Atext"/>
        <w:spacing w:before="60" w:after="60"/>
        <w:rPr>
          <w:rFonts w:asciiTheme="majorHAnsi" w:hAnsiTheme="majorHAnsi" w:cstheme="majorHAnsi"/>
        </w:rPr>
      </w:pPr>
      <w:r w:rsidRPr="006070EA">
        <w:rPr>
          <w:rFonts w:asciiTheme="majorHAnsi" w:hAnsiTheme="majorHAnsi" w:cstheme="majorHAnsi"/>
        </w:rPr>
        <w:t xml:space="preserve">Pro rozvoj krajiny je stanoven požadavek na uplatnění principů modrozelené infrastruktury. Požadavek vychází ze základní koncepce rozvoje území a je obecně odůvodněn v kapitole 11.2.2. V rámci koncepce uspořádání krajiny je požadavek zopakován s konkrétním výčtem možného uplatnění principů rozvoje modrozelené infrastruktury v rámci rozvoje krajiny. Rozvoj modrozelené infrastruktury je ve veřejném zájmu na snížení dopadu klimatických změn a zlepšení mikroklimatu sídel. </w:t>
      </w:r>
    </w:p>
    <w:p w14:paraId="23A174F4" w14:textId="4AA00980" w:rsidR="00F3474A" w:rsidRPr="006070EA" w:rsidRDefault="00F3474A" w:rsidP="00F3474A">
      <w:pPr>
        <w:pStyle w:val="Atext"/>
        <w:spacing w:before="60" w:after="60"/>
        <w:rPr>
          <w:rFonts w:asciiTheme="majorHAnsi" w:hAnsiTheme="majorHAnsi" w:cstheme="majorHAnsi"/>
          <w:snapToGrid w:val="0"/>
        </w:rPr>
      </w:pPr>
      <w:r w:rsidRPr="006070EA">
        <w:rPr>
          <w:rFonts w:asciiTheme="majorHAnsi" w:hAnsiTheme="majorHAnsi" w:cstheme="majorHAnsi"/>
        </w:rPr>
        <w:t>Požadavek na zajištění prostupnosti krajiny vychází zejména z PÚR ČR („</w:t>
      </w:r>
      <w:r w:rsidRPr="006070EA">
        <w:rPr>
          <w:rFonts w:asciiTheme="majorHAnsi" w:hAnsiTheme="majorHAnsi" w:cstheme="majorHAnsi"/>
          <w:i/>
        </w:rPr>
        <w:t>vytvářet územní podmínky pro zajištění migrační prostupnosti krajiny pro volně žijící živočichy a pro člověka</w:t>
      </w:r>
      <w:r w:rsidRPr="006070EA">
        <w:rPr>
          <w:rFonts w:asciiTheme="majorHAnsi" w:hAnsiTheme="majorHAnsi" w:cstheme="majorHAnsi"/>
        </w:rPr>
        <w:t>“</w:t>
      </w:r>
      <w:r w:rsidRPr="006070EA">
        <w:rPr>
          <w:rFonts w:asciiTheme="majorHAnsi" w:hAnsiTheme="majorHAnsi" w:cstheme="majorHAnsi"/>
          <w:i/>
        </w:rPr>
        <w:t xml:space="preserve">). </w:t>
      </w:r>
      <w:r w:rsidRPr="006070EA">
        <w:rPr>
          <w:rFonts w:asciiTheme="majorHAnsi" w:hAnsiTheme="majorHAnsi" w:cstheme="majorHAnsi"/>
        </w:rPr>
        <w:t>Fyzická prostupnost území (pohyb lidí po veřejných komunikacích a cestách – v územním plánu reprezentovaných plochami veřejných prostranství) je základním předpokladem pro jeho (nejen rekreační) využívání.</w:t>
      </w:r>
      <w:r w:rsidRPr="006070EA">
        <w:rPr>
          <w:rFonts w:asciiTheme="majorHAnsi" w:hAnsiTheme="majorHAnsi" w:cstheme="majorHAnsi"/>
          <w:snapToGrid w:val="0"/>
        </w:rPr>
        <w:t xml:space="preserve"> Biologická prostupnost území zajišťuje zachování a rozvoj biologické rozmanitosti území a</w:t>
      </w:r>
      <w:r w:rsidR="00433C39" w:rsidRPr="006070EA">
        <w:rPr>
          <w:rFonts w:asciiTheme="majorHAnsi" w:hAnsiTheme="majorHAnsi" w:cstheme="majorHAnsi"/>
          <w:snapToGrid w:val="0"/>
        </w:rPr>
        <w:t> </w:t>
      </w:r>
      <w:r w:rsidRPr="006070EA">
        <w:rPr>
          <w:rFonts w:asciiTheme="majorHAnsi" w:hAnsiTheme="majorHAnsi" w:cstheme="majorHAnsi"/>
          <w:snapToGrid w:val="0"/>
        </w:rPr>
        <w:t xml:space="preserve">migraci živočichů, které jsou nezbytným předpokladem ochrany přírody a krajiny. </w:t>
      </w:r>
    </w:p>
    <w:p w14:paraId="0410839E" w14:textId="7B643550" w:rsidR="00F3474A" w:rsidRPr="006070EA" w:rsidRDefault="00F3474A" w:rsidP="00F3474A">
      <w:pPr>
        <w:pStyle w:val="Atext"/>
        <w:keepNext/>
        <w:ind w:firstLine="0"/>
        <w:jc w:val="right"/>
        <w:rPr>
          <w:rFonts w:asciiTheme="majorHAnsi" w:hAnsiTheme="majorHAnsi" w:cstheme="majorHAnsi"/>
          <w:i/>
          <w:snapToGrid w:val="0"/>
          <w:u w:val="single"/>
        </w:rPr>
      </w:pPr>
      <w:r w:rsidRPr="006070EA">
        <w:rPr>
          <w:rFonts w:asciiTheme="majorHAnsi" w:hAnsiTheme="majorHAnsi" w:cstheme="majorHAnsi"/>
          <w:i/>
          <w:snapToGrid w:val="0"/>
          <w:u w:val="single"/>
        </w:rPr>
        <w:t xml:space="preserve">Odůvodnění odst. </w:t>
      </w:r>
      <w:r w:rsidRPr="006070EA">
        <w:rPr>
          <w:rFonts w:asciiTheme="majorHAnsi" w:hAnsiTheme="majorHAnsi" w:cstheme="majorHAnsi"/>
          <w:b/>
          <w:i/>
          <w:snapToGrid w:val="0"/>
          <w:u w:val="single"/>
        </w:rPr>
        <w:t>(</w:t>
      </w:r>
      <w:r w:rsidR="000630C0" w:rsidRPr="006070EA">
        <w:rPr>
          <w:rFonts w:asciiTheme="majorHAnsi" w:hAnsiTheme="majorHAnsi" w:cstheme="majorHAnsi"/>
          <w:b/>
          <w:i/>
          <w:snapToGrid w:val="0"/>
          <w:u w:val="single"/>
        </w:rPr>
        <w:t>4</w:t>
      </w:r>
      <w:r w:rsidR="0021590A">
        <w:rPr>
          <w:rFonts w:asciiTheme="majorHAnsi" w:hAnsiTheme="majorHAnsi" w:cstheme="majorHAnsi"/>
          <w:b/>
          <w:i/>
          <w:snapToGrid w:val="0"/>
          <w:u w:val="single"/>
        </w:rPr>
        <w:t>6</w:t>
      </w:r>
      <w:r w:rsidRPr="006070EA">
        <w:rPr>
          <w:rFonts w:asciiTheme="majorHAnsi" w:hAnsiTheme="majorHAnsi" w:cstheme="majorHAnsi"/>
          <w:b/>
          <w:i/>
          <w:snapToGrid w:val="0"/>
          <w:u w:val="single"/>
        </w:rPr>
        <w:t xml:space="preserve">) </w:t>
      </w:r>
      <w:r w:rsidRPr="006070EA">
        <w:rPr>
          <w:rFonts w:asciiTheme="majorHAnsi" w:hAnsiTheme="majorHAnsi" w:cstheme="majorHAnsi"/>
          <w:i/>
          <w:snapToGrid w:val="0"/>
          <w:u w:val="single"/>
        </w:rPr>
        <w:t>výrokové části</w:t>
      </w:r>
    </w:p>
    <w:p w14:paraId="3C790A34" w14:textId="0225BAEC" w:rsidR="00F3474A" w:rsidRPr="006070EA" w:rsidRDefault="00F3474A" w:rsidP="00F3474A">
      <w:pPr>
        <w:pStyle w:val="Atext"/>
        <w:spacing w:before="60" w:after="60"/>
        <w:rPr>
          <w:rFonts w:asciiTheme="majorHAnsi" w:hAnsiTheme="majorHAnsi" w:cstheme="majorHAnsi"/>
        </w:rPr>
      </w:pPr>
      <w:r w:rsidRPr="006070EA">
        <w:rPr>
          <w:rFonts w:asciiTheme="majorHAnsi" w:hAnsiTheme="majorHAnsi" w:cstheme="majorHAnsi"/>
        </w:rPr>
        <w:t>Stanovením zásady je zajištěn kontinuální a koordinovaný rozvoj území po dobu platnosti územního plánu. Při</w:t>
      </w:r>
      <w:r w:rsidR="000630C0" w:rsidRPr="006070EA">
        <w:rPr>
          <w:rFonts w:asciiTheme="majorHAnsi" w:hAnsiTheme="majorHAnsi" w:cstheme="majorHAnsi"/>
        </w:rPr>
        <w:t> </w:t>
      </w:r>
      <w:r w:rsidRPr="006070EA">
        <w:rPr>
          <w:rFonts w:asciiTheme="majorHAnsi" w:hAnsiTheme="majorHAnsi" w:cstheme="majorHAnsi"/>
        </w:rPr>
        <w:t>pořízení změny územního plánu je nezbytné respektovat stanovenou koncepci uspořádání krajiny z důvodu zamezení výrazných zásahů do území, které by mohly narušit celkovou stabilitu území a vzájemné prostorové a funkční vazby nejen v</w:t>
      </w:r>
      <w:r w:rsidR="000630C0" w:rsidRPr="006070EA">
        <w:rPr>
          <w:rFonts w:asciiTheme="majorHAnsi" w:hAnsiTheme="majorHAnsi" w:cstheme="majorHAnsi"/>
        </w:rPr>
        <w:t> </w:t>
      </w:r>
      <w:r w:rsidRPr="006070EA">
        <w:rPr>
          <w:rFonts w:asciiTheme="majorHAnsi" w:hAnsiTheme="majorHAnsi" w:cstheme="majorHAnsi"/>
        </w:rPr>
        <w:t>rámci území, ale také v návaznosti na sousední obce.</w:t>
      </w:r>
    </w:p>
    <w:p w14:paraId="5659B208" w14:textId="77777777" w:rsidR="000C5FD9" w:rsidRPr="006070EA" w:rsidRDefault="00710A4E" w:rsidP="000C5FD9">
      <w:pPr>
        <w:pStyle w:val="Odstavecseseznamem"/>
        <w:keepNext/>
        <w:numPr>
          <w:ilvl w:val="2"/>
          <w:numId w:val="30"/>
        </w:numPr>
        <w:spacing w:before="160" w:after="120" w:line="240" w:lineRule="auto"/>
        <w:ind w:left="709" w:hanging="709"/>
        <w:contextualSpacing w:val="0"/>
        <w:outlineLvl w:val="2"/>
        <w:rPr>
          <w:rFonts w:asciiTheme="majorHAnsi" w:hAnsiTheme="majorHAnsi" w:cstheme="majorHAnsi"/>
          <w:b/>
        </w:rPr>
      </w:pPr>
      <w:r w:rsidRPr="006070EA">
        <w:rPr>
          <w:rFonts w:asciiTheme="majorHAnsi" w:hAnsiTheme="majorHAnsi" w:cstheme="majorHAnsi"/>
          <w:b/>
        </w:rPr>
        <w:lastRenderedPageBreak/>
        <w:t xml:space="preserve"> </w:t>
      </w:r>
      <w:bookmarkStart w:id="390" w:name="_Toc71571678"/>
      <w:bookmarkStart w:id="391" w:name="_Toc204678205"/>
      <w:r w:rsidR="000C5FD9" w:rsidRPr="006070EA">
        <w:rPr>
          <w:rFonts w:asciiTheme="majorHAnsi" w:hAnsiTheme="majorHAnsi" w:cstheme="majorHAnsi"/>
          <w:b/>
        </w:rPr>
        <w:t>Odůvodnění vymezení ploch s rozdílným způsobem využití</w:t>
      </w:r>
      <w:bookmarkEnd w:id="390"/>
      <w:bookmarkEnd w:id="391"/>
    </w:p>
    <w:p w14:paraId="4A0FBA7E" w14:textId="0F1D58C0" w:rsidR="000C5FD9" w:rsidRPr="006070EA" w:rsidRDefault="000C5FD9" w:rsidP="000C5FD9">
      <w:pPr>
        <w:pStyle w:val="Atext"/>
        <w:keepNext/>
        <w:ind w:firstLine="0"/>
        <w:jc w:val="right"/>
        <w:rPr>
          <w:rFonts w:asciiTheme="majorHAnsi" w:hAnsiTheme="majorHAnsi" w:cstheme="majorHAnsi"/>
          <w:i/>
          <w:snapToGrid w:val="0"/>
          <w:u w:val="single"/>
        </w:rPr>
      </w:pPr>
      <w:r w:rsidRPr="006070EA">
        <w:rPr>
          <w:rFonts w:asciiTheme="majorHAnsi" w:hAnsiTheme="majorHAnsi" w:cstheme="majorHAnsi"/>
          <w:i/>
          <w:snapToGrid w:val="0"/>
          <w:u w:val="single"/>
        </w:rPr>
        <w:t xml:space="preserve">Odůvodnění odst. </w:t>
      </w:r>
      <w:r w:rsidRPr="006070EA">
        <w:rPr>
          <w:rFonts w:asciiTheme="majorHAnsi" w:hAnsiTheme="majorHAnsi" w:cstheme="majorHAnsi"/>
          <w:b/>
          <w:i/>
          <w:snapToGrid w:val="0"/>
          <w:u w:val="single"/>
        </w:rPr>
        <w:t>(4</w:t>
      </w:r>
      <w:r w:rsidR="0021590A">
        <w:rPr>
          <w:rFonts w:asciiTheme="majorHAnsi" w:hAnsiTheme="majorHAnsi" w:cstheme="majorHAnsi"/>
          <w:b/>
          <w:i/>
          <w:snapToGrid w:val="0"/>
          <w:u w:val="single"/>
        </w:rPr>
        <w:t>7</w:t>
      </w:r>
      <w:r w:rsidRPr="006070EA">
        <w:rPr>
          <w:rFonts w:asciiTheme="majorHAnsi" w:hAnsiTheme="majorHAnsi" w:cstheme="majorHAnsi"/>
          <w:b/>
          <w:i/>
          <w:snapToGrid w:val="0"/>
          <w:u w:val="single"/>
        </w:rPr>
        <w:t xml:space="preserve">) </w:t>
      </w:r>
      <w:r w:rsidRPr="006070EA">
        <w:rPr>
          <w:rFonts w:asciiTheme="majorHAnsi" w:hAnsiTheme="majorHAnsi" w:cstheme="majorHAnsi"/>
          <w:i/>
          <w:snapToGrid w:val="0"/>
          <w:u w:val="single"/>
        </w:rPr>
        <w:t>výrokové části</w:t>
      </w:r>
    </w:p>
    <w:p w14:paraId="58724897" w14:textId="7BE204B4" w:rsidR="000C5FD9" w:rsidRPr="006070EA" w:rsidRDefault="000C5FD9" w:rsidP="000C5FD9">
      <w:pPr>
        <w:pStyle w:val="Atext"/>
        <w:rPr>
          <w:rFonts w:asciiTheme="majorHAnsi" w:eastAsia="Calibri" w:hAnsiTheme="majorHAnsi" w:cstheme="majorHAnsi"/>
        </w:rPr>
      </w:pPr>
      <w:r w:rsidRPr="006070EA">
        <w:rPr>
          <w:rFonts w:asciiTheme="majorHAnsi" w:hAnsiTheme="majorHAnsi" w:cstheme="majorHAnsi"/>
        </w:rPr>
        <w:t xml:space="preserve">V souladu s vyhláškou č. 501/2006 Sb. jsou v řešeném území vymezeny plochy s rozdílným způsobem využití, dle </w:t>
      </w:r>
      <w:r w:rsidRPr="006070EA">
        <w:rPr>
          <w:rFonts w:asciiTheme="majorHAnsi" w:eastAsia="Calibri" w:hAnsiTheme="majorHAnsi" w:cstheme="majorHAnsi"/>
        </w:rPr>
        <w:t xml:space="preserve">odst. 1 písm. c a odst. 2 písm. d přílohy č. 7 vyhlášky č. 500/2006 Sb. a také </w:t>
      </w:r>
      <w:r w:rsidR="00CF391E" w:rsidRPr="006070EA">
        <w:rPr>
          <w:rFonts w:asciiTheme="majorHAnsi" w:hAnsiTheme="majorHAnsi" w:cstheme="majorHAnsi"/>
          <w:szCs w:val="18"/>
        </w:rPr>
        <w:t>v</w:t>
      </w:r>
      <w:r w:rsidR="00CF391E" w:rsidRPr="006070EA">
        <w:rPr>
          <w:rFonts w:asciiTheme="majorHAnsi" w:eastAsia="Calibri" w:hAnsiTheme="majorHAnsi" w:cstheme="majorHAnsi"/>
          <w:szCs w:val="18"/>
        </w:rPr>
        <w:t> souladu s Jednotným standardem ÚPD (Standard vybraných částí územního plánu, Metodický pokyn MMR, 2023), resp. podle § 21a vyhlášky č. 418/2022 Sb., kterou se mění vyhláška č. 500/2006 Sb., o územně analytických podkladech, územně plánovací dokumentaci a způsobu evidence územně plánovací činnosti, ve znění pozdějších předpisů, vyhláška č. 501/2006 Sb., o obecných požadavcích na využívání území, ve znění pozdějších předpisů, a vyhláška č. 360/2021 Sb., kterou se mění vyhláška č. 501/2006 Sb., o obecných požadavcích na využívání území, ve znění pozdějších předpisů, ve znění vyhlášky č. 164/2022 Sb.</w:t>
      </w:r>
      <w:r w:rsidRPr="006070EA">
        <w:rPr>
          <w:rFonts w:asciiTheme="majorHAnsi" w:eastAsia="Calibri" w:hAnsiTheme="majorHAnsi" w:cstheme="majorHAnsi"/>
        </w:rPr>
        <w:t xml:space="preserve"> </w:t>
      </w:r>
    </w:p>
    <w:p w14:paraId="3357BA5F" w14:textId="5D247F2B" w:rsidR="000C5FD9" w:rsidRPr="006070EA" w:rsidRDefault="000C5FD9" w:rsidP="000C5FD9">
      <w:pPr>
        <w:pStyle w:val="Atext"/>
        <w:rPr>
          <w:rFonts w:asciiTheme="majorHAnsi" w:eastAsia="Calibri" w:hAnsiTheme="majorHAnsi" w:cstheme="majorHAnsi"/>
        </w:rPr>
      </w:pPr>
      <w:r w:rsidRPr="006070EA">
        <w:rPr>
          <w:rFonts w:asciiTheme="majorHAnsi" w:eastAsia="Calibri" w:hAnsiTheme="majorHAnsi" w:cstheme="majorHAnsi"/>
        </w:rPr>
        <w:t xml:space="preserve">Plochy s rozdílným způsobem využití beze zbytku pokrývají celé řešené území. To je metodikou územního plánu členěno na urbanizované území řešené v kapitole 11.3.2 (zastavěné území a zastavitelné plochy) a volnou krajinu řešenou v této kapitole (nezastavěné území a plochy změn v krajině). V rámci stanovení koncepce uspořádání krajiny se uplatňují následující typy ploch s rozdílným způsobem využití: </w:t>
      </w:r>
    </w:p>
    <w:p w14:paraId="552A5078" w14:textId="107D4089" w:rsidR="00CF391E" w:rsidRPr="006070EA" w:rsidRDefault="00CF391E" w:rsidP="00CF391E">
      <w:pPr>
        <w:pStyle w:val="Odstavecseseznamem"/>
        <w:keepNext/>
        <w:spacing w:before="120" w:after="60" w:line="240" w:lineRule="auto"/>
        <w:ind w:left="851"/>
        <w:contextualSpacing w:val="0"/>
        <w:jc w:val="both"/>
        <w:rPr>
          <w:rFonts w:asciiTheme="majorHAnsi" w:hAnsiTheme="majorHAnsi" w:cstheme="majorHAnsi"/>
          <w:b/>
          <w:sz w:val="18"/>
          <w:szCs w:val="18"/>
        </w:rPr>
      </w:pPr>
      <w:r w:rsidRPr="006070EA">
        <w:rPr>
          <w:rFonts w:asciiTheme="majorHAnsi" w:hAnsiTheme="majorHAnsi" w:cstheme="majorHAnsi"/>
          <w:b/>
          <w:sz w:val="18"/>
          <w:szCs w:val="18"/>
        </w:rPr>
        <w:t>Plocha vodní a vodohospodářské dle § 13 vyhlášky č. 501/2006 Sb. v aktuálním znění:</w:t>
      </w:r>
    </w:p>
    <w:p w14:paraId="535DF5FE" w14:textId="780A3F2B" w:rsidR="00CF391E" w:rsidRPr="006070EA" w:rsidRDefault="00CF391E" w:rsidP="00CF391E">
      <w:pPr>
        <w:pStyle w:val="Odstavecseseznamem"/>
        <w:keepNext/>
        <w:spacing w:after="0" w:line="240" w:lineRule="auto"/>
        <w:ind w:left="1418"/>
        <w:jc w:val="both"/>
        <w:rPr>
          <w:rFonts w:asciiTheme="majorHAnsi" w:hAnsiTheme="majorHAnsi" w:cstheme="majorHAnsi"/>
          <w:bCs/>
          <w:sz w:val="18"/>
          <w:szCs w:val="18"/>
        </w:rPr>
      </w:pPr>
      <w:r w:rsidRPr="006070EA">
        <w:rPr>
          <w:rFonts w:asciiTheme="majorHAnsi" w:hAnsiTheme="majorHAnsi" w:cstheme="majorHAnsi"/>
          <w:bCs/>
          <w:sz w:val="18"/>
          <w:szCs w:val="18"/>
        </w:rPr>
        <w:t>vodní a vodohospodářské všeobecné (WU)</w:t>
      </w:r>
    </w:p>
    <w:p w14:paraId="6D68458F" w14:textId="77777777" w:rsidR="00CF391E" w:rsidRPr="006070EA" w:rsidRDefault="00CF391E" w:rsidP="00CF391E">
      <w:pPr>
        <w:pStyle w:val="Odstavecseseznamem"/>
        <w:keepNext/>
        <w:spacing w:before="120" w:after="60" w:line="240" w:lineRule="auto"/>
        <w:ind w:left="851"/>
        <w:contextualSpacing w:val="0"/>
        <w:jc w:val="both"/>
        <w:rPr>
          <w:rFonts w:asciiTheme="majorHAnsi" w:hAnsiTheme="majorHAnsi" w:cstheme="majorHAnsi"/>
          <w:b/>
          <w:sz w:val="18"/>
          <w:szCs w:val="18"/>
        </w:rPr>
      </w:pPr>
      <w:r w:rsidRPr="006070EA">
        <w:rPr>
          <w:rFonts w:asciiTheme="majorHAnsi" w:hAnsiTheme="majorHAnsi" w:cstheme="majorHAnsi"/>
          <w:b/>
          <w:sz w:val="18"/>
          <w:szCs w:val="18"/>
        </w:rPr>
        <w:t>Plocha zemědělská dle § 14 vyhlášky č. 501/2006 Sb. v aktuálním znění</w:t>
      </w:r>
    </w:p>
    <w:p w14:paraId="799FAB94" w14:textId="17C796E3" w:rsidR="00CF391E" w:rsidRPr="006070EA" w:rsidRDefault="00CF391E" w:rsidP="00CF391E">
      <w:pPr>
        <w:pStyle w:val="Odstavecseseznamem"/>
        <w:spacing w:after="120" w:line="240" w:lineRule="auto"/>
        <w:ind w:left="1418"/>
        <w:contextualSpacing w:val="0"/>
        <w:jc w:val="both"/>
        <w:rPr>
          <w:rFonts w:asciiTheme="majorHAnsi" w:hAnsiTheme="majorHAnsi" w:cstheme="majorHAnsi"/>
          <w:bCs/>
          <w:sz w:val="18"/>
          <w:szCs w:val="18"/>
        </w:rPr>
      </w:pPr>
      <w:r w:rsidRPr="006070EA">
        <w:rPr>
          <w:rFonts w:asciiTheme="majorHAnsi" w:hAnsiTheme="majorHAnsi" w:cstheme="majorHAnsi"/>
          <w:bCs/>
          <w:sz w:val="18"/>
          <w:szCs w:val="18"/>
        </w:rPr>
        <w:t>zemědělské všeobecné (AU)</w:t>
      </w:r>
    </w:p>
    <w:p w14:paraId="61B1B8F5" w14:textId="3912E2FA" w:rsidR="00CF391E" w:rsidRPr="006070EA" w:rsidRDefault="00CF391E" w:rsidP="00CF391E">
      <w:pPr>
        <w:pStyle w:val="Odstavecseseznamem"/>
        <w:keepNext/>
        <w:spacing w:before="120" w:after="60" w:line="240" w:lineRule="auto"/>
        <w:ind w:left="851"/>
        <w:contextualSpacing w:val="0"/>
        <w:jc w:val="both"/>
        <w:rPr>
          <w:rFonts w:asciiTheme="majorHAnsi" w:hAnsiTheme="majorHAnsi" w:cstheme="majorHAnsi"/>
          <w:b/>
          <w:sz w:val="18"/>
          <w:szCs w:val="18"/>
        </w:rPr>
      </w:pPr>
      <w:r w:rsidRPr="006070EA">
        <w:rPr>
          <w:rFonts w:asciiTheme="majorHAnsi" w:hAnsiTheme="majorHAnsi" w:cstheme="majorHAnsi"/>
          <w:b/>
          <w:sz w:val="18"/>
          <w:szCs w:val="18"/>
        </w:rPr>
        <w:t>Plocha lesní dle § 15 vyhlášky č. 501/2006 Sb. v aktuálním znění</w:t>
      </w:r>
    </w:p>
    <w:p w14:paraId="01FD824D" w14:textId="2794A06E" w:rsidR="00CF391E" w:rsidRPr="006070EA" w:rsidRDefault="00CF391E" w:rsidP="00CF391E">
      <w:pPr>
        <w:pStyle w:val="Odstavecseseznamem"/>
        <w:spacing w:after="0" w:line="240" w:lineRule="auto"/>
        <w:ind w:left="851" w:firstLine="567"/>
        <w:jc w:val="both"/>
        <w:rPr>
          <w:rFonts w:asciiTheme="majorHAnsi" w:hAnsiTheme="majorHAnsi" w:cstheme="majorHAnsi"/>
          <w:bCs/>
          <w:sz w:val="18"/>
          <w:szCs w:val="18"/>
        </w:rPr>
      </w:pPr>
      <w:r w:rsidRPr="006070EA">
        <w:rPr>
          <w:rFonts w:asciiTheme="majorHAnsi" w:hAnsiTheme="majorHAnsi" w:cstheme="majorHAnsi"/>
          <w:bCs/>
          <w:sz w:val="18"/>
          <w:szCs w:val="18"/>
        </w:rPr>
        <w:t>lesní všeobecné (LU)</w:t>
      </w:r>
    </w:p>
    <w:p w14:paraId="7AFDCF35" w14:textId="09CFFDD7" w:rsidR="00CF391E" w:rsidRPr="006070EA" w:rsidRDefault="00CF391E" w:rsidP="00CF391E">
      <w:pPr>
        <w:pStyle w:val="Odstavecseseznamem"/>
        <w:keepNext/>
        <w:spacing w:before="120" w:after="60" w:line="240" w:lineRule="auto"/>
        <w:ind w:left="851"/>
        <w:contextualSpacing w:val="0"/>
        <w:jc w:val="both"/>
        <w:rPr>
          <w:rFonts w:asciiTheme="majorHAnsi" w:hAnsiTheme="majorHAnsi" w:cstheme="majorHAnsi"/>
          <w:b/>
          <w:sz w:val="18"/>
          <w:szCs w:val="18"/>
        </w:rPr>
      </w:pPr>
      <w:r w:rsidRPr="006070EA">
        <w:rPr>
          <w:rFonts w:asciiTheme="majorHAnsi" w:hAnsiTheme="majorHAnsi" w:cstheme="majorHAnsi"/>
          <w:b/>
          <w:sz w:val="18"/>
          <w:szCs w:val="18"/>
        </w:rPr>
        <w:t>Plocha přírodní dle § 16 vyhlášky č. 501/2006 Sb. v aktuálním znění</w:t>
      </w:r>
    </w:p>
    <w:p w14:paraId="76031CA9" w14:textId="207DE07B" w:rsidR="00CF391E" w:rsidRPr="006070EA" w:rsidRDefault="00CF391E" w:rsidP="00CF391E">
      <w:pPr>
        <w:pStyle w:val="Odstavecseseznamem"/>
        <w:spacing w:after="0" w:line="240" w:lineRule="auto"/>
        <w:ind w:left="851" w:firstLine="567"/>
        <w:jc w:val="both"/>
        <w:rPr>
          <w:rFonts w:asciiTheme="majorHAnsi" w:hAnsiTheme="majorHAnsi" w:cstheme="majorHAnsi"/>
          <w:bCs/>
          <w:sz w:val="18"/>
          <w:szCs w:val="18"/>
        </w:rPr>
      </w:pPr>
      <w:r w:rsidRPr="006070EA">
        <w:rPr>
          <w:rFonts w:asciiTheme="majorHAnsi" w:hAnsiTheme="majorHAnsi" w:cstheme="majorHAnsi"/>
          <w:bCs/>
          <w:sz w:val="18"/>
          <w:szCs w:val="18"/>
        </w:rPr>
        <w:t>přírodní všeobecné (NU)</w:t>
      </w:r>
    </w:p>
    <w:p w14:paraId="5C7EE129" w14:textId="4EE72624" w:rsidR="00071C0F" w:rsidRPr="006070EA" w:rsidRDefault="00071C0F" w:rsidP="00071C0F">
      <w:pPr>
        <w:pStyle w:val="Odstavecseseznamem"/>
        <w:keepNext/>
        <w:spacing w:before="120" w:after="60" w:line="240" w:lineRule="auto"/>
        <w:ind w:left="851"/>
        <w:contextualSpacing w:val="0"/>
        <w:jc w:val="both"/>
        <w:rPr>
          <w:rFonts w:asciiTheme="majorHAnsi" w:hAnsiTheme="majorHAnsi" w:cstheme="majorHAnsi"/>
          <w:b/>
          <w:sz w:val="18"/>
          <w:szCs w:val="18"/>
        </w:rPr>
      </w:pPr>
      <w:r w:rsidRPr="006070EA">
        <w:rPr>
          <w:rFonts w:asciiTheme="majorHAnsi" w:hAnsiTheme="majorHAnsi" w:cstheme="majorHAnsi"/>
          <w:b/>
          <w:sz w:val="18"/>
          <w:szCs w:val="18"/>
        </w:rPr>
        <w:t>Plochy smíšené nezastavěného území dle § 17 vyhlášky č. 501/2006 Sb. v aktuálním znění</w:t>
      </w:r>
    </w:p>
    <w:p w14:paraId="529430B4" w14:textId="68B1D56F" w:rsidR="000C5FD9" w:rsidRPr="006070EA" w:rsidRDefault="00071C0F" w:rsidP="00071C0F">
      <w:pPr>
        <w:pStyle w:val="Odstavecseseznamem"/>
        <w:spacing w:after="0" w:line="240" w:lineRule="auto"/>
        <w:ind w:left="851" w:firstLine="567"/>
        <w:jc w:val="both"/>
        <w:rPr>
          <w:rFonts w:asciiTheme="majorHAnsi" w:hAnsiTheme="majorHAnsi" w:cstheme="majorHAnsi"/>
          <w:bCs/>
          <w:sz w:val="18"/>
          <w:szCs w:val="18"/>
        </w:rPr>
      </w:pPr>
      <w:r w:rsidRPr="006070EA">
        <w:rPr>
          <w:rFonts w:asciiTheme="majorHAnsi" w:hAnsiTheme="majorHAnsi" w:cstheme="majorHAnsi"/>
          <w:bCs/>
          <w:sz w:val="18"/>
          <w:szCs w:val="18"/>
        </w:rPr>
        <w:t>p</w:t>
      </w:r>
      <w:r w:rsidR="000C5FD9" w:rsidRPr="006070EA">
        <w:rPr>
          <w:rFonts w:asciiTheme="majorHAnsi" w:hAnsiTheme="majorHAnsi" w:cstheme="majorHAnsi"/>
          <w:bCs/>
          <w:sz w:val="18"/>
          <w:szCs w:val="18"/>
        </w:rPr>
        <w:t xml:space="preserve">lochy smíšené nezastavěného území </w:t>
      </w:r>
      <w:r w:rsidRPr="006070EA">
        <w:rPr>
          <w:rFonts w:asciiTheme="majorHAnsi" w:hAnsiTheme="majorHAnsi" w:cstheme="majorHAnsi"/>
          <w:bCs/>
          <w:sz w:val="18"/>
          <w:szCs w:val="18"/>
        </w:rPr>
        <w:t>–</w:t>
      </w:r>
      <w:r w:rsidR="000C5FD9" w:rsidRPr="006070EA">
        <w:rPr>
          <w:rFonts w:asciiTheme="majorHAnsi" w:hAnsiTheme="majorHAnsi" w:cstheme="majorHAnsi"/>
          <w:bCs/>
          <w:sz w:val="18"/>
          <w:szCs w:val="18"/>
        </w:rPr>
        <w:t xml:space="preserve"> zeměděls</w:t>
      </w:r>
      <w:r w:rsidRPr="006070EA">
        <w:rPr>
          <w:rFonts w:asciiTheme="majorHAnsi" w:hAnsiTheme="majorHAnsi" w:cstheme="majorHAnsi"/>
          <w:bCs/>
          <w:sz w:val="18"/>
          <w:szCs w:val="18"/>
        </w:rPr>
        <w:t>tví extenzivní</w:t>
      </w:r>
      <w:r w:rsidR="000C5FD9" w:rsidRPr="006070EA">
        <w:rPr>
          <w:rFonts w:asciiTheme="majorHAnsi" w:hAnsiTheme="majorHAnsi" w:cstheme="majorHAnsi"/>
          <w:bCs/>
          <w:sz w:val="18"/>
          <w:szCs w:val="18"/>
        </w:rPr>
        <w:t xml:space="preserve">, přírodní </w:t>
      </w:r>
      <w:r w:rsidRPr="006070EA">
        <w:rPr>
          <w:rFonts w:asciiTheme="majorHAnsi" w:hAnsiTheme="majorHAnsi" w:cstheme="majorHAnsi"/>
          <w:bCs/>
          <w:sz w:val="18"/>
          <w:szCs w:val="18"/>
        </w:rPr>
        <w:t xml:space="preserve">priority </w:t>
      </w:r>
      <w:r w:rsidR="000C5FD9" w:rsidRPr="006070EA">
        <w:rPr>
          <w:rFonts w:asciiTheme="majorHAnsi" w:hAnsiTheme="majorHAnsi" w:cstheme="majorHAnsi"/>
          <w:bCs/>
          <w:sz w:val="18"/>
          <w:szCs w:val="18"/>
        </w:rPr>
        <w:t>(</w:t>
      </w:r>
      <w:r w:rsidRPr="006070EA">
        <w:rPr>
          <w:rFonts w:asciiTheme="majorHAnsi" w:hAnsiTheme="majorHAnsi" w:cstheme="majorHAnsi"/>
          <w:bCs/>
          <w:sz w:val="18"/>
          <w:szCs w:val="18"/>
        </w:rPr>
        <w:t>MU.zp</w:t>
      </w:r>
      <w:r w:rsidR="000C5FD9" w:rsidRPr="006070EA">
        <w:rPr>
          <w:rFonts w:asciiTheme="majorHAnsi" w:hAnsiTheme="majorHAnsi" w:cstheme="majorHAnsi"/>
          <w:bCs/>
          <w:sz w:val="18"/>
          <w:szCs w:val="18"/>
        </w:rPr>
        <w:t>)</w:t>
      </w:r>
    </w:p>
    <w:p w14:paraId="1A1D4A33" w14:textId="374BB177" w:rsidR="000C5FD9" w:rsidRPr="006070EA" w:rsidRDefault="00071C0F" w:rsidP="00071C0F">
      <w:pPr>
        <w:pStyle w:val="Odstavecseseznamem"/>
        <w:spacing w:after="0" w:line="240" w:lineRule="auto"/>
        <w:ind w:left="851" w:firstLine="567"/>
        <w:jc w:val="both"/>
        <w:rPr>
          <w:rFonts w:asciiTheme="majorHAnsi" w:hAnsiTheme="majorHAnsi" w:cstheme="majorHAnsi"/>
          <w:bCs/>
          <w:sz w:val="18"/>
          <w:szCs w:val="18"/>
        </w:rPr>
      </w:pPr>
      <w:r w:rsidRPr="006070EA">
        <w:rPr>
          <w:rFonts w:asciiTheme="majorHAnsi" w:hAnsiTheme="majorHAnsi" w:cstheme="majorHAnsi"/>
          <w:bCs/>
          <w:sz w:val="18"/>
          <w:szCs w:val="18"/>
        </w:rPr>
        <w:t>p</w:t>
      </w:r>
      <w:r w:rsidR="000C5FD9" w:rsidRPr="006070EA">
        <w:rPr>
          <w:rFonts w:asciiTheme="majorHAnsi" w:hAnsiTheme="majorHAnsi" w:cstheme="majorHAnsi"/>
          <w:bCs/>
          <w:sz w:val="18"/>
          <w:szCs w:val="18"/>
        </w:rPr>
        <w:t xml:space="preserve">lochy smíšené nezastavěného území </w:t>
      </w:r>
      <w:r w:rsidRPr="006070EA">
        <w:rPr>
          <w:rFonts w:asciiTheme="majorHAnsi" w:hAnsiTheme="majorHAnsi" w:cstheme="majorHAnsi"/>
          <w:bCs/>
          <w:sz w:val="18"/>
          <w:szCs w:val="18"/>
        </w:rPr>
        <w:t>–</w:t>
      </w:r>
      <w:r w:rsidR="000C5FD9" w:rsidRPr="006070EA">
        <w:rPr>
          <w:rFonts w:asciiTheme="majorHAnsi" w:hAnsiTheme="majorHAnsi" w:cstheme="majorHAnsi"/>
          <w:bCs/>
          <w:sz w:val="18"/>
          <w:szCs w:val="18"/>
        </w:rPr>
        <w:t xml:space="preserve"> sportovní</w:t>
      </w:r>
      <w:r w:rsidRPr="006070EA">
        <w:rPr>
          <w:rFonts w:asciiTheme="majorHAnsi" w:hAnsiTheme="majorHAnsi" w:cstheme="majorHAnsi"/>
          <w:bCs/>
          <w:sz w:val="18"/>
          <w:szCs w:val="18"/>
        </w:rPr>
        <w:t xml:space="preserve"> využití</w:t>
      </w:r>
      <w:r w:rsidR="000C5FD9" w:rsidRPr="006070EA">
        <w:rPr>
          <w:rFonts w:asciiTheme="majorHAnsi" w:hAnsiTheme="majorHAnsi" w:cstheme="majorHAnsi"/>
          <w:bCs/>
          <w:sz w:val="18"/>
          <w:szCs w:val="18"/>
        </w:rPr>
        <w:t xml:space="preserve"> (</w:t>
      </w:r>
      <w:r w:rsidRPr="006070EA">
        <w:rPr>
          <w:rFonts w:asciiTheme="majorHAnsi" w:hAnsiTheme="majorHAnsi" w:cstheme="majorHAnsi"/>
          <w:bCs/>
          <w:sz w:val="18"/>
          <w:szCs w:val="18"/>
        </w:rPr>
        <w:t>MU.s</w:t>
      </w:r>
      <w:r w:rsidR="000C5FD9" w:rsidRPr="006070EA">
        <w:rPr>
          <w:rFonts w:asciiTheme="majorHAnsi" w:hAnsiTheme="majorHAnsi" w:cstheme="majorHAnsi"/>
          <w:bCs/>
          <w:sz w:val="18"/>
          <w:szCs w:val="18"/>
        </w:rPr>
        <w:t>)</w:t>
      </w:r>
    </w:p>
    <w:p w14:paraId="5B1F989F" w14:textId="527776CC" w:rsidR="000C5FD9" w:rsidRPr="006070EA" w:rsidRDefault="00071C0F" w:rsidP="00071C0F">
      <w:pPr>
        <w:pStyle w:val="Odstavecseseznamem"/>
        <w:spacing w:after="0" w:line="240" w:lineRule="auto"/>
        <w:ind w:left="851" w:firstLine="567"/>
        <w:jc w:val="both"/>
        <w:rPr>
          <w:rFonts w:asciiTheme="majorHAnsi" w:hAnsiTheme="majorHAnsi" w:cstheme="majorHAnsi"/>
          <w:bCs/>
          <w:sz w:val="18"/>
          <w:szCs w:val="18"/>
        </w:rPr>
      </w:pPr>
      <w:r w:rsidRPr="006070EA">
        <w:rPr>
          <w:rFonts w:asciiTheme="majorHAnsi" w:hAnsiTheme="majorHAnsi" w:cstheme="majorHAnsi"/>
          <w:bCs/>
          <w:sz w:val="18"/>
          <w:szCs w:val="18"/>
        </w:rPr>
        <w:t>p</w:t>
      </w:r>
      <w:r w:rsidR="000C5FD9" w:rsidRPr="006070EA">
        <w:rPr>
          <w:rFonts w:asciiTheme="majorHAnsi" w:hAnsiTheme="majorHAnsi" w:cstheme="majorHAnsi"/>
          <w:bCs/>
          <w:sz w:val="18"/>
          <w:szCs w:val="18"/>
        </w:rPr>
        <w:t xml:space="preserve">lochy smíšené nezastavěného území </w:t>
      </w:r>
      <w:r w:rsidRPr="006070EA">
        <w:rPr>
          <w:rFonts w:asciiTheme="majorHAnsi" w:hAnsiTheme="majorHAnsi" w:cstheme="majorHAnsi"/>
          <w:bCs/>
          <w:sz w:val="18"/>
          <w:szCs w:val="18"/>
        </w:rPr>
        <w:t>–</w:t>
      </w:r>
      <w:r w:rsidR="000C5FD9" w:rsidRPr="006070EA">
        <w:rPr>
          <w:rFonts w:asciiTheme="majorHAnsi" w:hAnsiTheme="majorHAnsi" w:cstheme="majorHAnsi"/>
          <w:bCs/>
          <w:sz w:val="18"/>
          <w:szCs w:val="18"/>
        </w:rPr>
        <w:t xml:space="preserve"> rekrea</w:t>
      </w:r>
      <w:r w:rsidRPr="006070EA">
        <w:rPr>
          <w:rFonts w:asciiTheme="majorHAnsi" w:hAnsiTheme="majorHAnsi" w:cstheme="majorHAnsi"/>
          <w:bCs/>
          <w:sz w:val="18"/>
          <w:szCs w:val="18"/>
        </w:rPr>
        <w:t>ce</w:t>
      </w:r>
      <w:r w:rsidR="000C5FD9" w:rsidRPr="006070EA">
        <w:rPr>
          <w:rFonts w:asciiTheme="majorHAnsi" w:hAnsiTheme="majorHAnsi" w:cstheme="majorHAnsi"/>
          <w:bCs/>
          <w:sz w:val="18"/>
          <w:szCs w:val="18"/>
        </w:rPr>
        <w:t xml:space="preserve"> nepobytov</w:t>
      </w:r>
      <w:r w:rsidRPr="006070EA">
        <w:rPr>
          <w:rFonts w:asciiTheme="majorHAnsi" w:hAnsiTheme="majorHAnsi" w:cstheme="majorHAnsi"/>
          <w:bCs/>
          <w:sz w:val="18"/>
          <w:szCs w:val="18"/>
        </w:rPr>
        <w:t>á</w:t>
      </w:r>
      <w:r w:rsidR="000C5FD9" w:rsidRPr="006070EA">
        <w:rPr>
          <w:rFonts w:asciiTheme="majorHAnsi" w:hAnsiTheme="majorHAnsi" w:cstheme="majorHAnsi"/>
          <w:bCs/>
          <w:sz w:val="18"/>
          <w:szCs w:val="18"/>
        </w:rPr>
        <w:t xml:space="preserve"> (</w:t>
      </w:r>
      <w:r w:rsidRPr="006070EA">
        <w:rPr>
          <w:rFonts w:asciiTheme="majorHAnsi" w:hAnsiTheme="majorHAnsi" w:cstheme="majorHAnsi"/>
          <w:bCs/>
          <w:sz w:val="18"/>
          <w:szCs w:val="18"/>
        </w:rPr>
        <w:t>MU.r</w:t>
      </w:r>
      <w:r w:rsidR="000C5FD9" w:rsidRPr="006070EA">
        <w:rPr>
          <w:rFonts w:asciiTheme="majorHAnsi" w:hAnsiTheme="majorHAnsi" w:cstheme="majorHAnsi"/>
          <w:bCs/>
          <w:sz w:val="18"/>
          <w:szCs w:val="18"/>
        </w:rPr>
        <w:t>)</w:t>
      </w:r>
    </w:p>
    <w:p w14:paraId="2E221757" w14:textId="79E6C426" w:rsidR="00EC1337" w:rsidRPr="006070EA" w:rsidRDefault="00EC1337" w:rsidP="00EC1337">
      <w:pPr>
        <w:spacing w:before="120" w:after="120" w:line="240" w:lineRule="auto"/>
        <w:ind w:firstLine="709"/>
        <w:jc w:val="both"/>
        <w:rPr>
          <w:rFonts w:asciiTheme="majorHAnsi" w:eastAsiaTheme="minorEastAsia" w:hAnsiTheme="majorHAnsi" w:cstheme="majorHAnsi"/>
          <w:sz w:val="18"/>
        </w:rPr>
      </w:pPr>
      <w:r w:rsidRPr="006070EA">
        <w:rPr>
          <w:rFonts w:asciiTheme="majorHAnsi" w:eastAsiaTheme="minorEastAsia" w:hAnsiTheme="majorHAnsi" w:cstheme="majorHAnsi"/>
          <w:sz w:val="18"/>
        </w:rPr>
        <w:t xml:space="preserve">Koncepce uspořádání krajiny v územním plánu vychází z jejích historických a současných funkcí. ÚP Kostomlaty nad Labem vymezuje jednotlivé plochy s rozdílným způsobem využití v nezastavěném území tak, aby bylo respektováno harmonické uspořádání krajiny převážně zemědělského charakteru. Stanovením zásad pro jejich užívání vytváří ÚP podmínky pro ochranu přírodních hodnot a krajiny, jejich obnovu a zároveň umožňuje hospodářské a rekreační využití krajiny. </w:t>
      </w:r>
    </w:p>
    <w:p w14:paraId="662EE23A" w14:textId="140D6E88" w:rsidR="000C5FD9" w:rsidRPr="006070EA" w:rsidRDefault="000C5FD9" w:rsidP="000C5FD9">
      <w:pPr>
        <w:pStyle w:val="Atext"/>
        <w:rPr>
          <w:rFonts w:asciiTheme="majorHAnsi" w:eastAsia="Calibri" w:hAnsiTheme="majorHAnsi" w:cstheme="majorHAnsi"/>
        </w:rPr>
      </w:pPr>
      <w:r w:rsidRPr="006070EA">
        <w:rPr>
          <w:rFonts w:asciiTheme="majorHAnsi" w:eastAsia="Calibri" w:hAnsiTheme="majorHAnsi" w:cstheme="majorHAnsi"/>
        </w:rPr>
        <w:t xml:space="preserve">Podrobné odůvodnění uplatněných typů ploch s rozdílným způsobem využití je uvedeno v kapitole 11.6, kde je popsáno a zdůvodněno také stanovení podmínek využití a prostorového uspořádání těchto ploch. </w:t>
      </w:r>
    </w:p>
    <w:p w14:paraId="5F9911A1" w14:textId="77777777" w:rsidR="00EC1337" w:rsidRPr="006070EA" w:rsidRDefault="00EC1337" w:rsidP="00EF7B4B">
      <w:pPr>
        <w:pStyle w:val="Odstavecseseznamem"/>
        <w:keepNext/>
        <w:numPr>
          <w:ilvl w:val="2"/>
          <w:numId w:val="30"/>
        </w:numPr>
        <w:spacing w:before="160" w:after="120" w:line="240" w:lineRule="auto"/>
        <w:ind w:left="709" w:hanging="709"/>
        <w:contextualSpacing w:val="0"/>
        <w:outlineLvl w:val="2"/>
        <w:rPr>
          <w:rFonts w:asciiTheme="majorHAnsi" w:hAnsiTheme="majorHAnsi" w:cstheme="majorHAnsi"/>
          <w:b/>
        </w:rPr>
      </w:pPr>
      <w:bookmarkStart w:id="392" w:name="_Toc71571679"/>
      <w:bookmarkStart w:id="393" w:name="_Toc204678206"/>
      <w:r w:rsidRPr="006070EA">
        <w:rPr>
          <w:rFonts w:asciiTheme="majorHAnsi" w:hAnsiTheme="majorHAnsi" w:cstheme="majorHAnsi"/>
          <w:b/>
        </w:rPr>
        <w:t>Odůvodnění vymezení ploch změn v krajině</w:t>
      </w:r>
      <w:bookmarkEnd w:id="392"/>
      <w:bookmarkEnd w:id="393"/>
    </w:p>
    <w:p w14:paraId="0E4631AC" w14:textId="10F4D000" w:rsidR="00EC1337" w:rsidRPr="006070EA" w:rsidRDefault="00EC1337" w:rsidP="00EC1337">
      <w:pPr>
        <w:pStyle w:val="Atext"/>
        <w:keepNext/>
        <w:ind w:firstLine="0"/>
        <w:jc w:val="right"/>
        <w:rPr>
          <w:rFonts w:asciiTheme="majorHAnsi" w:hAnsiTheme="majorHAnsi" w:cstheme="majorHAnsi"/>
          <w:i/>
          <w:snapToGrid w:val="0"/>
          <w:u w:val="single"/>
        </w:rPr>
      </w:pPr>
      <w:r w:rsidRPr="006070EA">
        <w:rPr>
          <w:rFonts w:asciiTheme="majorHAnsi" w:hAnsiTheme="majorHAnsi" w:cstheme="majorHAnsi"/>
          <w:i/>
          <w:snapToGrid w:val="0"/>
          <w:u w:val="single"/>
        </w:rPr>
        <w:t xml:space="preserve">Odůvodnění odst. </w:t>
      </w:r>
      <w:r w:rsidRPr="006070EA">
        <w:rPr>
          <w:rFonts w:asciiTheme="majorHAnsi" w:hAnsiTheme="majorHAnsi" w:cstheme="majorHAnsi"/>
          <w:b/>
          <w:i/>
          <w:snapToGrid w:val="0"/>
          <w:u w:val="single"/>
        </w:rPr>
        <w:t>(</w:t>
      </w:r>
      <w:r w:rsidR="0021590A">
        <w:rPr>
          <w:rFonts w:asciiTheme="majorHAnsi" w:hAnsiTheme="majorHAnsi" w:cstheme="majorHAnsi"/>
          <w:b/>
          <w:i/>
          <w:snapToGrid w:val="0"/>
          <w:u w:val="single"/>
        </w:rPr>
        <w:t>48</w:t>
      </w:r>
      <w:r w:rsidRPr="006070EA">
        <w:rPr>
          <w:rFonts w:asciiTheme="majorHAnsi" w:hAnsiTheme="majorHAnsi" w:cstheme="majorHAnsi"/>
          <w:b/>
          <w:i/>
          <w:snapToGrid w:val="0"/>
          <w:u w:val="single"/>
        </w:rPr>
        <w:t xml:space="preserve">) </w:t>
      </w:r>
      <w:r w:rsidRPr="006070EA">
        <w:rPr>
          <w:rFonts w:asciiTheme="majorHAnsi" w:hAnsiTheme="majorHAnsi" w:cstheme="majorHAnsi"/>
          <w:i/>
          <w:snapToGrid w:val="0"/>
          <w:u w:val="single"/>
        </w:rPr>
        <w:t>výrokové části</w:t>
      </w:r>
    </w:p>
    <w:p w14:paraId="35EC4157" w14:textId="77777777" w:rsidR="00EC1337" w:rsidRPr="006070EA" w:rsidRDefault="00EC1337" w:rsidP="00EC1337">
      <w:pPr>
        <w:pStyle w:val="Atext"/>
        <w:rPr>
          <w:rFonts w:asciiTheme="majorHAnsi" w:hAnsiTheme="majorHAnsi" w:cstheme="majorHAnsi"/>
        </w:rPr>
      </w:pPr>
      <w:r w:rsidRPr="006070EA">
        <w:rPr>
          <w:rFonts w:asciiTheme="majorHAnsi" w:hAnsiTheme="majorHAnsi" w:cstheme="majorHAnsi"/>
        </w:rPr>
        <w:t xml:space="preserve">Plochy změn v krajině jsou vymezeny v souladu s § 2 odst. 1 písm. k) a § 43 odst. 1 zákona č. 183/2006 Sb. a § 3 odst. 2 písm. a) a b) vyhlášky č. 501/2006 Sb. na základě odborného zhodnocení potřebnosti změny způsobu využití dané plochy. Plochy změn v krajině jsou vymezeny zejména pro zajištění funkčnosti územního systému ekologické stability. </w:t>
      </w:r>
    </w:p>
    <w:p w14:paraId="439386BD" w14:textId="77777777" w:rsidR="00EC1337" w:rsidRPr="006070EA" w:rsidRDefault="00EC1337" w:rsidP="00EC1337">
      <w:pPr>
        <w:pStyle w:val="ANADPIS4"/>
        <w:rPr>
          <w:rFonts w:asciiTheme="majorHAnsi" w:hAnsiTheme="majorHAnsi" w:cstheme="majorHAnsi"/>
        </w:rPr>
      </w:pPr>
      <w:r w:rsidRPr="006070EA">
        <w:rPr>
          <w:rFonts w:asciiTheme="majorHAnsi" w:hAnsiTheme="majorHAnsi" w:cstheme="majorHAnsi"/>
        </w:rPr>
        <w:t>ODŮVODNĚNÍ VYMEZENÍ JEDNOTLIVÝCH PLOCH ZMĚN V KRAJINĚ</w:t>
      </w:r>
    </w:p>
    <w:tbl>
      <w:tblPr>
        <w:tblStyle w:val="Mkatabulky2"/>
        <w:tblW w:w="0" w:type="auto"/>
        <w:tblBorders>
          <w:left w:val="none" w:sz="0" w:space="0" w:color="auto"/>
          <w:right w:val="none" w:sz="0" w:space="0" w:color="auto"/>
          <w:insideV w:val="single" w:sz="12" w:space="0" w:color="auto"/>
        </w:tblBorders>
        <w:tblLook w:val="04A0" w:firstRow="1" w:lastRow="0" w:firstColumn="1" w:lastColumn="0" w:noHBand="0" w:noVBand="1"/>
      </w:tblPr>
      <w:tblGrid>
        <w:gridCol w:w="2632"/>
        <w:gridCol w:w="6438"/>
      </w:tblGrid>
      <w:tr w:rsidR="0052508A" w:rsidRPr="006070EA" w14:paraId="4874B4C3" w14:textId="77777777" w:rsidTr="00EC1337">
        <w:trPr>
          <w:cantSplit/>
          <w:tblHeader/>
        </w:trPr>
        <w:tc>
          <w:tcPr>
            <w:tcW w:w="2687" w:type="dxa"/>
            <w:shd w:val="clear" w:color="auto" w:fill="F2F2F2" w:themeFill="background1" w:themeFillShade="F2"/>
          </w:tcPr>
          <w:p w14:paraId="08A14F33" w14:textId="77777777" w:rsidR="00EC1337" w:rsidRPr="006070EA" w:rsidRDefault="00EC1337" w:rsidP="00E00A83">
            <w:pPr>
              <w:keepNext/>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Plocha změn v krajině</w:t>
            </w:r>
          </w:p>
        </w:tc>
        <w:tc>
          <w:tcPr>
            <w:tcW w:w="6599" w:type="dxa"/>
            <w:shd w:val="clear" w:color="auto" w:fill="F2F2F2" w:themeFill="background1" w:themeFillShade="F2"/>
          </w:tcPr>
          <w:p w14:paraId="2F681EDC" w14:textId="4C1552A4" w:rsidR="00EC1337" w:rsidRPr="006070EA" w:rsidRDefault="00EC1337" w:rsidP="00E00A83">
            <w:pPr>
              <w:keepNext/>
              <w:tabs>
                <w:tab w:val="center" w:pos="4536"/>
                <w:tab w:val="right" w:pos="9072"/>
              </w:tabs>
              <w:suppressAutoHyphens/>
              <w:spacing w:before="40" w:after="40"/>
              <w:jc w:val="both"/>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K</w:t>
            </w:r>
            <w:r w:rsidR="00071C0F" w:rsidRPr="006070EA">
              <w:rPr>
                <w:rFonts w:asciiTheme="majorHAnsi" w:eastAsia="Times New Roman" w:hAnsiTheme="majorHAnsi" w:cstheme="majorHAnsi"/>
                <w:b/>
                <w:bCs/>
                <w:iCs/>
                <w:sz w:val="18"/>
                <w:szCs w:val="20"/>
                <w:lang w:eastAsia="ar-SA"/>
              </w:rPr>
              <w:t>.</w:t>
            </w:r>
            <w:r w:rsidRPr="006070EA">
              <w:rPr>
                <w:rFonts w:asciiTheme="majorHAnsi" w:eastAsia="Times New Roman" w:hAnsiTheme="majorHAnsi" w:cstheme="majorHAnsi"/>
                <w:b/>
                <w:bCs/>
                <w:iCs/>
                <w:sz w:val="18"/>
                <w:szCs w:val="20"/>
                <w:lang w:eastAsia="ar-SA"/>
              </w:rPr>
              <w:t>01</w:t>
            </w:r>
          </w:p>
        </w:tc>
      </w:tr>
      <w:tr w:rsidR="0052508A" w:rsidRPr="006070EA" w14:paraId="05D1A24D" w14:textId="77777777" w:rsidTr="00EC1337">
        <w:trPr>
          <w:cantSplit/>
        </w:trPr>
        <w:tc>
          <w:tcPr>
            <w:tcW w:w="2687" w:type="dxa"/>
          </w:tcPr>
          <w:p w14:paraId="40478AAF" w14:textId="77777777" w:rsidR="00EC1337" w:rsidRPr="006070EA" w:rsidRDefault="00EC1337" w:rsidP="00E00A83">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způsob využití</w:t>
            </w:r>
          </w:p>
        </w:tc>
        <w:tc>
          <w:tcPr>
            <w:tcW w:w="6599" w:type="dxa"/>
          </w:tcPr>
          <w:p w14:paraId="13A0405B" w14:textId="16132E92" w:rsidR="00EC1337" w:rsidRPr="006070EA" w:rsidRDefault="00071C0F" w:rsidP="00E00A83">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MU.zp </w:t>
            </w:r>
            <w:r w:rsidR="00EC1337" w:rsidRPr="006070EA">
              <w:rPr>
                <w:rFonts w:asciiTheme="majorHAnsi" w:eastAsia="Times New Roman" w:hAnsiTheme="majorHAnsi" w:cstheme="majorHAnsi"/>
                <w:bCs/>
                <w:iCs/>
                <w:sz w:val="18"/>
                <w:szCs w:val="20"/>
                <w:lang w:eastAsia="ar-SA"/>
              </w:rPr>
              <w:t>–</w:t>
            </w:r>
            <w:r w:rsidRPr="006070EA">
              <w:rPr>
                <w:rFonts w:asciiTheme="majorHAnsi" w:eastAsia="Times New Roman" w:hAnsiTheme="majorHAnsi" w:cstheme="majorHAnsi"/>
                <w:bCs/>
                <w:iCs/>
                <w:sz w:val="18"/>
                <w:szCs w:val="20"/>
                <w:lang w:eastAsia="ar-SA"/>
              </w:rPr>
              <w:t xml:space="preserve"> </w:t>
            </w:r>
            <w:r w:rsidR="00EC1337" w:rsidRPr="006070EA">
              <w:rPr>
                <w:rFonts w:asciiTheme="majorHAnsi" w:eastAsia="Times New Roman" w:hAnsiTheme="majorHAnsi" w:cstheme="majorHAnsi"/>
                <w:sz w:val="18"/>
                <w:szCs w:val="18"/>
                <w:lang w:eastAsia="cs-CZ"/>
              </w:rPr>
              <w:t>smíšené nezastavěného území – zeměděls</w:t>
            </w:r>
            <w:r w:rsidRPr="006070EA">
              <w:rPr>
                <w:rFonts w:asciiTheme="majorHAnsi" w:eastAsia="Times New Roman" w:hAnsiTheme="majorHAnsi" w:cstheme="majorHAnsi"/>
                <w:sz w:val="18"/>
                <w:szCs w:val="18"/>
                <w:lang w:eastAsia="cs-CZ"/>
              </w:rPr>
              <w:t>tví extenzivní</w:t>
            </w:r>
            <w:r w:rsidR="00EC1337" w:rsidRPr="006070EA">
              <w:rPr>
                <w:rFonts w:asciiTheme="majorHAnsi" w:eastAsia="Times New Roman" w:hAnsiTheme="majorHAnsi" w:cstheme="majorHAnsi"/>
                <w:sz w:val="18"/>
                <w:szCs w:val="18"/>
                <w:lang w:eastAsia="cs-CZ"/>
              </w:rPr>
              <w:t>, přírodní</w:t>
            </w:r>
            <w:r w:rsidRPr="006070EA">
              <w:rPr>
                <w:rFonts w:asciiTheme="majorHAnsi" w:eastAsia="Times New Roman" w:hAnsiTheme="majorHAnsi" w:cstheme="majorHAnsi"/>
                <w:sz w:val="18"/>
                <w:szCs w:val="18"/>
                <w:lang w:eastAsia="cs-CZ"/>
              </w:rPr>
              <w:t xml:space="preserve"> priority</w:t>
            </w:r>
          </w:p>
        </w:tc>
      </w:tr>
      <w:tr w:rsidR="0052508A" w:rsidRPr="006070EA" w14:paraId="3598641C" w14:textId="77777777" w:rsidTr="00EC1337">
        <w:trPr>
          <w:cantSplit/>
        </w:trPr>
        <w:tc>
          <w:tcPr>
            <w:tcW w:w="2687" w:type="dxa"/>
          </w:tcPr>
          <w:p w14:paraId="564C2323" w14:textId="77777777" w:rsidR="00EC1337" w:rsidRPr="006070EA" w:rsidRDefault="00EC1337" w:rsidP="00E00A83">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limity využití území</w:t>
            </w:r>
          </w:p>
        </w:tc>
        <w:tc>
          <w:tcPr>
            <w:tcW w:w="6599" w:type="dxa"/>
          </w:tcPr>
          <w:p w14:paraId="41ECD446" w14:textId="04CFB933" w:rsidR="00EC1337" w:rsidRPr="006070EA" w:rsidRDefault="00EC1337" w:rsidP="00E00A83">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Pásmo 50 m od hranice PUPFL, OP nadregionálního biokoridoru (nárazníková zóna), </w:t>
            </w:r>
            <w:r w:rsidR="0052508A" w:rsidRPr="006070EA">
              <w:rPr>
                <w:rFonts w:asciiTheme="majorHAnsi" w:eastAsia="Times New Roman" w:hAnsiTheme="majorHAnsi" w:cstheme="majorHAnsi"/>
                <w:bCs/>
                <w:iCs/>
                <w:sz w:val="18"/>
                <w:szCs w:val="20"/>
                <w:lang w:eastAsia="ar-SA"/>
              </w:rPr>
              <w:t>záplavové území Q</w:t>
            </w:r>
            <w:r w:rsidR="0052508A" w:rsidRPr="006070EA">
              <w:rPr>
                <w:rFonts w:asciiTheme="majorHAnsi" w:eastAsia="Times New Roman" w:hAnsiTheme="majorHAnsi" w:cstheme="majorHAnsi"/>
                <w:bCs/>
                <w:iCs/>
                <w:sz w:val="18"/>
                <w:szCs w:val="20"/>
                <w:vertAlign w:val="subscript"/>
                <w:lang w:eastAsia="ar-SA"/>
              </w:rPr>
              <w:t>100</w:t>
            </w:r>
          </w:p>
        </w:tc>
      </w:tr>
      <w:tr w:rsidR="0052508A" w:rsidRPr="006070EA" w14:paraId="3FB2DA92" w14:textId="77777777" w:rsidTr="00EC1337">
        <w:trPr>
          <w:cantSplit/>
        </w:trPr>
        <w:tc>
          <w:tcPr>
            <w:tcW w:w="2687" w:type="dxa"/>
          </w:tcPr>
          <w:p w14:paraId="3245687B" w14:textId="79E31FBC" w:rsidR="00EC1337" w:rsidRPr="006070EA" w:rsidRDefault="00EC1337" w:rsidP="00E00A83">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 xml:space="preserve">vztah k platné ÚPD (ZÚR, </w:t>
            </w:r>
            <w:r w:rsidR="0052508A" w:rsidRPr="006070EA">
              <w:rPr>
                <w:rFonts w:asciiTheme="majorHAnsi" w:eastAsia="Times New Roman" w:hAnsiTheme="majorHAnsi" w:cstheme="majorHAnsi"/>
                <w:b/>
                <w:bCs/>
                <w:iCs/>
                <w:sz w:val="18"/>
                <w:szCs w:val="20"/>
                <w:lang w:eastAsia="ar-SA"/>
              </w:rPr>
              <w:t>ÚPO</w:t>
            </w:r>
            <w:r w:rsidRPr="006070EA">
              <w:rPr>
                <w:rFonts w:asciiTheme="majorHAnsi" w:eastAsia="Times New Roman" w:hAnsiTheme="majorHAnsi" w:cstheme="majorHAnsi"/>
                <w:b/>
                <w:bCs/>
                <w:iCs/>
                <w:sz w:val="18"/>
                <w:szCs w:val="20"/>
                <w:lang w:eastAsia="ar-SA"/>
              </w:rPr>
              <w:t>)</w:t>
            </w:r>
          </w:p>
        </w:tc>
        <w:tc>
          <w:tcPr>
            <w:tcW w:w="6599" w:type="dxa"/>
          </w:tcPr>
          <w:p w14:paraId="6480E3DF" w14:textId="37BBC4A2" w:rsidR="00EC1337" w:rsidRPr="006070EA" w:rsidRDefault="0052508A" w:rsidP="00E00A83">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Stabilizovaná plocha luk a pastvin v ÚPO</w:t>
            </w:r>
          </w:p>
        </w:tc>
      </w:tr>
      <w:tr w:rsidR="0052508A" w:rsidRPr="006070EA" w14:paraId="0C663FDE" w14:textId="77777777" w:rsidTr="00EC1337">
        <w:trPr>
          <w:cantSplit/>
        </w:trPr>
        <w:tc>
          <w:tcPr>
            <w:tcW w:w="2687" w:type="dxa"/>
          </w:tcPr>
          <w:p w14:paraId="00AD4EF7" w14:textId="77777777" w:rsidR="00EC1337" w:rsidRPr="006070EA" w:rsidRDefault="00EC1337" w:rsidP="00E00A83">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dotčení půdního fondu (ZPF, LPF)</w:t>
            </w:r>
          </w:p>
        </w:tc>
        <w:tc>
          <w:tcPr>
            <w:tcW w:w="6599" w:type="dxa"/>
          </w:tcPr>
          <w:p w14:paraId="13BB1D78" w14:textId="788C554E" w:rsidR="00EC1337" w:rsidRPr="006070EA" w:rsidRDefault="00EC1337" w:rsidP="00E00A83">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ZPF IV. třídy ochrany</w:t>
            </w:r>
            <w:r w:rsidR="0052508A" w:rsidRPr="006070EA">
              <w:rPr>
                <w:rFonts w:asciiTheme="majorHAnsi" w:eastAsia="Times New Roman" w:hAnsiTheme="majorHAnsi" w:cstheme="majorHAnsi"/>
                <w:bCs/>
                <w:iCs/>
                <w:sz w:val="18"/>
                <w:szCs w:val="20"/>
                <w:lang w:eastAsia="ar-SA"/>
              </w:rPr>
              <w:t>, nezemědělská půda</w:t>
            </w:r>
          </w:p>
        </w:tc>
      </w:tr>
      <w:tr w:rsidR="0052508A" w:rsidRPr="006070EA" w14:paraId="073258D5" w14:textId="77777777" w:rsidTr="00EC1337">
        <w:trPr>
          <w:cantSplit/>
        </w:trPr>
        <w:tc>
          <w:tcPr>
            <w:tcW w:w="2687" w:type="dxa"/>
          </w:tcPr>
          <w:p w14:paraId="49ACDA43" w14:textId="77777777" w:rsidR="00EC1337" w:rsidRPr="006070EA" w:rsidRDefault="00EC1337" w:rsidP="00E00A83">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lastRenderedPageBreak/>
              <w:t>hlavní důvody vymezení plochy</w:t>
            </w:r>
          </w:p>
        </w:tc>
        <w:tc>
          <w:tcPr>
            <w:tcW w:w="6599" w:type="dxa"/>
          </w:tcPr>
          <w:p w14:paraId="325A7F68" w14:textId="77777777" w:rsidR="005C0903" w:rsidRPr="006070EA" w:rsidRDefault="005C0903" w:rsidP="00E00A83">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Revitalizace urbanizované části krajiny mezi zemědělským areálem a lesními porosty nad severním břehem řeky Labe. </w:t>
            </w:r>
          </w:p>
          <w:p w14:paraId="073E1DCA" w14:textId="63581AC5" w:rsidR="00EC1337" w:rsidRPr="006070EA" w:rsidRDefault="005C0903" w:rsidP="00E00A83">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Dotvoření přírodního segmentu krajiny. Plocha navazuje na lesní komplex (les ochranný) a koryto bezejmenného vodního toku. </w:t>
            </w:r>
          </w:p>
          <w:p w14:paraId="4607DE38" w14:textId="6CB38A5B" w:rsidR="005C0903" w:rsidRPr="006070EA" w:rsidRDefault="005C0903" w:rsidP="00E00A83">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Vytvoření přechodové zóny mezi lesním komplexem a intenzivně zemědělsky využívanou částí krajiny.</w:t>
            </w:r>
          </w:p>
          <w:p w14:paraId="7509774A" w14:textId="3ECFC70F" w:rsidR="00EC1337" w:rsidRPr="006070EA" w:rsidRDefault="00EC1337" w:rsidP="00E00A83">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Síť zemědělských účelových komunikací a polních cest není vymezením plochy dotčena. Organizace půdních bloků není narušena, neboť plocha je vymezena podél okrajů stávajících půdních bloků. </w:t>
            </w:r>
          </w:p>
        </w:tc>
      </w:tr>
    </w:tbl>
    <w:p w14:paraId="75083411" w14:textId="77777777" w:rsidR="00EC1337" w:rsidRPr="006070EA" w:rsidRDefault="00EC1337" w:rsidP="00EC1337">
      <w:pPr>
        <w:pStyle w:val="Norml"/>
        <w:spacing w:before="60" w:after="60"/>
        <w:rPr>
          <w:rFonts w:asciiTheme="majorHAnsi" w:hAnsiTheme="majorHAnsi" w:cstheme="majorHAnsi"/>
          <w:color w:val="FF0000"/>
        </w:rPr>
      </w:pPr>
    </w:p>
    <w:tbl>
      <w:tblPr>
        <w:tblStyle w:val="Mkatabulky2"/>
        <w:tblW w:w="0" w:type="auto"/>
        <w:tblBorders>
          <w:left w:val="none" w:sz="0" w:space="0" w:color="auto"/>
          <w:right w:val="none" w:sz="0" w:space="0" w:color="auto"/>
          <w:insideV w:val="single" w:sz="12" w:space="0" w:color="auto"/>
        </w:tblBorders>
        <w:tblLook w:val="04A0" w:firstRow="1" w:lastRow="0" w:firstColumn="1" w:lastColumn="0" w:noHBand="0" w:noVBand="1"/>
      </w:tblPr>
      <w:tblGrid>
        <w:gridCol w:w="2633"/>
        <w:gridCol w:w="6437"/>
      </w:tblGrid>
      <w:tr w:rsidR="00EC1337" w:rsidRPr="006070EA" w14:paraId="68001E50" w14:textId="77777777" w:rsidTr="00D23283">
        <w:trPr>
          <w:cantSplit/>
          <w:tblHeader/>
        </w:trPr>
        <w:tc>
          <w:tcPr>
            <w:tcW w:w="2688" w:type="dxa"/>
            <w:shd w:val="clear" w:color="auto" w:fill="F2F2F2" w:themeFill="background1" w:themeFillShade="F2"/>
          </w:tcPr>
          <w:p w14:paraId="56C27852" w14:textId="77777777" w:rsidR="00EC1337" w:rsidRPr="006070EA" w:rsidRDefault="00EC1337" w:rsidP="00E00A83">
            <w:pPr>
              <w:keepNext/>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Plocha změn v krajině</w:t>
            </w:r>
          </w:p>
        </w:tc>
        <w:tc>
          <w:tcPr>
            <w:tcW w:w="6598" w:type="dxa"/>
            <w:shd w:val="clear" w:color="auto" w:fill="F2F2F2" w:themeFill="background1" w:themeFillShade="F2"/>
          </w:tcPr>
          <w:p w14:paraId="7D8EBD46" w14:textId="78EE46D7" w:rsidR="00EC1337" w:rsidRPr="006070EA" w:rsidRDefault="00EC1337" w:rsidP="00E00A83">
            <w:pPr>
              <w:keepNext/>
              <w:tabs>
                <w:tab w:val="center" w:pos="4536"/>
                <w:tab w:val="right" w:pos="9072"/>
              </w:tabs>
              <w:suppressAutoHyphens/>
              <w:spacing w:before="40" w:after="40"/>
              <w:jc w:val="both"/>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K</w:t>
            </w:r>
            <w:r w:rsidR="00071C0F" w:rsidRPr="006070EA">
              <w:rPr>
                <w:rFonts w:asciiTheme="majorHAnsi" w:eastAsia="Times New Roman" w:hAnsiTheme="majorHAnsi" w:cstheme="majorHAnsi"/>
                <w:b/>
                <w:bCs/>
                <w:iCs/>
                <w:sz w:val="18"/>
                <w:szCs w:val="20"/>
                <w:lang w:eastAsia="ar-SA"/>
              </w:rPr>
              <w:t>.</w:t>
            </w:r>
            <w:r w:rsidRPr="006070EA">
              <w:rPr>
                <w:rFonts w:asciiTheme="majorHAnsi" w:eastAsia="Times New Roman" w:hAnsiTheme="majorHAnsi" w:cstheme="majorHAnsi"/>
                <w:b/>
                <w:bCs/>
                <w:iCs/>
                <w:sz w:val="18"/>
                <w:szCs w:val="20"/>
                <w:lang w:eastAsia="ar-SA"/>
              </w:rPr>
              <w:t>02</w:t>
            </w:r>
          </w:p>
        </w:tc>
      </w:tr>
      <w:tr w:rsidR="006738E4" w:rsidRPr="006070EA" w14:paraId="7DCBC641" w14:textId="77777777" w:rsidTr="00D23283">
        <w:trPr>
          <w:cantSplit/>
        </w:trPr>
        <w:tc>
          <w:tcPr>
            <w:tcW w:w="2688" w:type="dxa"/>
          </w:tcPr>
          <w:p w14:paraId="6797D4E0" w14:textId="77777777" w:rsidR="00EC1337" w:rsidRPr="006070EA" w:rsidRDefault="00EC1337" w:rsidP="00E00A83">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způsob využití</w:t>
            </w:r>
          </w:p>
        </w:tc>
        <w:tc>
          <w:tcPr>
            <w:tcW w:w="6598" w:type="dxa"/>
          </w:tcPr>
          <w:p w14:paraId="46CE9235" w14:textId="5C6D1434" w:rsidR="00EC1337" w:rsidRPr="006070EA" w:rsidRDefault="00EC1337" w:rsidP="00E00A83">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N</w:t>
            </w:r>
            <w:r w:rsidR="00071C0F" w:rsidRPr="006070EA">
              <w:rPr>
                <w:rFonts w:asciiTheme="majorHAnsi" w:eastAsia="Times New Roman" w:hAnsiTheme="majorHAnsi" w:cstheme="majorHAnsi"/>
                <w:bCs/>
                <w:iCs/>
                <w:sz w:val="18"/>
                <w:szCs w:val="20"/>
                <w:lang w:eastAsia="ar-SA"/>
              </w:rPr>
              <w:t>U</w:t>
            </w:r>
            <w:r w:rsidRPr="006070EA">
              <w:rPr>
                <w:rFonts w:asciiTheme="majorHAnsi" w:eastAsia="Times New Roman" w:hAnsiTheme="majorHAnsi" w:cstheme="majorHAnsi"/>
                <w:bCs/>
                <w:iCs/>
                <w:sz w:val="18"/>
                <w:szCs w:val="20"/>
                <w:lang w:eastAsia="ar-SA"/>
              </w:rPr>
              <w:t xml:space="preserve"> –</w:t>
            </w:r>
            <w:r w:rsidR="00071C0F" w:rsidRPr="006070EA">
              <w:rPr>
                <w:rFonts w:asciiTheme="majorHAnsi" w:eastAsia="Times New Roman" w:hAnsiTheme="majorHAnsi" w:cstheme="majorHAnsi"/>
                <w:bCs/>
                <w:iCs/>
                <w:sz w:val="18"/>
                <w:szCs w:val="20"/>
                <w:lang w:eastAsia="ar-SA"/>
              </w:rPr>
              <w:t xml:space="preserve"> </w:t>
            </w:r>
            <w:r w:rsidRPr="006070EA">
              <w:rPr>
                <w:rFonts w:asciiTheme="majorHAnsi" w:eastAsia="Times New Roman" w:hAnsiTheme="majorHAnsi" w:cstheme="majorHAnsi"/>
                <w:sz w:val="18"/>
                <w:szCs w:val="18"/>
                <w:lang w:eastAsia="cs-CZ"/>
              </w:rPr>
              <w:t>přírodní</w:t>
            </w:r>
            <w:r w:rsidR="00071C0F" w:rsidRPr="006070EA">
              <w:rPr>
                <w:rFonts w:asciiTheme="majorHAnsi" w:eastAsia="Times New Roman" w:hAnsiTheme="majorHAnsi" w:cstheme="majorHAnsi"/>
                <w:sz w:val="18"/>
                <w:szCs w:val="18"/>
                <w:lang w:eastAsia="cs-CZ"/>
              </w:rPr>
              <w:t xml:space="preserve"> všeobecné</w:t>
            </w:r>
          </w:p>
        </w:tc>
      </w:tr>
      <w:tr w:rsidR="006738E4" w:rsidRPr="006070EA" w14:paraId="3F651CEC" w14:textId="77777777" w:rsidTr="00D23283">
        <w:trPr>
          <w:cantSplit/>
        </w:trPr>
        <w:tc>
          <w:tcPr>
            <w:tcW w:w="2688" w:type="dxa"/>
          </w:tcPr>
          <w:p w14:paraId="0D81A500" w14:textId="77777777" w:rsidR="00EC1337" w:rsidRPr="006070EA" w:rsidRDefault="00EC1337" w:rsidP="00E00A83">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limity využití území</w:t>
            </w:r>
          </w:p>
        </w:tc>
        <w:tc>
          <w:tcPr>
            <w:tcW w:w="6598" w:type="dxa"/>
          </w:tcPr>
          <w:p w14:paraId="41A3AE5E" w14:textId="2724E433" w:rsidR="00EC1337" w:rsidRPr="006070EA" w:rsidRDefault="00D23283" w:rsidP="00E00A83">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OP komunikačního vedení, lokální biocentrum</w:t>
            </w:r>
          </w:p>
        </w:tc>
      </w:tr>
      <w:tr w:rsidR="006738E4" w:rsidRPr="006070EA" w14:paraId="3549B902" w14:textId="77777777" w:rsidTr="00D23283">
        <w:trPr>
          <w:cantSplit/>
        </w:trPr>
        <w:tc>
          <w:tcPr>
            <w:tcW w:w="2688" w:type="dxa"/>
          </w:tcPr>
          <w:p w14:paraId="25135C3B" w14:textId="4C0B485C" w:rsidR="00D23283" w:rsidRPr="006070EA" w:rsidRDefault="00D23283" w:rsidP="00D23283">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vztah k platné ÚPD (ZÚR, ÚPO)</w:t>
            </w:r>
          </w:p>
        </w:tc>
        <w:tc>
          <w:tcPr>
            <w:tcW w:w="6598" w:type="dxa"/>
          </w:tcPr>
          <w:p w14:paraId="72C61CBF" w14:textId="71D55BE9" w:rsidR="00D23283" w:rsidRPr="006070EA" w:rsidRDefault="00D23283" w:rsidP="00D23283">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ÚSES – II BC 10</w:t>
            </w:r>
          </w:p>
        </w:tc>
      </w:tr>
      <w:tr w:rsidR="006738E4" w:rsidRPr="006070EA" w14:paraId="7B31B697" w14:textId="77777777" w:rsidTr="00D23283">
        <w:trPr>
          <w:cantSplit/>
        </w:trPr>
        <w:tc>
          <w:tcPr>
            <w:tcW w:w="2688" w:type="dxa"/>
          </w:tcPr>
          <w:p w14:paraId="5058F2AB" w14:textId="77777777" w:rsidR="00EC1337" w:rsidRPr="006070EA" w:rsidRDefault="00EC1337" w:rsidP="00E00A83">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dotčení půdního fondu (ZPF, LPF)</w:t>
            </w:r>
          </w:p>
        </w:tc>
        <w:tc>
          <w:tcPr>
            <w:tcW w:w="6598" w:type="dxa"/>
          </w:tcPr>
          <w:p w14:paraId="7F625A5E" w14:textId="29A2E5D0" w:rsidR="00EC1337" w:rsidRPr="006070EA" w:rsidRDefault="00EC1337" w:rsidP="00E00A83">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ZPF I. třídy ochrany</w:t>
            </w:r>
          </w:p>
        </w:tc>
      </w:tr>
      <w:tr w:rsidR="006738E4" w:rsidRPr="006070EA" w14:paraId="35CCBE2B" w14:textId="77777777" w:rsidTr="00D23283">
        <w:trPr>
          <w:cantSplit/>
        </w:trPr>
        <w:tc>
          <w:tcPr>
            <w:tcW w:w="2688" w:type="dxa"/>
          </w:tcPr>
          <w:p w14:paraId="3D36B52B" w14:textId="77777777" w:rsidR="00EC1337" w:rsidRPr="006070EA" w:rsidRDefault="00EC1337" w:rsidP="00E00A83">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hlavní důvody vymezení plochy</w:t>
            </w:r>
          </w:p>
        </w:tc>
        <w:tc>
          <w:tcPr>
            <w:tcW w:w="6598" w:type="dxa"/>
          </w:tcPr>
          <w:p w14:paraId="76D10544" w14:textId="1F8B89D6" w:rsidR="00EC1337" w:rsidRPr="006070EA" w:rsidRDefault="00EC1337" w:rsidP="00E00A83">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Zajištění funkčnosti vymezené skladebné části ÚSES – lokální biocentrum L</w:t>
            </w:r>
            <w:r w:rsidR="00071C0F" w:rsidRPr="006070EA">
              <w:rPr>
                <w:rFonts w:asciiTheme="majorHAnsi" w:eastAsia="Times New Roman" w:hAnsiTheme="majorHAnsi" w:cstheme="majorHAnsi"/>
                <w:bCs/>
                <w:iCs/>
                <w:sz w:val="18"/>
                <w:szCs w:val="20"/>
                <w:lang w:eastAsia="ar-SA"/>
              </w:rPr>
              <w:t>B</w:t>
            </w:r>
            <w:r w:rsidRPr="006070EA">
              <w:rPr>
                <w:rFonts w:asciiTheme="majorHAnsi" w:eastAsia="Times New Roman" w:hAnsiTheme="majorHAnsi" w:cstheme="majorHAnsi"/>
                <w:bCs/>
                <w:iCs/>
                <w:sz w:val="18"/>
                <w:szCs w:val="20"/>
                <w:lang w:eastAsia="ar-SA"/>
              </w:rPr>
              <w:t>C</w:t>
            </w:r>
            <w:r w:rsidR="00071C0F" w:rsidRPr="006070EA">
              <w:rPr>
                <w:rFonts w:asciiTheme="majorHAnsi" w:eastAsia="Times New Roman" w:hAnsiTheme="majorHAnsi" w:cstheme="majorHAnsi"/>
                <w:bCs/>
                <w:iCs/>
                <w:sz w:val="18"/>
                <w:szCs w:val="20"/>
                <w:lang w:eastAsia="ar-SA"/>
              </w:rPr>
              <w:t>.</w:t>
            </w:r>
            <w:r w:rsidRPr="006070EA">
              <w:rPr>
                <w:rFonts w:asciiTheme="majorHAnsi" w:eastAsia="Times New Roman" w:hAnsiTheme="majorHAnsi" w:cstheme="majorHAnsi"/>
                <w:bCs/>
                <w:iCs/>
                <w:sz w:val="18"/>
                <w:szCs w:val="20"/>
                <w:lang w:eastAsia="ar-SA"/>
              </w:rPr>
              <w:t xml:space="preserve">1 </w:t>
            </w:r>
            <w:r w:rsidR="00D23283" w:rsidRPr="006070EA">
              <w:rPr>
                <w:rFonts w:asciiTheme="majorHAnsi" w:eastAsia="Times New Roman" w:hAnsiTheme="majorHAnsi" w:cstheme="majorHAnsi"/>
                <w:bCs/>
                <w:iCs/>
                <w:sz w:val="18"/>
                <w:szCs w:val="20"/>
                <w:lang w:eastAsia="ar-SA"/>
              </w:rPr>
              <w:t>V Bažantnici</w:t>
            </w:r>
            <w:r w:rsidRPr="006070EA">
              <w:rPr>
                <w:rFonts w:asciiTheme="majorHAnsi" w:eastAsia="Times New Roman" w:hAnsiTheme="majorHAnsi" w:cstheme="majorHAnsi"/>
                <w:bCs/>
                <w:iCs/>
                <w:sz w:val="18"/>
                <w:szCs w:val="20"/>
                <w:lang w:eastAsia="ar-SA"/>
              </w:rPr>
              <w:t>. Vymezení ÚSES, resp. zajištění funkčnosti a provázanosti systému v rozsahu nefunkčních úseků je ve veřejném zájmu a zajišťuje rovněž nezbytnou minimální míru ekologické stability území.</w:t>
            </w:r>
          </w:p>
          <w:p w14:paraId="3CBAE031" w14:textId="77777777" w:rsidR="00D23283" w:rsidRPr="006070EA" w:rsidRDefault="00EC1337" w:rsidP="00E00A83">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Plocha je vymezena podél </w:t>
            </w:r>
            <w:r w:rsidR="00D23283" w:rsidRPr="006070EA">
              <w:rPr>
                <w:rFonts w:asciiTheme="majorHAnsi" w:eastAsia="Times New Roman" w:hAnsiTheme="majorHAnsi" w:cstheme="majorHAnsi"/>
                <w:bCs/>
                <w:iCs/>
                <w:sz w:val="18"/>
                <w:szCs w:val="20"/>
                <w:lang w:eastAsia="ar-SA"/>
              </w:rPr>
              <w:t xml:space="preserve">soutoku bezejmenného vodního toku a Hlubokého příkopu. Plocha je vymezena v </w:t>
            </w:r>
            <w:r w:rsidRPr="006070EA">
              <w:rPr>
                <w:rFonts w:asciiTheme="majorHAnsi" w:eastAsia="Times New Roman" w:hAnsiTheme="majorHAnsi" w:cstheme="majorHAnsi"/>
                <w:bCs/>
                <w:iCs/>
                <w:sz w:val="18"/>
                <w:szCs w:val="20"/>
                <w:lang w:eastAsia="ar-SA"/>
              </w:rPr>
              <w:t xml:space="preserve">zemědělsky </w:t>
            </w:r>
            <w:r w:rsidR="00D23283" w:rsidRPr="006070EA">
              <w:rPr>
                <w:rFonts w:asciiTheme="majorHAnsi" w:eastAsia="Times New Roman" w:hAnsiTheme="majorHAnsi" w:cstheme="majorHAnsi"/>
                <w:bCs/>
                <w:iCs/>
                <w:sz w:val="18"/>
                <w:szCs w:val="20"/>
                <w:lang w:eastAsia="ar-SA"/>
              </w:rPr>
              <w:t>intenzivně vy</w:t>
            </w:r>
            <w:r w:rsidRPr="006070EA">
              <w:rPr>
                <w:rFonts w:asciiTheme="majorHAnsi" w:eastAsia="Times New Roman" w:hAnsiTheme="majorHAnsi" w:cstheme="majorHAnsi"/>
                <w:bCs/>
                <w:iCs/>
                <w:sz w:val="18"/>
                <w:szCs w:val="20"/>
                <w:lang w:eastAsia="ar-SA"/>
              </w:rPr>
              <w:t>užívan</w:t>
            </w:r>
            <w:r w:rsidR="00D23283" w:rsidRPr="006070EA">
              <w:rPr>
                <w:rFonts w:asciiTheme="majorHAnsi" w:eastAsia="Times New Roman" w:hAnsiTheme="majorHAnsi" w:cstheme="majorHAnsi"/>
                <w:bCs/>
                <w:iCs/>
                <w:sz w:val="18"/>
                <w:szCs w:val="20"/>
                <w:lang w:eastAsia="ar-SA"/>
              </w:rPr>
              <w:t>é</w:t>
            </w:r>
            <w:r w:rsidRPr="006070EA">
              <w:rPr>
                <w:rFonts w:asciiTheme="majorHAnsi" w:eastAsia="Times New Roman" w:hAnsiTheme="majorHAnsi" w:cstheme="majorHAnsi"/>
                <w:bCs/>
                <w:iCs/>
                <w:sz w:val="18"/>
                <w:szCs w:val="20"/>
                <w:lang w:eastAsia="ar-SA"/>
              </w:rPr>
              <w:t xml:space="preserve"> krajin</w:t>
            </w:r>
            <w:r w:rsidR="00D23283" w:rsidRPr="006070EA">
              <w:rPr>
                <w:rFonts w:asciiTheme="majorHAnsi" w:eastAsia="Times New Roman" w:hAnsiTheme="majorHAnsi" w:cstheme="majorHAnsi"/>
                <w:bCs/>
                <w:iCs/>
                <w:sz w:val="18"/>
                <w:szCs w:val="20"/>
                <w:lang w:eastAsia="ar-SA"/>
              </w:rPr>
              <w:t>ě</w:t>
            </w:r>
            <w:r w:rsidRPr="006070EA">
              <w:rPr>
                <w:rFonts w:asciiTheme="majorHAnsi" w:eastAsia="Times New Roman" w:hAnsiTheme="majorHAnsi" w:cstheme="majorHAnsi"/>
                <w:bCs/>
                <w:iCs/>
                <w:sz w:val="18"/>
                <w:szCs w:val="20"/>
                <w:lang w:eastAsia="ar-SA"/>
              </w:rPr>
              <w:t xml:space="preserve">. </w:t>
            </w:r>
          </w:p>
          <w:p w14:paraId="4BC3E8F4" w14:textId="5BAAA64E" w:rsidR="00EC1337" w:rsidRPr="006070EA" w:rsidRDefault="00EC1337" w:rsidP="00E00A83">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Síť zemědělských účelových komunikací a polních cest není vymezením plochy dotčena. Organizace půdních bloků není narušena, neboť plocha je vymezena podél okrajů stávajících půdních bloků.</w:t>
            </w:r>
          </w:p>
        </w:tc>
      </w:tr>
    </w:tbl>
    <w:p w14:paraId="0724BFAF" w14:textId="77777777" w:rsidR="00EC1337" w:rsidRPr="006070EA" w:rsidRDefault="00EC1337" w:rsidP="00EC1337">
      <w:pPr>
        <w:pStyle w:val="Norml"/>
        <w:spacing w:before="60" w:after="60"/>
        <w:rPr>
          <w:rFonts w:asciiTheme="majorHAnsi" w:hAnsiTheme="majorHAnsi" w:cstheme="majorHAnsi"/>
          <w:color w:val="FF0000"/>
        </w:rPr>
      </w:pPr>
    </w:p>
    <w:tbl>
      <w:tblPr>
        <w:tblStyle w:val="Mkatabulky2"/>
        <w:tblW w:w="0" w:type="auto"/>
        <w:tblBorders>
          <w:left w:val="none" w:sz="0" w:space="0" w:color="auto"/>
          <w:right w:val="none" w:sz="0" w:space="0" w:color="auto"/>
          <w:insideV w:val="single" w:sz="12" w:space="0" w:color="auto"/>
        </w:tblBorders>
        <w:tblLook w:val="04A0" w:firstRow="1" w:lastRow="0" w:firstColumn="1" w:lastColumn="0" w:noHBand="0" w:noVBand="1"/>
      </w:tblPr>
      <w:tblGrid>
        <w:gridCol w:w="2634"/>
        <w:gridCol w:w="6436"/>
      </w:tblGrid>
      <w:tr w:rsidR="006738E4" w:rsidRPr="006070EA" w14:paraId="1CDC2681" w14:textId="77777777" w:rsidTr="00071C0F">
        <w:trPr>
          <w:cantSplit/>
          <w:tblHeader/>
        </w:trPr>
        <w:tc>
          <w:tcPr>
            <w:tcW w:w="2634" w:type="dxa"/>
            <w:shd w:val="clear" w:color="auto" w:fill="F2F2F2" w:themeFill="background1" w:themeFillShade="F2"/>
          </w:tcPr>
          <w:p w14:paraId="27DA4A48" w14:textId="77777777" w:rsidR="00EC1337" w:rsidRPr="006070EA" w:rsidRDefault="00EC1337" w:rsidP="00E00A83">
            <w:pPr>
              <w:keepNext/>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Plocha změn v krajině</w:t>
            </w:r>
          </w:p>
        </w:tc>
        <w:tc>
          <w:tcPr>
            <w:tcW w:w="6436" w:type="dxa"/>
            <w:shd w:val="clear" w:color="auto" w:fill="F2F2F2" w:themeFill="background1" w:themeFillShade="F2"/>
          </w:tcPr>
          <w:p w14:paraId="7C607E59" w14:textId="473394C8" w:rsidR="00EC1337" w:rsidRPr="006070EA" w:rsidRDefault="00EC1337" w:rsidP="00E00A83">
            <w:pPr>
              <w:keepNext/>
              <w:tabs>
                <w:tab w:val="center" w:pos="4536"/>
                <w:tab w:val="right" w:pos="9072"/>
              </w:tabs>
              <w:suppressAutoHyphens/>
              <w:spacing w:before="40" w:after="40"/>
              <w:jc w:val="both"/>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K</w:t>
            </w:r>
            <w:r w:rsidR="00071C0F" w:rsidRPr="006070EA">
              <w:rPr>
                <w:rFonts w:asciiTheme="majorHAnsi" w:eastAsia="Times New Roman" w:hAnsiTheme="majorHAnsi" w:cstheme="majorHAnsi"/>
                <w:b/>
                <w:bCs/>
                <w:iCs/>
                <w:sz w:val="18"/>
                <w:szCs w:val="20"/>
                <w:lang w:eastAsia="ar-SA"/>
              </w:rPr>
              <w:t>.</w:t>
            </w:r>
            <w:r w:rsidRPr="006070EA">
              <w:rPr>
                <w:rFonts w:asciiTheme="majorHAnsi" w:eastAsia="Times New Roman" w:hAnsiTheme="majorHAnsi" w:cstheme="majorHAnsi"/>
                <w:b/>
                <w:bCs/>
                <w:iCs/>
                <w:sz w:val="18"/>
                <w:szCs w:val="20"/>
                <w:lang w:eastAsia="ar-SA"/>
              </w:rPr>
              <w:t>03</w:t>
            </w:r>
          </w:p>
        </w:tc>
      </w:tr>
      <w:tr w:rsidR="00071C0F" w:rsidRPr="006070EA" w14:paraId="1E180FD4" w14:textId="77777777" w:rsidTr="00071C0F">
        <w:trPr>
          <w:cantSplit/>
        </w:trPr>
        <w:tc>
          <w:tcPr>
            <w:tcW w:w="2634" w:type="dxa"/>
          </w:tcPr>
          <w:p w14:paraId="50785673" w14:textId="77777777" w:rsidR="00071C0F" w:rsidRPr="006070EA" w:rsidRDefault="00071C0F" w:rsidP="00071C0F">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způsob využití</w:t>
            </w:r>
          </w:p>
        </w:tc>
        <w:tc>
          <w:tcPr>
            <w:tcW w:w="6436" w:type="dxa"/>
          </w:tcPr>
          <w:p w14:paraId="33996081" w14:textId="5ED1B10D" w:rsidR="00071C0F" w:rsidRPr="006070EA" w:rsidRDefault="00071C0F" w:rsidP="00071C0F">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NU – </w:t>
            </w:r>
            <w:r w:rsidRPr="006070EA">
              <w:rPr>
                <w:rFonts w:asciiTheme="majorHAnsi" w:eastAsia="Times New Roman" w:hAnsiTheme="majorHAnsi" w:cstheme="majorHAnsi"/>
                <w:sz w:val="18"/>
                <w:szCs w:val="18"/>
                <w:lang w:eastAsia="cs-CZ"/>
              </w:rPr>
              <w:t>přírodní všeobecné</w:t>
            </w:r>
          </w:p>
        </w:tc>
      </w:tr>
      <w:tr w:rsidR="006738E4" w:rsidRPr="006070EA" w14:paraId="4575F62B" w14:textId="77777777" w:rsidTr="00071C0F">
        <w:trPr>
          <w:cantSplit/>
        </w:trPr>
        <w:tc>
          <w:tcPr>
            <w:tcW w:w="2634" w:type="dxa"/>
          </w:tcPr>
          <w:p w14:paraId="5EB29D9F" w14:textId="77777777" w:rsidR="006738E4" w:rsidRPr="006070EA" w:rsidRDefault="006738E4" w:rsidP="006738E4">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limity využití území</w:t>
            </w:r>
          </w:p>
        </w:tc>
        <w:tc>
          <w:tcPr>
            <w:tcW w:w="6436" w:type="dxa"/>
          </w:tcPr>
          <w:p w14:paraId="0555BE66" w14:textId="0937D7B8" w:rsidR="006738E4" w:rsidRPr="006070EA" w:rsidRDefault="006738E4" w:rsidP="006738E4">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OP komunikačního vedení, lokální biocentrum</w:t>
            </w:r>
          </w:p>
        </w:tc>
      </w:tr>
      <w:tr w:rsidR="006738E4" w:rsidRPr="006070EA" w14:paraId="395DD6CD" w14:textId="77777777" w:rsidTr="00071C0F">
        <w:trPr>
          <w:cantSplit/>
        </w:trPr>
        <w:tc>
          <w:tcPr>
            <w:tcW w:w="2634" w:type="dxa"/>
          </w:tcPr>
          <w:p w14:paraId="5971A26A" w14:textId="5EED0F94" w:rsidR="006738E4" w:rsidRPr="006070EA" w:rsidRDefault="006738E4" w:rsidP="006738E4">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vztah k platné ÚPD (ZÚR, ÚPO)</w:t>
            </w:r>
          </w:p>
        </w:tc>
        <w:tc>
          <w:tcPr>
            <w:tcW w:w="6436" w:type="dxa"/>
          </w:tcPr>
          <w:p w14:paraId="7770B1B1" w14:textId="513029CA" w:rsidR="006738E4" w:rsidRPr="006070EA" w:rsidRDefault="006738E4" w:rsidP="006738E4">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ÚSES – II BC 10</w:t>
            </w:r>
          </w:p>
        </w:tc>
      </w:tr>
      <w:tr w:rsidR="006738E4" w:rsidRPr="006070EA" w14:paraId="0E183371" w14:textId="77777777" w:rsidTr="00071C0F">
        <w:trPr>
          <w:cantSplit/>
        </w:trPr>
        <w:tc>
          <w:tcPr>
            <w:tcW w:w="2634" w:type="dxa"/>
          </w:tcPr>
          <w:p w14:paraId="25983688" w14:textId="77777777" w:rsidR="006738E4" w:rsidRPr="006070EA" w:rsidRDefault="006738E4" w:rsidP="006738E4">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dotčení půdního fondu (ZPF, LPF)</w:t>
            </w:r>
          </w:p>
        </w:tc>
        <w:tc>
          <w:tcPr>
            <w:tcW w:w="6436" w:type="dxa"/>
          </w:tcPr>
          <w:p w14:paraId="5B70B68D" w14:textId="3CA66220" w:rsidR="006738E4" w:rsidRPr="006070EA" w:rsidRDefault="006738E4" w:rsidP="006738E4">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ZPF I. třídy ochrany</w:t>
            </w:r>
          </w:p>
        </w:tc>
      </w:tr>
      <w:tr w:rsidR="006738E4" w:rsidRPr="006070EA" w14:paraId="1B3E56A6" w14:textId="77777777" w:rsidTr="00071C0F">
        <w:trPr>
          <w:cantSplit/>
        </w:trPr>
        <w:tc>
          <w:tcPr>
            <w:tcW w:w="2634" w:type="dxa"/>
          </w:tcPr>
          <w:p w14:paraId="517A1EF6" w14:textId="77777777" w:rsidR="006738E4" w:rsidRPr="006070EA" w:rsidRDefault="006738E4" w:rsidP="006738E4">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hlavní důvody vymezení plochy</w:t>
            </w:r>
          </w:p>
        </w:tc>
        <w:tc>
          <w:tcPr>
            <w:tcW w:w="6436" w:type="dxa"/>
          </w:tcPr>
          <w:p w14:paraId="1508B7AC" w14:textId="0BB34753" w:rsidR="006738E4" w:rsidRPr="006070EA" w:rsidRDefault="006738E4" w:rsidP="006738E4">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Zajištění funkčnosti vymezené skladebné části ÚSES – lokální biocentrum L</w:t>
            </w:r>
            <w:r w:rsidR="00071C0F" w:rsidRPr="006070EA">
              <w:rPr>
                <w:rFonts w:asciiTheme="majorHAnsi" w:eastAsia="Times New Roman" w:hAnsiTheme="majorHAnsi" w:cstheme="majorHAnsi"/>
                <w:bCs/>
                <w:iCs/>
                <w:sz w:val="18"/>
                <w:szCs w:val="20"/>
                <w:lang w:eastAsia="ar-SA"/>
              </w:rPr>
              <w:t>B</w:t>
            </w:r>
            <w:r w:rsidRPr="006070EA">
              <w:rPr>
                <w:rFonts w:asciiTheme="majorHAnsi" w:eastAsia="Times New Roman" w:hAnsiTheme="majorHAnsi" w:cstheme="majorHAnsi"/>
                <w:bCs/>
                <w:iCs/>
                <w:sz w:val="18"/>
                <w:szCs w:val="20"/>
                <w:lang w:eastAsia="ar-SA"/>
              </w:rPr>
              <w:t>C</w:t>
            </w:r>
            <w:r w:rsidR="00071C0F" w:rsidRPr="006070EA">
              <w:rPr>
                <w:rFonts w:asciiTheme="majorHAnsi" w:eastAsia="Times New Roman" w:hAnsiTheme="majorHAnsi" w:cstheme="majorHAnsi"/>
                <w:bCs/>
                <w:iCs/>
                <w:sz w:val="18"/>
                <w:szCs w:val="20"/>
                <w:lang w:eastAsia="ar-SA"/>
              </w:rPr>
              <w:t>.</w:t>
            </w:r>
            <w:r w:rsidRPr="006070EA">
              <w:rPr>
                <w:rFonts w:asciiTheme="majorHAnsi" w:eastAsia="Times New Roman" w:hAnsiTheme="majorHAnsi" w:cstheme="majorHAnsi"/>
                <w:bCs/>
                <w:iCs/>
                <w:sz w:val="18"/>
                <w:szCs w:val="20"/>
                <w:lang w:eastAsia="ar-SA"/>
              </w:rPr>
              <w:t>1 V Bažantnici. Vymezení ÚSES, resp. zajištění funkčnosti a provázanosti systému v rozsahu nefunkčních úseků je ve veřejném zájmu a zajišťuje rovněž nezbytnou minimální míru ekologické stability území.</w:t>
            </w:r>
          </w:p>
          <w:p w14:paraId="0A7AFA49" w14:textId="77777777" w:rsidR="006738E4" w:rsidRPr="006070EA" w:rsidRDefault="006738E4" w:rsidP="006738E4">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Plocha je vymezena podél soutoku bezejmenného vodního toku a Hlubokého příkopu. Plocha je vymezena v zemědělsky intenzivně využívané krajině. </w:t>
            </w:r>
          </w:p>
          <w:p w14:paraId="61588049" w14:textId="2AE069DC" w:rsidR="006738E4" w:rsidRPr="006070EA" w:rsidRDefault="006738E4" w:rsidP="006738E4">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Síť zemědělských účelových komunikací a polních cest není vymezením plochy dotčena. Organizace půdních bloků není narušena, neboť plocha je vymezena podél okrajů stávajících půdních bloků.</w:t>
            </w:r>
          </w:p>
        </w:tc>
      </w:tr>
    </w:tbl>
    <w:p w14:paraId="46A40053" w14:textId="77777777" w:rsidR="00EC1337" w:rsidRPr="006070EA" w:rsidRDefault="00EC1337" w:rsidP="006738E4">
      <w:pPr>
        <w:pStyle w:val="Norml"/>
        <w:spacing w:before="60" w:after="60"/>
        <w:ind w:firstLine="0"/>
        <w:rPr>
          <w:rFonts w:asciiTheme="majorHAnsi" w:hAnsiTheme="majorHAnsi" w:cstheme="majorHAnsi"/>
          <w:color w:val="FF0000"/>
        </w:rPr>
      </w:pPr>
    </w:p>
    <w:tbl>
      <w:tblPr>
        <w:tblStyle w:val="Mkatabulky2"/>
        <w:tblW w:w="0" w:type="auto"/>
        <w:tblBorders>
          <w:left w:val="none" w:sz="0" w:space="0" w:color="auto"/>
          <w:right w:val="none" w:sz="0" w:space="0" w:color="auto"/>
          <w:insideV w:val="single" w:sz="12" w:space="0" w:color="auto"/>
        </w:tblBorders>
        <w:tblLook w:val="04A0" w:firstRow="1" w:lastRow="0" w:firstColumn="1" w:lastColumn="0" w:noHBand="0" w:noVBand="1"/>
      </w:tblPr>
      <w:tblGrid>
        <w:gridCol w:w="2633"/>
        <w:gridCol w:w="6437"/>
      </w:tblGrid>
      <w:tr w:rsidR="00707D34" w:rsidRPr="006070EA" w14:paraId="4F097257" w14:textId="77777777" w:rsidTr="00071C0F">
        <w:trPr>
          <w:cantSplit/>
          <w:tblHeader/>
        </w:trPr>
        <w:tc>
          <w:tcPr>
            <w:tcW w:w="2633" w:type="dxa"/>
            <w:shd w:val="clear" w:color="auto" w:fill="F2F2F2" w:themeFill="background1" w:themeFillShade="F2"/>
          </w:tcPr>
          <w:p w14:paraId="1CAD38D6" w14:textId="77777777" w:rsidR="00EC1337" w:rsidRPr="006070EA" w:rsidRDefault="00EC1337" w:rsidP="00E00A83">
            <w:pPr>
              <w:keepNext/>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Plocha změn v krajině</w:t>
            </w:r>
          </w:p>
        </w:tc>
        <w:tc>
          <w:tcPr>
            <w:tcW w:w="6437" w:type="dxa"/>
            <w:shd w:val="clear" w:color="auto" w:fill="F2F2F2" w:themeFill="background1" w:themeFillShade="F2"/>
          </w:tcPr>
          <w:p w14:paraId="3C6A2490" w14:textId="77C3E748" w:rsidR="00EC1337" w:rsidRPr="006070EA" w:rsidRDefault="00EC1337" w:rsidP="00E00A83">
            <w:pPr>
              <w:keepNext/>
              <w:tabs>
                <w:tab w:val="center" w:pos="4536"/>
                <w:tab w:val="right" w:pos="9072"/>
              </w:tabs>
              <w:suppressAutoHyphens/>
              <w:spacing w:before="40" w:after="40"/>
              <w:jc w:val="both"/>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K</w:t>
            </w:r>
            <w:r w:rsidR="00071C0F" w:rsidRPr="006070EA">
              <w:rPr>
                <w:rFonts w:asciiTheme="majorHAnsi" w:eastAsia="Times New Roman" w:hAnsiTheme="majorHAnsi" w:cstheme="majorHAnsi"/>
                <w:b/>
                <w:bCs/>
                <w:iCs/>
                <w:sz w:val="18"/>
                <w:szCs w:val="20"/>
                <w:lang w:eastAsia="ar-SA"/>
              </w:rPr>
              <w:t>.</w:t>
            </w:r>
            <w:r w:rsidRPr="006070EA">
              <w:rPr>
                <w:rFonts w:asciiTheme="majorHAnsi" w:eastAsia="Times New Roman" w:hAnsiTheme="majorHAnsi" w:cstheme="majorHAnsi"/>
                <w:b/>
                <w:bCs/>
                <w:iCs/>
                <w:sz w:val="18"/>
                <w:szCs w:val="20"/>
                <w:lang w:eastAsia="ar-SA"/>
              </w:rPr>
              <w:t>04</w:t>
            </w:r>
          </w:p>
        </w:tc>
      </w:tr>
      <w:tr w:rsidR="00071C0F" w:rsidRPr="006070EA" w14:paraId="77F6D827" w14:textId="77777777" w:rsidTr="00071C0F">
        <w:trPr>
          <w:cantSplit/>
        </w:trPr>
        <w:tc>
          <w:tcPr>
            <w:tcW w:w="2633" w:type="dxa"/>
          </w:tcPr>
          <w:p w14:paraId="1C23FF20" w14:textId="77777777" w:rsidR="00071C0F" w:rsidRPr="006070EA" w:rsidRDefault="00071C0F" w:rsidP="00071C0F">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způsob využití</w:t>
            </w:r>
          </w:p>
        </w:tc>
        <w:tc>
          <w:tcPr>
            <w:tcW w:w="6437" w:type="dxa"/>
          </w:tcPr>
          <w:p w14:paraId="2BFF3090" w14:textId="5CABBACE" w:rsidR="00071C0F" w:rsidRPr="006070EA" w:rsidRDefault="00071C0F" w:rsidP="00071C0F">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NU – </w:t>
            </w:r>
            <w:r w:rsidRPr="006070EA">
              <w:rPr>
                <w:rFonts w:asciiTheme="majorHAnsi" w:eastAsia="Times New Roman" w:hAnsiTheme="majorHAnsi" w:cstheme="majorHAnsi"/>
                <w:sz w:val="18"/>
                <w:szCs w:val="18"/>
                <w:lang w:eastAsia="cs-CZ"/>
              </w:rPr>
              <w:t>přírodní všeobecné</w:t>
            </w:r>
          </w:p>
        </w:tc>
      </w:tr>
      <w:tr w:rsidR="00707D34" w:rsidRPr="006070EA" w14:paraId="5DA90D76" w14:textId="77777777" w:rsidTr="00071C0F">
        <w:trPr>
          <w:cantSplit/>
        </w:trPr>
        <w:tc>
          <w:tcPr>
            <w:tcW w:w="2633" w:type="dxa"/>
          </w:tcPr>
          <w:p w14:paraId="0443BEAF" w14:textId="77777777" w:rsidR="00EC1337" w:rsidRPr="006070EA" w:rsidRDefault="00EC1337" w:rsidP="00E00A83">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limity využití území</w:t>
            </w:r>
          </w:p>
        </w:tc>
        <w:tc>
          <w:tcPr>
            <w:tcW w:w="6437" w:type="dxa"/>
          </w:tcPr>
          <w:p w14:paraId="35F6F1DA" w14:textId="0A5E1D74" w:rsidR="00EC1337" w:rsidRPr="006070EA" w:rsidRDefault="006738E4" w:rsidP="00E00A83">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OP komunikačního vedení, investice do půdy – odvodnění, Pásmo 50 m od hranice PUPFL</w:t>
            </w:r>
          </w:p>
        </w:tc>
      </w:tr>
      <w:tr w:rsidR="00707D34" w:rsidRPr="006070EA" w14:paraId="40CD8168" w14:textId="77777777" w:rsidTr="00071C0F">
        <w:trPr>
          <w:cantSplit/>
        </w:trPr>
        <w:tc>
          <w:tcPr>
            <w:tcW w:w="2633" w:type="dxa"/>
          </w:tcPr>
          <w:p w14:paraId="39765CD5" w14:textId="4517392E" w:rsidR="006738E4" w:rsidRPr="006070EA" w:rsidRDefault="006738E4" w:rsidP="006738E4">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vztah k platné ÚPD (ZÚR, ÚPO)</w:t>
            </w:r>
          </w:p>
        </w:tc>
        <w:tc>
          <w:tcPr>
            <w:tcW w:w="6437" w:type="dxa"/>
          </w:tcPr>
          <w:p w14:paraId="0CD41F9D" w14:textId="21E5CB33" w:rsidR="006738E4" w:rsidRPr="006070EA" w:rsidRDefault="006738E4" w:rsidP="006738E4">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ÚSES – II BC 7</w:t>
            </w:r>
          </w:p>
        </w:tc>
      </w:tr>
      <w:tr w:rsidR="00707D34" w:rsidRPr="006070EA" w14:paraId="0F24C213" w14:textId="77777777" w:rsidTr="00071C0F">
        <w:trPr>
          <w:cantSplit/>
        </w:trPr>
        <w:tc>
          <w:tcPr>
            <w:tcW w:w="2633" w:type="dxa"/>
          </w:tcPr>
          <w:p w14:paraId="48233AD6" w14:textId="77777777" w:rsidR="00707D34" w:rsidRPr="006070EA" w:rsidRDefault="00707D34" w:rsidP="00707D34">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dotčení půdního fondu (ZPF, LPF)</w:t>
            </w:r>
          </w:p>
        </w:tc>
        <w:tc>
          <w:tcPr>
            <w:tcW w:w="6437" w:type="dxa"/>
          </w:tcPr>
          <w:p w14:paraId="0A94F26C" w14:textId="67FD6A42" w:rsidR="00707D34" w:rsidRPr="006070EA" w:rsidRDefault="00707D34" w:rsidP="00707D34">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ZPF I. třídy ochrany</w:t>
            </w:r>
          </w:p>
        </w:tc>
      </w:tr>
      <w:tr w:rsidR="00707D34" w:rsidRPr="006070EA" w14:paraId="204532E3" w14:textId="77777777" w:rsidTr="00071C0F">
        <w:trPr>
          <w:cantSplit/>
        </w:trPr>
        <w:tc>
          <w:tcPr>
            <w:tcW w:w="2633" w:type="dxa"/>
            <w:tcBorders>
              <w:bottom w:val="single" w:sz="4" w:space="0" w:color="auto"/>
            </w:tcBorders>
          </w:tcPr>
          <w:p w14:paraId="10360628" w14:textId="77777777" w:rsidR="006738E4" w:rsidRPr="006070EA" w:rsidRDefault="006738E4" w:rsidP="006738E4">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lastRenderedPageBreak/>
              <w:t>hlavní důvody vymezení plochy</w:t>
            </w:r>
          </w:p>
        </w:tc>
        <w:tc>
          <w:tcPr>
            <w:tcW w:w="6437" w:type="dxa"/>
            <w:tcBorders>
              <w:bottom w:val="single" w:sz="4" w:space="0" w:color="auto"/>
            </w:tcBorders>
          </w:tcPr>
          <w:p w14:paraId="7A6D167C" w14:textId="7623B33C" w:rsidR="006738E4" w:rsidRPr="006070EA" w:rsidRDefault="006738E4" w:rsidP="006738E4">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Zajištění funkčnosti vymezené skladebné části ÚSES – lokální biocentrum L</w:t>
            </w:r>
            <w:r w:rsidR="00071C0F" w:rsidRPr="006070EA">
              <w:rPr>
                <w:rFonts w:asciiTheme="majorHAnsi" w:eastAsia="Times New Roman" w:hAnsiTheme="majorHAnsi" w:cstheme="majorHAnsi"/>
                <w:bCs/>
                <w:iCs/>
                <w:sz w:val="18"/>
                <w:szCs w:val="20"/>
                <w:lang w:eastAsia="ar-SA"/>
              </w:rPr>
              <w:t>B</w:t>
            </w:r>
            <w:r w:rsidRPr="006070EA">
              <w:rPr>
                <w:rFonts w:asciiTheme="majorHAnsi" w:eastAsia="Times New Roman" w:hAnsiTheme="majorHAnsi" w:cstheme="majorHAnsi"/>
                <w:bCs/>
                <w:iCs/>
                <w:sz w:val="18"/>
                <w:szCs w:val="20"/>
                <w:lang w:eastAsia="ar-SA"/>
              </w:rPr>
              <w:t>C</w:t>
            </w:r>
            <w:r w:rsidR="00071C0F" w:rsidRPr="006070EA">
              <w:rPr>
                <w:rFonts w:asciiTheme="majorHAnsi" w:eastAsia="Times New Roman" w:hAnsiTheme="majorHAnsi" w:cstheme="majorHAnsi"/>
                <w:bCs/>
                <w:iCs/>
                <w:sz w:val="18"/>
                <w:szCs w:val="20"/>
                <w:lang w:eastAsia="ar-SA"/>
              </w:rPr>
              <w:t>.</w:t>
            </w:r>
            <w:r w:rsidRPr="006070EA">
              <w:rPr>
                <w:rFonts w:asciiTheme="majorHAnsi" w:eastAsia="Times New Roman" w:hAnsiTheme="majorHAnsi" w:cstheme="majorHAnsi"/>
                <w:bCs/>
                <w:iCs/>
                <w:sz w:val="18"/>
                <w:szCs w:val="20"/>
                <w:lang w:eastAsia="ar-SA"/>
              </w:rPr>
              <w:t>2 Na spraši. Vymezení ÚSES, resp. zajištění funkčnosti a provázanosti systému v rozsahu nefunkčních úseků je ve veřejném zájmu a zajišťuje rovněž nezbytnou minimální míru ekologické stability území.</w:t>
            </w:r>
          </w:p>
          <w:p w14:paraId="46048D41" w14:textId="77777777" w:rsidR="006738E4" w:rsidRPr="006070EA" w:rsidRDefault="006738E4" w:rsidP="006738E4">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Plocha je vymezena podél Hronětického náhonu. Plocha je vymezena v zemědělsky intenzivně využívané krajině. </w:t>
            </w:r>
          </w:p>
          <w:p w14:paraId="4F80EE5D" w14:textId="37ABDA58" w:rsidR="006738E4" w:rsidRPr="006070EA" w:rsidRDefault="006738E4" w:rsidP="006738E4">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Síť zemědělských účelových komunikací a polních cest není vymezením plochy dotčena. Organizace půdních bloků není narušena.</w:t>
            </w:r>
          </w:p>
        </w:tc>
      </w:tr>
    </w:tbl>
    <w:p w14:paraId="32A79B98" w14:textId="77777777" w:rsidR="00EC1337" w:rsidRPr="006070EA" w:rsidRDefault="00EC1337" w:rsidP="00EC1337">
      <w:pPr>
        <w:pStyle w:val="Norml"/>
        <w:spacing w:before="60" w:after="60"/>
        <w:rPr>
          <w:rFonts w:asciiTheme="majorHAnsi" w:hAnsiTheme="majorHAnsi" w:cstheme="majorHAnsi"/>
        </w:rPr>
      </w:pPr>
    </w:p>
    <w:tbl>
      <w:tblPr>
        <w:tblStyle w:val="Mkatabulky2"/>
        <w:tblW w:w="0" w:type="auto"/>
        <w:tblBorders>
          <w:left w:val="none" w:sz="0" w:space="0" w:color="auto"/>
          <w:right w:val="none" w:sz="0" w:space="0" w:color="auto"/>
          <w:insideV w:val="single" w:sz="12" w:space="0" w:color="auto"/>
        </w:tblBorders>
        <w:tblLook w:val="04A0" w:firstRow="1" w:lastRow="0" w:firstColumn="1" w:lastColumn="0" w:noHBand="0" w:noVBand="1"/>
      </w:tblPr>
      <w:tblGrid>
        <w:gridCol w:w="2634"/>
        <w:gridCol w:w="6436"/>
      </w:tblGrid>
      <w:tr w:rsidR="00707D34" w:rsidRPr="006070EA" w14:paraId="75D7F09A" w14:textId="77777777" w:rsidTr="00071C0F">
        <w:trPr>
          <w:cantSplit/>
          <w:tblHeader/>
        </w:trPr>
        <w:tc>
          <w:tcPr>
            <w:tcW w:w="2634" w:type="dxa"/>
            <w:shd w:val="clear" w:color="auto" w:fill="F2F2F2" w:themeFill="background1" w:themeFillShade="F2"/>
          </w:tcPr>
          <w:p w14:paraId="6308EE08" w14:textId="77777777" w:rsidR="00EC1337" w:rsidRPr="006070EA" w:rsidRDefault="00EC1337" w:rsidP="00E00A83">
            <w:pPr>
              <w:keepNext/>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Plocha změn v krajině</w:t>
            </w:r>
          </w:p>
        </w:tc>
        <w:tc>
          <w:tcPr>
            <w:tcW w:w="6436" w:type="dxa"/>
            <w:shd w:val="clear" w:color="auto" w:fill="F2F2F2" w:themeFill="background1" w:themeFillShade="F2"/>
          </w:tcPr>
          <w:p w14:paraId="68A0A49C" w14:textId="529FFF27" w:rsidR="00EC1337" w:rsidRPr="006070EA" w:rsidRDefault="00EC1337" w:rsidP="00E00A83">
            <w:pPr>
              <w:keepNext/>
              <w:tabs>
                <w:tab w:val="center" w:pos="4536"/>
                <w:tab w:val="right" w:pos="9072"/>
              </w:tabs>
              <w:suppressAutoHyphens/>
              <w:spacing w:before="40" w:after="40"/>
              <w:jc w:val="both"/>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K</w:t>
            </w:r>
            <w:r w:rsidR="00071C0F" w:rsidRPr="006070EA">
              <w:rPr>
                <w:rFonts w:asciiTheme="majorHAnsi" w:eastAsia="Times New Roman" w:hAnsiTheme="majorHAnsi" w:cstheme="majorHAnsi"/>
                <w:b/>
                <w:bCs/>
                <w:iCs/>
                <w:sz w:val="18"/>
                <w:szCs w:val="20"/>
                <w:lang w:eastAsia="ar-SA"/>
              </w:rPr>
              <w:t>.</w:t>
            </w:r>
            <w:r w:rsidRPr="006070EA">
              <w:rPr>
                <w:rFonts w:asciiTheme="majorHAnsi" w:eastAsia="Times New Roman" w:hAnsiTheme="majorHAnsi" w:cstheme="majorHAnsi"/>
                <w:b/>
                <w:bCs/>
                <w:iCs/>
                <w:sz w:val="18"/>
                <w:szCs w:val="20"/>
                <w:lang w:eastAsia="ar-SA"/>
              </w:rPr>
              <w:t>05</w:t>
            </w:r>
          </w:p>
        </w:tc>
      </w:tr>
      <w:tr w:rsidR="00071C0F" w:rsidRPr="006070EA" w14:paraId="71DFB9E1" w14:textId="77777777" w:rsidTr="00071C0F">
        <w:trPr>
          <w:cantSplit/>
        </w:trPr>
        <w:tc>
          <w:tcPr>
            <w:tcW w:w="2634" w:type="dxa"/>
          </w:tcPr>
          <w:p w14:paraId="53CF5A2F" w14:textId="77777777" w:rsidR="00071C0F" w:rsidRPr="006070EA" w:rsidRDefault="00071C0F" w:rsidP="00071C0F">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způsob využití</w:t>
            </w:r>
          </w:p>
        </w:tc>
        <w:tc>
          <w:tcPr>
            <w:tcW w:w="6436" w:type="dxa"/>
          </w:tcPr>
          <w:p w14:paraId="54C3AD64" w14:textId="6887CF8C" w:rsidR="00071C0F" w:rsidRPr="006070EA" w:rsidRDefault="00071C0F" w:rsidP="00071C0F">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NU – </w:t>
            </w:r>
            <w:r w:rsidRPr="006070EA">
              <w:rPr>
                <w:rFonts w:asciiTheme="majorHAnsi" w:eastAsia="Times New Roman" w:hAnsiTheme="majorHAnsi" w:cstheme="majorHAnsi"/>
                <w:sz w:val="18"/>
                <w:szCs w:val="18"/>
                <w:lang w:eastAsia="cs-CZ"/>
              </w:rPr>
              <w:t>přírodní všeobecné</w:t>
            </w:r>
          </w:p>
        </w:tc>
      </w:tr>
      <w:tr w:rsidR="00707D34" w:rsidRPr="006070EA" w14:paraId="7F8E50E2" w14:textId="77777777" w:rsidTr="00071C0F">
        <w:trPr>
          <w:cantSplit/>
        </w:trPr>
        <w:tc>
          <w:tcPr>
            <w:tcW w:w="2634" w:type="dxa"/>
          </w:tcPr>
          <w:p w14:paraId="39A2AF4D" w14:textId="77777777" w:rsidR="00707D34" w:rsidRPr="006070EA" w:rsidRDefault="00707D34" w:rsidP="00707D34">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limity využití území</w:t>
            </w:r>
          </w:p>
        </w:tc>
        <w:tc>
          <w:tcPr>
            <w:tcW w:w="6436" w:type="dxa"/>
          </w:tcPr>
          <w:p w14:paraId="312BFCCF" w14:textId="053F5570" w:rsidR="00707D34" w:rsidRPr="006070EA" w:rsidRDefault="00707D34" w:rsidP="00707D34">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OP komunikačního vedení, investice do půdy – odvodnění, Pásmo 50 m od hranice PUPFL</w:t>
            </w:r>
          </w:p>
        </w:tc>
      </w:tr>
      <w:tr w:rsidR="00707D34" w:rsidRPr="006070EA" w14:paraId="49CCABE6" w14:textId="77777777" w:rsidTr="00071C0F">
        <w:trPr>
          <w:cantSplit/>
        </w:trPr>
        <w:tc>
          <w:tcPr>
            <w:tcW w:w="2634" w:type="dxa"/>
          </w:tcPr>
          <w:p w14:paraId="11C1FD71" w14:textId="2542FAE4" w:rsidR="00707D34" w:rsidRPr="006070EA" w:rsidRDefault="00707D34" w:rsidP="00707D34">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vztah k platné ÚPD (ZÚR, ÚPO)</w:t>
            </w:r>
          </w:p>
        </w:tc>
        <w:tc>
          <w:tcPr>
            <w:tcW w:w="6436" w:type="dxa"/>
          </w:tcPr>
          <w:p w14:paraId="5A249DF5" w14:textId="200DCD0B" w:rsidR="00707D34" w:rsidRPr="006070EA" w:rsidRDefault="00707D34" w:rsidP="00707D34">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ÚSES – II BC 7</w:t>
            </w:r>
          </w:p>
        </w:tc>
      </w:tr>
      <w:tr w:rsidR="00707D34" w:rsidRPr="006070EA" w14:paraId="098E7391" w14:textId="77777777" w:rsidTr="00071C0F">
        <w:trPr>
          <w:cantSplit/>
        </w:trPr>
        <w:tc>
          <w:tcPr>
            <w:tcW w:w="2634" w:type="dxa"/>
          </w:tcPr>
          <w:p w14:paraId="56AE8FF8" w14:textId="77777777" w:rsidR="00707D34" w:rsidRPr="006070EA" w:rsidRDefault="00707D34" w:rsidP="00707D34">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dotčení půdního fondu (ZPF, LPF)</w:t>
            </w:r>
          </w:p>
        </w:tc>
        <w:tc>
          <w:tcPr>
            <w:tcW w:w="6436" w:type="dxa"/>
          </w:tcPr>
          <w:p w14:paraId="01D5FE6E" w14:textId="63E1A244" w:rsidR="00707D34" w:rsidRPr="006070EA" w:rsidRDefault="00707D34" w:rsidP="00707D34">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ZPF I. třídy ochrany</w:t>
            </w:r>
          </w:p>
        </w:tc>
      </w:tr>
      <w:tr w:rsidR="00707D34" w:rsidRPr="006070EA" w14:paraId="2FD45228" w14:textId="77777777" w:rsidTr="00071C0F">
        <w:trPr>
          <w:cantSplit/>
        </w:trPr>
        <w:tc>
          <w:tcPr>
            <w:tcW w:w="2634" w:type="dxa"/>
          </w:tcPr>
          <w:p w14:paraId="38F43E98" w14:textId="77777777" w:rsidR="00707D34" w:rsidRPr="006070EA" w:rsidRDefault="00707D34" w:rsidP="00707D34">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hlavní důvody vymezení plochy</w:t>
            </w:r>
          </w:p>
        </w:tc>
        <w:tc>
          <w:tcPr>
            <w:tcW w:w="6436" w:type="dxa"/>
          </w:tcPr>
          <w:p w14:paraId="40A9AD09" w14:textId="6378EE57" w:rsidR="00707D34" w:rsidRPr="006070EA" w:rsidRDefault="00707D34" w:rsidP="00707D34">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Zajištění funkčnosti vymezené skladebné části ÚSES – lokální biocentrum L</w:t>
            </w:r>
            <w:r w:rsidR="00071C0F" w:rsidRPr="006070EA">
              <w:rPr>
                <w:rFonts w:asciiTheme="majorHAnsi" w:eastAsia="Times New Roman" w:hAnsiTheme="majorHAnsi" w:cstheme="majorHAnsi"/>
                <w:bCs/>
                <w:iCs/>
                <w:sz w:val="18"/>
                <w:szCs w:val="20"/>
                <w:lang w:eastAsia="ar-SA"/>
              </w:rPr>
              <w:t>B</w:t>
            </w:r>
            <w:r w:rsidRPr="006070EA">
              <w:rPr>
                <w:rFonts w:asciiTheme="majorHAnsi" w:eastAsia="Times New Roman" w:hAnsiTheme="majorHAnsi" w:cstheme="majorHAnsi"/>
                <w:bCs/>
                <w:iCs/>
                <w:sz w:val="18"/>
                <w:szCs w:val="20"/>
                <w:lang w:eastAsia="ar-SA"/>
              </w:rPr>
              <w:t>C</w:t>
            </w:r>
            <w:r w:rsidR="00071C0F" w:rsidRPr="006070EA">
              <w:rPr>
                <w:rFonts w:asciiTheme="majorHAnsi" w:eastAsia="Times New Roman" w:hAnsiTheme="majorHAnsi" w:cstheme="majorHAnsi"/>
                <w:bCs/>
                <w:iCs/>
                <w:sz w:val="18"/>
                <w:szCs w:val="20"/>
                <w:lang w:eastAsia="ar-SA"/>
              </w:rPr>
              <w:t>.</w:t>
            </w:r>
            <w:r w:rsidRPr="006070EA">
              <w:rPr>
                <w:rFonts w:asciiTheme="majorHAnsi" w:eastAsia="Times New Roman" w:hAnsiTheme="majorHAnsi" w:cstheme="majorHAnsi"/>
                <w:bCs/>
                <w:iCs/>
                <w:sz w:val="18"/>
                <w:szCs w:val="20"/>
                <w:lang w:eastAsia="ar-SA"/>
              </w:rPr>
              <w:t>2 Na spraši. Vymezení ÚSES, resp. zajištění funkčnosti a provázanosti systému v rozsahu nefunkčních úseků je ve veřejném zájmu a zajišťuje rovněž nezbytnou minimální míru ekologické stability území.</w:t>
            </w:r>
          </w:p>
          <w:p w14:paraId="485FF8DA" w14:textId="77777777" w:rsidR="00707D34" w:rsidRPr="006070EA" w:rsidRDefault="00707D34" w:rsidP="00707D34">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Plocha je vymezena podél Hronětického náhonu. Plocha je vymezena v zemědělsky intenzivně využívané krajině. </w:t>
            </w:r>
          </w:p>
          <w:p w14:paraId="0E034E02" w14:textId="24DAA115" w:rsidR="00707D34" w:rsidRPr="006070EA" w:rsidRDefault="00707D34" w:rsidP="00707D34">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Síť zemědělských účelových komunikací a polních cest není vymezením plochy dotčena. Organizace půdních bloků není narušena.</w:t>
            </w:r>
          </w:p>
        </w:tc>
      </w:tr>
    </w:tbl>
    <w:p w14:paraId="3723511E" w14:textId="77777777" w:rsidR="002E7AA2" w:rsidRPr="006070EA" w:rsidRDefault="00365744" w:rsidP="003A4B1E">
      <w:pPr>
        <w:pStyle w:val="Odstavecseseznamem"/>
        <w:keepNext/>
        <w:numPr>
          <w:ilvl w:val="2"/>
          <w:numId w:val="30"/>
        </w:numPr>
        <w:spacing w:before="160" w:after="120" w:line="240" w:lineRule="auto"/>
        <w:ind w:left="709" w:hanging="709"/>
        <w:contextualSpacing w:val="0"/>
        <w:outlineLvl w:val="2"/>
        <w:rPr>
          <w:rFonts w:asciiTheme="majorHAnsi" w:hAnsiTheme="majorHAnsi" w:cstheme="majorHAnsi"/>
          <w:b/>
        </w:rPr>
      </w:pPr>
      <w:bookmarkStart w:id="394" w:name="_Toc204678207"/>
      <w:r w:rsidRPr="006070EA">
        <w:rPr>
          <w:rFonts w:asciiTheme="majorHAnsi" w:hAnsiTheme="majorHAnsi" w:cstheme="majorHAnsi"/>
          <w:b/>
        </w:rPr>
        <w:t>Odůvodnění vymezení ú</w:t>
      </w:r>
      <w:r w:rsidR="002E7AA2" w:rsidRPr="006070EA">
        <w:rPr>
          <w:rFonts w:asciiTheme="majorHAnsi" w:hAnsiTheme="majorHAnsi" w:cstheme="majorHAnsi"/>
          <w:b/>
        </w:rPr>
        <w:t>zemní</w:t>
      </w:r>
      <w:r w:rsidRPr="006070EA">
        <w:rPr>
          <w:rFonts w:asciiTheme="majorHAnsi" w:hAnsiTheme="majorHAnsi" w:cstheme="majorHAnsi"/>
          <w:b/>
        </w:rPr>
        <w:t>ho</w:t>
      </w:r>
      <w:r w:rsidR="002E7AA2" w:rsidRPr="006070EA">
        <w:rPr>
          <w:rFonts w:asciiTheme="majorHAnsi" w:hAnsiTheme="majorHAnsi" w:cstheme="majorHAnsi"/>
          <w:b/>
        </w:rPr>
        <w:t xml:space="preserve"> systém</w:t>
      </w:r>
      <w:r w:rsidRPr="006070EA">
        <w:rPr>
          <w:rFonts w:asciiTheme="majorHAnsi" w:hAnsiTheme="majorHAnsi" w:cstheme="majorHAnsi"/>
          <w:b/>
        </w:rPr>
        <w:t>u</w:t>
      </w:r>
      <w:r w:rsidR="002E7AA2" w:rsidRPr="006070EA">
        <w:rPr>
          <w:rFonts w:asciiTheme="majorHAnsi" w:hAnsiTheme="majorHAnsi" w:cstheme="majorHAnsi"/>
          <w:b/>
        </w:rPr>
        <w:t xml:space="preserve"> ekologické stability</w:t>
      </w:r>
      <w:bookmarkEnd w:id="394"/>
    </w:p>
    <w:p w14:paraId="60EBAFA2" w14:textId="6F8C3907" w:rsidR="005A5525" w:rsidRPr="006070EA" w:rsidRDefault="005A5525" w:rsidP="009E07E1">
      <w:pPr>
        <w:pStyle w:val="Atext"/>
        <w:keepNext/>
        <w:ind w:firstLine="0"/>
        <w:jc w:val="right"/>
        <w:rPr>
          <w:rFonts w:asciiTheme="majorHAnsi" w:hAnsiTheme="majorHAnsi" w:cstheme="majorHAnsi"/>
          <w:i/>
          <w:snapToGrid w:val="0"/>
          <w:u w:val="single"/>
        </w:rPr>
      </w:pPr>
      <w:r w:rsidRPr="006070EA">
        <w:rPr>
          <w:rFonts w:asciiTheme="majorHAnsi" w:hAnsiTheme="majorHAnsi" w:cstheme="majorHAnsi"/>
          <w:i/>
          <w:snapToGrid w:val="0"/>
          <w:u w:val="single"/>
        </w:rPr>
        <w:t xml:space="preserve">Odůvodnění odst. </w:t>
      </w:r>
      <w:r w:rsidRPr="006070EA">
        <w:rPr>
          <w:rFonts w:asciiTheme="majorHAnsi" w:hAnsiTheme="majorHAnsi" w:cstheme="majorHAnsi"/>
          <w:b/>
          <w:i/>
          <w:snapToGrid w:val="0"/>
          <w:u w:val="single"/>
        </w:rPr>
        <w:t>(</w:t>
      </w:r>
      <w:r w:rsidR="0021590A">
        <w:rPr>
          <w:rFonts w:asciiTheme="majorHAnsi" w:hAnsiTheme="majorHAnsi" w:cstheme="majorHAnsi"/>
          <w:b/>
          <w:i/>
          <w:snapToGrid w:val="0"/>
          <w:u w:val="single"/>
        </w:rPr>
        <w:t>49</w:t>
      </w:r>
      <w:r w:rsidRPr="006070EA">
        <w:rPr>
          <w:rFonts w:asciiTheme="majorHAnsi" w:hAnsiTheme="majorHAnsi" w:cstheme="majorHAnsi"/>
          <w:b/>
          <w:i/>
          <w:snapToGrid w:val="0"/>
          <w:u w:val="single"/>
        </w:rPr>
        <w:t xml:space="preserve">) </w:t>
      </w:r>
      <w:r w:rsidRPr="006070EA">
        <w:rPr>
          <w:rFonts w:asciiTheme="majorHAnsi" w:hAnsiTheme="majorHAnsi" w:cstheme="majorHAnsi"/>
          <w:i/>
          <w:snapToGrid w:val="0"/>
          <w:u w:val="single"/>
        </w:rPr>
        <w:t>výrokové části</w:t>
      </w:r>
    </w:p>
    <w:p w14:paraId="4CBDBB7C" w14:textId="77777777" w:rsidR="005A5525" w:rsidRPr="006070EA" w:rsidRDefault="005A5525" w:rsidP="009E07E1">
      <w:pPr>
        <w:spacing w:before="60" w:after="60" w:line="240" w:lineRule="auto"/>
        <w:ind w:firstLine="709"/>
        <w:jc w:val="both"/>
        <w:rPr>
          <w:rFonts w:asciiTheme="majorHAnsi" w:eastAsia="Calibri" w:hAnsiTheme="majorHAnsi" w:cstheme="majorHAnsi"/>
          <w:sz w:val="18"/>
          <w:szCs w:val="18"/>
        </w:rPr>
      </w:pPr>
      <w:r w:rsidRPr="006070EA">
        <w:rPr>
          <w:rFonts w:asciiTheme="majorHAnsi" w:eastAsia="Calibri" w:hAnsiTheme="majorHAnsi" w:cstheme="majorHAnsi"/>
          <w:sz w:val="18"/>
          <w:szCs w:val="18"/>
        </w:rPr>
        <w:t xml:space="preserve">Podle § 4 zákona o ochraně přírody a krajiny zajišťuje vymezení systému ekologické stability uchování a reprodukci přírodního bohatství, příznivého působení na okolní méně stabilní části krajiny a na vytvoření základů pro mnohostranné využívání krajiny. Ochrana ÚSES je povinností všech vlastníků a uživatelů pozemků tvořících jeho základ. Jeho vytváření je veřejným zájmem, na kterém se podílejí vlastníci pozemků, obce i stát. </w:t>
      </w:r>
    </w:p>
    <w:p w14:paraId="67D383FD" w14:textId="58C4E7DB" w:rsidR="0007201D" w:rsidRPr="006070EA" w:rsidRDefault="0007201D" w:rsidP="0007201D">
      <w:pPr>
        <w:spacing w:before="120" w:after="120" w:line="240" w:lineRule="auto"/>
        <w:ind w:firstLine="708"/>
        <w:jc w:val="both"/>
        <w:rPr>
          <w:rFonts w:asciiTheme="majorHAnsi" w:eastAsia="Calibri" w:hAnsiTheme="majorHAnsi" w:cstheme="majorHAnsi"/>
          <w:sz w:val="18"/>
          <w:szCs w:val="18"/>
        </w:rPr>
      </w:pPr>
      <w:r w:rsidRPr="006070EA">
        <w:rPr>
          <w:rFonts w:asciiTheme="majorHAnsi" w:eastAsia="Calibri" w:hAnsiTheme="majorHAnsi" w:cstheme="majorHAnsi"/>
          <w:sz w:val="18"/>
          <w:szCs w:val="18"/>
        </w:rPr>
        <w:t xml:space="preserve">V ÚP Kostomlaty nad Labem je ÚSES vymezen na základě těchto podkladů: </w:t>
      </w:r>
    </w:p>
    <w:p w14:paraId="387B68B0" w14:textId="77777777" w:rsidR="0007201D" w:rsidRPr="006070EA" w:rsidRDefault="0007201D" w:rsidP="0007201D">
      <w:pPr>
        <w:pStyle w:val="Odstavecseseznamem"/>
        <w:numPr>
          <w:ilvl w:val="0"/>
          <w:numId w:val="4"/>
        </w:numPr>
        <w:spacing w:before="40" w:after="40" w:line="240" w:lineRule="auto"/>
        <w:contextualSpacing w:val="0"/>
        <w:jc w:val="both"/>
        <w:rPr>
          <w:rFonts w:asciiTheme="majorHAnsi" w:hAnsiTheme="majorHAnsi" w:cstheme="majorHAnsi"/>
          <w:sz w:val="18"/>
        </w:rPr>
      </w:pPr>
      <w:r w:rsidRPr="006070EA">
        <w:rPr>
          <w:rFonts w:asciiTheme="majorHAnsi" w:hAnsiTheme="majorHAnsi" w:cstheme="majorHAnsi"/>
          <w:sz w:val="18"/>
        </w:rPr>
        <w:t>požadavky platných právních předpisů, zejména zákona č. 183/2006 Sb. a č. 114/1992 Sb. (v platném znění)</w:t>
      </w:r>
    </w:p>
    <w:p w14:paraId="716BF15D" w14:textId="11BC38CF" w:rsidR="0007201D" w:rsidRPr="006070EA" w:rsidRDefault="0007201D" w:rsidP="0007201D">
      <w:pPr>
        <w:pStyle w:val="Odstavecseseznamem"/>
        <w:numPr>
          <w:ilvl w:val="0"/>
          <w:numId w:val="4"/>
        </w:numPr>
        <w:spacing w:before="40" w:after="40" w:line="240" w:lineRule="auto"/>
        <w:contextualSpacing w:val="0"/>
        <w:jc w:val="both"/>
        <w:rPr>
          <w:rFonts w:asciiTheme="majorHAnsi" w:hAnsiTheme="majorHAnsi" w:cstheme="majorHAnsi"/>
          <w:sz w:val="18"/>
        </w:rPr>
      </w:pPr>
      <w:r w:rsidRPr="006070EA">
        <w:rPr>
          <w:rFonts w:asciiTheme="majorHAnsi" w:hAnsiTheme="majorHAnsi" w:cstheme="majorHAnsi"/>
          <w:sz w:val="18"/>
        </w:rPr>
        <w:t xml:space="preserve">požadavky na rozvoj města obsažené v PÚR ČR a v ZÚR SK (v platném znění) a ve schváleném Zadání ÚP </w:t>
      </w:r>
      <w:r w:rsidR="00937BDA" w:rsidRPr="006070EA">
        <w:rPr>
          <w:rFonts w:asciiTheme="majorHAnsi" w:hAnsiTheme="majorHAnsi" w:cstheme="majorHAnsi"/>
          <w:sz w:val="18"/>
        </w:rPr>
        <w:t>Kostomlaty nad Labem</w:t>
      </w:r>
    </w:p>
    <w:p w14:paraId="012E4725" w14:textId="77777777" w:rsidR="0007201D" w:rsidRPr="006070EA" w:rsidRDefault="0007201D" w:rsidP="0007201D">
      <w:pPr>
        <w:pStyle w:val="Odstavecseseznamem"/>
        <w:numPr>
          <w:ilvl w:val="0"/>
          <w:numId w:val="4"/>
        </w:numPr>
        <w:spacing w:before="40" w:after="40" w:line="240" w:lineRule="auto"/>
        <w:contextualSpacing w:val="0"/>
        <w:jc w:val="both"/>
        <w:rPr>
          <w:rFonts w:asciiTheme="majorHAnsi" w:hAnsiTheme="majorHAnsi" w:cstheme="majorHAnsi"/>
          <w:sz w:val="18"/>
        </w:rPr>
      </w:pPr>
      <w:r w:rsidRPr="006070EA">
        <w:rPr>
          <w:rFonts w:asciiTheme="majorHAnsi" w:hAnsiTheme="majorHAnsi" w:cstheme="majorHAnsi"/>
          <w:sz w:val="18"/>
          <w:szCs w:val="18"/>
        </w:rPr>
        <w:t>územně plánovací dokumentace sousedních obcí pro účely koordinace návrhu ÚSES (viz kapitola 2.4.)</w:t>
      </w:r>
    </w:p>
    <w:p w14:paraId="676BFFF3" w14:textId="77777777" w:rsidR="0007201D" w:rsidRPr="006070EA" w:rsidRDefault="0007201D" w:rsidP="0007201D">
      <w:pPr>
        <w:pStyle w:val="Odstavecseseznamem"/>
        <w:numPr>
          <w:ilvl w:val="0"/>
          <w:numId w:val="4"/>
        </w:numPr>
        <w:spacing w:before="40" w:after="40" w:line="240" w:lineRule="auto"/>
        <w:contextualSpacing w:val="0"/>
        <w:jc w:val="both"/>
        <w:rPr>
          <w:rFonts w:asciiTheme="majorHAnsi" w:hAnsiTheme="majorHAnsi" w:cstheme="majorHAnsi"/>
          <w:sz w:val="18"/>
        </w:rPr>
      </w:pPr>
      <w:r w:rsidRPr="006070EA">
        <w:rPr>
          <w:rFonts w:asciiTheme="majorHAnsi" w:hAnsiTheme="majorHAnsi" w:cstheme="majorHAnsi"/>
          <w:sz w:val="18"/>
          <w:szCs w:val="18"/>
        </w:rPr>
        <w:t>Metodické postupy projektování lokálního ÚSES, Petr Maděra, Eliška Zimová (eds.); Ústav lesnické botaniky, dendrologie a typologie LDF MZLU v Brně a Löw a spol., Brno</w:t>
      </w:r>
    </w:p>
    <w:p w14:paraId="3546FF3F" w14:textId="77777777" w:rsidR="0007201D" w:rsidRPr="006070EA" w:rsidRDefault="0007201D" w:rsidP="0007201D">
      <w:pPr>
        <w:pStyle w:val="Odstavecseseznamem"/>
        <w:numPr>
          <w:ilvl w:val="0"/>
          <w:numId w:val="4"/>
        </w:numPr>
        <w:spacing w:before="40" w:after="40" w:line="240" w:lineRule="auto"/>
        <w:contextualSpacing w:val="0"/>
        <w:jc w:val="both"/>
        <w:rPr>
          <w:rFonts w:asciiTheme="majorHAnsi" w:hAnsiTheme="majorHAnsi" w:cstheme="majorHAnsi"/>
          <w:sz w:val="18"/>
        </w:rPr>
      </w:pPr>
      <w:r w:rsidRPr="006070EA">
        <w:rPr>
          <w:rFonts w:asciiTheme="majorHAnsi" w:hAnsiTheme="majorHAnsi" w:cstheme="majorHAnsi"/>
          <w:sz w:val="18"/>
          <w:szCs w:val="18"/>
        </w:rPr>
        <w:t>Rukověť projektanta ÚSES a sdělení Ministerstva pro místní rozvoj ČR č.j. 3044/2013 / 2013-81 (2013)</w:t>
      </w:r>
    </w:p>
    <w:p w14:paraId="7FBADD63" w14:textId="1F3A31CF" w:rsidR="0007201D" w:rsidRPr="006070EA" w:rsidRDefault="0007201D" w:rsidP="0007201D">
      <w:pPr>
        <w:pStyle w:val="Odstavecseseznamem"/>
        <w:numPr>
          <w:ilvl w:val="0"/>
          <w:numId w:val="4"/>
        </w:numPr>
        <w:spacing w:before="40" w:after="40" w:line="240" w:lineRule="auto"/>
        <w:contextualSpacing w:val="0"/>
        <w:jc w:val="both"/>
        <w:rPr>
          <w:rFonts w:asciiTheme="majorHAnsi" w:hAnsiTheme="majorHAnsi" w:cstheme="majorHAnsi"/>
          <w:sz w:val="18"/>
        </w:rPr>
      </w:pPr>
      <w:r w:rsidRPr="006070EA">
        <w:rPr>
          <w:rFonts w:asciiTheme="majorHAnsi" w:hAnsiTheme="majorHAnsi" w:cstheme="majorHAnsi"/>
          <w:sz w:val="18"/>
          <w:szCs w:val="18"/>
        </w:rPr>
        <w:t>Metodika vymezování územního sytému ekologické stability (L. Bínová, M. Culek, J. Glos, J. Kocián, D. Lacina, M.</w:t>
      </w:r>
      <w:r w:rsidR="005922F8">
        <w:rPr>
          <w:rFonts w:asciiTheme="majorHAnsi" w:hAnsiTheme="majorHAnsi" w:cstheme="majorHAnsi"/>
          <w:sz w:val="18"/>
          <w:szCs w:val="18"/>
        </w:rPr>
        <w:t> </w:t>
      </w:r>
      <w:r w:rsidRPr="006070EA">
        <w:rPr>
          <w:rFonts w:asciiTheme="majorHAnsi" w:hAnsiTheme="majorHAnsi" w:cstheme="majorHAnsi"/>
          <w:sz w:val="18"/>
          <w:szCs w:val="18"/>
        </w:rPr>
        <w:t>Novotný, E. Zimová, 2017)</w:t>
      </w:r>
    </w:p>
    <w:p w14:paraId="3ECC2670" w14:textId="7CDC0D99" w:rsidR="0007201D" w:rsidRPr="006070EA" w:rsidRDefault="0007201D" w:rsidP="0007201D">
      <w:pPr>
        <w:pStyle w:val="Odstavecseseznamem"/>
        <w:numPr>
          <w:ilvl w:val="0"/>
          <w:numId w:val="4"/>
        </w:numPr>
        <w:spacing w:before="40" w:after="40" w:line="240" w:lineRule="auto"/>
        <w:contextualSpacing w:val="0"/>
        <w:jc w:val="both"/>
        <w:rPr>
          <w:rFonts w:asciiTheme="majorHAnsi" w:hAnsiTheme="majorHAnsi" w:cstheme="majorHAnsi"/>
          <w:sz w:val="18"/>
        </w:rPr>
      </w:pPr>
      <w:r w:rsidRPr="006070EA">
        <w:rPr>
          <w:rFonts w:asciiTheme="majorHAnsi" w:hAnsiTheme="majorHAnsi" w:cstheme="majorHAnsi"/>
          <w:sz w:val="18"/>
        </w:rPr>
        <w:t>terénní průzkum zpracovatele ÚP</w:t>
      </w:r>
    </w:p>
    <w:p w14:paraId="2102B3D3" w14:textId="0833FAEB" w:rsidR="00937BDA" w:rsidRPr="006070EA" w:rsidRDefault="00937BDA" w:rsidP="0007201D">
      <w:pPr>
        <w:pStyle w:val="Odstavecseseznamem"/>
        <w:numPr>
          <w:ilvl w:val="0"/>
          <w:numId w:val="4"/>
        </w:numPr>
        <w:spacing w:before="40" w:after="40" w:line="240" w:lineRule="auto"/>
        <w:contextualSpacing w:val="0"/>
        <w:jc w:val="both"/>
        <w:rPr>
          <w:rFonts w:asciiTheme="majorHAnsi" w:hAnsiTheme="majorHAnsi" w:cstheme="majorHAnsi"/>
          <w:sz w:val="18"/>
        </w:rPr>
      </w:pPr>
      <w:r w:rsidRPr="006070EA">
        <w:rPr>
          <w:rFonts w:asciiTheme="majorHAnsi" w:hAnsiTheme="majorHAnsi" w:cstheme="majorHAnsi"/>
          <w:sz w:val="18"/>
        </w:rPr>
        <w:t>ÚPO Kostomlaty nad Labem (2003)</w:t>
      </w:r>
    </w:p>
    <w:p w14:paraId="406F64CF" w14:textId="55998E1E" w:rsidR="005A5525" w:rsidRPr="006070EA" w:rsidRDefault="005A5525" w:rsidP="00937BDA">
      <w:pPr>
        <w:pStyle w:val="Atext"/>
        <w:rPr>
          <w:rFonts w:asciiTheme="majorHAnsi" w:hAnsiTheme="majorHAnsi" w:cstheme="majorHAnsi"/>
        </w:rPr>
      </w:pPr>
      <w:r w:rsidRPr="006070EA">
        <w:rPr>
          <w:rFonts w:asciiTheme="majorHAnsi" w:hAnsiTheme="majorHAnsi" w:cstheme="majorHAnsi"/>
          <w:lang w:eastAsia="cs-CZ"/>
        </w:rPr>
        <w:t>Jednotlivé skladebné části byly v souladu s principy projektování ÚSES a s ohledem na stav v území upřesněny a</w:t>
      </w:r>
      <w:r w:rsidR="00A705AB" w:rsidRPr="006070EA">
        <w:rPr>
          <w:rFonts w:asciiTheme="majorHAnsi" w:hAnsiTheme="majorHAnsi" w:cstheme="majorHAnsi"/>
          <w:lang w:eastAsia="cs-CZ"/>
        </w:rPr>
        <w:t> </w:t>
      </w:r>
      <w:r w:rsidRPr="006070EA">
        <w:rPr>
          <w:rFonts w:asciiTheme="majorHAnsi" w:hAnsiTheme="majorHAnsi" w:cstheme="majorHAnsi"/>
          <w:lang w:eastAsia="cs-CZ"/>
        </w:rPr>
        <w:t xml:space="preserve">doplněny v měřítku územního plánu tak, aby co nejvíce využívaly stávajících fragmentů ekologicky stabilnějších ploch v krajině. </w:t>
      </w:r>
      <w:r w:rsidRPr="006070EA">
        <w:rPr>
          <w:rFonts w:asciiTheme="majorHAnsi" w:hAnsiTheme="majorHAnsi" w:cstheme="majorHAnsi"/>
        </w:rPr>
        <w:t xml:space="preserve">Většina skladebných částí ÚSES ve stávajícím vymezení má vyhovující prostorové parametry a zajištění jejich funkčnosti spočívá ve vhodném způsobu hospodaření (na zemědělské půdě obnova druhové skladby luk v údolních nivách, obnova a doplnění břehových porostů vodotečí a rozptýlené zeleně). </w:t>
      </w:r>
    </w:p>
    <w:p w14:paraId="0C7B40C1" w14:textId="43E80226" w:rsidR="00850DAC" w:rsidRPr="006070EA" w:rsidRDefault="00850DAC" w:rsidP="00937BDA">
      <w:pPr>
        <w:spacing w:before="120" w:after="120" w:line="240" w:lineRule="auto"/>
        <w:ind w:firstLine="709"/>
        <w:jc w:val="both"/>
        <w:rPr>
          <w:rFonts w:asciiTheme="majorHAnsi" w:hAnsiTheme="majorHAnsi" w:cstheme="majorHAnsi"/>
          <w:sz w:val="18"/>
        </w:rPr>
      </w:pPr>
      <w:r w:rsidRPr="006070EA">
        <w:rPr>
          <w:rFonts w:asciiTheme="majorHAnsi" w:hAnsiTheme="majorHAnsi" w:cstheme="majorHAnsi"/>
          <w:sz w:val="18"/>
        </w:rPr>
        <w:t>Pro zachování vysoké a trvalé ekologické stability je nutné vymezení ekostabilizačních prvků a jejich vzájemné propojení. Kostra ekologické stability je navržena na základě srovnání potenciálního a aktuálního přírodního stavu ekosystémů v krajině. Při návrhu ÚSES jsou důležité směry migračních tras (vodní toky, údolí, hřbety apod.), reprezentativnost stanoviště, zastoupení ekologicky významných prvků, předpokládané antropogenní zásahy do krajiny, návaznost na sousední katastry a</w:t>
      </w:r>
      <w:r w:rsidR="00071C0F" w:rsidRPr="006070EA">
        <w:rPr>
          <w:rFonts w:asciiTheme="majorHAnsi" w:hAnsiTheme="majorHAnsi" w:cstheme="majorHAnsi"/>
          <w:sz w:val="18"/>
        </w:rPr>
        <w:t> </w:t>
      </w:r>
      <w:r w:rsidRPr="006070EA">
        <w:rPr>
          <w:rFonts w:asciiTheme="majorHAnsi" w:hAnsiTheme="majorHAnsi" w:cstheme="majorHAnsi"/>
          <w:sz w:val="18"/>
        </w:rPr>
        <w:t xml:space="preserve">vzájemné provázání návrhů ÚSES. Pro skladebné prvky ÚSES jsou vymezovány zbytky přírodních a přirozených společenstev </w:t>
      </w:r>
      <w:r w:rsidRPr="006070EA">
        <w:rPr>
          <w:rFonts w:asciiTheme="majorHAnsi" w:hAnsiTheme="majorHAnsi" w:cstheme="majorHAnsi"/>
          <w:sz w:val="18"/>
        </w:rPr>
        <w:lastRenderedPageBreak/>
        <w:t>s nejvyšší ekologickou stabilitou. Tyto segmenty mají příznivý vliv na okolní méně stabilní části krajiny a jsou nezbytné pro ochranu druhové a genové diverzity.</w:t>
      </w:r>
    </w:p>
    <w:p w14:paraId="6F6FEC19" w14:textId="3F597211" w:rsidR="00850DAC" w:rsidRPr="006070EA" w:rsidRDefault="00850DAC" w:rsidP="00937BDA">
      <w:pPr>
        <w:spacing w:before="120" w:after="120" w:line="240" w:lineRule="auto"/>
        <w:ind w:firstLine="709"/>
        <w:jc w:val="both"/>
        <w:rPr>
          <w:rFonts w:asciiTheme="majorHAnsi" w:hAnsiTheme="majorHAnsi" w:cstheme="majorHAnsi"/>
          <w:sz w:val="18"/>
        </w:rPr>
      </w:pPr>
      <w:r w:rsidRPr="006070EA">
        <w:rPr>
          <w:rFonts w:asciiTheme="majorHAnsi" w:hAnsiTheme="majorHAnsi" w:cstheme="majorHAnsi"/>
          <w:sz w:val="18"/>
        </w:rPr>
        <w:t>Funkční, částečně funkční i nově založená biocentra jsou v územním plánu vymezena jako plochy přírodní</w:t>
      </w:r>
      <w:r w:rsidR="00071C0F" w:rsidRPr="006070EA">
        <w:rPr>
          <w:rFonts w:asciiTheme="majorHAnsi" w:hAnsiTheme="majorHAnsi" w:cstheme="majorHAnsi"/>
          <w:sz w:val="18"/>
        </w:rPr>
        <w:t xml:space="preserve"> všeobecné</w:t>
      </w:r>
      <w:r w:rsidRPr="006070EA">
        <w:rPr>
          <w:rFonts w:asciiTheme="majorHAnsi" w:hAnsiTheme="majorHAnsi" w:cstheme="majorHAnsi"/>
          <w:sz w:val="18"/>
        </w:rPr>
        <w:t xml:space="preserve"> (N</w:t>
      </w:r>
      <w:r w:rsidR="00071C0F" w:rsidRPr="006070EA">
        <w:rPr>
          <w:rFonts w:asciiTheme="majorHAnsi" w:hAnsiTheme="majorHAnsi" w:cstheme="majorHAnsi"/>
          <w:sz w:val="18"/>
        </w:rPr>
        <w:t>U</w:t>
      </w:r>
      <w:r w:rsidRPr="006070EA">
        <w:rPr>
          <w:rFonts w:asciiTheme="majorHAnsi" w:hAnsiTheme="majorHAnsi" w:cstheme="majorHAnsi"/>
          <w:sz w:val="18"/>
        </w:rPr>
        <w:t xml:space="preserve">) s jednoznačnou převahou funkcí zajišťujících a podporujících uchování a reprodukci přírodního bohatství a příznivé působení na okolní méně stabilní části krajiny. Biokoridory jsou vymezeny tzv. překryvnou funkcí, neboť kromě výše uvedených funkcí plní i množství funkcí ostatních, převážně jsou vymezeny na plochách s rozdílným způsobem využití </w:t>
      </w:r>
      <w:r w:rsidRPr="006070EA">
        <w:rPr>
          <w:rFonts w:asciiTheme="majorHAnsi" w:hAnsiTheme="majorHAnsi" w:cstheme="majorHAnsi"/>
          <w:i/>
          <w:sz w:val="18"/>
        </w:rPr>
        <w:t xml:space="preserve">smíšených nezastavěného území </w:t>
      </w:r>
      <w:r w:rsidR="00071C0F" w:rsidRPr="006070EA">
        <w:rPr>
          <w:rFonts w:asciiTheme="majorHAnsi" w:hAnsiTheme="majorHAnsi" w:cstheme="majorHAnsi"/>
          <w:i/>
          <w:sz w:val="18"/>
        </w:rPr>
        <w:t>–</w:t>
      </w:r>
      <w:r w:rsidRPr="006070EA">
        <w:rPr>
          <w:rFonts w:asciiTheme="majorHAnsi" w:hAnsiTheme="majorHAnsi" w:cstheme="majorHAnsi"/>
          <w:i/>
          <w:sz w:val="18"/>
        </w:rPr>
        <w:t xml:space="preserve"> </w:t>
      </w:r>
      <w:r w:rsidR="00071C0F" w:rsidRPr="006070EA">
        <w:rPr>
          <w:rFonts w:asciiTheme="majorHAnsi" w:hAnsiTheme="majorHAnsi" w:cstheme="majorHAnsi"/>
          <w:i/>
          <w:sz w:val="18"/>
        </w:rPr>
        <w:t>zemědělství extenzivní</w:t>
      </w:r>
      <w:r w:rsidR="00A705AB" w:rsidRPr="006070EA">
        <w:rPr>
          <w:rFonts w:asciiTheme="majorHAnsi" w:hAnsiTheme="majorHAnsi" w:cstheme="majorHAnsi"/>
          <w:i/>
          <w:sz w:val="18"/>
        </w:rPr>
        <w:t>, přírodní</w:t>
      </w:r>
      <w:r w:rsidR="00071C0F" w:rsidRPr="006070EA">
        <w:rPr>
          <w:rFonts w:asciiTheme="majorHAnsi" w:hAnsiTheme="majorHAnsi" w:cstheme="majorHAnsi"/>
          <w:i/>
          <w:sz w:val="18"/>
        </w:rPr>
        <w:t xml:space="preserve"> priority</w:t>
      </w:r>
      <w:r w:rsidR="00A705AB" w:rsidRPr="006070EA">
        <w:rPr>
          <w:rFonts w:asciiTheme="majorHAnsi" w:hAnsiTheme="majorHAnsi" w:cstheme="majorHAnsi"/>
          <w:sz w:val="18"/>
        </w:rPr>
        <w:t xml:space="preserve"> (</w:t>
      </w:r>
      <w:r w:rsidR="00071C0F" w:rsidRPr="006070EA">
        <w:rPr>
          <w:rFonts w:asciiTheme="majorHAnsi" w:hAnsiTheme="majorHAnsi" w:cstheme="majorHAnsi"/>
          <w:sz w:val="18"/>
        </w:rPr>
        <w:t>MU.zp</w:t>
      </w:r>
      <w:r w:rsidR="00A705AB" w:rsidRPr="006070EA">
        <w:rPr>
          <w:rFonts w:asciiTheme="majorHAnsi" w:hAnsiTheme="majorHAnsi" w:cstheme="majorHAnsi"/>
          <w:sz w:val="18"/>
        </w:rPr>
        <w:t xml:space="preserve">) a </w:t>
      </w:r>
      <w:r w:rsidR="00A705AB" w:rsidRPr="006070EA">
        <w:rPr>
          <w:rFonts w:asciiTheme="majorHAnsi" w:hAnsiTheme="majorHAnsi" w:cstheme="majorHAnsi"/>
          <w:i/>
          <w:sz w:val="18"/>
        </w:rPr>
        <w:t>lesních</w:t>
      </w:r>
      <w:r w:rsidR="00A705AB" w:rsidRPr="006070EA">
        <w:rPr>
          <w:rFonts w:asciiTheme="majorHAnsi" w:hAnsiTheme="majorHAnsi" w:cstheme="majorHAnsi"/>
          <w:sz w:val="18"/>
        </w:rPr>
        <w:t xml:space="preserve"> </w:t>
      </w:r>
      <w:r w:rsidR="00071C0F" w:rsidRPr="006070EA">
        <w:rPr>
          <w:rFonts w:asciiTheme="majorHAnsi" w:hAnsiTheme="majorHAnsi" w:cstheme="majorHAnsi"/>
          <w:i/>
          <w:iCs/>
          <w:sz w:val="18"/>
        </w:rPr>
        <w:t>všeobecných</w:t>
      </w:r>
      <w:r w:rsidR="00071C0F" w:rsidRPr="006070EA">
        <w:rPr>
          <w:rFonts w:asciiTheme="majorHAnsi" w:hAnsiTheme="majorHAnsi" w:cstheme="majorHAnsi"/>
          <w:sz w:val="18"/>
        </w:rPr>
        <w:t xml:space="preserve"> </w:t>
      </w:r>
      <w:r w:rsidR="00A705AB" w:rsidRPr="006070EA">
        <w:rPr>
          <w:rFonts w:asciiTheme="majorHAnsi" w:hAnsiTheme="majorHAnsi" w:cstheme="majorHAnsi"/>
          <w:sz w:val="18"/>
        </w:rPr>
        <w:t>(</w:t>
      </w:r>
      <w:r w:rsidR="00071C0F" w:rsidRPr="006070EA">
        <w:rPr>
          <w:rFonts w:asciiTheme="majorHAnsi" w:hAnsiTheme="majorHAnsi" w:cstheme="majorHAnsi"/>
          <w:sz w:val="18"/>
        </w:rPr>
        <w:t>LU</w:t>
      </w:r>
      <w:r w:rsidR="00A705AB" w:rsidRPr="006070EA">
        <w:rPr>
          <w:rFonts w:asciiTheme="majorHAnsi" w:hAnsiTheme="majorHAnsi" w:cstheme="majorHAnsi"/>
          <w:sz w:val="18"/>
        </w:rPr>
        <w:t xml:space="preserve">), příp. v zastavěném území na plochách </w:t>
      </w:r>
      <w:r w:rsidR="00A705AB" w:rsidRPr="006070EA">
        <w:rPr>
          <w:rFonts w:asciiTheme="majorHAnsi" w:hAnsiTheme="majorHAnsi" w:cstheme="majorHAnsi"/>
          <w:i/>
          <w:sz w:val="18"/>
        </w:rPr>
        <w:t xml:space="preserve">zeleně </w:t>
      </w:r>
      <w:r w:rsidR="00071C0F" w:rsidRPr="006070EA">
        <w:rPr>
          <w:rFonts w:asciiTheme="majorHAnsi" w:hAnsiTheme="majorHAnsi" w:cstheme="majorHAnsi"/>
          <w:i/>
          <w:sz w:val="18"/>
        </w:rPr>
        <w:t>krajinné</w:t>
      </w:r>
      <w:r w:rsidR="00A705AB" w:rsidRPr="006070EA">
        <w:rPr>
          <w:rFonts w:asciiTheme="majorHAnsi" w:hAnsiTheme="majorHAnsi" w:cstheme="majorHAnsi"/>
          <w:sz w:val="18"/>
        </w:rPr>
        <w:t xml:space="preserve"> (Z</w:t>
      </w:r>
      <w:r w:rsidR="00071C0F" w:rsidRPr="006070EA">
        <w:rPr>
          <w:rFonts w:asciiTheme="majorHAnsi" w:hAnsiTheme="majorHAnsi" w:cstheme="majorHAnsi"/>
          <w:sz w:val="18"/>
        </w:rPr>
        <w:t>K</w:t>
      </w:r>
      <w:r w:rsidR="00A705AB" w:rsidRPr="006070EA">
        <w:rPr>
          <w:rFonts w:asciiTheme="majorHAnsi" w:hAnsiTheme="majorHAnsi" w:cstheme="majorHAnsi"/>
          <w:sz w:val="18"/>
        </w:rPr>
        <w:t>)</w:t>
      </w:r>
      <w:r w:rsidR="00937BDA" w:rsidRPr="006070EA">
        <w:rPr>
          <w:rFonts w:asciiTheme="majorHAnsi" w:hAnsiTheme="majorHAnsi" w:cstheme="majorHAnsi"/>
          <w:sz w:val="18"/>
        </w:rPr>
        <w:t xml:space="preserve"> a </w:t>
      </w:r>
      <w:r w:rsidR="00937BDA" w:rsidRPr="006070EA">
        <w:rPr>
          <w:rFonts w:asciiTheme="majorHAnsi" w:hAnsiTheme="majorHAnsi" w:cstheme="majorHAnsi"/>
          <w:i/>
          <w:iCs/>
          <w:sz w:val="18"/>
        </w:rPr>
        <w:t>zeleně</w:t>
      </w:r>
      <w:r w:rsidR="00071C0F" w:rsidRPr="006070EA">
        <w:rPr>
          <w:rFonts w:asciiTheme="majorHAnsi" w:hAnsiTheme="majorHAnsi" w:cstheme="majorHAnsi"/>
          <w:i/>
          <w:iCs/>
          <w:sz w:val="18"/>
        </w:rPr>
        <w:t xml:space="preserve"> – parky a parkově upravené plochy</w:t>
      </w:r>
      <w:r w:rsidR="00937BDA" w:rsidRPr="006070EA">
        <w:rPr>
          <w:rFonts w:asciiTheme="majorHAnsi" w:hAnsiTheme="majorHAnsi" w:cstheme="majorHAnsi"/>
          <w:sz w:val="18"/>
        </w:rPr>
        <w:t xml:space="preserve"> (Z</w:t>
      </w:r>
      <w:r w:rsidR="00071C0F" w:rsidRPr="006070EA">
        <w:rPr>
          <w:rFonts w:asciiTheme="majorHAnsi" w:hAnsiTheme="majorHAnsi" w:cstheme="majorHAnsi"/>
          <w:sz w:val="18"/>
        </w:rPr>
        <w:t>P</w:t>
      </w:r>
      <w:r w:rsidR="00937BDA" w:rsidRPr="006070EA">
        <w:rPr>
          <w:rFonts w:asciiTheme="majorHAnsi" w:hAnsiTheme="majorHAnsi" w:cstheme="majorHAnsi"/>
          <w:sz w:val="18"/>
        </w:rPr>
        <w:t>)</w:t>
      </w:r>
      <w:r w:rsidR="00A705AB" w:rsidRPr="006070EA">
        <w:rPr>
          <w:rFonts w:asciiTheme="majorHAnsi" w:hAnsiTheme="majorHAnsi" w:cstheme="majorHAnsi"/>
          <w:sz w:val="18"/>
        </w:rPr>
        <w:t>,</w:t>
      </w:r>
      <w:r w:rsidRPr="006070EA">
        <w:rPr>
          <w:rFonts w:asciiTheme="majorHAnsi" w:hAnsiTheme="majorHAnsi" w:cstheme="majorHAnsi"/>
          <w:sz w:val="18"/>
        </w:rPr>
        <w:t xml:space="preserve"> které podporují uchování a reprodukci přírodního bohatství.</w:t>
      </w:r>
    </w:p>
    <w:p w14:paraId="33C17FEE" w14:textId="77777777" w:rsidR="009F196A" w:rsidRPr="006070EA" w:rsidRDefault="009F196A" w:rsidP="009E07E1">
      <w:pPr>
        <w:keepNext/>
        <w:keepLines/>
        <w:spacing w:before="120" w:after="60" w:line="240" w:lineRule="auto"/>
        <w:rPr>
          <w:rFonts w:asciiTheme="majorHAnsi" w:hAnsiTheme="majorHAnsi" w:cstheme="majorHAnsi"/>
          <w:sz w:val="18"/>
          <w:u w:val="single"/>
        </w:rPr>
      </w:pPr>
      <w:r w:rsidRPr="006070EA">
        <w:rPr>
          <w:rFonts w:asciiTheme="majorHAnsi" w:hAnsiTheme="majorHAnsi" w:cstheme="majorHAnsi"/>
          <w:sz w:val="18"/>
          <w:u w:val="single"/>
        </w:rPr>
        <w:t>Přehled skladebných částí ÚSES</w:t>
      </w:r>
    </w:p>
    <w:p w14:paraId="2155A940" w14:textId="6C7C08F4" w:rsidR="002E7AA2" w:rsidRPr="006070EA" w:rsidRDefault="002E7AA2" w:rsidP="009E07E1">
      <w:pPr>
        <w:keepNext/>
        <w:keepLines/>
        <w:spacing w:after="60" w:line="240" w:lineRule="auto"/>
        <w:ind w:firstLine="709"/>
        <w:jc w:val="both"/>
        <w:rPr>
          <w:rFonts w:asciiTheme="majorHAnsi" w:hAnsiTheme="majorHAnsi" w:cstheme="majorHAnsi"/>
          <w:sz w:val="18"/>
        </w:rPr>
      </w:pPr>
      <w:r w:rsidRPr="006070EA">
        <w:rPr>
          <w:rFonts w:asciiTheme="majorHAnsi" w:hAnsiTheme="majorHAnsi" w:cstheme="majorHAnsi"/>
          <w:sz w:val="18"/>
        </w:rPr>
        <w:t>Na základě mapování krajiny a vytvoření kostry ekologické stability byly v řešeném území aktualizovány a upřesněny v měřítku územního plánu následující skladebné části ÚSES:</w:t>
      </w:r>
    </w:p>
    <w:tbl>
      <w:tblPr>
        <w:tblStyle w:val="Mkatabulky"/>
        <w:tblW w:w="0" w:type="auto"/>
        <w:jc w:val="center"/>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417"/>
        <w:gridCol w:w="1417"/>
        <w:gridCol w:w="1134"/>
        <w:gridCol w:w="5102"/>
      </w:tblGrid>
      <w:tr w:rsidR="00B933B6" w:rsidRPr="006070EA" w14:paraId="26501118" w14:textId="77777777" w:rsidTr="00467E67">
        <w:trPr>
          <w:cantSplit/>
          <w:tblHeader/>
          <w:jc w:val="center"/>
        </w:trPr>
        <w:tc>
          <w:tcPr>
            <w:tcW w:w="1417" w:type="dxa"/>
            <w:tcBorders>
              <w:top w:val="nil"/>
              <w:bottom w:val="single" w:sz="12" w:space="0" w:color="auto"/>
              <w:right w:val="single" w:sz="12" w:space="0" w:color="auto"/>
            </w:tcBorders>
            <w:vAlign w:val="center"/>
          </w:tcPr>
          <w:p w14:paraId="6E4AC348" w14:textId="77777777" w:rsidR="00B933B6" w:rsidRPr="006070EA" w:rsidRDefault="00B933B6" w:rsidP="00F61BC8">
            <w:pPr>
              <w:keepNext/>
              <w:widowControl w:val="0"/>
              <w:jc w:val="center"/>
              <w:rPr>
                <w:rFonts w:asciiTheme="majorHAnsi" w:hAnsiTheme="majorHAnsi" w:cstheme="majorHAnsi"/>
                <w:b/>
                <w:sz w:val="18"/>
                <w:szCs w:val="18"/>
              </w:rPr>
            </w:pPr>
            <w:r w:rsidRPr="006070EA">
              <w:rPr>
                <w:rFonts w:asciiTheme="majorHAnsi" w:hAnsiTheme="majorHAnsi" w:cstheme="majorHAnsi"/>
                <w:b/>
                <w:sz w:val="18"/>
                <w:szCs w:val="18"/>
              </w:rPr>
              <w:t>ozn. a název skladebné části</w:t>
            </w:r>
          </w:p>
        </w:tc>
        <w:tc>
          <w:tcPr>
            <w:tcW w:w="1417" w:type="dxa"/>
            <w:tcBorders>
              <w:top w:val="nil"/>
              <w:left w:val="single" w:sz="12" w:space="0" w:color="auto"/>
              <w:bottom w:val="single" w:sz="12" w:space="0" w:color="auto"/>
              <w:right w:val="single" w:sz="12" w:space="0" w:color="auto"/>
            </w:tcBorders>
            <w:vAlign w:val="center"/>
          </w:tcPr>
          <w:p w14:paraId="4532827D" w14:textId="77777777" w:rsidR="00B933B6" w:rsidRPr="006070EA" w:rsidRDefault="00B933B6" w:rsidP="00F61BC8">
            <w:pPr>
              <w:keepNext/>
              <w:widowControl w:val="0"/>
              <w:jc w:val="center"/>
              <w:rPr>
                <w:rFonts w:asciiTheme="majorHAnsi" w:hAnsiTheme="majorHAnsi" w:cstheme="majorHAnsi"/>
                <w:b/>
                <w:sz w:val="18"/>
                <w:szCs w:val="18"/>
              </w:rPr>
            </w:pPr>
            <w:r w:rsidRPr="006070EA">
              <w:rPr>
                <w:rFonts w:asciiTheme="majorHAnsi" w:hAnsiTheme="majorHAnsi" w:cstheme="majorHAnsi"/>
                <w:b/>
                <w:sz w:val="18"/>
                <w:szCs w:val="18"/>
              </w:rPr>
              <w:t>parametry</w:t>
            </w:r>
          </w:p>
        </w:tc>
        <w:tc>
          <w:tcPr>
            <w:tcW w:w="1134" w:type="dxa"/>
            <w:tcBorders>
              <w:top w:val="nil"/>
              <w:left w:val="single" w:sz="12" w:space="0" w:color="auto"/>
              <w:bottom w:val="single" w:sz="12" w:space="0" w:color="auto"/>
              <w:right w:val="single" w:sz="12" w:space="0" w:color="auto"/>
            </w:tcBorders>
            <w:vAlign w:val="center"/>
          </w:tcPr>
          <w:p w14:paraId="3DC4CD74" w14:textId="77777777" w:rsidR="00B933B6" w:rsidRPr="006070EA" w:rsidRDefault="00B933B6" w:rsidP="00F61BC8">
            <w:pPr>
              <w:keepNext/>
              <w:widowControl w:val="0"/>
              <w:jc w:val="center"/>
              <w:rPr>
                <w:rFonts w:asciiTheme="majorHAnsi" w:hAnsiTheme="majorHAnsi" w:cstheme="majorHAnsi"/>
                <w:b/>
                <w:sz w:val="18"/>
                <w:szCs w:val="18"/>
              </w:rPr>
            </w:pPr>
            <w:r w:rsidRPr="006070EA">
              <w:rPr>
                <w:rFonts w:asciiTheme="majorHAnsi" w:hAnsiTheme="majorHAnsi" w:cstheme="majorHAnsi"/>
                <w:b/>
                <w:sz w:val="18"/>
                <w:szCs w:val="18"/>
              </w:rPr>
              <w:t>stav</w:t>
            </w:r>
          </w:p>
        </w:tc>
        <w:tc>
          <w:tcPr>
            <w:tcW w:w="5102" w:type="dxa"/>
            <w:tcBorders>
              <w:top w:val="nil"/>
              <w:left w:val="single" w:sz="12" w:space="0" w:color="auto"/>
              <w:bottom w:val="single" w:sz="12" w:space="0" w:color="auto"/>
            </w:tcBorders>
            <w:vAlign w:val="center"/>
          </w:tcPr>
          <w:p w14:paraId="119E6910" w14:textId="77777777" w:rsidR="00B933B6" w:rsidRPr="006070EA" w:rsidRDefault="00B933B6" w:rsidP="00F61BC8">
            <w:pPr>
              <w:keepNext/>
              <w:widowControl w:val="0"/>
              <w:jc w:val="center"/>
              <w:rPr>
                <w:rFonts w:asciiTheme="majorHAnsi" w:hAnsiTheme="majorHAnsi" w:cstheme="majorHAnsi"/>
                <w:b/>
                <w:sz w:val="18"/>
                <w:szCs w:val="18"/>
              </w:rPr>
            </w:pPr>
            <w:r w:rsidRPr="006070EA">
              <w:rPr>
                <w:rFonts w:asciiTheme="majorHAnsi" w:hAnsiTheme="majorHAnsi" w:cstheme="majorHAnsi"/>
                <w:b/>
                <w:sz w:val="18"/>
                <w:szCs w:val="18"/>
              </w:rPr>
              <w:t>popis, geobiocenologická charakteristika</w:t>
            </w:r>
          </w:p>
          <w:p w14:paraId="4F87C2FC" w14:textId="0531414A" w:rsidR="00B933B6" w:rsidRPr="006070EA" w:rsidRDefault="00B933B6" w:rsidP="00F61BC8">
            <w:pPr>
              <w:keepNext/>
              <w:widowControl w:val="0"/>
              <w:jc w:val="center"/>
              <w:rPr>
                <w:rFonts w:asciiTheme="majorHAnsi" w:hAnsiTheme="majorHAnsi" w:cstheme="majorHAnsi"/>
                <w:b/>
                <w:sz w:val="18"/>
                <w:szCs w:val="18"/>
              </w:rPr>
            </w:pPr>
            <w:r w:rsidRPr="006070EA">
              <w:rPr>
                <w:rFonts w:asciiTheme="majorHAnsi" w:hAnsiTheme="majorHAnsi" w:cstheme="majorHAnsi"/>
                <w:b/>
                <w:sz w:val="18"/>
                <w:szCs w:val="18"/>
              </w:rPr>
              <w:t>parametry, cílový stav, opatření</w:t>
            </w:r>
          </w:p>
        </w:tc>
      </w:tr>
      <w:tr w:rsidR="00B158F2" w:rsidRPr="006070EA" w14:paraId="3EBD41CA" w14:textId="77777777" w:rsidTr="00DA21D4">
        <w:trPr>
          <w:cantSplit/>
          <w:trHeight w:val="283"/>
          <w:jc w:val="center"/>
        </w:trPr>
        <w:tc>
          <w:tcPr>
            <w:tcW w:w="9070" w:type="dxa"/>
            <w:gridSpan w:val="4"/>
            <w:tcBorders>
              <w:top w:val="nil"/>
              <w:bottom w:val="single" w:sz="12" w:space="0" w:color="auto"/>
            </w:tcBorders>
            <w:vAlign w:val="center"/>
          </w:tcPr>
          <w:p w14:paraId="68AC8D7F" w14:textId="4119B073" w:rsidR="004F1A10" w:rsidRPr="006070EA" w:rsidRDefault="0007201D" w:rsidP="00F61BC8">
            <w:pPr>
              <w:keepNext/>
              <w:widowControl w:val="0"/>
              <w:jc w:val="center"/>
              <w:rPr>
                <w:rFonts w:asciiTheme="majorHAnsi" w:hAnsiTheme="majorHAnsi" w:cstheme="majorHAnsi"/>
                <w:b/>
                <w:sz w:val="18"/>
                <w:szCs w:val="18"/>
              </w:rPr>
            </w:pPr>
            <w:r w:rsidRPr="006070EA">
              <w:rPr>
                <w:rFonts w:asciiTheme="majorHAnsi" w:hAnsiTheme="majorHAnsi" w:cstheme="majorHAnsi"/>
                <w:b/>
                <w:sz w:val="18"/>
                <w:szCs w:val="18"/>
              </w:rPr>
              <w:t>NAD</w:t>
            </w:r>
            <w:r w:rsidR="004F1A10" w:rsidRPr="006070EA">
              <w:rPr>
                <w:rFonts w:asciiTheme="majorHAnsi" w:hAnsiTheme="majorHAnsi" w:cstheme="majorHAnsi"/>
                <w:b/>
                <w:sz w:val="18"/>
                <w:szCs w:val="18"/>
              </w:rPr>
              <w:t>REGIONÁLNÍ BIOKORIDOR</w:t>
            </w:r>
          </w:p>
        </w:tc>
      </w:tr>
      <w:tr w:rsidR="00C54A4F" w:rsidRPr="006070EA" w14:paraId="339D8A3D" w14:textId="77777777" w:rsidTr="00B47F7B">
        <w:trPr>
          <w:cantSplit/>
          <w:jc w:val="center"/>
        </w:trPr>
        <w:tc>
          <w:tcPr>
            <w:tcW w:w="1417" w:type="dxa"/>
            <w:tcBorders>
              <w:top w:val="single" w:sz="12" w:space="0" w:color="auto"/>
              <w:bottom w:val="single" w:sz="12" w:space="0" w:color="auto"/>
            </w:tcBorders>
            <w:vAlign w:val="center"/>
          </w:tcPr>
          <w:p w14:paraId="7D91B77F" w14:textId="500AAE26" w:rsidR="00C54A4F" w:rsidRPr="006070EA" w:rsidRDefault="00C54A4F" w:rsidP="00616F2B">
            <w:pPr>
              <w:widowControl w:val="0"/>
              <w:jc w:val="center"/>
              <w:rPr>
                <w:rFonts w:asciiTheme="majorHAnsi" w:hAnsiTheme="majorHAnsi" w:cstheme="majorHAnsi"/>
                <w:b/>
                <w:sz w:val="18"/>
                <w:szCs w:val="18"/>
              </w:rPr>
            </w:pPr>
            <w:r w:rsidRPr="006070EA">
              <w:rPr>
                <w:rFonts w:asciiTheme="majorHAnsi" w:hAnsiTheme="majorHAnsi" w:cstheme="majorHAnsi"/>
                <w:b/>
                <w:sz w:val="18"/>
                <w:szCs w:val="18"/>
              </w:rPr>
              <w:t>N</w:t>
            </w:r>
            <w:r w:rsidR="00071C0F" w:rsidRPr="006070EA">
              <w:rPr>
                <w:rFonts w:asciiTheme="majorHAnsi" w:hAnsiTheme="majorHAnsi" w:cstheme="majorHAnsi"/>
                <w:b/>
                <w:sz w:val="18"/>
                <w:szCs w:val="18"/>
              </w:rPr>
              <w:t>RB</w:t>
            </w:r>
            <w:r w:rsidRPr="006070EA">
              <w:rPr>
                <w:rFonts w:asciiTheme="majorHAnsi" w:hAnsiTheme="majorHAnsi" w:cstheme="majorHAnsi"/>
                <w:b/>
                <w:sz w:val="18"/>
                <w:szCs w:val="18"/>
              </w:rPr>
              <w:t>K</w:t>
            </w:r>
            <w:r w:rsidR="00071C0F" w:rsidRPr="006070EA">
              <w:rPr>
                <w:rFonts w:asciiTheme="majorHAnsi" w:hAnsiTheme="majorHAnsi" w:cstheme="majorHAnsi"/>
                <w:b/>
                <w:sz w:val="18"/>
                <w:szCs w:val="18"/>
              </w:rPr>
              <w:t>.</w:t>
            </w:r>
            <w:r w:rsidRPr="006070EA">
              <w:rPr>
                <w:rFonts w:asciiTheme="majorHAnsi" w:hAnsiTheme="majorHAnsi" w:cstheme="majorHAnsi"/>
                <w:b/>
                <w:sz w:val="18"/>
                <w:szCs w:val="18"/>
              </w:rPr>
              <w:t>10 Stříbrný roh – Polabský luh</w:t>
            </w:r>
          </w:p>
        </w:tc>
        <w:tc>
          <w:tcPr>
            <w:tcW w:w="1417" w:type="dxa"/>
            <w:tcBorders>
              <w:top w:val="single" w:sz="12" w:space="0" w:color="auto"/>
              <w:bottom w:val="single" w:sz="12" w:space="0" w:color="auto"/>
            </w:tcBorders>
            <w:vAlign w:val="center"/>
          </w:tcPr>
          <w:p w14:paraId="5A399086" w14:textId="49F1857C" w:rsidR="00C54A4F" w:rsidRPr="006070EA" w:rsidRDefault="00C54A4F" w:rsidP="004F1A10">
            <w:pPr>
              <w:widowControl w:val="0"/>
              <w:spacing w:after="60"/>
              <w:jc w:val="center"/>
              <w:rPr>
                <w:rFonts w:asciiTheme="majorHAnsi" w:hAnsiTheme="majorHAnsi" w:cstheme="majorHAnsi"/>
                <w:sz w:val="18"/>
                <w:szCs w:val="18"/>
              </w:rPr>
            </w:pPr>
            <w:r w:rsidRPr="006070EA">
              <w:rPr>
                <w:rFonts w:asciiTheme="majorHAnsi" w:hAnsiTheme="majorHAnsi" w:cstheme="majorHAnsi"/>
                <w:sz w:val="18"/>
                <w:szCs w:val="18"/>
              </w:rPr>
              <w:t>Šířka: 150 – 300 m</w:t>
            </w:r>
          </w:p>
          <w:p w14:paraId="6D6A5B97" w14:textId="4B409E55" w:rsidR="00C54A4F" w:rsidRPr="006070EA" w:rsidRDefault="00C54A4F" w:rsidP="004F1A10">
            <w:pPr>
              <w:widowControl w:val="0"/>
              <w:spacing w:after="60"/>
              <w:jc w:val="center"/>
              <w:rPr>
                <w:rFonts w:asciiTheme="majorHAnsi" w:hAnsiTheme="majorHAnsi" w:cstheme="majorHAnsi"/>
                <w:sz w:val="18"/>
                <w:szCs w:val="18"/>
              </w:rPr>
            </w:pPr>
            <w:r w:rsidRPr="006070EA">
              <w:rPr>
                <w:rFonts w:asciiTheme="majorHAnsi" w:hAnsiTheme="majorHAnsi" w:cstheme="majorHAnsi"/>
                <w:sz w:val="18"/>
                <w:szCs w:val="18"/>
              </w:rPr>
              <w:t>Délka v řešeném území: 1,5 km</w:t>
            </w:r>
          </w:p>
        </w:tc>
        <w:tc>
          <w:tcPr>
            <w:tcW w:w="1134" w:type="dxa"/>
            <w:tcBorders>
              <w:top w:val="single" w:sz="12" w:space="0" w:color="auto"/>
              <w:bottom w:val="single" w:sz="12" w:space="0" w:color="auto"/>
            </w:tcBorders>
            <w:vAlign w:val="center"/>
          </w:tcPr>
          <w:p w14:paraId="244893D0" w14:textId="77777777" w:rsidR="00C54A4F" w:rsidRPr="006070EA" w:rsidRDefault="00C54A4F" w:rsidP="00616F2B">
            <w:pPr>
              <w:widowControl w:val="0"/>
              <w:spacing w:after="60"/>
              <w:jc w:val="center"/>
              <w:rPr>
                <w:rFonts w:asciiTheme="majorHAnsi" w:hAnsiTheme="majorHAnsi" w:cstheme="majorHAnsi"/>
                <w:sz w:val="18"/>
                <w:szCs w:val="18"/>
              </w:rPr>
            </w:pPr>
            <w:r w:rsidRPr="006070EA">
              <w:rPr>
                <w:rFonts w:asciiTheme="majorHAnsi" w:hAnsiTheme="majorHAnsi" w:cstheme="majorHAnsi"/>
                <w:sz w:val="18"/>
                <w:szCs w:val="18"/>
              </w:rPr>
              <w:t>Funkční</w:t>
            </w:r>
          </w:p>
        </w:tc>
        <w:tc>
          <w:tcPr>
            <w:tcW w:w="5102" w:type="dxa"/>
            <w:tcBorders>
              <w:top w:val="single" w:sz="12" w:space="0" w:color="auto"/>
              <w:bottom w:val="single" w:sz="12" w:space="0" w:color="auto"/>
            </w:tcBorders>
            <w:vAlign w:val="center"/>
          </w:tcPr>
          <w:p w14:paraId="16296786" w14:textId="65AC6791" w:rsidR="00C54A4F" w:rsidRPr="006070EA" w:rsidRDefault="00B933B6" w:rsidP="00B933B6">
            <w:pPr>
              <w:widowControl w:val="0"/>
              <w:spacing w:after="60"/>
              <w:jc w:val="both"/>
              <w:rPr>
                <w:rFonts w:asciiTheme="majorHAnsi" w:hAnsiTheme="majorHAnsi" w:cstheme="majorHAnsi"/>
                <w:sz w:val="18"/>
                <w:szCs w:val="18"/>
              </w:rPr>
            </w:pPr>
            <w:r w:rsidRPr="006070EA">
              <w:rPr>
                <w:rFonts w:asciiTheme="majorHAnsi" w:hAnsiTheme="majorHAnsi" w:cstheme="majorHAnsi"/>
                <w:i/>
                <w:iCs/>
                <w:sz w:val="18"/>
                <w:szCs w:val="18"/>
              </w:rPr>
              <w:t>Popis</w:t>
            </w:r>
            <w:r w:rsidRPr="006070EA">
              <w:rPr>
                <w:rFonts w:asciiTheme="majorHAnsi" w:hAnsiTheme="majorHAnsi" w:cstheme="majorHAnsi"/>
                <w:sz w:val="18"/>
                <w:szCs w:val="18"/>
              </w:rPr>
              <w:t xml:space="preserve">: </w:t>
            </w:r>
            <w:r w:rsidR="00C54A4F" w:rsidRPr="006070EA">
              <w:rPr>
                <w:rFonts w:asciiTheme="majorHAnsi" w:hAnsiTheme="majorHAnsi" w:cstheme="majorHAnsi"/>
                <w:sz w:val="18"/>
                <w:szCs w:val="18"/>
              </w:rPr>
              <w:t>Nadregionální biokoridor východně západního směru na toku řeky Labe. Biokoridor je veden podle toku řeky Labe v chudých pobřežních a lučních společenstvech s alejemi nepůvodních ovocných dřevin a křovin. Tok je znečištěn odpadními vodami z obcí a zejména splachy ze zemědělství. Po cca 700 m je biokoridor prokládán lokálními biocentry.</w:t>
            </w:r>
          </w:p>
          <w:p w14:paraId="4D7546C9" w14:textId="77777777" w:rsidR="00C54A4F" w:rsidRPr="006070EA" w:rsidRDefault="00C54A4F" w:rsidP="00B933B6">
            <w:pPr>
              <w:widowControl w:val="0"/>
              <w:spacing w:after="60"/>
              <w:jc w:val="both"/>
              <w:rPr>
                <w:rFonts w:asciiTheme="majorHAnsi" w:hAnsiTheme="majorHAnsi" w:cstheme="majorHAnsi"/>
                <w:sz w:val="18"/>
                <w:szCs w:val="18"/>
              </w:rPr>
            </w:pPr>
            <w:r w:rsidRPr="006070EA">
              <w:rPr>
                <w:rFonts w:asciiTheme="majorHAnsi" w:hAnsiTheme="majorHAnsi" w:cstheme="majorHAnsi"/>
                <w:i/>
                <w:iCs/>
                <w:sz w:val="18"/>
                <w:szCs w:val="18"/>
              </w:rPr>
              <w:t>Dřeviny a křoviny</w:t>
            </w:r>
            <w:r w:rsidRPr="006070EA">
              <w:rPr>
                <w:rFonts w:asciiTheme="majorHAnsi" w:hAnsiTheme="majorHAnsi" w:cstheme="majorHAnsi"/>
                <w:sz w:val="18"/>
                <w:szCs w:val="18"/>
              </w:rPr>
              <w:t>: JAD, SLD, TPH, TRS, TRA, JVK, JVB, TPO, VRK, VRB, BRB, DBL, JSZ, JVM, vrj, hlo, bzč, osk, vrč, ržpo, svk, osm, vru, ptz.</w:t>
            </w:r>
          </w:p>
          <w:p w14:paraId="27297552" w14:textId="77777777" w:rsidR="00C54A4F" w:rsidRPr="006070EA" w:rsidRDefault="00C54A4F" w:rsidP="00B933B6">
            <w:pPr>
              <w:widowControl w:val="0"/>
              <w:spacing w:after="60"/>
              <w:jc w:val="both"/>
              <w:rPr>
                <w:rFonts w:asciiTheme="majorHAnsi" w:hAnsiTheme="majorHAnsi" w:cstheme="majorHAnsi"/>
                <w:sz w:val="18"/>
                <w:szCs w:val="18"/>
              </w:rPr>
            </w:pPr>
            <w:r w:rsidRPr="006070EA">
              <w:rPr>
                <w:rFonts w:asciiTheme="majorHAnsi" w:hAnsiTheme="majorHAnsi" w:cstheme="majorHAnsi"/>
                <w:i/>
                <w:iCs/>
                <w:sz w:val="18"/>
                <w:szCs w:val="18"/>
              </w:rPr>
              <w:t>Byliny</w:t>
            </w:r>
            <w:r w:rsidRPr="006070EA">
              <w:rPr>
                <w:rFonts w:asciiTheme="majorHAnsi" w:hAnsiTheme="majorHAnsi" w:cstheme="majorHAnsi"/>
                <w:sz w:val="18"/>
                <w:szCs w:val="18"/>
              </w:rPr>
              <w:t>: Chmel otáčivý, rákos obecný, kerblík lesní, bršlice kozí noha, kuklík městský, divizna knotovitá, krabilice mámivá, lopuch menší, orobinec širokolistý, kopřiva dvoudomá, jitrocel kopinatý, mochna husí, kostival lékařský.</w:t>
            </w:r>
          </w:p>
          <w:p w14:paraId="7C869EA1" w14:textId="77777777" w:rsidR="00C54A4F" w:rsidRPr="006070EA" w:rsidRDefault="00C54A4F" w:rsidP="00B933B6">
            <w:pPr>
              <w:widowControl w:val="0"/>
              <w:spacing w:after="60"/>
              <w:jc w:val="both"/>
              <w:rPr>
                <w:rFonts w:asciiTheme="majorHAnsi" w:hAnsiTheme="majorHAnsi" w:cstheme="majorHAnsi"/>
                <w:sz w:val="18"/>
                <w:szCs w:val="18"/>
              </w:rPr>
            </w:pPr>
            <w:r w:rsidRPr="006070EA">
              <w:rPr>
                <w:rFonts w:asciiTheme="majorHAnsi" w:hAnsiTheme="majorHAnsi" w:cstheme="majorHAnsi"/>
                <w:i/>
                <w:iCs/>
                <w:sz w:val="18"/>
                <w:szCs w:val="18"/>
              </w:rPr>
              <w:t>Fauna</w:t>
            </w:r>
            <w:r w:rsidRPr="006070EA">
              <w:rPr>
                <w:rFonts w:asciiTheme="majorHAnsi" w:hAnsiTheme="majorHAnsi" w:cstheme="majorHAnsi"/>
                <w:sz w:val="18"/>
                <w:szCs w:val="18"/>
              </w:rPr>
              <w:t>: Racek chechtavý, kachna březňačka, labuť velká, bažant obecný.</w:t>
            </w:r>
          </w:p>
          <w:p w14:paraId="53809081" w14:textId="77777777" w:rsidR="00C54A4F" w:rsidRPr="006070EA" w:rsidRDefault="00C54A4F" w:rsidP="00B933B6">
            <w:pPr>
              <w:widowControl w:val="0"/>
              <w:spacing w:after="60"/>
              <w:jc w:val="both"/>
              <w:rPr>
                <w:rFonts w:asciiTheme="majorHAnsi" w:hAnsiTheme="majorHAnsi" w:cstheme="majorHAnsi"/>
                <w:sz w:val="18"/>
                <w:szCs w:val="18"/>
              </w:rPr>
            </w:pPr>
            <w:r w:rsidRPr="006070EA">
              <w:rPr>
                <w:rFonts w:asciiTheme="majorHAnsi" w:hAnsiTheme="majorHAnsi" w:cstheme="majorHAnsi"/>
                <w:i/>
                <w:iCs/>
                <w:sz w:val="18"/>
                <w:szCs w:val="18"/>
              </w:rPr>
              <w:t>Možné znehodnocení</w:t>
            </w:r>
            <w:r w:rsidRPr="006070EA">
              <w:rPr>
                <w:rFonts w:asciiTheme="majorHAnsi" w:hAnsiTheme="majorHAnsi" w:cstheme="majorHAnsi"/>
                <w:sz w:val="18"/>
                <w:szCs w:val="18"/>
              </w:rPr>
              <w:t>: Úpravy toku, další splachy a vypouštění odpadních vod, zpevnění toku</w:t>
            </w:r>
          </w:p>
          <w:p w14:paraId="0634952F" w14:textId="77777777" w:rsidR="00C54A4F" w:rsidRPr="006070EA" w:rsidRDefault="00C54A4F" w:rsidP="00B933B6">
            <w:pPr>
              <w:widowControl w:val="0"/>
              <w:spacing w:after="60"/>
              <w:jc w:val="both"/>
              <w:rPr>
                <w:rFonts w:asciiTheme="majorHAnsi" w:hAnsiTheme="majorHAnsi" w:cstheme="majorHAnsi"/>
                <w:sz w:val="18"/>
                <w:szCs w:val="18"/>
              </w:rPr>
            </w:pPr>
            <w:r w:rsidRPr="006070EA">
              <w:rPr>
                <w:rFonts w:asciiTheme="majorHAnsi" w:hAnsiTheme="majorHAnsi" w:cstheme="majorHAnsi"/>
                <w:i/>
                <w:iCs/>
                <w:sz w:val="18"/>
                <w:szCs w:val="18"/>
              </w:rPr>
              <w:t>Opatření</w:t>
            </w:r>
            <w:r w:rsidRPr="006070EA">
              <w:rPr>
                <w:rFonts w:asciiTheme="majorHAnsi" w:hAnsiTheme="majorHAnsi" w:cstheme="majorHAnsi"/>
                <w:sz w:val="18"/>
                <w:szCs w:val="18"/>
              </w:rPr>
              <w:t>: revitalizace celého toku a okolí a dosadba přirozených dřevin do porostů do zapojených pásů v okolí.</w:t>
            </w:r>
          </w:p>
          <w:p w14:paraId="26AC1B3C" w14:textId="2A4BEA44" w:rsidR="00C54A4F" w:rsidRPr="006070EA" w:rsidRDefault="00C54A4F" w:rsidP="00B933B6">
            <w:pPr>
              <w:widowControl w:val="0"/>
              <w:spacing w:after="60"/>
              <w:jc w:val="both"/>
              <w:rPr>
                <w:rFonts w:asciiTheme="majorHAnsi" w:hAnsiTheme="majorHAnsi" w:cstheme="majorHAnsi"/>
                <w:sz w:val="18"/>
                <w:szCs w:val="18"/>
              </w:rPr>
            </w:pPr>
            <w:r w:rsidRPr="006070EA">
              <w:rPr>
                <w:rFonts w:asciiTheme="majorHAnsi" w:hAnsiTheme="majorHAnsi" w:cstheme="majorHAnsi"/>
                <w:i/>
                <w:iCs/>
                <w:sz w:val="18"/>
                <w:szCs w:val="18"/>
              </w:rPr>
              <w:t>Cílový stav</w:t>
            </w:r>
            <w:r w:rsidRPr="006070EA">
              <w:rPr>
                <w:rFonts w:asciiTheme="majorHAnsi" w:hAnsiTheme="majorHAnsi" w:cstheme="majorHAnsi"/>
                <w:sz w:val="18"/>
                <w:szCs w:val="18"/>
              </w:rPr>
              <w:t>: zapojený porost přirozených dřevin a křovin ve vhodně širokém pásu podle řeky, narušení valů a vývoj okolních přirozených lesů a luk podle toku.</w:t>
            </w:r>
          </w:p>
        </w:tc>
      </w:tr>
      <w:tr w:rsidR="0007201D" w:rsidRPr="006070EA" w14:paraId="6B3709C4" w14:textId="77777777" w:rsidTr="00E00A83">
        <w:trPr>
          <w:cantSplit/>
          <w:trHeight w:val="283"/>
          <w:jc w:val="center"/>
        </w:trPr>
        <w:tc>
          <w:tcPr>
            <w:tcW w:w="9070" w:type="dxa"/>
            <w:gridSpan w:val="4"/>
            <w:tcBorders>
              <w:top w:val="single" w:sz="12" w:space="0" w:color="auto"/>
              <w:bottom w:val="single" w:sz="12" w:space="0" w:color="auto"/>
            </w:tcBorders>
            <w:vAlign w:val="center"/>
          </w:tcPr>
          <w:p w14:paraId="55F9CCEA" w14:textId="4A4A3317" w:rsidR="0007201D" w:rsidRPr="006070EA" w:rsidRDefault="0007201D" w:rsidP="00B933B6">
            <w:pPr>
              <w:keepNext/>
              <w:widowControl w:val="0"/>
              <w:jc w:val="center"/>
              <w:rPr>
                <w:rFonts w:asciiTheme="majorHAnsi" w:hAnsiTheme="majorHAnsi" w:cstheme="majorHAnsi"/>
                <w:b/>
                <w:sz w:val="18"/>
                <w:szCs w:val="18"/>
              </w:rPr>
            </w:pPr>
            <w:r w:rsidRPr="006070EA">
              <w:rPr>
                <w:rFonts w:asciiTheme="majorHAnsi" w:hAnsiTheme="majorHAnsi" w:cstheme="majorHAnsi"/>
                <w:b/>
                <w:sz w:val="18"/>
                <w:szCs w:val="18"/>
              </w:rPr>
              <w:t>REGIONÁLNÍ BIOCENTRUM</w:t>
            </w:r>
          </w:p>
        </w:tc>
      </w:tr>
      <w:tr w:rsidR="00B933B6" w:rsidRPr="006070EA" w14:paraId="34AC5819" w14:textId="77777777" w:rsidTr="000E148F">
        <w:trPr>
          <w:cantSplit/>
          <w:jc w:val="center"/>
        </w:trPr>
        <w:tc>
          <w:tcPr>
            <w:tcW w:w="1417" w:type="dxa"/>
            <w:tcBorders>
              <w:top w:val="single" w:sz="12" w:space="0" w:color="auto"/>
            </w:tcBorders>
            <w:vAlign w:val="center"/>
          </w:tcPr>
          <w:p w14:paraId="49B84410" w14:textId="791031C5" w:rsidR="00B933B6" w:rsidRPr="00A76411" w:rsidRDefault="00B933B6" w:rsidP="00E00A83">
            <w:pPr>
              <w:widowControl w:val="0"/>
              <w:spacing w:after="60"/>
              <w:jc w:val="center"/>
              <w:rPr>
                <w:rFonts w:asciiTheme="majorHAnsi" w:hAnsiTheme="majorHAnsi" w:cstheme="majorHAnsi"/>
                <w:b/>
                <w:sz w:val="18"/>
                <w:szCs w:val="18"/>
              </w:rPr>
            </w:pPr>
            <w:r w:rsidRPr="00A76411">
              <w:rPr>
                <w:rFonts w:asciiTheme="majorHAnsi" w:hAnsiTheme="majorHAnsi" w:cstheme="majorHAnsi"/>
                <w:b/>
                <w:sz w:val="18"/>
                <w:szCs w:val="18"/>
              </w:rPr>
              <w:t>R</w:t>
            </w:r>
            <w:r w:rsidR="00071C0F" w:rsidRPr="00A76411">
              <w:rPr>
                <w:rFonts w:asciiTheme="majorHAnsi" w:hAnsiTheme="majorHAnsi" w:cstheme="majorHAnsi"/>
                <w:b/>
                <w:sz w:val="18"/>
                <w:szCs w:val="18"/>
              </w:rPr>
              <w:t>B</w:t>
            </w:r>
            <w:r w:rsidRPr="00A76411">
              <w:rPr>
                <w:rFonts w:asciiTheme="majorHAnsi" w:hAnsiTheme="majorHAnsi" w:cstheme="majorHAnsi"/>
                <w:b/>
                <w:sz w:val="18"/>
                <w:szCs w:val="18"/>
              </w:rPr>
              <w:t>C</w:t>
            </w:r>
            <w:r w:rsidR="00071C0F" w:rsidRPr="00A76411">
              <w:rPr>
                <w:rFonts w:asciiTheme="majorHAnsi" w:hAnsiTheme="majorHAnsi" w:cstheme="majorHAnsi"/>
                <w:b/>
                <w:sz w:val="18"/>
                <w:szCs w:val="18"/>
              </w:rPr>
              <w:t>.</w:t>
            </w:r>
            <w:r w:rsidRPr="00A76411">
              <w:rPr>
                <w:rFonts w:asciiTheme="majorHAnsi" w:hAnsiTheme="majorHAnsi" w:cstheme="majorHAnsi"/>
                <w:b/>
                <w:sz w:val="18"/>
                <w:szCs w:val="18"/>
              </w:rPr>
              <w:t xml:space="preserve">349 Niva Labe u </w:t>
            </w:r>
            <w:r w:rsidR="004C536A" w:rsidRPr="00A76411">
              <w:rPr>
                <w:rFonts w:asciiTheme="majorHAnsi" w:hAnsiTheme="majorHAnsi" w:cstheme="majorHAnsi"/>
                <w:b/>
                <w:sz w:val="18"/>
                <w:szCs w:val="18"/>
              </w:rPr>
              <w:t>Lysé nad Labem</w:t>
            </w:r>
          </w:p>
        </w:tc>
        <w:tc>
          <w:tcPr>
            <w:tcW w:w="1417" w:type="dxa"/>
            <w:tcBorders>
              <w:top w:val="single" w:sz="12" w:space="0" w:color="auto"/>
            </w:tcBorders>
            <w:vAlign w:val="center"/>
          </w:tcPr>
          <w:p w14:paraId="14F0BCFE" w14:textId="77777777" w:rsidR="00B933B6" w:rsidRPr="006070EA" w:rsidRDefault="00B933B6" w:rsidP="00E00A83">
            <w:pPr>
              <w:widowControl w:val="0"/>
              <w:spacing w:after="60"/>
              <w:jc w:val="center"/>
              <w:rPr>
                <w:rFonts w:asciiTheme="majorHAnsi" w:hAnsiTheme="majorHAnsi" w:cstheme="majorHAnsi"/>
                <w:sz w:val="18"/>
                <w:szCs w:val="18"/>
              </w:rPr>
            </w:pPr>
            <w:r w:rsidRPr="006070EA">
              <w:rPr>
                <w:rFonts w:asciiTheme="majorHAnsi" w:hAnsiTheme="majorHAnsi" w:cstheme="majorHAnsi"/>
                <w:sz w:val="18"/>
                <w:szCs w:val="18"/>
              </w:rPr>
              <w:t>Rozloha: 813 ha (celkem)</w:t>
            </w:r>
          </w:p>
          <w:p w14:paraId="3D17FD9E" w14:textId="71341292" w:rsidR="00B933B6" w:rsidRPr="006070EA" w:rsidRDefault="00B933B6" w:rsidP="00E00A83">
            <w:pPr>
              <w:widowControl w:val="0"/>
              <w:spacing w:after="60"/>
              <w:jc w:val="center"/>
              <w:rPr>
                <w:rFonts w:asciiTheme="majorHAnsi" w:hAnsiTheme="majorHAnsi" w:cstheme="majorHAnsi"/>
                <w:sz w:val="18"/>
                <w:szCs w:val="18"/>
              </w:rPr>
            </w:pPr>
            <w:r w:rsidRPr="006070EA">
              <w:rPr>
                <w:rFonts w:asciiTheme="majorHAnsi" w:hAnsiTheme="majorHAnsi" w:cstheme="majorHAnsi"/>
                <w:sz w:val="18"/>
                <w:szCs w:val="18"/>
              </w:rPr>
              <w:t>14,2 ha</w:t>
            </w:r>
            <w:r w:rsidR="008A763D" w:rsidRPr="006070EA">
              <w:rPr>
                <w:rFonts w:asciiTheme="majorHAnsi" w:hAnsiTheme="majorHAnsi" w:cstheme="majorHAnsi"/>
                <w:sz w:val="18"/>
                <w:szCs w:val="18"/>
              </w:rPr>
              <w:t xml:space="preserve"> (v řešeném území)</w:t>
            </w:r>
          </w:p>
        </w:tc>
        <w:tc>
          <w:tcPr>
            <w:tcW w:w="1134" w:type="dxa"/>
            <w:tcBorders>
              <w:top w:val="single" w:sz="12" w:space="0" w:color="auto"/>
            </w:tcBorders>
            <w:vAlign w:val="center"/>
          </w:tcPr>
          <w:p w14:paraId="5C696E23" w14:textId="77777777" w:rsidR="00B933B6" w:rsidRPr="006070EA" w:rsidRDefault="00B933B6" w:rsidP="00E00A83">
            <w:pPr>
              <w:widowControl w:val="0"/>
              <w:spacing w:after="60"/>
              <w:jc w:val="center"/>
              <w:rPr>
                <w:rFonts w:asciiTheme="majorHAnsi" w:hAnsiTheme="majorHAnsi" w:cstheme="majorHAnsi"/>
                <w:sz w:val="18"/>
                <w:szCs w:val="18"/>
              </w:rPr>
            </w:pPr>
            <w:r w:rsidRPr="006070EA">
              <w:rPr>
                <w:rFonts w:asciiTheme="majorHAnsi" w:hAnsiTheme="majorHAnsi" w:cstheme="majorHAnsi"/>
                <w:sz w:val="18"/>
                <w:szCs w:val="18"/>
              </w:rPr>
              <w:t>Funkční</w:t>
            </w:r>
          </w:p>
        </w:tc>
        <w:tc>
          <w:tcPr>
            <w:tcW w:w="5102" w:type="dxa"/>
            <w:tcBorders>
              <w:top w:val="single" w:sz="12" w:space="0" w:color="auto"/>
            </w:tcBorders>
            <w:vAlign w:val="center"/>
          </w:tcPr>
          <w:p w14:paraId="63E1A89F" w14:textId="4ABC62F6" w:rsidR="00B933B6" w:rsidRPr="006070EA" w:rsidRDefault="00B933B6" w:rsidP="00B933B6">
            <w:pPr>
              <w:widowControl w:val="0"/>
              <w:spacing w:after="60"/>
              <w:jc w:val="both"/>
              <w:rPr>
                <w:rFonts w:asciiTheme="majorHAnsi" w:hAnsiTheme="majorHAnsi" w:cstheme="majorHAnsi"/>
                <w:sz w:val="18"/>
                <w:szCs w:val="18"/>
              </w:rPr>
            </w:pPr>
            <w:r w:rsidRPr="006070EA">
              <w:rPr>
                <w:rFonts w:asciiTheme="majorHAnsi" w:hAnsiTheme="majorHAnsi" w:cstheme="majorHAnsi"/>
                <w:i/>
                <w:iCs/>
                <w:sz w:val="18"/>
                <w:szCs w:val="18"/>
              </w:rPr>
              <w:t>Popis</w:t>
            </w:r>
            <w:r w:rsidRPr="006070EA">
              <w:rPr>
                <w:rFonts w:asciiTheme="majorHAnsi" w:hAnsiTheme="majorHAnsi" w:cstheme="majorHAnsi"/>
                <w:sz w:val="18"/>
                <w:szCs w:val="18"/>
              </w:rPr>
              <w:t>: Nivní společenstva po obou březích Labe od okresní hranice Praha-východ – Nymburk až na západní hranici k. ú. Kostomlaty nad Labem. Převážnou část biocentra zaujímají lesy, luční společenstva se vyskytují místy podél Starého Labe a roztroušeně v lesích a při orné půdě. Ve východní části biocentra jsou chatové osady. Chatové osady jižně od Ostré jsou intenzivněji využívány (oplocení, hustá zástavba, introdukované dřeviny).</w:t>
            </w:r>
          </w:p>
          <w:p w14:paraId="630ED24C" w14:textId="77777777" w:rsidR="00B933B6" w:rsidRPr="006070EA" w:rsidRDefault="00B933B6" w:rsidP="00B933B6">
            <w:pPr>
              <w:widowControl w:val="0"/>
              <w:spacing w:after="60"/>
              <w:jc w:val="both"/>
              <w:rPr>
                <w:rFonts w:asciiTheme="majorHAnsi" w:hAnsiTheme="majorHAnsi" w:cstheme="majorHAnsi"/>
                <w:sz w:val="18"/>
                <w:szCs w:val="18"/>
              </w:rPr>
            </w:pPr>
            <w:r w:rsidRPr="006070EA">
              <w:rPr>
                <w:rFonts w:asciiTheme="majorHAnsi" w:hAnsiTheme="majorHAnsi" w:cstheme="majorHAnsi"/>
                <w:sz w:val="18"/>
                <w:szCs w:val="18"/>
              </w:rPr>
              <w:t>Půdy převážně nivní, na nivních uloženinách, s dobrými vláhovými poměry, okrajově pak nivní na pískách, výsušné, nivní na nivních uloženinách se sklonem k převlhčení a glejové středně až velmi těžké, zamokřené, po odvodnění vhodné jen pro louky</w:t>
            </w:r>
          </w:p>
          <w:p w14:paraId="4AA69516" w14:textId="77777777" w:rsidR="00B933B6" w:rsidRPr="006070EA" w:rsidRDefault="00B933B6" w:rsidP="00B933B6">
            <w:pPr>
              <w:widowControl w:val="0"/>
              <w:spacing w:after="60"/>
              <w:jc w:val="both"/>
              <w:rPr>
                <w:rFonts w:asciiTheme="majorHAnsi" w:hAnsiTheme="majorHAnsi" w:cstheme="majorHAnsi"/>
                <w:sz w:val="18"/>
                <w:szCs w:val="18"/>
              </w:rPr>
            </w:pPr>
            <w:r w:rsidRPr="006070EA">
              <w:rPr>
                <w:rFonts w:asciiTheme="majorHAnsi" w:hAnsiTheme="majorHAnsi" w:cstheme="majorHAnsi"/>
                <w:i/>
                <w:iCs/>
                <w:sz w:val="18"/>
                <w:szCs w:val="18"/>
              </w:rPr>
              <w:t>Geobiocenologická typizace</w:t>
            </w:r>
            <w:r w:rsidRPr="006070EA">
              <w:rPr>
                <w:rFonts w:asciiTheme="majorHAnsi" w:hAnsiTheme="majorHAnsi" w:cstheme="majorHAnsi"/>
                <w:sz w:val="18"/>
                <w:szCs w:val="18"/>
              </w:rPr>
              <w:t>: 2B2, 2BC3, 2BC4, 2BC5, 2C5</w:t>
            </w:r>
          </w:p>
          <w:p w14:paraId="73B240E9" w14:textId="77777777" w:rsidR="00B933B6" w:rsidRPr="006070EA" w:rsidRDefault="00B933B6" w:rsidP="00B933B6">
            <w:pPr>
              <w:widowControl w:val="0"/>
              <w:spacing w:after="60"/>
              <w:jc w:val="both"/>
              <w:rPr>
                <w:rFonts w:asciiTheme="majorHAnsi" w:hAnsiTheme="majorHAnsi" w:cstheme="majorHAnsi"/>
                <w:sz w:val="18"/>
                <w:szCs w:val="18"/>
              </w:rPr>
            </w:pPr>
            <w:r w:rsidRPr="006070EA">
              <w:rPr>
                <w:rFonts w:asciiTheme="majorHAnsi" w:hAnsiTheme="majorHAnsi" w:cstheme="majorHAnsi"/>
                <w:i/>
                <w:iCs/>
                <w:sz w:val="18"/>
                <w:szCs w:val="18"/>
              </w:rPr>
              <w:t>Fyziotyp</w:t>
            </w:r>
            <w:r w:rsidRPr="006070EA">
              <w:rPr>
                <w:rFonts w:asciiTheme="majorHAnsi" w:hAnsiTheme="majorHAnsi" w:cstheme="majorHAnsi"/>
                <w:sz w:val="18"/>
                <w:szCs w:val="18"/>
              </w:rPr>
              <w:t>: VO, LO, MT, KR, SE, RU</w:t>
            </w:r>
          </w:p>
          <w:p w14:paraId="18711545" w14:textId="77777777" w:rsidR="00B933B6" w:rsidRPr="006070EA" w:rsidRDefault="00B933B6" w:rsidP="00B933B6">
            <w:pPr>
              <w:widowControl w:val="0"/>
              <w:spacing w:after="60"/>
              <w:jc w:val="both"/>
              <w:rPr>
                <w:rFonts w:asciiTheme="majorHAnsi" w:hAnsiTheme="majorHAnsi" w:cstheme="majorHAnsi"/>
                <w:sz w:val="18"/>
                <w:szCs w:val="18"/>
              </w:rPr>
            </w:pPr>
            <w:r w:rsidRPr="006070EA">
              <w:rPr>
                <w:rFonts w:asciiTheme="majorHAnsi" w:hAnsiTheme="majorHAnsi" w:cstheme="majorHAnsi"/>
                <w:i/>
                <w:iCs/>
                <w:sz w:val="18"/>
                <w:szCs w:val="18"/>
              </w:rPr>
              <w:t>Možné znehodnocení</w:t>
            </w:r>
            <w:r w:rsidRPr="006070EA">
              <w:rPr>
                <w:rFonts w:asciiTheme="majorHAnsi" w:hAnsiTheme="majorHAnsi" w:cstheme="majorHAnsi"/>
                <w:sz w:val="18"/>
                <w:szCs w:val="18"/>
              </w:rPr>
              <w:t>: intenzifikace využívání</w:t>
            </w:r>
          </w:p>
          <w:p w14:paraId="2319ED2B" w14:textId="12E3C935" w:rsidR="00B933B6" w:rsidRPr="006070EA" w:rsidRDefault="00B933B6" w:rsidP="00B933B6">
            <w:pPr>
              <w:widowControl w:val="0"/>
              <w:spacing w:after="60"/>
              <w:jc w:val="both"/>
              <w:rPr>
                <w:rFonts w:asciiTheme="majorHAnsi" w:hAnsiTheme="majorHAnsi" w:cstheme="majorHAnsi"/>
                <w:sz w:val="18"/>
                <w:szCs w:val="18"/>
              </w:rPr>
            </w:pPr>
            <w:r w:rsidRPr="006070EA">
              <w:rPr>
                <w:rFonts w:asciiTheme="majorHAnsi" w:hAnsiTheme="majorHAnsi" w:cstheme="majorHAnsi"/>
                <w:i/>
                <w:iCs/>
                <w:sz w:val="18"/>
                <w:szCs w:val="18"/>
              </w:rPr>
              <w:t>Návrh opatření</w:t>
            </w:r>
            <w:r w:rsidRPr="006070EA">
              <w:rPr>
                <w:rFonts w:asciiTheme="majorHAnsi" w:hAnsiTheme="majorHAnsi" w:cstheme="majorHAnsi"/>
                <w:sz w:val="18"/>
                <w:szCs w:val="18"/>
              </w:rPr>
              <w:t>: podél cest a vodotečí dosadba liniové zeleně.</w:t>
            </w:r>
          </w:p>
        </w:tc>
      </w:tr>
      <w:tr w:rsidR="00B158F2" w:rsidRPr="006070EA" w14:paraId="0100F54C" w14:textId="77777777" w:rsidTr="00DA21D4">
        <w:trPr>
          <w:cantSplit/>
          <w:trHeight w:val="283"/>
          <w:jc w:val="center"/>
        </w:trPr>
        <w:tc>
          <w:tcPr>
            <w:tcW w:w="9070" w:type="dxa"/>
            <w:gridSpan w:val="4"/>
            <w:tcBorders>
              <w:top w:val="single" w:sz="12" w:space="0" w:color="auto"/>
              <w:bottom w:val="single" w:sz="12" w:space="0" w:color="auto"/>
            </w:tcBorders>
            <w:vAlign w:val="center"/>
          </w:tcPr>
          <w:p w14:paraId="3DCD1DE7" w14:textId="77777777" w:rsidR="004F1A10" w:rsidRPr="006070EA" w:rsidRDefault="004F1A10" w:rsidP="00937BDA">
            <w:pPr>
              <w:keepNext/>
              <w:widowControl w:val="0"/>
              <w:jc w:val="center"/>
              <w:rPr>
                <w:rFonts w:asciiTheme="majorHAnsi" w:hAnsiTheme="majorHAnsi" w:cstheme="majorHAnsi"/>
                <w:b/>
                <w:sz w:val="18"/>
                <w:szCs w:val="18"/>
              </w:rPr>
            </w:pPr>
            <w:r w:rsidRPr="006070EA">
              <w:rPr>
                <w:rFonts w:asciiTheme="majorHAnsi" w:hAnsiTheme="majorHAnsi" w:cstheme="majorHAnsi"/>
                <w:b/>
                <w:sz w:val="18"/>
                <w:szCs w:val="18"/>
              </w:rPr>
              <w:lastRenderedPageBreak/>
              <w:t>LOKÁLNÍ BIOCENTRA</w:t>
            </w:r>
          </w:p>
        </w:tc>
      </w:tr>
      <w:tr w:rsidR="00B0603E" w:rsidRPr="006070EA" w14:paraId="12AEE7B3" w14:textId="77777777" w:rsidTr="00E07991">
        <w:trPr>
          <w:cantSplit/>
          <w:jc w:val="center"/>
        </w:trPr>
        <w:tc>
          <w:tcPr>
            <w:tcW w:w="1417" w:type="dxa"/>
            <w:tcBorders>
              <w:top w:val="single" w:sz="12" w:space="0" w:color="auto"/>
            </w:tcBorders>
            <w:vAlign w:val="center"/>
          </w:tcPr>
          <w:p w14:paraId="1CCF17F0" w14:textId="46099543" w:rsidR="00B0603E" w:rsidRPr="006070EA" w:rsidRDefault="00B0603E" w:rsidP="00E06BB8">
            <w:pPr>
              <w:widowControl w:val="0"/>
              <w:spacing w:after="60"/>
              <w:jc w:val="center"/>
              <w:rPr>
                <w:rFonts w:asciiTheme="majorHAnsi" w:hAnsiTheme="majorHAnsi" w:cstheme="majorHAnsi"/>
                <w:b/>
                <w:sz w:val="18"/>
                <w:szCs w:val="18"/>
              </w:rPr>
            </w:pPr>
            <w:r w:rsidRPr="006070EA">
              <w:rPr>
                <w:rFonts w:asciiTheme="majorHAnsi" w:hAnsiTheme="majorHAnsi" w:cstheme="majorHAnsi"/>
                <w:b/>
                <w:sz w:val="18"/>
                <w:szCs w:val="18"/>
              </w:rPr>
              <w:t>L</w:t>
            </w:r>
            <w:r w:rsidR="00071C0F" w:rsidRPr="006070EA">
              <w:rPr>
                <w:rFonts w:asciiTheme="majorHAnsi" w:hAnsiTheme="majorHAnsi" w:cstheme="majorHAnsi"/>
                <w:b/>
                <w:sz w:val="18"/>
                <w:szCs w:val="18"/>
              </w:rPr>
              <w:t>B</w:t>
            </w:r>
            <w:r w:rsidRPr="006070EA">
              <w:rPr>
                <w:rFonts w:asciiTheme="majorHAnsi" w:hAnsiTheme="majorHAnsi" w:cstheme="majorHAnsi"/>
                <w:b/>
                <w:sz w:val="18"/>
                <w:szCs w:val="18"/>
              </w:rPr>
              <w:t>C</w:t>
            </w:r>
            <w:r w:rsidR="00071C0F" w:rsidRPr="006070EA">
              <w:rPr>
                <w:rFonts w:asciiTheme="majorHAnsi" w:hAnsiTheme="majorHAnsi" w:cstheme="majorHAnsi"/>
                <w:b/>
                <w:sz w:val="18"/>
                <w:szCs w:val="18"/>
              </w:rPr>
              <w:t>.</w:t>
            </w:r>
            <w:r w:rsidRPr="006070EA">
              <w:rPr>
                <w:rFonts w:asciiTheme="majorHAnsi" w:hAnsiTheme="majorHAnsi" w:cstheme="majorHAnsi"/>
                <w:b/>
                <w:sz w:val="18"/>
                <w:szCs w:val="18"/>
              </w:rPr>
              <w:t>1</w:t>
            </w:r>
          </w:p>
          <w:p w14:paraId="4FD615EC" w14:textId="180853F3" w:rsidR="00B0603E" w:rsidRPr="006070EA" w:rsidRDefault="00B0603E" w:rsidP="00E06BB8">
            <w:pPr>
              <w:widowControl w:val="0"/>
              <w:spacing w:after="60"/>
              <w:jc w:val="center"/>
              <w:rPr>
                <w:rFonts w:asciiTheme="majorHAnsi" w:hAnsiTheme="majorHAnsi" w:cstheme="majorHAnsi"/>
                <w:b/>
                <w:sz w:val="18"/>
                <w:szCs w:val="18"/>
              </w:rPr>
            </w:pPr>
            <w:r w:rsidRPr="006070EA">
              <w:rPr>
                <w:rFonts w:asciiTheme="majorHAnsi" w:hAnsiTheme="majorHAnsi" w:cstheme="majorHAnsi"/>
                <w:b/>
                <w:sz w:val="18"/>
                <w:szCs w:val="18"/>
              </w:rPr>
              <w:t>V Bažantnici</w:t>
            </w:r>
          </w:p>
        </w:tc>
        <w:tc>
          <w:tcPr>
            <w:tcW w:w="1417" w:type="dxa"/>
            <w:tcBorders>
              <w:top w:val="single" w:sz="12" w:space="0" w:color="auto"/>
            </w:tcBorders>
            <w:vAlign w:val="center"/>
          </w:tcPr>
          <w:p w14:paraId="6313EBDE" w14:textId="1B7467B7" w:rsidR="00B0603E" w:rsidRPr="006070EA" w:rsidRDefault="00B0603E" w:rsidP="00E703D9">
            <w:pPr>
              <w:widowControl w:val="0"/>
              <w:spacing w:after="60"/>
              <w:jc w:val="center"/>
              <w:rPr>
                <w:rFonts w:asciiTheme="majorHAnsi" w:hAnsiTheme="majorHAnsi" w:cstheme="majorHAnsi"/>
                <w:sz w:val="18"/>
                <w:szCs w:val="18"/>
              </w:rPr>
            </w:pPr>
            <w:r w:rsidRPr="006070EA">
              <w:rPr>
                <w:rFonts w:asciiTheme="majorHAnsi" w:hAnsiTheme="majorHAnsi" w:cstheme="majorHAnsi"/>
                <w:sz w:val="18"/>
                <w:szCs w:val="18"/>
              </w:rPr>
              <w:t>Rozloha: 5,67 ha</w:t>
            </w:r>
          </w:p>
        </w:tc>
        <w:tc>
          <w:tcPr>
            <w:tcW w:w="1134" w:type="dxa"/>
            <w:tcBorders>
              <w:top w:val="single" w:sz="12" w:space="0" w:color="auto"/>
            </w:tcBorders>
            <w:vAlign w:val="center"/>
          </w:tcPr>
          <w:p w14:paraId="0E4C7FD0" w14:textId="1F3F7E93" w:rsidR="00B0603E" w:rsidRPr="006070EA" w:rsidRDefault="00B0603E" w:rsidP="00616F2B">
            <w:pPr>
              <w:widowControl w:val="0"/>
              <w:spacing w:after="60"/>
              <w:jc w:val="center"/>
              <w:rPr>
                <w:rFonts w:asciiTheme="majorHAnsi" w:hAnsiTheme="majorHAnsi" w:cstheme="majorHAnsi"/>
                <w:sz w:val="18"/>
                <w:szCs w:val="18"/>
              </w:rPr>
            </w:pPr>
            <w:r w:rsidRPr="006070EA">
              <w:rPr>
                <w:rFonts w:asciiTheme="majorHAnsi" w:hAnsiTheme="majorHAnsi" w:cstheme="majorHAnsi"/>
                <w:sz w:val="18"/>
                <w:szCs w:val="18"/>
              </w:rPr>
              <w:t>Částečně funkční</w:t>
            </w:r>
          </w:p>
        </w:tc>
        <w:tc>
          <w:tcPr>
            <w:tcW w:w="5102" w:type="dxa"/>
            <w:tcBorders>
              <w:top w:val="single" w:sz="12" w:space="0" w:color="auto"/>
            </w:tcBorders>
            <w:vAlign w:val="center"/>
          </w:tcPr>
          <w:p w14:paraId="747258F0" w14:textId="77777777" w:rsidR="00B0603E" w:rsidRPr="006070EA" w:rsidRDefault="00B0603E" w:rsidP="00E703D9">
            <w:pPr>
              <w:widowControl w:val="0"/>
              <w:spacing w:after="60"/>
              <w:rPr>
                <w:rFonts w:asciiTheme="majorHAnsi" w:hAnsiTheme="majorHAnsi" w:cstheme="majorHAnsi"/>
                <w:sz w:val="18"/>
                <w:szCs w:val="18"/>
              </w:rPr>
            </w:pPr>
            <w:r w:rsidRPr="006070EA">
              <w:rPr>
                <w:rFonts w:asciiTheme="majorHAnsi" w:hAnsiTheme="majorHAnsi" w:cstheme="majorHAnsi"/>
                <w:i/>
                <w:iCs/>
                <w:sz w:val="18"/>
                <w:szCs w:val="18"/>
              </w:rPr>
              <w:t>Popis</w:t>
            </w:r>
            <w:r w:rsidRPr="006070EA">
              <w:rPr>
                <w:rFonts w:asciiTheme="majorHAnsi" w:hAnsiTheme="majorHAnsi" w:cstheme="majorHAnsi"/>
                <w:sz w:val="18"/>
                <w:szCs w:val="18"/>
              </w:rPr>
              <w:t>: lesní plocha mezi polemi a doprovodný porost Hlubokého příkopu, biocentrum zahrne i část okolních polí, voda ve vodním toku je čistá.</w:t>
            </w:r>
          </w:p>
          <w:p w14:paraId="61CAE233" w14:textId="77777777" w:rsidR="00B0603E" w:rsidRPr="006070EA" w:rsidRDefault="00B0603E" w:rsidP="00E703D9">
            <w:pPr>
              <w:widowControl w:val="0"/>
              <w:spacing w:after="60"/>
              <w:rPr>
                <w:rFonts w:asciiTheme="majorHAnsi" w:hAnsiTheme="majorHAnsi" w:cstheme="majorHAnsi"/>
                <w:sz w:val="18"/>
                <w:szCs w:val="18"/>
              </w:rPr>
            </w:pPr>
            <w:r w:rsidRPr="006070EA">
              <w:rPr>
                <w:rFonts w:asciiTheme="majorHAnsi" w:hAnsiTheme="majorHAnsi" w:cstheme="majorHAnsi"/>
                <w:sz w:val="18"/>
                <w:szCs w:val="18"/>
              </w:rPr>
              <w:t>Listnatý degradovaný nepůvodní porost, vodní tok s doprovodnými křovinami.</w:t>
            </w:r>
          </w:p>
          <w:p w14:paraId="3F54B7D6" w14:textId="77777777" w:rsidR="00B0603E" w:rsidRPr="006070EA" w:rsidRDefault="00B0603E" w:rsidP="00E703D9">
            <w:pPr>
              <w:widowControl w:val="0"/>
              <w:spacing w:after="60"/>
              <w:rPr>
                <w:rFonts w:asciiTheme="majorHAnsi" w:hAnsiTheme="majorHAnsi" w:cstheme="majorHAnsi"/>
                <w:sz w:val="18"/>
                <w:szCs w:val="18"/>
              </w:rPr>
            </w:pPr>
            <w:r w:rsidRPr="006070EA">
              <w:rPr>
                <w:rFonts w:asciiTheme="majorHAnsi" w:hAnsiTheme="majorHAnsi" w:cstheme="majorHAnsi"/>
                <w:i/>
                <w:iCs/>
                <w:sz w:val="18"/>
                <w:szCs w:val="18"/>
              </w:rPr>
              <w:t>Geobiocenologická typizace</w:t>
            </w:r>
            <w:r w:rsidRPr="006070EA">
              <w:rPr>
                <w:rFonts w:asciiTheme="majorHAnsi" w:hAnsiTheme="majorHAnsi" w:cstheme="majorHAnsi"/>
                <w:sz w:val="18"/>
                <w:szCs w:val="18"/>
              </w:rPr>
              <w:t>: 1BC3</w:t>
            </w:r>
          </w:p>
          <w:p w14:paraId="301D6981" w14:textId="77777777" w:rsidR="00B0603E" w:rsidRPr="006070EA" w:rsidRDefault="00B0603E" w:rsidP="00E703D9">
            <w:pPr>
              <w:widowControl w:val="0"/>
              <w:spacing w:after="60"/>
              <w:rPr>
                <w:rFonts w:asciiTheme="majorHAnsi" w:hAnsiTheme="majorHAnsi" w:cstheme="majorHAnsi"/>
                <w:sz w:val="18"/>
                <w:szCs w:val="18"/>
              </w:rPr>
            </w:pPr>
            <w:r w:rsidRPr="006070EA">
              <w:rPr>
                <w:rFonts w:asciiTheme="majorHAnsi" w:hAnsiTheme="majorHAnsi" w:cstheme="majorHAnsi"/>
                <w:i/>
                <w:iCs/>
                <w:sz w:val="18"/>
                <w:szCs w:val="18"/>
              </w:rPr>
              <w:t>Cílový stav</w:t>
            </w:r>
            <w:r w:rsidRPr="006070EA">
              <w:rPr>
                <w:rFonts w:asciiTheme="majorHAnsi" w:hAnsiTheme="majorHAnsi" w:cstheme="majorHAnsi"/>
                <w:sz w:val="18"/>
                <w:szCs w:val="18"/>
              </w:rPr>
              <w:t>: lesní remíz s převahou přirozených dřevin, doprovodný kvalitní porost u toku a malá nárazová louka</w:t>
            </w:r>
          </w:p>
          <w:p w14:paraId="73654EC1" w14:textId="77777777" w:rsidR="00B0603E" w:rsidRPr="006070EA" w:rsidRDefault="00B0603E" w:rsidP="00E703D9">
            <w:pPr>
              <w:widowControl w:val="0"/>
              <w:spacing w:after="60"/>
              <w:rPr>
                <w:rFonts w:asciiTheme="majorHAnsi" w:hAnsiTheme="majorHAnsi" w:cstheme="majorHAnsi"/>
                <w:sz w:val="18"/>
                <w:szCs w:val="18"/>
              </w:rPr>
            </w:pPr>
            <w:r w:rsidRPr="006070EA">
              <w:rPr>
                <w:rFonts w:asciiTheme="majorHAnsi" w:hAnsiTheme="majorHAnsi" w:cstheme="majorHAnsi"/>
                <w:i/>
                <w:iCs/>
                <w:sz w:val="18"/>
                <w:szCs w:val="18"/>
              </w:rPr>
              <w:t>Dřeviny a křoviny</w:t>
            </w:r>
            <w:r w:rsidRPr="006070EA">
              <w:rPr>
                <w:rFonts w:asciiTheme="majorHAnsi" w:hAnsiTheme="majorHAnsi" w:cstheme="majorHAnsi"/>
                <w:sz w:val="18"/>
                <w:szCs w:val="18"/>
              </w:rPr>
              <w:t>: TPH, BRB, VRK, svk, bzč, bre, tro, ržpo, ptz</w:t>
            </w:r>
          </w:p>
          <w:p w14:paraId="108B3A9A" w14:textId="77777777" w:rsidR="00B0603E" w:rsidRPr="006070EA" w:rsidRDefault="00B0603E" w:rsidP="00E703D9">
            <w:pPr>
              <w:widowControl w:val="0"/>
              <w:spacing w:after="60"/>
              <w:rPr>
                <w:rFonts w:asciiTheme="majorHAnsi" w:hAnsiTheme="majorHAnsi" w:cstheme="majorHAnsi"/>
                <w:sz w:val="18"/>
                <w:szCs w:val="18"/>
              </w:rPr>
            </w:pPr>
            <w:r w:rsidRPr="006070EA">
              <w:rPr>
                <w:rFonts w:asciiTheme="majorHAnsi" w:hAnsiTheme="majorHAnsi" w:cstheme="majorHAnsi"/>
                <w:i/>
                <w:iCs/>
                <w:sz w:val="18"/>
                <w:szCs w:val="18"/>
              </w:rPr>
              <w:t>Byliny</w:t>
            </w:r>
            <w:r w:rsidRPr="006070EA">
              <w:rPr>
                <w:rFonts w:asciiTheme="majorHAnsi" w:hAnsiTheme="majorHAnsi" w:cstheme="majorHAnsi"/>
                <w:sz w:val="18"/>
                <w:szCs w:val="18"/>
              </w:rPr>
              <w:t>: porost jen podle toku – krabilice mámivá, kopřiva dvoudomá, svízel přítula, bolševník obecný, okřehek vodní, opletník plotní, vrbina obecná</w:t>
            </w:r>
          </w:p>
          <w:p w14:paraId="4853DC6B" w14:textId="77777777" w:rsidR="00B0603E" w:rsidRPr="006070EA" w:rsidRDefault="00B0603E" w:rsidP="00E703D9">
            <w:pPr>
              <w:widowControl w:val="0"/>
              <w:spacing w:after="60"/>
              <w:rPr>
                <w:rFonts w:asciiTheme="majorHAnsi" w:hAnsiTheme="majorHAnsi" w:cstheme="majorHAnsi"/>
                <w:sz w:val="18"/>
                <w:szCs w:val="18"/>
              </w:rPr>
            </w:pPr>
            <w:r w:rsidRPr="006070EA">
              <w:rPr>
                <w:rFonts w:asciiTheme="majorHAnsi" w:hAnsiTheme="majorHAnsi" w:cstheme="majorHAnsi"/>
                <w:i/>
                <w:iCs/>
                <w:sz w:val="18"/>
                <w:szCs w:val="18"/>
              </w:rPr>
              <w:t>Fauna</w:t>
            </w:r>
            <w:r w:rsidRPr="006070EA">
              <w:rPr>
                <w:rFonts w:asciiTheme="majorHAnsi" w:hAnsiTheme="majorHAnsi" w:cstheme="majorHAnsi"/>
                <w:sz w:val="18"/>
                <w:szCs w:val="18"/>
              </w:rPr>
              <w:t>: poštolka obecná, koroptev polní</w:t>
            </w:r>
          </w:p>
          <w:p w14:paraId="543BD0BB" w14:textId="77777777" w:rsidR="00B0603E" w:rsidRPr="006070EA" w:rsidRDefault="00B0603E" w:rsidP="00E703D9">
            <w:pPr>
              <w:widowControl w:val="0"/>
              <w:spacing w:after="60"/>
              <w:rPr>
                <w:rFonts w:asciiTheme="majorHAnsi" w:hAnsiTheme="majorHAnsi" w:cstheme="majorHAnsi"/>
                <w:sz w:val="18"/>
                <w:szCs w:val="18"/>
              </w:rPr>
            </w:pPr>
            <w:r w:rsidRPr="006070EA">
              <w:rPr>
                <w:rFonts w:asciiTheme="majorHAnsi" w:hAnsiTheme="majorHAnsi" w:cstheme="majorHAnsi"/>
                <w:i/>
                <w:iCs/>
                <w:sz w:val="18"/>
                <w:szCs w:val="18"/>
              </w:rPr>
              <w:t>Fyziotyp</w:t>
            </w:r>
            <w:r w:rsidRPr="006070EA">
              <w:rPr>
                <w:rFonts w:asciiTheme="majorHAnsi" w:hAnsiTheme="majorHAnsi" w:cstheme="majorHAnsi"/>
                <w:sz w:val="18"/>
                <w:szCs w:val="18"/>
              </w:rPr>
              <w:t>: KU, VO, SE</w:t>
            </w:r>
          </w:p>
          <w:p w14:paraId="15C38A4D" w14:textId="77777777" w:rsidR="00B0603E" w:rsidRPr="006070EA" w:rsidRDefault="00B0603E" w:rsidP="00E703D9">
            <w:pPr>
              <w:widowControl w:val="0"/>
              <w:spacing w:after="60"/>
              <w:rPr>
                <w:rFonts w:asciiTheme="majorHAnsi" w:hAnsiTheme="majorHAnsi" w:cstheme="majorHAnsi"/>
                <w:sz w:val="18"/>
                <w:szCs w:val="18"/>
              </w:rPr>
            </w:pPr>
            <w:r w:rsidRPr="006070EA">
              <w:rPr>
                <w:rFonts w:asciiTheme="majorHAnsi" w:hAnsiTheme="majorHAnsi" w:cstheme="majorHAnsi"/>
                <w:i/>
                <w:iCs/>
                <w:sz w:val="18"/>
                <w:szCs w:val="18"/>
              </w:rPr>
              <w:t>Možné znehodnocení</w:t>
            </w:r>
            <w:r w:rsidRPr="006070EA">
              <w:rPr>
                <w:rFonts w:asciiTheme="majorHAnsi" w:hAnsiTheme="majorHAnsi" w:cstheme="majorHAnsi"/>
                <w:sz w:val="18"/>
                <w:szCs w:val="18"/>
              </w:rPr>
              <w:t>: vymýcení porostu, změna vedení toku</w:t>
            </w:r>
          </w:p>
          <w:p w14:paraId="099D62D3" w14:textId="77777777" w:rsidR="00B0603E" w:rsidRPr="006070EA" w:rsidRDefault="00B0603E" w:rsidP="00E703D9">
            <w:pPr>
              <w:widowControl w:val="0"/>
              <w:spacing w:after="60"/>
              <w:rPr>
                <w:rFonts w:asciiTheme="majorHAnsi" w:hAnsiTheme="majorHAnsi" w:cstheme="majorHAnsi"/>
                <w:sz w:val="18"/>
                <w:szCs w:val="18"/>
              </w:rPr>
            </w:pPr>
            <w:r w:rsidRPr="006070EA">
              <w:rPr>
                <w:rFonts w:asciiTheme="majorHAnsi" w:hAnsiTheme="majorHAnsi" w:cstheme="majorHAnsi"/>
                <w:i/>
                <w:iCs/>
                <w:sz w:val="18"/>
                <w:szCs w:val="18"/>
              </w:rPr>
              <w:t>Návrh opatření</w:t>
            </w:r>
            <w:r w:rsidRPr="006070EA">
              <w:rPr>
                <w:rFonts w:asciiTheme="majorHAnsi" w:hAnsiTheme="majorHAnsi" w:cstheme="majorHAnsi"/>
                <w:sz w:val="18"/>
                <w:szCs w:val="18"/>
              </w:rPr>
              <w:t>: dosadit do lokality postupně místní dřeviny, provést opatření uvedené v LHP a dodržet je (mýtní doba, obnovní doba, obnovní cíl), pročistit doprovodný porost, vytvořit nárazovou louku mezi polem a lesíkem nebo kanálem</w:t>
            </w:r>
          </w:p>
          <w:p w14:paraId="06DE2144" w14:textId="138FC9B7" w:rsidR="00B0603E" w:rsidRPr="006070EA" w:rsidRDefault="00B0603E" w:rsidP="00616F2B">
            <w:pPr>
              <w:widowControl w:val="0"/>
              <w:spacing w:after="60"/>
              <w:rPr>
                <w:rFonts w:asciiTheme="majorHAnsi" w:hAnsiTheme="majorHAnsi" w:cstheme="majorHAnsi"/>
                <w:sz w:val="18"/>
                <w:szCs w:val="18"/>
              </w:rPr>
            </w:pPr>
            <w:r w:rsidRPr="006070EA">
              <w:rPr>
                <w:rFonts w:asciiTheme="majorHAnsi" w:hAnsiTheme="majorHAnsi" w:cstheme="majorHAnsi"/>
                <w:sz w:val="18"/>
                <w:szCs w:val="18"/>
              </w:rPr>
              <w:t>Pro zajištění funkčnosti biocentra jsou vymezeny plochy změn v krajině K</w:t>
            </w:r>
            <w:r w:rsidR="00071C0F" w:rsidRPr="006070EA">
              <w:rPr>
                <w:rFonts w:asciiTheme="majorHAnsi" w:hAnsiTheme="majorHAnsi" w:cstheme="majorHAnsi"/>
                <w:sz w:val="18"/>
                <w:szCs w:val="18"/>
              </w:rPr>
              <w:t>.</w:t>
            </w:r>
            <w:r w:rsidRPr="006070EA">
              <w:rPr>
                <w:rFonts w:asciiTheme="majorHAnsi" w:hAnsiTheme="majorHAnsi" w:cstheme="majorHAnsi"/>
                <w:sz w:val="18"/>
                <w:szCs w:val="18"/>
              </w:rPr>
              <w:t>02 a K</w:t>
            </w:r>
            <w:r w:rsidR="00071C0F" w:rsidRPr="006070EA">
              <w:rPr>
                <w:rFonts w:asciiTheme="majorHAnsi" w:hAnsiTheme="majorHAnsi" w:cstheme="majorHAnsi"/>
                <w:sz w:val="18"/>
                <w:szCs w:val="18"/>
              </w:rPr>
              <w:t>.</w:t>
            </w:r>
            <w:r w:rsidRPr="006070EA">
              <w:rPr>
                <w:rFonts w:asciiTheme="majorHAnsi" w:hAnsiTheme="majorHAnsi" w:cstheme="majorHAnsi"/>
                <w:sz w:val="18"/>
                <w:szCs w:val="18"/>
              </w:rPr>
              <w:t>03</w:t>
            </w:r>
          </w:p>
        </w:tc>
      </w:tr>
      <w:tr w:rsidR="00126823" w:rsidRPr="006070EA" w14:paraId="5465ECC4" w14:textId="77777777" w:rsidTr="0052660A">
        <w:trPr>
          <w:cantSplit/>
          <w:jc w:val="center"/>
        </w:trPr>
        <w:tc>
          <w:tcPr>
            <w:tcW w:w="1417" w:type="dxa"/>
            <w:vAlign w:val="center"/>
          </w:tcPr>
          <w:p w14:paraId="7EA24C7A" w14:textId="0F8EE69D" w:rsidR="00126823" w:rsidRPr="006070EA" w:rsidRDefault="00126823" w:rsidP="00126823">
            <w:pPr>
              <w:widowControl w:val="0"/>
              <w:spacing w:after="60"/>
              <w:jc w:val="center"/>
              <w:rPr>
                <w:rFonts w:asciiTheme="majorHAnsi" w:hAnsiTheme="majorHAnsi" w:cstheme="majorHAnsi"/>
                <w:b/>
                <w:sz w:val="18"/>
                <w:szCs w:val="18"/>
              </w:rPr>
            </w:pPr>
            <w:r w:rsidRPr="006070EA">
              <w:rPr>
                <w:rFonts w:asciiTheme="majorHAnsi" w:hAnsiTheme="majorHAnsi" w:cstheme="majorHAnsi"/>
                <w:b/>
                <w:sz w:val="18"/>
                <w:szCs w:val="18"/>
              </w:rPr>
              <w:t>L</w:t>
            </w:r>
            <w:r w:rsidR="00071C0F" w:rsidRPr="006070EA">
              <w:rPr>
                <w:rFonts w:asciiTheme="majorHAnsi" w:hAnsiTheme="majorHAnsi" w:cstheme="majorHAnsi"/>
                <w:b/>
                <w:sz w:val="18"/>
                <w:szCs w:val="18"/>
              </w:rPr>
              <w:t>B</w:t>
            </w:r>
            <w:r w:rsidRPr="006070EA">
              <w:rPr>
                <w:rFonts w:asciiTheme="majorHAnsi" w:hAnsiTheme="majorHAnsi" w:cstheme="majorHAnsi"/>
                <w:b/>
                <w:sz w:val="18"/>
                <w:szCs w:val="18"/>
              </w:rPr>
              <w:t>C</w:t>
            </w:r>
            <w:r w:rsidR="00071C0F" w:rsidRPr="006070EA">
              <w:rPr>
                <w:rFonts w:asciiTheme="majorHAnsi" w:hAnsiTheme="majorHAnsi" w:cstheme="majorHAnsi"/>
                <w:b/>
                <w:sz w:val="18"/>
                <w:szCs w:val="18"/>
              </w:rPr>
              <w:t>.</w:t>
            </w:r>
            <w:r w:rsidRPr="006070EA">
              <w:rPr>
                <w:rFonts w:asciiTheme="majorHAnsi" w:hAnsiTheme="majorHAnsi" w:cstheme="majorHAnsi"/>
                <w:b/>
                <w:sz w:val="18"/>
                <w:szCs w:val="18"/>
              </w:rPr>
              <w:t>2 Na spraši</w:t>
            </w:r>
          </w:p>
        </w:tc>
        <w:tc>
          <w:tcPr>
            <w:tcW w:w="1417" w:type="dxa"/>
            <w:vAlign w:val="center"/>
          </w:tcPr>
          <w:p w14:paraId="335CD324" w14:textId="0FE4E50E" w:rsidR="00126823" w:rsidRPr="006070EA" w:rsidRDefault="00126823" w:rsidP="00126823">
            <w:pPr>
              <w:widowControl w:val="0"/>
              <w:spacing w:after="60"/>
              <w:jc w:val="center"/>
              <w:rPr>
                <w:rFonts w:asciiTheme="majorHAnsi" w:hAnsiTheme="majorHAnsi" w:cstheme="majorHAnsi"/>
                <w:sz w:val="18"/>
                <w:szCs w:val="18"/>
              </w:rPr>
            </w:pPr>
            <w:r w:rsidRPr="006070EA">
              <w:rPr>
                <w:rFonts w:asciiTheme="majorHAnsi" w:hAnsiTheme="majorHAnsi" w:cstheme="majorHAnsi"/>
                <w:sz w:val="18"/>
                <w:szCs w:val="18"/>
              </w:rPr>
              <w:t>Rozloha: 6,9 ha</w:t>
            </w:r>
          </w:p>
        </w:tc>
        <w:tc>
          <w:tcPr>
            <w:tcW w:w="1134" w:type="dxa"/>
            <w:vAlign w:val="center"/>
          </w:tcPr>
          <w:p w14:paraId="0B1CD86F" w14:textId="50DEE8D1" w:rsidR="00126823" w:rsidRPr="006070EA" w:rsidRDefault="00126823" w:rsidP="00126823">
            <w:pPr>
              <w:widowControl w:val="0"/>
              <w:spacing w:after="60"/>
              <w:jc w:val="center"/>
              <w:rPr>
                <w:rFonts w:asciiTheme="majorHAnsi" w:hAnsiTheme="majorHAnsi" w:cstheme="majorHAnsi"/>
                <w:sz w:val="18"/>
                <w:szCs w:val="18"/>
              </w:rPr>
            </w:pPr>
            <w:r w:rsidRPr="006070EA">
              <w:rPr>
                <w:rFonts w:asciiTheme="majorHAnsi" w:hAnsiTheme="majorHAnsi" w:cstheme="majorHAnsi"/>
                <w:sz w:val="18"/>
                <w:szCs w:val="18"/>
              </w:rPr>
              <w:t>Částečně funkční</w:t>
            </w:r>
          </w:p>
        </w:tc>
        <w:tc>
          <w:tcPr>
            <w:tcW w:w="5102" w:type="dxa"/>
            <w:vAlign w:val="center"/>
          </w:tcPr>
          <w:p w14:paraId="58E1CDC3" w14:textId="77777777" w:rsidR="00126823" w:rsidRPr="006070EA" w:rsidRDefault="00126823" w:rsidP="00126823">
            <w:pPr>
              <w:widowControl w:val="0"/>
              <w:spacing w:after="60"/>
              <w:rPr>
                <w:rFonts w:asciiTheme="majorHAnsi" w:hAnsiTheme="majorHAnsi" w:cstheme="majorHAnsi"/>
                <w:sz w:val="18"/>
                <w:szCs w:val="18"/>
              </w:rPr>
            </w:pPr>
            <w:r w:rsidRPr="006070EA">
              <w:rPr>
                <w:rFonts w:asciiTheme="majorHAnsi" w:hAnsiTheme="majorHAnsi" w:cstheme="majorHAnsi"/>
                <w:i/>
                <w:iCs/>
                <w:sz w:val="18"/>
                <w:szCs w:val="18"/>
              </w:rPr>
              <w:t>Popis</w:t>
            </w:r>
            <w:r w:rsidRPr="006070EA">
              <w:rPr>
                <w:rFonts w:asciiTheme="majorHAnsi" w:hAnsiTheme="majorHAnsi" w:cstheme="majorHAnsi"/>
                <w:sz w:val="18"/>
                <w:szCs w:val="18"/>
              </w:rPr>
              <w:t>: dvě plochy lesíka u Hronětického náhonu a lada mezi nimi, západně od sídla Lány.</w:t>
            </w:r>
          </w:p>
          <w:p w14:paraId="699FA766" w14:textId="77777777" w:rsidR="00126823" w:rsidRPr="006070EA" w:rsidRDefault="00126823" w:rsidP="00126823">
            <w:pPr>
              <w:widowControl w:val="0"/>
              <w:spacing w:after="60"/>
              <w:rPr>
                <w:rFonts w:asciiTheme="majorHAnsi" w:hAnsiTheme="majorHAnsi" w:cstheme="majorHAnsi"/>
                <w:sz w:val="18"/>
                <w:szCs w:val="18"/>
              </w:rPr>
            </w:pPr>
            <w:r w:rsidRPr="006070EA">
              <w:rPr>
                <w:rFonts w:asciiTheme="majorHAnsi" w:hAnsiTheme="majorHAnsi" w:cstheme="majorHAnsi"/>
                <w:sz w:val="18"/>
                <w:szCs w:val="18"/>
              </w:rPr>
              <w:t>2x degradovaný ruderální porost listnatého lesa podle malého pravostranného přítoku a mezi nimi zarostlá postagrární lada.</w:t>
            </w:r>
          </w:p>
          <w:p w14:paraId="2CE5F409" w14:textId="77777777" w:rsidR="00126823" w:rsidRPr="006070EA" w:rsidRDefault="00126823" w:rsidP="00126823">
            <w:pPr>
              <w:widowControl w:val="0"/>
              <w:spacing w:after="60"/>
              <w:rPr>
                <w:rFonts w:asciiTheme="majorHAnsi" w:hAnsiTheme="majorHAnsi" w:cstheme="majorHAnsi"/>
                <w:sz w:val="18"/>
                <w:szCs w:val="18"/>
              </w:rPr>
            </w:pPr>
            <w:r w:rsidRPr="006070EA">
              <w:rPr>
                <w:rFonts w:asciiTheme="majorHAnsi" w:hAnsiTheme="majorHAnsi" w:cstheme="majorHAnsi"/>
                <w:i/>
                <w:iCs/>
                <w:sz w:val="18"/>
                <w:szCs w:val="18"/>
              </w:rPr>
              <w:t>Cílový stav</w:t>
            </w:r>
            <w:r w:rsidRPr="006070EA">
              <w:rPr>
                <w:rFonts w:asciiTheme="majorHAnsi" w:hAnsiTheme="majorHAnsi" w:cstheme="majorHAnsi"/>
                <w:sz w:val="18"/>
                <w:szCs w:val="18"/>
              </w:rPr>
              <w:t>: listnatý nivní lesík s přirozenými dřevinami a loukou podle břehového porostu.</w:t>
            </w:r>
          </w:p>
          <w:p w14:paraId="0CCFBA0A" w14:textId="77777777" w:rsidR="00126823" w:rsidRPr="006070EA" w:rsidRDefault="00126823" w:rsidP="00126823">
            <w:pPr>
              <w:widowControl w:val="0"/>
              <w:spacing w:after="60"/>
              <w:rPr>
                <w:rFonts w:asciiTheme="majorHAnsi" w:hAnsiTheme="majorHAnsi" w:cstheme="majorHAnsi"/>
                <w:sz w:val="18"/>
                <w:szCs w:val="18"/>
              </w:rPr>
            </w:pPr>
            <w:r w:rsidRPr="006070EA">
              <w:rPr>
                <w:rFonts w:asciiTheme="majorHAnsi" w:hAnsiTheme="majorHAnsi" w:cstheme="majorHAnsi"/>
                <w:i/>
                <w:iCs/>
                <w:sz w:val="18"/>
                <w:szCs w:val="18"/>
              </w:rPr>
              <w:t>Dřeviny a křoviny</w:t>
            </w:r>
            <w:r w:rsidRPr="006070EA">
              <w:rPr>
                <w:rFonts w:asciiTheme="majorHAnsi" w:hAnsiTheme="majorHAnsi" w:cstheme="majorHAnsi"/>
                <w:sz w:val="18"/>
                <w:szCs w:val="18"/>
              </w:rPr>
              <w:t>: JSZ, TPH, VRK, BRB, OLL, bzč, osk</w:t>
            </w:r>
          </w:p>
          <w:p w14:paraId="1820D106" w14:textId="77777777" w:rsidR="00126823" w:rsidRPr="006070EA" w:rsidRDefault="00126823" w:rsidP="00126823">
            <w:pPr>
              <w:widowControl w:val="0"/>
              <w:spacing w:after="60"/>
              <w:rPr>
                <w:rFonts w:asciiTheme="majorHAnsi" w:hAnsiTheme="majorHAnsi" w:cstheme="majorHAnsi"/>
                <w:sz w:val="18"/>
                <w:szCs w:val="18"/>
              </w:rPr>
            </w:pPr>
            <w:r w:rsidRPr="006070EA">
              <w:rPr>
                <w:rFonts w:asciiTheme="majorHAnsi" w:hAnsiTheme="majorHAnsi" w:cstheme="majorHAnsi"/>
                <w:i/>
                <w:iCs/>
                <w:sz w:val="18"/>
                <w:szCs w:val="18"/>
              </w:rPr>
              <w:t>Byliny</w:t>
            </w:r>
            <w:r w:rsidRPr="006070EA">
              <w:rPr>
                <w:rFonts w:asciiTheme="majorHAnsi" w:hAnsiTheme="majorHAnsi" w:cstheme="majorHAnsi"/>
                <w:sz w:val="18"/>
                <w:szCs w:val="18"/>
              </w:rPr>
              <w:t>: chmel otáčivý, kopřiva dvoudomá, hluchavka bílá, kostival lékařský, bolševník obecný, pcháč zelinný, kuklík městský, svízel přítula, lopuchu menší</w:t>
            </w:r>
          </w:p>
          <w:p w14:paraId="3DFFA048" w14:textId="77777777" w:rsidR="00126823" w:rsidRPr="006070EA" w:rsidRDefault="00126823" w:rsidP="00126823">
            <w:pPr>
              <w:widowControl w:val="0"/>
              <w:spacing w:after="60"/>
              <w:rPr>
                <w:rFonts w:asciiTheme="majorHAnsi" w:hAnsiTheme="majorHAnsi" w:cstheme="majorHAnsi"/>
                <w:sz w:val="18"/>
                <w:szCs w:val="18"/>
              </w:rPr>
            </w:pPr>
            <w:r w:rsidRPr="006070EA">
              <w:rPr>
                <w:rFonts w:asciiTheme="majorHAnsi" w:hAnsiTheme="majorHAnsi" w:cstheme="majorHAnsi"/>
                <w:i/>
                <w:iCs/>
                <w:sz w:val="18"/>
                <w:szCs w:val="18"/>
              </w:rPr>
              <w:t>Fyziotyp</w:t>
            </w:r>
            <w:r w:rsidRPr="006070EA">
              <w:rPr>
                <w:rFonts w:asciiTheme="majorHAnsi" w:hAnsiTheme="majorHAnsi" w:cstheme="majorHAnsi"/>
                <w:sz w:val="18"/>
                <w:szCs w:val="18"/>
              </w:rPr>
              <w:t>: VO, RU, LO</w:t>
            </w:r>
          </w:p>
          <w:p w14:paraId="12B4C07A" w14:textId="77777777" w:rsidR="00126823" w:rsidRPr="006070EA" w:rsidRDefault="00126823" w:rsidP="00126823">
            <w:pPr>
              <w:widowControl w:val="0"/>
              <w:spacing w:after="60"/>
              <w:rPr>
                <w:rFonts w:asciiTheme="majorHAnsi" w:hAnsiTheme="majorHAnsi" w:cstheme="majorHAnsi"/>
                <w:sz w:val="18"/>
                <w:szCs w:val="18"/>
              </w:rPr>
            </w:pPr>
            <w:r w:rsidRPr="006070EA">
              <w:rPr>
                <w:rFonts w:asciiTheme="majorHAnsi" w:hAnsiTheme="majorHAnsi" w:cstheme="majorHAnsi"/>
                <w:i/>
                <w:iCs/>
                <w:sz w:val="18"/>
                <w:szCs w:val="18"/>
              </w:rPr>
              <w:t>Možné znehodnocení</w:t>
            </w:r>
            <w:r w:rsidRPr="006070EA">
              <w:rPr>
                <w:rFonts w:asciiTheme="majorHAnsi" w:hAnsiTheme="majorHAnsi" w:cstheme="majorHAnsi"/>
                <w:sz w:val="18"/>
                <w:szCs w:val="18"/>
              </w:rPr>
              <w:t>: smýcení porostů, další sukcese nevhodných rostlin.</w:t>
            </w:r>
          </w:p>
          <w:p w14:paraId="3B48C563" w14:textId="77777777" w:rsidR="00126823" w:rsidRPr="006070EA" w:rsidRDefault="00126823" w:rsidP="00126823">
            <w:pPr>
              <w:widowControl w:val="0"/>
              <w:spacing w:after="60"/>
              <w:rPr>
                <w:rFonts w:asciiTheme="majorHAnsi" w:hAnsiTheme="majorHAnsi" w:cstheme="majorHAnsi"/>
                <w:sz w:val="18"/>
                <w:szCs w:val="18"/>
              </w:rPr>
            </w:pPr>
            <w:r w:rsidRPr="006070EA">
              <w:rPr>
                <w:rFonts w:asciiTheme="majorHAnsi" w:hAnsiTheme="majorHAnsi" w:cstheme="majorHAnsi"/>
                <w:i/>
                <w:iCs/>
                <w:sz w:val="18"/>
                <w:szCs w:val="18"/>
              </w:rPr>
              <w:t>Návrh opatření</w:t>
            </w:r>
            <w:r w:rsidRPr="006070EA">
              <w:rPr>
                <w:rFonts w:asciiTheme="majorHAnsi" w:hAnsiTheme="majorHAnsi" w:cstheme="majorHAnsi"/>
                <w:sz w:val="18"/>
                <w:szCs w:val="18"/>
              </w:rPr>
              <w:t xml:space="preserve">: provést zásah do lesních porostů, provést opatření shodná s LHP a dodržet je (mýtní doba, obnovní doba, obnovní cíl), upravit přilehlou ladu a louku a dosázet dřeviny a křoviny tak, aby se lokalita uzavřela. </w:t>
            </w:r>
          </w:p>
          <w:p w14:paraId="7D161D10" w14:textId="71C9423A" w:rsidR="00126823" w:rsidRPr="006070EA" w:rsidRDefault="00126823" w:rsidP="00126823">
            <w:pPr>
              <w:widowControl w:val="0"/>
              <w:spacing w:after="60"/>
              <w:rPr>
                <w:rFonts w:asciiTheme="majorHAnsi" w:hAnsiTheme="majorHAnsi" w:cstheme="majorHAnsi"/>
                <w:color w:val="FF0000"/>
                <w:sz w:val="18"/>
                <w:szCs w:val="18"/>
              </w:rPr>
            </w:pPr>
            <w:r w:rsidRPr="006070EA">
              <w:rPr>
                <w:rFonts w:asciiTheme="majorHAnsi" w:hAnsiTheme="majorHAnsi" w:cstheme="majorHAnsi"/>
                <w:sz w:val="18"/>
                <w:szCs w:val="18"/>
              </w:rPr>
              <w:t xml:space="preserve">Pro zajištění funkčnosti biocentra jsou vymezeny plochy změn v krajině K04 a K05. </w:t>
            </w:r>
          </w:p>
        </w:tc>
      </w:tr>
      <w:tr w:rsidR="00126823" w:rsidRPr="006070EA" w14:paraId="08623502" w14:textId="77777777" w:rsidTr="00EE0D40">
        <w:trPr>
          <w:cantSplit/>
          <w:jc w:val="center"/>
        </w:trPr>
        <w:tc>
          <w:tcPr>
            <w:tcW w:w="1417" w:type="dxa"/>
            <w:vAlign w:val="center"/>
          </w:tcPr>
          <w:p w14:paraId="5711A22A" w14:textId="3FDFA3A4" w:rsidR="00126823" w:rsidRPr="006070EA" w:rsidRDefault="00126823" w:rsidP="00126823">
            <w:pPr>
              <w:widowControl w:val="0"/>
              <w:spacing w:after="60"/>
              <w:jc w:val="center"/>
              <w:rPr>
                <w:rFonts w:asciiTheme="majorHAnsi" w:hAnsiTheme="majorHAnsi" w:cstheme="majorHAnsi"/>
                <w:b/>
                <w:sz w:val="18"/>
                <w:szCs w:val="18"/>
              </w:rPr>
            </w:pPr>
            <w:r w:rsidRPr="006070EA">
              <w:rPr>
                <w:rFonts w:asciiTheme="majorHAnsi" w:hAnsiTheme="majorHAnsi" w:cstheme="majorHAnsi"/>
                <w:b/>
                <w:sz w:val="18"/>
                <w:szCs w:val="18"/>
              </w:rPr>
              <w:t>L</w:t>
            </w:r>
            <w:r w:rsidR="00071C0F" w:rsidRPr="006070EA">
              <w:rPr>
                <w:rFonts w:asciiTheme="majorHAnsi" w:hAnsiTheme="majorHAnsi" w:cstheme="majorHAnsi"/>
                <w:b/>
                <w:sz w:val="18"/>
                <w:szCs w:val="18"/>
              </w:rPr>
              <w:t>B</w:t>
            </w:r>
            <w:r w:rsidRPr="006070EA">
              <w:rPr>
                <w:rFonts w:asciiTheme="majorHAnsi" w:hAnsiTheme="majorHAnsi" w:cstheme="majorHAnsi"/>
                <w:b/>
                <w:sz w:val="18"/>
                <w:szCs w:val="18"/>
              </w:rPr>
              <w:t>C</w:t>
            </w:r>
            <w:r w:rsidR="00071C0F" w:rsidRPr="006070EA">
              <w:rPr>
                <w:rFonts w:asciiTheme="majorHAnsi" w:hAnsiTheme="majorHAnsi" w:cstheme="majorHAnsi"/>
                <w:b/>
                <w:sz w:val="18"/>
                <w:szCs w:val="18"/>
              </w:rPr>
              <w:t>.</w:t>
            </w:r>
            <w:r w:rsidRPr="006070EA">
              <w:rPr>
                <w:rFonts w:asciiTheme="majorHAnsi" w:hAnsiTheme="majorHAnsi" w:cstheme="majorHAnsi"/>
                <w:b/>
                <w:sz w:val="18"/>
                <w:szCs w:val="18"/>
              </w:rPr>
              <w:t>3 Na bahnech</w:t>
            </w:r>
          </w:p>
        </w:tc>
        <w:tc>
          <w:tcPr>
            <w:tcW w:w="1417" w:type="dxa"/>
            <w:vAlign w:val="center"/>
          </w:tcPr>
          <w:p w14:paraId="5A870A7C" w14:textId="5B340B33" w:rsidR="00126823" w:rsidRPr="006070EA" w:rsidRDefault="00126823" w:rsidP="00126823">
            <w:pPr>
              <w:widowControl w:val="0"/>
              <w:spacing w:after="60"/>
              <w:jc w:val="center"/>
              <w:rPr>
                <w:rFonts w:asciiTheme="majorHAnsi" w:hAnsiTheme="majorHAnsi" w:cstheme="majorHAnsi"/>
                <w:sz w:val="18"/>
                <w:szCs w:val="18"/>
              </w:rPr>
            </w:pPr>
            <w:r w:rsidRPr="006070EA">
              <w:rPr>
                <w:rFonts w:asciiTheme="majorHAnsi" w:hAnsiTheme="majorHAnsi" w:cstheme="majorHAnsi"/>
                <w:sz w:val="18"/>
                <w:szCs w:val="18"/>
              </w:rPr>
              <w:t>Rozloha v řešeném území: 5,2 ha</w:t>
            </w:r>
          </w:p>
        </w:tc>
        <w:tc>
          <w:tcPr>
            <w:tcW w:w="1134" w:type="dxa"/>
            <w:vAlign w:val="center"/>
          </w:tcPr>
          <w:p w14:paraId="09AA201A" w14:textId="77777777" w:rsidR="00126823" w:rsidRPr="006070EA" w:rsidRDefault="00126823" w:rsidP="00126823">
            <w:pPr>
              <w:widowControl w:val="0"/>
              <w:spacing w:after="60"/>
              <w:jc w:val="center"/>
              <w:rPr>
                <w:rFonts w:asciiTheme="majorHAnsi" w:hAnsiTheme="majorHAnsi" w:cstheme="majorHAnsi"/>
                <w:sz w:val="18"/>
                <w:szCs w:val="18"/>
              </w:rPr>
            </w:pPr>
            <w:r w:rsidRPr="006070EA">
              <w:rPr>
                <w:rFonts w:asciiTheme="majorHAnsi" w:hAnsiTheme="majorHAnsi" w:cstheme="majorHAnsi"/>
                <w:sz w:val="18"/>
                <w:szCs w:val="18"/>
              </w:rPr>
              <w:t>Funkční</w:t>
            </w:r>
          </w:p>
        </w:tc>
        <w:tc>
          <w:tcPr>
            <w:tcW w:w="5102" w:type="dxa"/>
            <w:vAlign w:val="center"/>
          </w:tcPr>
          <w:p w14:paraId="0457DF1A" w14:textId="77777777" w:rsidR="00126823" w:rsidRPr="006070EA" w:rsidRDefault="00126823" w:rsidP="00126823">
            <w:pPr>
              <w:widowControl w:val="0"/>
              <w:spacing w:after="60"/>
              <w:rPr>
                <w:rFonts w:asciiTheme="majorHAnsi" w:hAnsiTheme="majorHAnsi" w:cstheme="majorHAnsi"/>
                <w:sz w:val="18"/>
                <w:szCs w:val="18"/>
              </w:rPr>
            </w:pPr>
            <w:r w:rsidRPr="006070EA">
              <w:rPr>
                <w:rFonts w:asciiTheme="majorHAnsi" w:hAnsiTheme="majorHAnsi" w:cstheme="majorHAnsi"/>
                <w:i/>
                <w:iCs/>
                <w:sz w:val="18"/>
                <w:szCs w:val="18"/>
              </w:rPr>
              <w:t>Popis</w:t>
            </w:r>
            <w:r w:rsidRPr="006070EA">
              <w:rPr>
                <w:rFonts w:asciiTheme="majorHAnsi" w:hAnsiTheme="majorHAnsi" w:cstheme="majorHAnsi"/>
                <w:sz w:val="18"/>
                <w:szCs w:val="18"/>
              </w:rPr>
              <w:t>: trvalý travní porost, pole a doprovodný porost Vlkavy a Hronětického náhonu, biocentrum zahrne i část okolních polí.</w:t>
            </w:r>
          </w:p>
          <w:p w14:paraId="3A169A93" w14:textId="77777777" w:rsidR="00126823" w:rsidRPr="006070EA" w:rsidRDefault="00126823" w:rsidP="00126823">
            <w:pPr>
              <w:widowControl w:val="0"/>
              <w:spacing w:after="60"/>
              <w:rPr>
                <w:rFonts w:asciiTheme="majorHAnsi" w:hAnsiTheme="majorHAnsi" w:cstheme="majorHAnsi"/>
                <w:sz w:val="18"/>
                <w:szCs w:val="18"/>
              </w:rPr>
            </w:pPr>
            <w:r w:rsidRPr="006070EA">
              <w:rPr>
                <w:rFonts w:asciiTheme="majorHAnsi" w:hAnsiTheme="majorHAnsi" w:cstheme="majorHAnsi"/>
                <w:sz w:val="18"/>
                <w:szCs w:val="18"/>
              </w:rPr>
              <w:t>Listnatý degradovaný nepůvodní porost, vodní tok s doprovodnými křovinami.</w:t>
            </w:r>
          </w:p>
          <w:p w14:paraId="1034C0BD" w14:textId="77777777" w:rsidR="00126823" w:rsidRPr="006070EA" w:rsidRDefault="00126823" w:rsidP="00126823">
            <w:pPr>
              <w:widowControl w:val="0"/>
              <w:spacing w:after="60"/>
              <w:rPr>
                <w:rFonts w:asciiTheme="majorHAnsi" w:hAnsiTheme="majorHAnsi" w:cstheme="majorHAnsi"/>
                <w:sz w:val="18"/>
                <w:szCs w:val="18"/>
              </w:rPr>
            </w:pPr>
            <w:r w:rsidRPr="006070EA">
              <w:rPr>
                <w:rFonts w:asciiTheme="majorHAnsi" w:hAnsiTheme="majorHAnsi" w:cstheme="majorHAnsi"/>
                <w:i/>
                <w:iCs/>
                <w:sz w:val="18"/>
                <w:szCs w:val="18"/>
              </w:rPr>
              <w:t>Geobiocenologická typizace</w:t>
            </w:r>
            <w:r w:rsidRPr="006070EA">
              <w:rPr>
                <w:rFonts w:asciiTheme="majorHAnsi" w:hAnsiTheme="majorHAnsi" w:cstheme="majorHAnsi"/>
                <w:sz w:val="18"/>
                <w:szCs w:val="18"/>
              </w:rPr>
              <w:t>: 1BC3</w:t>
            </w:r>
          </w:p>
          <w:p w14:paraId="52D2C323" w14:textId="77777777" w:rsidR="00126823" w:rsidRPr="006070EA" w:rsidRDefault="00126823" w:rsidP="00126823">
            <w:pPr>
              <w:widowControl w:val="0"/>
              <w:spacing w:after="60"/>
              <w:rPr>
                <w:rFonts w:asciiTheme="majorHAnsi" w:hAnsiTheme="majorHAnsi" w:cstheme="majorHAnsi"/>
                <w:sz w:val="18"/>
                <w:szCs w:val="18"/>
              </w:rPr>
            </w:pPr>
            <w:r w:rsidRPr="006070EA">
              <w:rPr>
                <w:rFonts w:asciiTheme="majorHAnsi" w:hAnsiTheme="majorHAnsi" w:cstheme="majorHAnsi"/>
                <w:i/>
                <w:iCs/>
                <w:sz w:val="18"/>
                <w:szCs w:val="18"/>
              </w:rPr>
              <w:t>Cílový stav</w:t>
            </w:r>
            <w:r w:rsidRPr="006070EA">
              <w:rPr>
                <w:rFonts w:asciiTheme="majorHAnsi" w:hAnsiTheme="majorHAnsi" w:cstheme="majorHAnsi"/>
                <w:sz w:val="18"/>
                <w:szCs w:val="18"/>
              </w:rPr>
              <w:t>: lesní remíz s převahou přirozených dřevin, doprovodný kvalitní porost u vodních toků a malá nárazová louka</w:t>
            </w:r>
          </w:p>
          <w:p w14:paraId="7A95038E" w14:textId="77777777" w:rsidR="00126823" w:rsidRPr="006070EA" w:rsidRDefault="00126823" w:rsidP="00126823">
            <w:pPr>
              <w:widowControl w:val="0"/>
              <w:spacing w:after="60"/>
              <w:rPr>
                <w:rFonts w:asciiTheme="majorHAnsi" w:hAnsiTheme="majorHAnsi" w:cstheme="majorHAnsi"/>
                <w:sz w:val="18"/>
                <w:szCs w:val="18"/>
              </w:rPr>
            </w:pPr>
            <w:r w:rsidRPr="006070EA">
              <w:rPr>
                <w:rFonts w:asciiTheme="majorHAnsi" w:hAnsiTheme="majorHAnsi" w:cstheme="majorHAnsi"/>
                <w:i/>
                <w:iCs/>
                <w:sz w:val="18"/>
                <w:szCs w:val="18"/>
              </w:rPr>
              <w:t>Možné znehodnocení</w:t>
            </w:r>
            <w:r w:rsidRPr="006070EA">
              <w:rPr>
                <w:rFonts w:asciiTheme="majorHAnsi" w:hAnsiTheme="majorHAnsi" w:cstheme="majorHAnsi"/>
                <w:sz w:val="18"/>
                <w:szCs w:val="18"/>
              </w:rPr>
              <w:t>: vymýcení porostu, změna vedení toků</w:t>
            </w:r>
          </w:p>
          <w:p w14:paraId="104D8133" w14:textId="41B669BA" w:rsidR="00126823" w:rsidRPr="006070EA" w:rsidRDefault="00126823" w:rsidP="00126823">
            <w:pPr>
              <w:widowControl w:val="0"/>
              <w:spacing w:after="60"/>
              <w:rPr>
                <w:rFonts w:asciiTheme="majorHAnsi" w:hAnsiTheme="majorHAnsi" w:cstheme="majorHAnsi"/>
                <w:sz w:val="18"/>
                <w:szCs w:val="18"/>
              </w:rPr>
            </w:pPr>
            <w:r w:rsidRPr="006070EA">
              <w:rPr>
                <w:rFonts w:asciiTheme="majorHAnsi" w:hAnsiTheme="majorHAnsi" w:cstheme="majorHAnsi"/>
                <w:i/>
                <w:iCs/>
                <w:sz w:val="18"/>
                <w:szCs w:val="18"/>
              </w:rPr>
              <w:t>Návrh opatření</w:t>
            </w:r>
            <w:r w:rsidRPr="006070EA">
              <w:rPr>
                <w:rFonts w:asciiTheme="majorHAnsi" w:hAnsiTheme="majorHAnsi" w:cstheme="majorHAnsi"/>
                <w:sz w:val="18"/>
                <w:szCs w:val="18"/>
              </w:rPr>
              <w:t>: dosadit do lokality postupně místní dřeviny, provést opatření uvedené v LHP a dodržet je (mýtní doba, obnovní doba, obnovní cíl), pročistit doprovodný porost, vytvořit nárazovou louku mezi polem a vodními toky</w:t>
            </w:r>
          </w:p>
        </w:tc>
      </w:tr>
      <w:tr w:rsidR="00342F2C" w:rsidRPr="006070EA" w14:paraId="202C4242" w14:textId="77777777" w:rsidTr="00C66FB4">
        <w:trPr>
          <w:cantSplit/>
          <w:jc w:val="center"/>
        </w:trPr>
        <w:tc>
          <w:tcPr>
            <w:tcW w:w="1417" w:type="dxa"/>
            <w:vAlign w:val="center"/>
          </w:tcPr>
          <w:p w14:paraId="7CD0E7A8" w14:textId="48602CF9" w:rsidR="00342F2C" w:rsidRPr="006070EA" w:rsidRDefault="00342F2C" w:rsidP="008C51C8">
            <w:pPr>
              <w:widowControl w:val="0"/>
              <w:spacing w:after="60"/>
              <w:jc w:val="center"/>
              <w:rPr>
                <w:rFonts w:asciiTheme="majorHAnsi" w:hAnsiTheme="majorHAnsi" w:cstheme="majorHAnsi"/>
                <w:b/>
                <w:sz w:val="18"/>
                <w:szCs w:val="18"/>
              </w:rPr>
            </w:pPr>
            <w:r w:rsidRPr="006070EA">
              <w:rPr>
                <w:rFonts w:asciiTheme="majorHAnsi" w:hAnsiTheme="majorHAnsi" w:cstheme="majorHAnsi"/>
                <w:b/>
                <w:sz w:val="18"/>
                <w:szCs w:val="18"/>
              </w:rPr>
              <w:lastRenderedPageBreak/>
              <w:t>LC 4 Vápensko</w:t>
            </w:r>
          </w:p>
        </w:tc>
        <w:tc>
          <w:tcPr>
            <w:tcW w:w="1417" w:type="dxa"/>
            <w:vAlign w:val="center"/>
          </w:tcPr>
          <w:p w14:paraId="75540C9E" w14:textId="22586881" w:rsidR="00342F2C" w:rsidRPr="006070EA" w:rsidRDefault="00342F2C" w:rsidP="008C51C8">
            <w:pPr>
              <w:widowControl w:val="0"/>
              <w:spacing w:after="60"/>
              <w:jc w:val="center"/>
              <w:rPr>
                <w:rFonts w:asciiTheme="majorHAnsi" w:hAnsiTheme="majorHAnsi" w:cstheme="majorHAnsi"/>
                <w:sz w:val="18"/>
                <w:szCs w:val="18"/>
              </w:rPr>
            </w:pPr>
            <w:r w:rsidRPr="006070EA">
              <w:rPr>
                <w:rFonts w:asciiTheme="majorHAnsi" w:hAnsiTheme="majorHAnsi" w:cstheme="majorHAnsi"/>
                <w:sz w:val="18"/>
                <w:szCs w:val="18"/>
              </w:rPr>
              <w:t>Rozloha v řešeném území: 2,9 ha</w:t>
            </w:r>
          </w:p>
        </w:tc>
        <w:tc>
          <w:tcPr>
            <w:tcW w:w="1134" w:type="dxa"/>
            <w:vAlign w:val="center"/>
          </w:tcPr>
          <w:p w14:paraId="3474FB84" w14:textId="77777777" w:rsidR="00342F2C" w:rsidRPr="006070EA" w:rsidRDefault="00342F2C" w:rsidP="008C51C8">
            <w:pPr>
              <w:widowControl w:val="0"/>
              <w:spacing w:after="60"/>
              <w:jc w:val="center"/>
              <w:rPr>
                <w:rFonts w:asciiTheme="majorHAnsi" w:hAnsiTheme="majorHAnsi" w:cstheme="majorHAnsi"/>
                <w:sz w:val="18"/>
                <w:szCs w:val="18"/>
              </w:rPr>
            </w:pPr>
            <w:r w:rsidRPr="006070EA">
              <w:rPr>
                <w:rFonts w:asciiTheme="majorHAnsi" w:hAnsiTheme="majorHAnsi" w:cstheme="majorHAnsi"/>
                <w:sz w:val="18"/>
                <w:szCs w:val="18"/>
              </w:rPr>
              <w:t>Funkční</w:t>
            </w:r>
          </w:p>
        </w:tc>
        <w:tc>
          <w:tcPr>
            <w:tcW w:w="5102" w:type="dxa"/>
            <w:vAlign w:val="center"/>
          </w:tcPr>
          <w:p w14:paraId="1DA99DF2" w14:textId="77777777" w:rsidR="00342F2C" w:rsidRPr="006070EA" w:rsidRDefault="00342F2C" w:rsidP="008C51C8">
            <w:pPr>
              <w:widowControl w:val="0"/>
              <w:spacing w:after="60"/>
              <w:rPr>
                <w:rFonts w:asciiTheme="majorHAnsi" w:hAnsiTheme="majorHAnsi" w:cstheme="majorHAnsi"/>
                <w:sz w:val="18"/>
                <w:szCs w:val="18"/>
              </w:rPr>
            </w:pPr>
            <w:r w:rsidRPr="006070EA">
              <w:rPr>
                <w:rFonts w:asciiTheme="majorHAnsi" w:hAnsiTheme="majorHAnsi" w:cstheme="majorHAnsi"/>
                <w:i/>
                <w:iCs/>
                <w:sz w:val="18"/>
                <w:szCs w:val="18"/>
              </w:rPr>
              <w:t>Popis</w:t>
            </w:r>
            <w:r w:rsidRPr="006070EA">
              <w:rPr>
                <w:rFonts w:asciiTheme="majorHAnsi" w:hAnsiTheme="majorHAnsi" w:cstheme="majorHAnsi"/>
                <w:sz w:val="18"/>
                <w:szCs w:val="18"/>
              </w:rPr>
              <w:t>: lužní biocentrum s kombinací mokřadů, rákosin, rybníčků a doprovodných lesních porostů.</w:t>
            </w:r>
          </w:p>
          <w:p w14:paraId="0F1CFBBF" w14:textId="77777777" w:rsidR="00342F2C" w:rsidRPr="006070EA" w:rsidRDefault="00342F2C" w:rsidP="008C51C8">
            <w:pPr>
              <w:widowControl w:val="0"/>
              <w:spacing w:after="60"/>
              <w:rPr>
                <w:rFonts w:asciiTheme="majorHAnsi" w:hAnsiTheme="majorHAnsi" w:cstheme="majorHAnsi"/>
                <w:sz w:val="18"/>
                <w:szCs w:val="18"/>
              </w:rPr>
            </w:pPr>
            <w:r w:rsidRPr="006070EA">
              <w:rPr>
                <w:rFonts w:asciiTheme="majorHAnsi" w:hAnsiTheme="majorHAnsi" w:cstheme="majorHAnsi"/>
                <w:i/>
                <w:iCs/>
                <w:sz w:val="18"/>
                <w:szCs w:val="18"/>
              </w:rPr>
              <w:t>Cílový stav</w:t>
            </w:r>
            <w:r w:rsidRPr="006070EA">
              <w:rPr>
                <w:rFonts w:asciiTheme="majorHAnsi" w:hAnsiTheme="majorHAnsi" w:cstheme="majorHAnsi"/>
                <w:sz w:val="18"/>
                <w:szCs w:val="18"/>
              </w:rPr>
              <w:t>: odpovídá stávajícímu stavu.</w:t>
            </w:r>
          </w:p>
          <w:p w14:paraId="65F29604" w14:textId="69B7846E" w:rsidR="00342F2C" w:rsidRPr="006070EA" w:rsidRDefault="00342F2C" w:rsidP="008C51C8">
            <w:pPr>
              <w:widowControl w:val="0"/>
              <w:spacing w:after="60"/>
              <w:rPr>
                <w:rFonts w:asciiTheme="majorHAnsi" w:hAnsiTheme="majorHAnsi" w:cstheme="majorHAnsi"/>
                <w:sz w:val="18"/>
                <w:szCs w:val="18"/>
              </w:rPr>
            </w:pPr>
            <w:r w:rsidRPr="006070EA">
              <w:rPr>
                <w:rFonts w:asciiTheme="majorHAnsi" w:hAnsiTheme="majorHAnsi" w:cstheme="majorHAnsi"/>
                <w:i/>
                <w:iCs/>
                <w:sz w:val="18"/>
                <w:szCs w:val="18"/>
              </w:rPr>
              <w:t>Možné znehodnocení</w:t>
            </w:r>
            <w:r w:rsidRPr="006070EA">
              <w:rPr>
                <w:rFonts w:asciiTheme="majorHAnsi" w:hAnsiTheme="majorHAnsi" w:cstheme="majorHAnsi"/>
                <w:sz w:val="18"/>
                <w:szCs w:val="18"/>
              </w:rPr>
              <w:t>: vymýcení porostů, znečištění vodních ploch</w:t>
            </w:r>
          </w:p>
          <w:p w14:paraId="70203F60" w14:textId="26720A2C" w:rsidR="00342F2C" w:rsidRPr="006070EA" w:rsidRDefault="00342F2C" w:rsidP="008C51C8">
            <w:pPr>
              <w:widowControl w:val="0"/>
              <w:autoSpaceDE w:val="0"/>
              <w:autoSpaceDN w:val="0"/>
              <w:adjustRightInd w:val="0"/>
              <w:rPr>
                <w:rFonts w:asciiTheme="majorHAnsi" w:hAnsiTheme="majorHAnsi" w:cstheme="majorHAnsi"/>
                <w:sz w:val="18"/>
                <w:szCs w:val="18"/>
              </w:rPr>
            </w:pPr>
            <w:r w:rsidRPr="006070EA">
              <w:rPr>
                <w:rFonts w:asciiTheme="majorHAnsi" w:hAnsiTheme="majorHAnsi" w:cstheme="majorHAnsi"/>
                <w:i/>
                <w:iCs/>
                <w:sz w:val="18"/>
                <w:szCs w:val="18"/>
              </w:rPr>
              <w:t>Návrh opatření</w:t>
            </w:r>
            <w:r w:rsidRPr="006070EA">
              <w:rPr>
                <w:rFonts w:asciiTheme="majorHAnsi" w:hAnsiTheme="majorHAnsi" w:cstheme="majorHAnsi"/>
                <w:sz w:val="18"/>
                <w:szCs w:val="18"/>
              </w:rPr>
              <w:t>: dosadit do lokality postupně místní dřeviny (luhy a olšiny, borové doubravy, dubo-habrové háje a subxerofilní doubravy). Doprovodné porosty prořezávat a udržet přirozenou dřevinnou skladbu.</w:t>
            </w:r>
          </w:p>
        </w:tc>
      </w:tr>
      <w:tr w:rsidR="00B158F2" w:rsidRPr="006070EA" w14:paraId="5BE2E36A" w14:textId="77777777" w:rsidTr="00DA21D4">
        <w:trPr>
          <w:cantSplit/>
          <w:trHeight w:val="283"/>
          <w:jc w:val="center"/>
        </w:trPr>
        <w:tc>
          <w:tcPr>
            <w:tcW w:w="9070" w:type="dxa"/>
            <w:gridSpan w:val="4"/>
            <w:tcBorders>
              <w:top w:val="single" w:sz="12" w:space="0" w:color="auto"/>
              <w:bottom w:val="single" w:sz="12" w:space="0" w:color="auto"/>
            </w:tcBorders>
            <w:vAlign w:val="center"/>
          </w:tcPr>
          <w:p w14:paraId="2DE5971C" w14:textId="77777777" w:rsidR="00DA21D4" w:rsidRPr="006070EA" w:rsidRDefault="00DA21D4" w:rsidP="00322BBA">
            <w:pPr>
              <w:keepNext/>
              <w:widowControl w:val="0"/>
              <w:autoSpaceDE w:val="0"/>
              <w:autoSpaceDN w:val="0"/>
              <w:adjustRightInd w:val="0"/>
              <w:jc w:val="center"/>
              <w:rPr>
                <w:rFonts w:asciiTheme="majorHAnsi" w:hAnsiTheme="majorHAnsi" w:cstheme="majorHAnsi"/>
                <w:b/>
                <w:sz w:val="18"/>
                <w:szCs w:val="18"/>
              </w:rPr>
            </w:pPr>
            <w:r w:rsidRPr="006070EA">
              <w:rPr>
                <w:rFonts w:asciiTheme="majorHAnsi" w:hAnsiTheme="majorHAnsi" w:cstheme="majorHAnsi"/>
                <w:b/>
                <w:sz w:val="18"/>
                <w:szCs w:val="18"/>
              </w:rPr>
              <w:t>LOKÁLNÍ BIOKORIDOR</w:t>
            </w:r>
            <w:r w:rsidR="00E855CD" w:rsidRPr="006070EA">
              <w:rPr>
                <w:rFonts w:asciiTheme="majorHAnsi" w:hAnsiTheme="majorHAnsi" w:cstheme="majorHAnsi"/>
                <w:b/>
                <w:sz w:val="18"/>
                <w:szCs w:val="18"/>
              </w:rPr>
              <w:t>Y</w:t>
            </w:r>
          </w:p>
        </w:tc>
      </w:tr>
      <w:tr w:rsidR="004F6877" w:rsidRPr="006070EA" w14:paraId="5266A158" w14:textId="77777777" w:rsidTr="000954C4">
        <w:trPr>
          <w:cantSplit/>
          <w:jc w:val="center"/>
        </w:trPr>
        <w:tc>
          <w:tcPr>
            <w:tcW w:w="1417" w:type="dxa"/>
            <w:tcBorders>
              <w:top w:val="single" w:sz="12" w:space="0" w:color="auto"/>
            </w:tcBorders>
            <w:vAlign w:val="center"/>
          </w:tcPr>
          <w:p w14:paraId="2A3B35F9" w14:textId="28C022CD" w:rsidR="004F6877" w:rsidRPr="006070EA" w:rsidRDefault="004F6877" w:rsidP="00677F4B">
            <w:pPr>
              <w:widowControl w:val="0"/>
              <w:spacing w:after="60"/>
              <w:jc w:val="center"/>
              <w:rPr>
                <w:rFonts w:asciiTheme="majorHAnsi" w:hAnsiTheme="majorHAnsi" w:cstheme="majorHAnsi"/>
                <w:b/>
                <w:sz w:val="18"/>
                <w:szCs w:val="18"/>
              </w:rPr>
            </w:pPr>
            <w:r w:rsidRPr="006070EA">
              <w:rPr>
                <w:rFonts w:asciiTheme="majorHAnsi" w:hAnsiTheme="majorHAnsi" w:cstheme="majorHAnsi"/>
                <w:b/>
                <w:sz w:val="18"/>
                <w:szCs w:val="18"/>
              </w:rPr>
              <w:t>L</w:t>
            </w:r>
            <w:r w:rsidR="00071C0F" w:rsidRPr="006070EA">
              <w:rPr>
                <w:rFonts w:asciiTheme="majorHAnsi" w:hAnsiTheme="majorHAnsi" w:cstheme="majorHAnsi"/>
                <w:b/>
                <w:sz w:val="18"/>
                <w:szCs w:val="18"/>
              </w:rPr>
              <w:t>B</w:t>
            </w:r>
            <w:r w:rsidRPr="006070EA">
              <w:rPr>
                <w:rFonts w:asciiTheme="majorHAnsi" w:hAnsiTheme="majorHAnsi" w:cstheme="majorHAnsi"/>
                <w:b/>
                <w:sz w:val="18"/>
                <w:szCs w:val="18"/>
              </w:rPr>
              <w:t>K</w:t>
            </w:r>
            <w:r w:rsidR="00071C0F" w:rsidRPr="006070EA">
              <w:rPr>
                <w:rFonts w:asciiTheme="majorHAnsi" w:hAnsiTheme="majorHAnsi" w:cstheme="majorHAnsi"/>
                <w:b/>
                <w:sz w:val="18"/>
                <w:szCs w:val="18"/>
              </w:rPr>
              <w:t>.</w:t>
            </w:r>
            <w:r w:rsidRPr="006070EA">
              <w:rPr>
                <w:rFonts w:asciiTheme="majorHAnsi" w:hAnsiTheme="majorHAnsi" w:cstheme="majorHAnsi"/>
                <w:b/>
                <w:sz w:val="18"/>
                <w:szCs w:val="18"/>
              </w:rPr>
              <w:t>1 Vlkava/Hluboký příkop</w:t>
            </w:r>
          </w:p>
        </w:tc>
        <w:tc>
          <w:tcPr>
            <w:tcW w:w="1417" w:type="dxa"/>
            <w:tcBorders>
              <w:top w:val="single" w:sz="12" w:space="0" w:color="auto"/>
            </w:tcBorders>
            <w:vAlign w:val="center"/>
          </w:tcPr>
          <w:p w14:paraId="3C924A7A" w14:textId="77777777" w:rsidR="004F6877" w:rsidRPr="006070EA" w:rsidRDefault="004F6877" w:rsidP="00616F2B">
            <w:pPr>
              <w:widowControl w:val="0"/>
              <w:spacing w:after="60"/>
              <w:jc w:val="center"/>
              <w:rPr>
                <w:rFonts w:asciiTheme="majorHAnsi" w:hAnsiTheme="majorHAnsi" w:cstheme="majorHAnsi"/>
                <w:sz w:val="18"/>
                <w:szCs w:val="18"/>
              </w:rPr>
            </w:pPr>
            <w:r w:rsidRPr="006070EA">
              <w:rPr>
                <w:rFonts w:asciiTheme="majorHAnsi" w:hAnsiTheme="majorHAnsi" w:cstheme="majorHAnsi"/>
                <w:sz w:val="18"/>
                <w:szCs w:val="18"/>
              </w:rPr>
              <w:t>Průměrná šířka: 50 m</w:t>
            </w:r>
          </w:p>
          <w:p w14:paraId="53400CED" w14:textId="54851570" w:rsidR="004F6877" w:rsidRPr="006070EA" w:rsidRDefault="004F6877" w:rsidP="00616F2B">
            <w:pPr>
              <w:widowControl w:val="0"/>
              <w:spacing w:after="60"/>
              <w:jc w:val="center"/>
              <w:rPr>
                <w:rFonts w:asciiTheme="majorHAnsi" w:hAnsiTheme="majorHAnsi" w:cstheme="majorHAnsi"/>
                <w:sz w:val="18"/>
                <w:szCs w:val="18"/>
              </w:rPr>
            </w:pPr>
            <w:r w:rsidRPr="006070EA">
              <w:rPr>
                <w:rFonts w:asciiTheme="majorHAnsi" w:hAnsiTheme="majorHAnsi" w:cstheme="majorHAnsi"/>
                <w:sz w:val="18"/>
                <w:szCs w:val="18"/>
              </w:rPr>
              <w:t>Délka: 4 km</w:t>
            </w:r>
          </w:p>
        </w:tc>
        <w:tc>
          <w:tcPr>
            <w:tcW w:w="1134" w:type="dxa"/>
            <w:tcBorders>
              <w:top w:val="single" w:sz="12" w:space="0" w:color="auto"/>
            </w:tcBorders>
            <w:vAlign w:val="center"/>
          </w:tcPr>
          <w:p w14:paraId="5B3CBB6F" w14:textId="77777777" w:rsidR="004F6877" w:rsidRPr="006070EA" w:rsidRDefault="004F6877" w:rsidP="00616F2B">
            <w:pPr>
              <w:widowControl w:val="0"/>
              <w:spacing w:after="60"/>
              <w:jc w:val="center"/>
              <w:rPr>
                <w:rFonts w:asciiTheme="majorHAnsi" w:hAnsiTheme="majorHAnsi" w:cstheme="majorHAnsi"/>
                <w:sz w:val="18"/>
                <w:szCs w:val="18"/>
              </w:rPr>
            </w:pPr>
            <w:r w:rsidRPr="006070EA">
              <w:rPr>
                <w:rFonts w:asciiTheme="majorHAnsi" w:hAnsiTheme="majorHAnsi" w:cstheme="majorHAnsi"/>
                <w:sz w:val="18"/>
                <w:szCs w:val="18"/>
              </w:rPr>
              <w:t>funkční</w:t>
            </w:r>
          </w:p>
        </w:tc>
        <w:tc>
          <w:tcPr>
            <w:tcW w:w="5102" w:type="dxa"/>
            <w:tcBorders>
              <w:top w:val="single" w:sz="12" w:space="0" w:color="auto"/>
            </w:tcBorders>
            <w:vAlign w:val="center"/>
          </w:tcPr>
          <w:p w14:paraId="2F830FB0" w14:textId="77777777" w:rsidR="004F6877" w:rsidRPr="006070EA" w:rsidRDefault="004F6877" w:rsidP="00616F2B">
            <w:pPr>
              <w:widowControl w:val="0"/>
              <w:spacing w:after="60"/>
              <w:rPr>
                <w:rFonts w:asciiTheme="majorHAnsi" w:hAnsiTheme="majorHAnsi" w:cstheme="majorHAnsi"/>
                <w:sz w:val="18"/>
                <w:szCs w:val="18"/>
              </w:rPr>
            </w:pPr>
            <w:r w:rsidRPr="006070EA">
              <w:rPr>
                <w:rFonts w:asciiTheme="majorHAnsi" w:hAnsiTheme="majorHAnsi" w:cstheme="majorHAnsi"/>
                <w:i/>
                <w:iCs/>
                <w:sz w:val="18"/>
                <w:szCs w:val="18"/>
              </w:rPr>
              <w:t>Popis</w:t>
            </w:r>
            <w:r w:rsidRPr="006070EA">
              <w:rPr>
                <w:rFonts w:asciiTheme="majorHAnsi" w:hAnsiTheme="majorHAnsi" w:cstheme="majorHAnsi"/>
                <w:sz w:val="18"/>
                <w:szCs w:val="18"/>
              </w:rPr>
              <w:t xml:space="preserve">: lokální biokoridor podle toku Hlubokého příkopu (v jižní části podél Vlkavy) v jeho doprovodných společenstvech směrem na SV z Mydlovarského luhu odkud vychází a vede pod Kostomlaty dále (v zastavěném území Kostomlat nad Labem je biokoridor zúžen, místy až na koryto vodního toku). </w:t>
            </w:r>
          </w:p>
          <w:p w14:paraId="51FD94CC" w14:textId="37EA7324" w:rsidR="004F6877" w:rsidRPr="006070EA" w:rsidRDefault="004F6877" w:rsidP="00616F2B">
            <w:pPr>
              <w:widowControl w:val="0"/>
              <w:spacing w:after="60"/>
              <w:rPr>
                <w:rFonts w:asciiTheme="majorHAnsi" w:hAnsiTheme="majorHAnsi" w:cstheme="majorHAnsi"/>
                <w:sz w:val="18"/>
                <w:szCs w:val="18"/>
              </w:rPr>
            </w:pPr>
            <w:r w:rsidRPr="006070EA">
              <w:rPr>
                <w:rFonts w:asciiTheme="majorHAnsi" w:hAnsiTheme="majorHAnsi" w:cstheme="majorHAnsi"/>
                <w:sz w:val="18"/>
                <w:szCs w:val="18"/>
              </w:rPr>
              <w:t>Spojuje regionální biocentrum R</w:t>
            </w:r>
            <w:r w:rsidR="006C7149" w:rsidRPr="006070EA">
              <w:rPr>
                <w:rFonts w:asciiTheme="majorHAnsi" w:hAnsiTheme="majorHAnsi" w:cstheme="majorHAnsi"/>
                <w:sz w:val="18"/>
                <w:szCs w:val="18"/>
              </w:rPr>
              <w:t>B</w:t>
            </w:r>
            <w:r w:rsidRPr="006070EA">
              <w:rPr>
                <w:rFonts w:asciiTheme="majorHAnsi" w:hAnsiTheme="majorHAnsi" w:cstheme="majorHAnsi"/>
                <w:sz w:val="18"/>
                <w:szCs w:val="18"/>
              </w:rPr>
              <w:t>C</w:t>
            </w:r>
            <w:r w:rsidR="006C7149" w:rsidRPr="006070EA">
              <w:rPr>
                <w:rFonts w:asciiTheme="majorHAnsi" w:hAnsiTheme="majorHAnsi" w:cstheme="majorHAnsi"/>
                <w:sz w:val="18"/>
                <w:szCs w:val="18"/>
              </w:rPr>
              <w:t>.</w:t>
            </w:r>
            <w:r w:rsidRPr="006070EA">
              <w:rPr>
                <w:rFonts w:asciiTheme="majorHAnsi" w:hAnsiTheme="majorHAnsi" w:cstheme="majorHAnsi"/>
                <w:sz w:val="18"/>
                <w:szCs w:val="18"/>
              </w:rPr>
              <w:t>349 a lokální biocentrum L</w:t>
            </w:r>
            <w:r w:rsidR="006C7149" w:rsidRPr="006070EA">
              <w:rPr>
                <w:rFonts w:asciiTheme="majorHAnsi" w:hAnsiTheme="majorHAnsi" w:cstheme="majorHAnsi"/>
                <w:sz w:val="18"/>
                <w:szCs w:val="18"/>
              </w:rPr>
              <w:t>B</w:t>
            </w:r>
            <w:r w:rsidRPr="006070EA">
              <w:rPr>
                <w:rFonts w:asciiTheme="majorHAnsi" w:hAnsiTheme="majorHAnsi" w:cstheme="majorHAnsi"/>
                <w:sz w:val="18"/>
                <w:szCs w:val="18"/>
              </w:rPr>
              <w:t>C</w:t>
            </w:r>
            <w:r w:rsidR="006C7149" w:rsidRPr="006070EA">
              <w:rPr>
                <w:rFonts w:asciiTheme="majorHAnsi" w:hAnsiTheme="majorHAnsi" w:cstheme="majorHAnsi"/>
                <w:sz w:val="18"/>
                <w:szCs w:val="18"/>
              </w:rPr>
              <w:t>.</w:t>
            </w:r>
            <w:r w:rsidRPr="006070EA">
              <w:rPr>
                <w:rFonts w:asciiTheme="majorHAnsi" w:hAnsiTheme="majorHAnsi" w:cstheme="majorHAnsi"/>
                <w:sz w:val="18"/>
                <w:szCs w:val="18"/>
              </w:rPr>
              <w:t>1. K biocentrum L</w:t>
            </w:r>
            <w:r w:rsidR="006C7149" w:rsidRPr="006070EA">
              <w:rPr>
                <w:rFonts w:asciiTheme="majorHAnsi" w:hAnsiTheme="majorHAnsi" w:cstheme="majorHAnsi"/>
                <w:sz w:val="18"/>
                <w:szCs w:val="18"/>
              </w:rPr>
              <w:t>B</w:t>
            </w:r>
            <w:r w:rsidRPr="006070EA">
              <w:rPr>
                <w:rFonts w:asciiTheme="majorHAnsi" w:hAnsiTheme="majorHAnsi" w:cstheme="majorHAnsi"/>
                <w:sz w:val="18"/>
                <w:szCs w:val="18"/>
              </w:rPr>
              <w:t>C</w:t>
            </w:r>
            <w:r w:rsidR="006C7149" w:rsidRPr="006070EA">
              <w:rPr>
                <w:rFonts w:asciiTheme="majorHAnsi" w:hAnsiTheme="majorHAnsi" w:cstheme="majorHAnsi"/>
                <w:sz w:val="18"/>
                <w:szCs w:val="18"/>
              </w:rPr>
              <w:t>.</w:t>
            </w:r>
            <w:r w:rsidRPr="006070EA">
              <w:rPr>
                <w:rFonts w:asciiTheme="majorHAnsi" w:hAnsiTheme="majorHAnsi" w:cstheme="majorHAnsi"/>
                <w:sz w:val="18"/>
                <w:szCs w:val="18"/>
              </w:rPr>
              <w:t>1 přichází mezi poli podle soustavy struh a kanálů pod Kamenným Zbožím, dále směřuje po mezích u Drahelic k Labi do nadregionálního biokoridoru (NRBK).</w:t>
            </w:r>
          </w:p>
          <w:p w14:paraId="0842495A" w14:textId="77777777" w:rsidR="004F6877" w:rsidRPr="006070EA" w:rsidRDefault="004F6877" w:rsidP="00616F2B">
            <w:pPr>
              <w:widowControl w:val="0"/>
              <w:spacing w:after="60"/>
              <w:rPr>
                <w:rFonts w:asciiTheme="majorHAnsi" w:hAnsiTheme="majorHAnsi" w:cstheme="majorHAnsi"/>
                <w:sz w:val="18"/>
                <w:szCs w:val="18"/>
              </w:rPr>
            </w:pPr>
            <w:r w:rsidRPr="006070EA">
              <w:rPr>
                <w:rFonts w:asciiTheme="majorHAnsi" w:hAnsiTheme="majorHAnsi" w:cstheme="majorHAnsi"/>
                <w:sz w:val="18"/>
                <w:szCs w:val="18"/>
              </w:rPr>
              <w:t>Tok je hustě doprovázen nepoůvodním pobřežním porostem, a to většinou polokulturním. Částečně degradovaný porost zemědělskou činností, kvalita vody je dobrá</w:t>
            </w:r>
          </w:p>
          <w:p w14:paraId="7204C31B" w14:textId="77777777" w:rsidR="004F6877" w:rsidRPr="006070EA" w:rsidRDefault="004F6877" w:rsidP="00600476">
            <w:pPr>
              <w:widowControl w:val="0"/>
              <w:spacing w:after="60"/>
              <w:rPr>
                <w:rFonts w:asciiTheme="majorHAnsi" w:hAnsiTheme="majorHAnsi" w:cstheme="majorHAnsi"/>
                <w:sz w:val="18"/>
                <w:szCs w:val="18"/>
              </w:rPr>
            </w:pPr>
            <w:r w:rsidRPr="006070EA">
              <w:rPr>
                <w:rFonts w:asciiTheme="majorHAnsi" w:hAnsiTheme="majorHAnsi" w:cstheme="majorHAnsi"/>
                <w:i/>
                <w:iCs/>
                <w:sz w:val="18"/>
                <w:szCs w:val="18"/>
              </w:rPr>
              <w:t>Geobiocenologická typizace</w:t>
            </w:r>
            <w:r w:rsidRPr="006070EA">
              <w:rPr>
                <w:rFonts w:asciiTheme="majorHAnsi" w:hAnsiTheme="majorHAnsi" w:cstheme="majorHAnsi"/>
                <w:sz w:val="18"/>
                <w:szCs w:val="18"/>
              </w:rPr>
              <w:t>: 1BC3, 1B3, 1BD3, 1B2</w:t>
            </w:r>
          </w:p>
          <w:p w14:paraId="3BBDD29A" w14:textId="77777777" w:rsidR="004F6877" w:rsidRPr="006070EA" w:rsidRDefault="004F6877" w:rsidP="00616F2B">
            <w:pPr>
              <w:widowControl w:val="0"/>
              <w:spacing w:after="60"/>
              <w:rPr>
                <w:rFonts w:asciiTheme="majorHAnsi" w:hAnsiTheme="majorHAnsi" w:cstheme="majorHAnsi"/>
                <w:sz w:val="18"/>
                <w:szCs w:val="18"/>
              </w:rPr>
            </w:pPr>
            <w:r w:rsidRPr="006070EA">
              <w:rPr>
                <w:rFonts w:asciiTheme="majorHAnsi" w:hAnsiTheme="majorHAnsi" w:cstheme="majorHAnsi"/>
                <w:i/>
                <w:iCs/>
                <w:sz w:val="18"/>
                <w:szCs w:val="18"/>
              </w:rPr>
              <w:t>Cílový stav</w:t>
            </w:r>
            <w:r w:rsidRPr="006070EA">
              <w:rPr>
                <w:rFonts w:asciiTheme="majorHAnsi" w:hAnsiTheme="majorHAnsi" w:cstheme="majorHAnsi"/>
                <w:sz w:val="18"/>
                <w:szCs w:val="18"/>
              </w:rPr>
              <w:t>: zapojený přirozený pobřežní porost podle toku v celé délce a dále podle revitalizovaných melioračních struh a kanálů.</w:t>
            </w:r>
          </w:p>
          <w:p w14:paraId="7C453815" w14:textId="77777777" w:rsidR="004F6877" w:rsidRPr="006070EA" w:rsidRDefault="004F6877" w:rsidP="00616F2B">
            <w:pPr>
              <w:widowControl w:val="0"/>
              <w:spacing w:after="60"/>
              <w:rPr>
                <w:rFonts w:asciiTheme="majorHAnsi" w:hAnsiTheme="majorHAnsi" w:cstheme="majorHAnsi"/>
                <w:sz w:val="18"/>
                <w:szCs w:val="18"/>
              </w:rPr>
            </w:pPr>
            <w:r w:rsidRPr="006070EA">
              <w:rPr>
                <w:rFonts w:asciiTheme="majorHAnsi" w:hAnsiTheme="majorHAnsi" w:cstheme="majorHAnsi"/>
                <w:i/>
                <w:iCs/>
                <w:sz w:val="18"/>
                <w:szCs w:val="18"/>
              </w:rPr>
              <w:t>Dřeviny a křoviny</w:t>
            </w:r>
            <w:r w:rsidRPr="006070EA">
              <w:rPr>
                <w:rFonts w:asciiTheme="majorHAnsi" w:hAnsiTheme="majorHAnsi" w:cstheme="majorHAnsi"/>
                <w:sz w:val="18"/>
                <w:szCs w:val="18"/>
              </w:rPr>
              <w:t>: bzč, ržpo, tro, TRS, JAD, BRB, TPH, vru</w:t>
            </w:r>
          </w:p>
          <w:p w14:paraId="06856B2E" w14:textId="77777777" w:rsidR="004F6877" w:rsidRPr="006070EA" w:rsidRDefault="004F6877" w:rsidP="00616F2B">
            <w:pPr>
              <w:widowControl w:val="0"/>
              <w:spacing w:after="60"/>
              <w:rPr>
                <w:rFonts w:asciiTheme="majorHAnsi" w:hAnsiTheme="majorHAnsi" w:cstheme="majorHAnsi"/>
                <w:sz w:val="18"/>
                <w:szCs w:val="18"/>
              </w:rPr>
            </w:pPr>
            <w:r w:rsidRPr="006070EA">
              <w:rPr>
                <w:rFonts w:asciiTheme="majorHAnsi" w:hAnsiTheme="majorHAnsi" w:cstheme="majorHAnsi"/>
                <w:i/>
                <w:iCs/>
                <w:sz w:val="18"/>
                <w:szCs w:val="18"/>
              </w:rPr>
              <w:t>Byliny</w:t>
            </w:r>
            <w:r w:rsidRPr="006070EA">
              <w:rPr>
                <w:rFonts w:asciiTheme="majorHAnsi" w:hAnsiTheme="majorHAnsi" w:cstheme="majorHAnsi"/>
                <w:sz w:val="18"/>
                <w:szCs w:val="18"/>
              </w:rPr>
              <w:t>: rákos obecný, bolševník obecný, lopuch menší, více druhů svízele, kopřiva dvoudomá, pcháč zelinný, bršlice kozí noha, kakost smrdutý.</w:t>
            </w:r>
          </w:p>
          <w:p w14:paraId="476D6667" w14:textId="77777777" w:rsidR="004F6877" w:rsidRPr="006070EA" w:rsidRDefault="004F6877" w:rsidP="00616F2B">
            <w:pPr>
              <w:widowControl w:val="0"/>
              <w:spacing w:after="60"/>
              <w:rPr>
                <w:rFonts w:asciiTheme="majorHAnsi" w:hAnsiTheme="majorHAnsi" w:cstheme="majorHAnsi"/>
                <w:sz w:val="18"/>
                <w:szCs w:val="18"/>
              </w:rPr>
            </w:pPr>
            <w:r w:rsidRPr="006070EA">
              <w:rPr>
                <w:rFonts w:asciiTheme="majorHAnsi" w:hAnsiTheme="majorHAnsi" w:cstheme="majorHAnsi"/>
                <w:i/>
                <w:iCs/>
                <w:sz w:val="18"/>
                <w:szCs w:val="18"/>
              </w:rPr>
              <w:t>Fyziotyp</w:t>
            </w:r>
            <w:r w:rsidRPr="006070EA">
              <w:rPr>
                <w:rFonts w:asciiTheme="majorHAnsi" w:hAnsiTheme="majorHAnsi" w:cstheme="majorHAnsi"/>
                <w:sz w:val="18"/>
                <w:szCs w:val="18"/>
              </w:rPr>
              <w:t>: KR, VO, SE</w:t>
            </w:r>
          </w:p>
          <w:p w14:paraId="4AFE5B14" w14:textId="77777777" w:rsidR="004F6877" w:rsidRPr="006070EA" w:rsidRDefault="004F6877" w:rsidP="00616F2B">
            <w:pPr>
              <w:widowControl w:val="0"/>
              <w:spacing w:after="60"/>
              <w:rPr>
                <w:rFonts w:asciiTheme="majorHAnsi" w:hAnsiTheme="majorHAnsi" w:cstheme="majorHAnsi"/>
                <w:sz w:val="18"/>
                <w:szCs w:val="18"/>
              </w:rPr>
            </w:pPr>
            <w:r w:rsidRPr="006070EA">
              <w:rPr>
                <w:rFonts w:asciiTheme="majorHAnsi" w:hAnsiTheme="majorHAnsi" w:cstheme="majorHAnsi"/>
                <w:i/>
                <w:iCs/>
                <w:sz w:val="18"/>
                <w:szCs w:val="18"/>
              </w:rPr>
              <w:t>Možné znehodnocení</w:t>
            </w:r>
            <w:r w:rsidRPr="006070EA">
              <w:rPr>
                <w:rFonts w:asciiTheme="majorHAnsi" w:hAnsiTheme="majorHAnsi" w:cstheme="majorHAnsi"/>
                <w:sz w:val="18"/>
                <w:szCs w:val="18"/>
              </w:rPr>
              <w:t>: zemědělská činnost, úpravy toku</w:t>
            </w:r>
          </w:p>
          <w:p w14:paraId="55590020" w14:textId="1AF8EA0E" w:rsidR="004F6877" w:rsidRPr="006070EA" w:rsidRDefault="004F6877" w:rsidP="00616F2B">
            <w:pPr>
              <w:widowControl w:val="0"/>
              <w:spacing w:after="60"/>
              <w:rPr>
                <w:rFonts w:asciiTheme="majorHAnsi" w:hAnsiTheme="majorHAnsi" w:cstheme="majorHAnsi"/>
                <w:sz w:val="18"/>
                <w:szCs w:val="18"/>
              </w:rPr>
            </w:pPr>
            <w:r w:rsidRPr="006070EA">
              <w:rPr>
                <w:rFonts w:asciiTheme="majorHAnsi" w:hAnsiTheme="majorHAnsi" w:cstheme="majorHAnsi"/>
                <w:i/>
                <w:iCs/>
                <w:sz w:val="18"/>
                <w:szCs w:val="18"/>
              </w:rPr>
              <w:t>Návrh opatření</w:t>
            </w:r>
            <w:r w:rsidRPr="006070EA">
              <w:rPr>
                <w:rFonts w:asciiTheme="majorHAnsi" w:hAnsiTheme="majorHAnsi" w:cstheme="majorHAnsi"/>
                <w:sz w:val="18"/>
                <w:szCs w:val="18"/>
              </w:rPr>
              <w:t xml:space="preserve">: dosadba místních přirozených dřevin a křovin, revitalizace toku a okolí, revitalizace a znovu zavedení struh </w:t>
            </w:r>
          </w:p>
        </w:tc>
      </w:tr>
      <w:tr w:rsidR="00A91646" w:rsidRPr="006070EA" w14:paraId="0F9EDD76" w14:textId="77777777" w:rsidTr="003A7D3E">
        <w:trPr>
          <w:cantSplit/>
          <w:jc w:val="center"/>
        </w:trPr>
        <w:tc>
          <w:tcPr>
            <w:tcW w:w="1417" w:type="dxa"/>
            <w:vAlign w:val="center"/>
          </w:tcPr>
          <w:p w14:paraId="46487F04" w14:textId="128C06D5" w:rsidR="00A91646" w:rsidRPr="006070EA" w:rsidRDefault="00A91646" w:rsidP="00616F2B">
            <w:pPr>
              <w:widowControl w:val="0"/>
              <w:spacing w:after="60"/>
              <w:jc w:val="center"/>
              <w:rPr>
                <w:rFonts w:asciiTheme="majorHAnsi" w:hAnsiTheme="majorHAnsi" w:cstheme="majorHAnsi"/>
                <w:b/>
                <w:sz w:val="18"/>
                <w:szCs w:val="18"/>
              </w:rPr>
            </w:pPr>
            <w:r w:rsidRPr="006070EA">
              <w:rPr>
                <w:rFonts w:asciiTheme="majorHAnsi" w:hAnsiTheme="majorHAnsi" w:cstheme="majorHAnsi"/>
                <w:b/>
                <w:sz w:val="18"/>
                <w:szCs w:val="18"/>
              </w:rPr>
              <w:lastRenderedPageBreak/>
              <w:t>L</w:t>
            </w:r>
            <w:r w:rsidR="006C7149" w:rsidRPr="006070EA">
              <w:rPr>
                <w:rFonts w:asciiTheme="majorHAnsi" w:hAnsiTheme="majorHAnsi" w:cstheme="majorHAnsi"/>
                <w:b/>
                <w:sz w:val="18"/>
                <w:szCs w:val="18"/>
              </w:rPr>
              <w:t>B</w:t>
            </w:r>
            <w:r w:rsidRPr="006070EA">
              <w:rPr>
                <w:rFonts w:asciiTheme="majorHAnsi" w:hAnsiTheme="majorHAnsi" w:cstheme="majorHAnsi"/>
                <w:b/>
                <w:sz w:val="18"/>
                <w:szCs w:val="18"/>
              </w:rPr>
              <w:t>K</w:t>
            </w:r>
            <w:r w:rsidR="006C7149" w:rsidRPr="006070EA">
              <w:rPr>
                <w:rFonts w:asciiTheme="majorHAnsi" w:hAnsiTheme="majorHAnsi" w:cstheme="majorHAnsi"/>
                <w:b/>
                <w:sz w:val="18"/>
                <w:szCs w:val="18"/>
              </w:rPr>
              <w:t>.</w:t>
            </w:r>
            <w:r w:rsidRPr="006070EA">
              <w:rPr>
                <w:rFonts w:asciiTheme="majorHAnsi" w:hAnsiTheme="majorHAnsi" w:cstheme="majorHAnsi"/>
                <w:b/>
                <w:sz w:val="18"/>
                <w:szCs w:val="18"/>
              </w:rPr>
              <w:t>2 Hronětický náhon</w:t>
            </w:r>
          </w:p>
        </w:tc>
        <w:tc>
          <w:tcPr>
            <w:tcW w:w="1417" w:type="dxa"/>
            <w:vAlign w:val="center"/>
          </w:tcPr>
          <w:p w14:paraId="663D9252" w14:textId="52316A23" w:rsidR="00A91646" w:rsidRPr="006070EA" w:rsidRDefault="00A91646" w:rsidP="00E855CD">
            <w:pPr>
              <w:widowControl w:val="0"/>
              <w:spacing w:after="60"/>
              <w:jc w:val="center"/>
              <w:rPr>
                <w:rFonts w:asciiTheme="majorHAnsi" w:hAnsiTheme="majorHAnsi" w:cstheme="majorHAnsi"/>
                <w:sz w:val="18"/>
                <w:szCs w:val="18"/>
              </w:rPr>
            </w:pPr>
            <w:r w:rsidRPr="006070EA">
              <w:rPr>
                <w:rFonts w:asciiTheme="majorHAnsi" w:hAnsiTheme="majorHAnsi" w:cstheme="majorHAnsi"/>
                <w:sz w:val="18"/>
                <w:szCs w:val="18"/>
              </w:rPr>
              <w:t>Průměrná šířka: 50 m</w:t>
            </w:r>
          </w:p>
          <w:p w14:paraId="632333C5" w14:textId="47294D9D" w:rsidR="00A91646" w:rsidRPr="006070EA" w:rsidRDefault="00A91646" w:rsidP="00E17D63">
            <w:pPr>
              <w:widowControl w:val="0"/>
              <w:spacing w:after="60"/>
              <w:jc w:val="center"/>
              <w:rPr>
                <w:rFonts w:asciiTheme="majorHAnsi" w:hAnsiTheme="majorHAnsi" w:cstheme="majorHAnsi"/>
                <w:color w:val="FF0000"/>
                <w:sz w:val="18"/>
                <w:szCs w:val="18"/>
              </w:rPr>
            </w:pPr>
            <w:r w:rsidRPr="006070EA">
              <w:rPr>
                <w:rFonts w:asciiTheme="majorHAnsi" w:hAnsiTheme="majorHAnsi" w:cstheme="majorHAnsi"/>
                <w:sz w:val="18"/>
                <w:szCs w:val="18"/>
              </w:rPr>
              <w:t>Délka v řešeném území: 5 km</w:t>
            </w:r>
          </w:p>
        </w:tc>
        <w:tc>
          <w:tcPr>
            <w:tcW w:w="1134" w:type="dxa"/>
            <w:vAlign w:val="center"/>
          </w:tcPr>
          <w:p w14:paraId="5886008E" w14:textId="4188DC35" w:rsidR="00A91646" w:rsidRPr="006070EA" w:rsidRDefault="00A91646" w:rsidP="00616F2B">
            <w:pPr>
              <w:widowControl w:val="0"/>
              <w:spacing w:after="60"/>
              <w:jc w:val="center"/>
              <w:rPr>
                <w:rFonts w:asciiTheme="majorHAnsi" w:hAnsiTheme="majorHAnsi" w:cstheme="majorHAnsi"/>
                <w:sz w:val="18"/>
                <w:szCs w:val="18"/>
              </w:rPr>
            </w:pPr>
            <w:r w:rsidRPr="006070EA">
              <w:rPr>
                <w:rFonts w:asciiTheme="majorHAnsi" w:hAnsiTheme="majorHAnsi" w:cstheme="majorHAnsi"/>
                <w:sz w:val="18"/>
                <w:szCs w:val="18"/>
              </w:rPr>
              <w:t>funkční</w:t>
            </w:r>
          </w:p>
        </w:tc>
        <w:tc>
          <w:tcPr>
            <w:tcW w:w="5102" w:type="dxa"/>
            <w:vAlign w:val="center"/>
          </w:tcPr>
          <w:p w14:paraId="02838050" w14:textId="10F5722F" w:rsidR="00993035" w:rsidRPr="00A76411" w:rsidRDefault="00A91646" w:rsidP="00993035">
            <w:pPr>
              <w:widowControl w:val="0"/>
              <w:spacing w:after="60"/>
              <w:rPr>
                <w:rFonts w:asciiTheme="majorHAnsi" w:hAnsiTheme="majorHAnsi" w:cstheme="majorHAnsi"/>
                <w:sz w:val="18"/>
                <w:szCs w:val="18"/>
              </w:rPr>
            </w:pPr>
            <w:r w:rsidRPr="00A76411">
              <w:rPr>
                <w:rFonts w:asciiTheme="majorHAnsi" w:hAnsiTheme="majorHAnsi" w:cstheme="majorHAnsi"/>
                <w:i/>
                <w:iCs/>
                <w:sz w:val="18"/>
                <w:szCs w:val="18"/>
              </w:rPr>
              <w:t>Popis</w:t>
            </w:r>
            <w:r w:rsidRPr="00A76411">
              <w:rPr>
                <w:rFonts w:asciiTheme="majorHAnsi" w:hAnsiTheme="majorHAnsi" w:cstheme="majorHAnsi"/>
                <w:sz w:val="18"/>
                <w:szCs w:val="18"/>
              </w:rPr>
              <w:t xml:space="preserve">: Lokální biokoridor spojující regionální biocentrum Niva Labe u </w:t>
            </w:r>
            <w:r w:rsidR="004C536A" w:rsidRPr="00A76411">
              <w:rPr>
                <w:rFonts w:asciiTheme="majorHAnsi" w:hAnsiTheme="majorHAnsi" w:cstheme="majorHAnsi"/>
                <w:sz w:val="18"/>
                <w:szCs w:val="18"/>
              </w:rPr>
              <w:t>Lysé nad Labem</w:t>
            </w:r>
            <w:r w:rsidRPr="00A76411">
              <w:rPr>
                <w:rFonts w:asciiTheme="majorHAnsi" w:hAnsiTheme="majorHAnsi" w:cstheme="majorHAnsi"/>
                <w:sz w:val="18"/>
                <w:szCs w:val="18"/>
              </w:rPr>
              <w:t xml:space="preserve"> s lokálním biocentrem Vápensko. Páteří biokoridoru je Hronětický potok a jeho doprovodné stromové a luční porosty.</w:t>
            </w:r>
            <w:r w:rsidR="00993035" w:rsidRPr="00A76411">
              <w:rPr>
                <w:rFonts w:asciiTheme="majorHAnsi" w:hAnsiTheme="majorHAnsi" w:cstheme="majorHAnsi"/>
                <w:sz w:val="18"/>
                <w:szCs w:val="18"/>
              </w:rPr>
              <w:t xml:space="preserve"> Doprovodný porost je narušený ikdyž zapojený, kvalita vody je nízká.</w:t>
            </w:r>
          </w:p>
          <w:p w14:paraId="539342FD" w14:textId="123234ED" w:rsidR="00A91646" w:rsidRPr="00A76411" w:rsidRDefault="00A91646" w:rsidP="00616F2B">
            <w:pPr>
              <w:widowControl w:val="0"/>
              <w:spacing w:after="60"/>
              <w:rPr>
                <w:rFonts w:asciiTheme="majorHAnsi" w:hAnsiTheme="majorHAnsi" w:cstheme="majorHAnsi"/>
                <w:sz w:val="18"/>
                <w:szCs w:val="18"/>
              </w:rPr>
            </w:pPr>
            <w:r w:rsidRPr="00A76411">
              <w:rPr>
                <w:rFonts w:asciiTheme="majorHAnsi" w:hAnsiTheme="majorHAnsi" w:cstheme="majorHAnsi"/>
                <w:sz w:val="18"/>
                <w:szCs w:val="18"/>
              </w:rPr>
              <w:t>V řešeném území jsou na biokoridoru vložena dvě lokální biocentra (L</w:t>
            </w:r>
            <w:r w:rsidR="006C7149" w:rsidRPr="00A76411">
              <w:rPr>
                <w:rFonts w:asciiTheme="majorHAnsi" w:hAnsiTheme="majorHAnsi" w:cstheme="majorHAnsi"/>
                <w:sz w:val="18"/>
                <w:szCs w:val="18"/>
              </w:rPr>
              <w:t>B</w:t>
            </w:r>
            <w:r w:rsidRPr="00A76411">
              <w:rPr>
                <w:rFonts w:asciiTheme="majorHAnsi" w:hAnsiTheme="majorHAnsi" w:cstheme="majorHAnsi"/>
                <w:sz w:val="18"/>
                <w:szCs w:val="18"/>
              </w:rPr>
              <w:t>C</w:t>
            </w:r>
            <w:r w:rsidR="006C7149" w:rsidRPr="00A76411">
              <w:rPr>
                <w:rFonts w:asciiTheme="majorHAnsi" w:hAnsiTheme="majorHAnsi" w:cstheme="majorHAnsi"/>
                <w:sz w:val="18"/>
                <w:szCs w:val="18"/>
              </w:rPr>
              <w:t>.</w:t>
            </w:r>
            <w:r w:rsidRPr="00A76411">
              <w:rPr>
                <w:rFonts w:asciiTheme="majorHAnsi" w:hAnsiTheme="majorHAnsi" w:cstheme="majorHAnsi"/>
                <w:sz w:val="18"/>
                <w:szCs w:val="18"/>
              </w:rPr>
              <w:t>2 Na spraši a L</w:t>
            </w:r>
            <w:r w:rsidR="006C7149" w:rsidRPr="00A76411">
              <w:rPr>
                <w:rFonts w:asciiTheme="majorHAnsi" w:hAnsiTheme="majorHAnsi" w:cstheme="majorHAnsi"/>
                <w:sz w:val="18"/>
                <w:szCs w:val="18"/>
              </w:rPr>
              <w:t>B</w:t>
            </w:r>
            <w:r w:rsidRPr="00A76411">
              <w:rPr>
                <w:rFonts w:asciiTheme="majorHAnsi" w:hAnsiTheme="majorHAnsi" w:cstheme="majorHAnsi"/>
                <w:sz w:val="18"/>
                <w:szCs w:val="18"/>
              </w:rPr>
              <w:t>C</w:t>
            </w:r>
            <w:r w:rsidR="006C7149" w:rsidRPr="00A76411">
              <w:rPr>
                <w:rFonts w:asciiTheme="majorHAnsi" w:hAnsiTheme="majorHAnsi" w:cstheme="majorHAnsi"/>
                <w:sz w:val="18"/>
                <w:szCs w:val="18"/>
              </w:rPr>
              <w:t>.</w:t>
            </w:r>
            <w:r w:rsidRPr="00A76411">
              <w:rPr>
                <w:rFonts w:asciiTheme="majorHAnsi" w:hAnsiTheme="majorHAnsi" w:cstheme="majorHAnsi"/>
                <w:sz w:val="18"/>
                <w:szCs w:val="18"/>
              </w:rPr>
              <w:t>3 Na bahnech).</w:t>
            </w:r>
          </w:p>
          <w:p w14:paraId="46ECD7C6" w14:textId="731ACB25" w:rsidR="00993035" w:rsidRPr="00A76411" w:rsidRDefault="00993035" w:rsidP="00616F2B">
            <w:pPr>
              <w:widowControl w:val="0"/>
              <w:spacing w:after="60"/>
              <w:rPr>
                <w:rFonts w:asciiTheme="majorHAnsi" w:hAnsiTheme="majorHAnsi" w:cstheme="majorHAnsi"/>
                <w:sz w:val="18"/>
                <w:szCs w:val="18"/>
              </w:rPr>
            </w:pPr>
            <w:r w:rsidRPr="00A76411">
              <w:rPr>
                <w:rFonts w:asciiTheme="majorHAnsi" w:hAnsiTheme="majorHAnsi" w:cstheme="majorHAnsi"/>
                <w:sz w:val="18"/>
                <w:szCs w:val="18"/>
              </w:rPr>
              <w:t>Tok je doprovázen pobřežním porostem, a to většinou polokulturním až degradovaným, pole jdou často až těsně k porostu.</w:t>
            </w:r>
          </w:p>
          <w:p w14:paraId="537DC611" w14:textId="1C3E846D" w:rsidR="00A91646" w:rsidRPr="00A76411" w:rsidRDefault="00A91646" w:rsidP="00616F2B">
            <w:pPr>
              <w:widowControl w:val="0"/>
              <w:spacing w:after="60"/>
              <w:rPr>
                <w:rFonts w:asciiTheme="majorHAnsi" w:hAnsiTheme="majorHAnsi" w:cstheme="majorHAnsi"/>
                <w:sz w:val="18"/>
                <w:szCs w:val="18"/>
              </w:rPr>
            </w:pPr>
            <w:r w:rsidRPr="00A76411">
              <w:rPr>
                <w:rFonts w:asciiTheme="majorHAnsi" w:hAnsiTheme="majorHAnsi" w:cstheme="majorHAnsi"/>
                <w:i/>
                <w:iCs/>
                <w:sz w:val="18"/>
                <w:szCs w:val="18"/>
              </w:rPr>
              <w:t>Geobiocenologická typizace</w:t>
            </w:r>
            <w:r w:rsidRPr="00A76411">
              <w:rPr>
                <w:rFonts w:asciiTheme="majorHAnsi" w:hAnsiTheme="majorHAnsi" w:cstheme="majorHAnsi"/>
                <w:sz w:val="18"/>
                <w:szCs w:val="18"/>
              </w:rPr>
              <w:t>: 2 BC 4, 2 BC 5</w:t>
            </w:r>
            <w:r w:rsidR="004F6877" w:rsidRPr="00A76411">
              <w:rPr>
                <w:rFonts w:asciiTheme="majorHAnsi" w:hAnsiTheme="majorHAnsi" w:cstheme="majorHAnsi"/>
                <w:sz w:val="18"/>
                <w:szCs w:val="18"/>
              </w:rPr>
              <w:t>, 1BC3,5, 1B3,2</w:t>
            </w:r>
          </w:p>
          <w:p w14:paraId="20C471E4" w14:textId="77777777" w:rsidR="00993035" w:rsidRPr="00A76411" w:rsidRDefault="00993035" w:rsidP="00993035">
            <w:pPr>
              <w:widowControl w:val="0"/>
              <w:spacing w:after="60"/>
              <w:rPr>
                <w:rFonts w:asciiTheme="majorHAnsi" w:hAnsiTheme="majorHAnsi" w:cstheme="majorHAnsi"/>
                <w:sz w:val="18"/>
                <w:szCs w:val="18"/>
              </w:rPr>
            </w:pPr>
            <w:r w:rsidRPr="00A76411">
              <w:rPr>
                <w:rFonts w:asciiTheme="majorHAnsi" w:hAnsiTheme="majorHAnsi" w:cstheme="majorHAnsi"/>
                <w:i/>
                <w:iCs/>
                <w:sz w:val="18"/>
                <w:szCs w:val="18"/>
              </w:rPr>
              <w:t>Stupeň ekologické stability</w:t>
            </w:r>
            <w:r w:rsidRPr="00A76411">
              <w:rPr>
                <w:rFonts w:asciiTheme="majorHAnsi" w:hAnsiTheme="majorHAnsi" w:cstheme="majorHAnsi"/>
                <w:sz w:val="18"/>
                <w:szCs w:val="18"/>
              </w:rPr>
              <w:t>: 3, 4, 5</w:t>
            </w:r>
          </w:p>
          <w:p w14:paraId="22360A06" w14:textId="33EC2306" w:rsidR="00993035" w:rsidRPr="00A76411" w:rsidRDefault="00993035" w:rsidP="00616F2B">
            <w:pPr>
              <w:widowControl w:val="0"/>
              <w:spacing w:after="60"/>
              <w:rPr>
                <w:rFonts w:asciiTheme="majorHAnsi" w:hAnsiTheme="majorHAnsi" w:cstheme="majorHAnsi"/>
                <w:sz w:val="18"/>
                <w:szCs w:val="18"/>
              </w:rPr>
            </w:pPr>
            <w:r w:rsidRPr="00A76411">
              <w:rPr>
                <w:rFonts w:asciiTheme="majorHAnsi" w:hAnsiTheme="majorHAnsi" w:cstheme="majorHAnsi"/>
                <w:i/>
                <w:iCs/>
                <w:sz w:val="18"/>
                <w:szCs w:val="18"/>
              </w:rPr>
              <w:t>Cílový stav</w:t>
            </w:r>
            <w:r w:rsidRPr="00A76411">
              <w:rPr>
                <w:rFonts w:asciiTheme="majorHAnsi" w:hAnsiTheme="majorHAnsi" w:cstheme="majorHAnsi"/>
                <w:sz w:val="18"/>
                <w:szCs w:val="18"/>
              </w:rPr>
              <w:t>: zapojený přirozený pobřežní porost podle toku v celé jeho délce a ochranná ú</w:t>
            </w:r>
            <w:r w:rsidR="0098605A" w:rsidRPr="00A76411">
              <w:rPr>
                <w:rFonts w:asciiTheme="majorHAnsi" w:hAnsiTheme="majorHAnsi" w:cstheme="majorHAnsi"/>
                <w:sz w:val="18"/>
                <w:szCs w:val="18"/>
              </w:rPr>
              <w:t>z</w:t>
            </w:r>
            <w:r w:rsidRPr="00A76411">
              <w:rPr>
                <w:rFonts w:asciiTheme="majorHAnsi" w:hAnsiTheme="majorHAnsi" w:cstheme="majorHAnsi"/>
                <w:sz w:val="18"/>
                <w:szCs w:val="18"/>
              </w:rPr>
              <w:t>ká louka mezi polem a doprovodným porostem.</w:t>
            </w:r>
          </w:p>
          <w:p w14:paraId="019A370E" w14:textId="720AA927" w:rsidR="00993035" w:rsidRPr="00A76411" w:rsidRDefault="00993035" w:rsidP="00E855CD">
            <w:pPr>
              <w:widowControl w:val="0"/>
              <w:spacing w:after="60"/>
              <w:rPr>
                <w:rFonts w:asciiTheme="majorHAnsi" w:hAnsiTheme="majorHAnsi" w:cstheme="majorHAnsi"/>
                <w:sz w:val="18"/>
                <w:szCs w:val="18"/>
              </w:rPr>
            </w:pPr>
            <w:r w:rsidRPr="00A76411">
              <w:rPr>
                <w:rFonts w:asciiTheme="majorHAnsi" w:hAnsiTheme="majorHAnsi" w:cstheme="majorHAnsi"/>
                <w:i/>
                <w:iCs/>
                <w:sz w:val="18"/>
                <w:szCs w:val="18"/>
              </w:rPr>
              <w:t>Dřeviny a křoviny</w:t>
            </w:r>
            <w:r w:rsidRPr="00A76411">
              <w:rPr>
                <w:rFonts w:asciiTheme="majorHAnsi" w:hAnsiTheme="majorHAnsi" w:cstheme="majorHAnsi"/>
                <w:sz w:val="18"/>
                <w:szCs w:val="18"/>
              </w:rPr>
              <w:t>: bzč, ržpo, bre, svk, BRB, OLL, JSZ, vru, hlo, VRK</w:t>
            </w:r>
          </w:p>
          <w:p w14:paraId="1E0826BF" w14:textId="0F5C5A97" w:rsidR="00993035" w:rsidRPr="00A76411" w:rsidRDefault="00993035" w:rsidP="00E855CD">
            <w:pPr>
              <w:widowControl w:val="0"/>
              <w:spacing w:after="60"/>
              <w:rPr>
                <w:rFonts w:asciiTheme="majorHAnsi" w:hAnsiTheme="majorHAnsi" w:cstheme="majorHAnsi"/>
                <w:sz w:val="18"/>
                <w:szCs w:val="18"/>
              </w:rPr>
            </w:pPr>
            <w:r w:rsidRPr="00A76411">
              <w:rPr>
                <w:rFonts w:asciiTheme="majorHAnsi" w:hAnsiTheme="majorHAnsi" w:cstheme="majorHAnsi"/>
                <w:i/>
                <w:iCs/>
                <w:sz w:val="18"/>
                <w:szCs w:val="18"/>
              </w:rPr>
              <w:t>Byliny</w:t>
            </w:r>
            <w:r w:rsidRPr="00A76411">
              <w:rPr>
                <w:rFonts w:asciiTheme="majorHAnsi" w:hAnsiTheme="majorHAnsi" w:cstheme="majorHAnsi"/>
                <w:sz w:val="18"/>
                <w:szCs w:val="18"/>
              </w:rPr>
              <w:t>: rákos obecný, bolševník obecný, lopuch menší, více druhů svízele, kopřiva dvoudomá, pcháč zelinný, pelyněk černobýl</w:t>
            </w:r>
          </w:p>
          <w:p w14:paraId="650C141E" w14:textId="226C916D" w:rsidR="00993035" w:rsidRPr="00A76411" w:rsidRDefault="00993035" w:rsidP="00E855CD">
            <w:pPr>
              <w:widowControl w:val="0"/>
              <w:spacing w:after="60"/>
              <w:rPr>
                <w:rFonts w:asciiTheme="majorHAnsi" w:hAnsiTheme="majorHAnsi" w:cstheme="majorHAnsi"/>
                <w:sz w:val="18"/>
                <w:szCs w:val="18"/>
              </w:rPr>
            </w:pPr>
            <w:r w:rsidRPr="00A76411">
              <w:rPr>
                <w:rFonts w:asciiTheme="majorHAnsi" w:hAnsiTheme="majorHAnsi" w:cstheme="majorHAnsi"/>
                <w:i/>
                <w:iCs/>
                <w:sz w:val="18"/>
                <w:szCs w:val="18"/>
              </w:rPr>
              <w:t>Fyziotyp</w:t>
            </w:r>
            <w:r w:rsidRPr="00A76411">
              <w:rPr>
                <w:rFonts w:asciiTheme="majorHAnsi" w:hAnsiTheme="majorHAnsi" w:cstheme="majorHAnsi"/>
                <w:sz w:val="18"/>
                <w:szCs w:val="18"/>
              </w:rPr>
              <w:t>: RU, VO, LO</w:t>
            </w:r>
          </w:p>
          <w:p w14:paraId="5B6D327C" w14:textId="5DC9ACAD" w:rsidR="00A91646" w:rsidRPr="00A76411" w:rsidRDefault="00A91646" w:rsidP="00E855CD">
            <w:pPr>
              <w:widowControl w:val="0"/>
              <w:spacing w:after="60"/>
              <w:rPr>
                <w:rFonts w:asciiTheme="majorHAnsi" w:hAnsiTheme="majorHAnsi" w:cstheme="majorHAnsi"/>
                <w:sz w:val="18"/>
                <w:szCs w:val="18"/>
              </w:rPr>
            </w:pPr>
            <w:r w:rsidRPr="00A76411">
              <w:rPr>
                <w:rFonts w:asciiTheme="majorHAnsi" w:hAnsiTheme="majorHAnsi" w:cstheme="majorHAnsi"/>
                <w:i/>
                <w:iCs/>
                <w:sz w:val="18"/>
                <w:szCs w:val="18"/>
              </w:rPr>
              <w:t>Možné znehodnocení</w:t>
            </w:r>
            <w:r w:rsidRPr="00A76411">
              <w:rPr>
                <w:rFonts w:asciiTheme="majorHAnsi" w:hAnsiTheme="majorHAnsi" w:cstheme="majorHAnsi"/>
                <w:sz w:val="18"/>
                <w:szCs w:val="18"/>
              </w:rPr>
              <w:t>: intenzifikace využívání, šíření geograficky nepůvodních druhů</w:t>
            </w:r>
            <w:r w:rsidR="00993035" w:rsidRPr="00A76411">
              <w:rPr>
                <w:rFonts w:asciiTheme="majorHAnsi" w:hAnsiTheme="majorHAnsi" w:cstheme="majorHAnsi"/>
                <w:sz w:val="18"/>
                <w:szCs w:val="18"/>
              </w:rPr>
              <w:t>, zemědělská činnost, úpravy toku, kácení dřevin</w:t>
            </w:r>
          </w:p>
          <w:p w14:paraId="738D5265" w14:textId="54CC129B" w:rsidR="00A91646" w:rsidRPr="00A76411" w:rsidRDefault="00A91646" w:rsidP="00E855CD">
            <w:pPr>
              <w:widowControl w:val="0"/>
              <w:spacing w:after="60"/>
              <w:rPr>
                <w:rFonts w:asciiTheme="majorHAnsi" w:hAnsiTheme="majorHAnsi" w:cstheme="majorHAnsi"/>
                <w:sz w:val="18"/>
                <w:szCs w:val="18"/>
              </w:rPr>
            </w:pPr>
            <w:r w:rsidRPr="00A76411">
              <w:rPr>
                <w:rFonts w:asciiTheme="majorHAnsi" w:hAnsiTheme="majorHAnsi" w:cstheme="majorHAnsi"/>
                <w:i/>
                <w:iCs/>
                <w:sz w:val="18"/>
                <w:szCs w:val="18"/>
              </w:rPr>
              <w:t>Návrh opatření</w:t>
            </w:r>
            <w:r w:rsidRPr="00A76411">
              <w:rPr>
                <w:rFonts w:asciiTheme="majorHAnsi" w:hAnsiTheme="majorHAnsi" w:cstheme="majorHAnsi"/>
                <w:sz w:val="18"/>
                <w:szCs w:val="18"/>
              </w:rPr>
              <w:t>: podpora stromové vegetace podél toku, zejména vrb; podpora drobných vodních ploch a tůní</w:t>
            </w:r>
            <w:r w:rsidR="00993035" w:rsidRPr="00A76411">
              <w:rPr>
                <w:rFonts w:asciiTheme="majorHAnsi" w:hAnsiTheme="majorHAnsi" w:cstheme="majorHAnsi"/>
                <w:sz w:val="18"/>
                <w:szCs w:val="18"/>
              </w:rPr>
              <w:t>; dosadba místních přirozených dřevin a křovin v pásu, revitalizace vodního toku</w:t>
            </w:r>
            <w:r w:rsidR="00C73AA6" w:rsidRPr="00A76411">
              <w:rPr>
                <w:rFonts w:asciiTheme="majorHAnsi" w:hAnsiTheme="majorHAnsi" w:cstheme="majorHAnsi"/>
                <w:sz w:val="18"/>
                <w:szCs w:val="18"/>
              </w:rPr>
              <w:t>, vytvoření ochranné zóny</w:t>
            </w:r>
          </w:p>
        </w:tc>
      </w:tr>
      <w:tr w:rsidR="0098605A" w:rsidRPr="006070EA" w14:paraId="610BE12F" w14:textId="77777777" w:rsidTr="00DD20C1">
        <w:trPr>
          <w:cantSplit/>
          <w:jc w:val="center"/>
        </w:trPr>
        <w:tc>
          <w:tcPr>
            <w:tcW w:w="1417" w:type="dxa"/>
            <w:vAlign w:val="center"/>
          </w:tcPr>
          <w:p w14:paraId="5CA2B994" w14:textId="734D3C9A" w:rsidR="0098605A" w:rsidRPr="006070EA" w:rsidRDefault="0098605A" w:rsidP="0098605A">
            <w:pPr>
              <w:widowControl w:val="0"/>
              <w:spacing w:after="60"/>
              <w:jc w:val="center"/>
              <w:rPr>
                <w:rFonts w:asciiTheme="majorHAnsi" w:hAnsiTheme="majorHAnsi" w:cstheme="majorHAnsi"/>
                <w:b/>
                <w:sz w:val="18"/>
                <w:szCs w:val="18"/>
              </w:rPr>
            </w:pPr>
            <w:r w:rsidRPr="006070EA">
              <w:rPr>
                <w:rFonts w:asciiTheme="majorHAnsi" w:hAnsiTheme="majorHAnsi" w:cstheme="majorHAnsi"/>
                <w:b/>
                <w:sz w:val="18"/>
                <w:szCs w:val="18"/>
              </w:rPr>
              <w:t>L</w:t>
            </w:r>
            <w:r w:rsidR="006C7149" w:rsidRPr="006070EA">
              <w:rPr>
                <w:rFonts w:asciiTheme="majorHAnsi" w:hAnsiTheme="majorHAnsi" w:cstheme="majorHAnsi"/>
                <w:b/>
                <w:sz w:val="18"/>
                <w:szCs w:val="18"/>
              </w:rPr>
              <w:t>B</w:t>
            </w:r>
            <w:r w:rsidRPr="006070EA">
              <w:rPr>
                <w:rFonts w:asciiTheme="majorHAnsi" w:hAnsiTheme="majorHAnsi" w:cstheme="majorHAnsi"/>
                <w:b/>
                <w:sz w:val="18"/>
                <w:szCs w:val="18"/>
              </w:rPr>
              <w:t>K</w:t>
            </w:r>
            <w:r w:rsidR="006C7149" w:rsidRPr="006070EA">
              <w:rPr>
                <w:rFonts w:asciiTheme="majorHAnsi" w:hAnsiTheme="majorHAnsi" w:cstheme="majorHAnsi"/>
                <w:b/>
                <w:sz w:val="18"/>
                <w:szCs w:val="18"/>
              </w:rPr>
              <w:t>.</w:t>
            </w:r>
            <w:r w:rsidRPr="006070EA">
              <w:rPr>
                <w:rFonts w:asciiTheme="majorHAnsi" w:hAnsiTheme="majorHAnsi" w:cstheme="majorHAnsi"/>
                <w:b/>
                <w:sz w:val="18"/>
                <w:szCs w:val="18"/>
              </w:rPr>
              <w:t>3 Mlynařice</w:t>
            </w:r>
          </w:p>
        </w:tc>
        <w:tc>
          <w:tcPr>
            <w:tcW w:w="1417" w:type="dxa"/>
            <w:vAlign w:val="center"/>
          </w:tcPr>
          <w:p w14:paraId="69B64811" w14:textId="77777777" w:rsidR="0098605A" w:rsidRPr="006070EA" w:rsidRDefault="0098605A" w:rsidP="0098605A">
            <w:pPr>
              <w:widowControl w:val="0"/>
              <w:spacing w:after="60"/>
              <w:jc w:val="center"/>
              <w:rPr>
                <w:rFonts w:asciiTheme="majorHAnsi" w:hAnsiTheme="majorHAnsi" w:cstheme="majorHAnsi"/>
                <w:sz w:val="18"/>
                <w:szCs w:val="18"/>
              </w:rPr>
            </w:pPr>
            <w:r w:rsidRPr="006070EA">
              <w:rPr>
                <w:rFonts w:asciiTheme="majorHAnsi" w:hAnsiTheme="majorHAnsi" w:cstheme="majorHAnsi"/>
                <w:sz w:val="18"/>
                <w:szCs w:val="18"/>
              </w:rPr>
              <w:t>Průměrná šířka: 20 m</w:t>
            </w:r>
          </w:p>
          <w:p w14:paraId="10F7A432" w14:textId="4423FD59" w:rsidR="0098605A" w:rsidRPr="006070EA" w:rsidRDefault="0098605A" w:rsidP="0098605A">
            <w:pPr>
              <w:widowControl w:val="0"/>
              <w:spacing w:after="60"/>
              <w:jc w:val="center"/>
              <w:rPr>
                <w:rFonts w:asciiTheme="majorHAnsi" w:hAnsiTheme="majorHAnsi" w:cstheme="majorHAnsi"/>
                <w:sz w:val="18"/>
                <w:szCs w:val="18"/>
              </w:rPr>
            </w:pPr>
            <w:r w:rsidRPr="006070EA">
              <w:rPr>
                <w:rFonts w:asciiTheme="majorHAnsi" w:hAnsiTheme="majorHAnsi" w:cstheme="majorHAnsi"/>
                <w:sz w:val="18"/>
                <w:szCs w:val="18"/>
              </w:rPr>
              <w:t>Délka v řešeném území: 1,5 km</w:t>
            </w:r>
          </w:p>
        </w:tc>
        <w:tc>
          <w:tcPr>
            <w:tcW w:w="1134" w:type="dxa"/>
            <w:vAlign w:val="center"/>
          </w:tcPr>
          <w:p w14:paraId="0762DAD9" w14:textId="4567753D" w:rsidR="0098605A" w:rsidRPr="006070EA" w:rsidRDefault="0098605A" w:rsidP="0098605A">
            <w:pPr>
              <w:widowControl w:val="0"/>
              <w:spacing w:after="60"/>
              <w:jc w:val="center"/>
              <w:rPr>
                <w:rFonts w:asciiTheme="majorHAnsi" w:hAnsiTheme="majorHAnsi" w:cstheme="majorHAnsi"/>
                <w:sz w:val="18"/>
                <w:szCs w:val="18"/>
              </w:rPr>
            </w:pPr>
            <w:r w:rsidRPr="006070EA">
              <w:rPr>
                <w:rFonts w:asciiTheme="majorHAnsi" w:hAnsiTheme="majorHAnsi" w:cstheme="majorHAnsi"/>
                <w:sz w:val="18"/>
                <w:szCs w:val="18"/>
              </w:rPr>
              <w:t xml:space="preserve">částečně funkční </w:t>
            </w:r>
          </w:p>
        </w:tc>
        <w:tc>
          <w:tcPr>
            <w:tcW w:w="5102" w:type="dxa"/>
            <w:vAlign w:val="center"/>
          </w:tcPr>
          <w:p w14:paraId="48C0EECA" w14:textId="54A6074E" w:rsidR="0098605A" w:rsidRPr="006070EA" w:rsidRDefault="0098605A" w:rsidP="0098605A">
            <w:pPr>
              <w:widowControl w:val="0"/>
              <w:spacing w:after="60"/>
              <w:rPr>
                <w:rFonts w:asciiTheme="majorHAnsi" w:hAnsiTheme="majorHAnsi" w:cstheme="majorHAnsi"/>
                <w:sz w:val="18"/>
                <w:szCs w:val="18"/>
              </w:rPr>
            </w:pPr>
            <w:r w:rsidRPr="006070EA">
              <w:rPr>
                <w:rFonts w:asciiTheme="majorHAnsi" w:hAnsiTheme="majorHAnsi" w:cstheme="majorHAnsi"/>
                <w:i/>
                <w:iCs/>
                <w:sz w:val="18"/>
                <w:szCs w:val="18"/>
              </w:rPr>
              <w:t>Popis</w:t>
            </w:r>
            <w:r w:rsidRPr="006070EA">
              <w:rPr>
                <w:rFonts w:asciiTheme="majorHAnsi" w:hAnsiTheme="majorHAnsi" w:cstheme="majorHAnsi"/>
                <w:sz w:val="18"/>
                <w:szCs w:val="18"/>
              </w:rPr>
              <w:t>: vodní tok Mlynařice a její břehové porosty. Koridor přichází do řešeného území z Milovic a prochází jižně od Hronětic, kde se napojuje na L</w:t>
            </w:r>
            <w:r w:rsidR="006C7149" w:rsidRPr="006070EA">
              <w:rPr>
                <w:rFonts w:asciiTheme="majorHAnsi" w:hAnsiTheme="majorHAnsi" w:cstheme="majorHAnsi"/>
                <w:sz w:val="18"/>
                <w:szCs w:val="18"/>
              </w:rPr>
              <w:t>B</w:t>
            </w:r>
            <w:r w:rsidRPr="006070EA">
              <w:rPr>
                <w:rFonts w:asciiTheme="majorHAnsi" w:hAnsiTheme="majorHAnsi" w:cstheme="majorHAnsi"/>
                <w:sz w:val="18"/>
                <w:szCs w:val="18"/>
              </w:rPr>
              <w:t>K</w:t>
            </w:r>
            <w:r w:rsidR="006C7149" w:rsidRPr="006070EA">
              <w:rPr>
                <w:rFonts w:asciiTheme="majorHAnsi" w:hAnsiTheme="majorHAnsi" w:cstheme="majorHAnsi"/>
                <w:sz w:val="18"/>
                <w:szCs w:val="18"/>
              </w:rPr>
              <w:t>.</w:t>
            </w:r>
            <w:r w:rsidRPr="006070EA">
              <w:rPr>
                <w:rFonts w:asciiTheme="majorHAnsi" w:hAnsiTheme="majorHAnsi" w:cstheme="majorHAnsi"/>
                <w:sz w:val="18"/>
                <w:szCs w:val="18"/>
              </w:rPr>
              <w:t>2 Hronětický náhon. Doprovodný porost je narušený ikdyž zapojený a neúplný. Ve východní části biokoridoru je trasován po poli (orná půda)</w:t>
            </w:r>
          </w:p>
          <w:p w14:paraId="03EEC1D6" w14:textId="6D538EB8" w:rsidR="0098605A" w:rsidRPr="006070EA" w:rsidRDefault="0098605A" w:rsidP="0098605A">
            <w:pPr>
              <w:widowControl w:val="0"/>
              <w:spacing w:after="60"/>
              <w:rPr>
                <w:rFonts w:asciiTheme="majorHAnsi" w:hAnsiTheme="majorHAnsi" w:cstheme="majorHAnsi"/>
                <w:sz w:val="18"/>
                <w:szCs w:val="18"/>
              </w:rPr>
            </w:pPr>
            <w:r w:rsidRPr="006070EA">
              <w:rPr>
                <w:rFonts w:asciiTheme="majorHAnsi" w:hAnsiTheme="majorHAnsi" w:cstheme="majorHAnsi"/>
                <w:sz w:val="18"/>
                <w:szCs w:val="18"/>
              </w:rPr>
              <w:t>Tok je doprovázen pobřežním porostem, a to většinou polokulturním až degradovaným, pole jdou často až těsně k porostu, ve východní části je biokoridor součástí lánu orné půdy.</w:t>
            </w:r>
          </w:p>
          <w:p w14:paraId="54F042E7" w14:textId="3080D2C3" w:rsidR="0098605A" w:rsidRPr="006070EA" w:rsidRDefault="0098605A" w:rsidP="0098605A">
            <w:pPr>
              <w:widowControl w:val="0"/>
              <w:spacing w:after="60"/>
              <w:rPr>
                <w:rFonts w:asciiTheme="majorHAnsi" w:hAnsiTheme="majorHAnsi" w:cstheme="majorHAnsi"/>
                <w:sz w:val="18"/>
                <w:szCs w:val="18"/>
              </w:rPr>
            </w:pPr>
            <w:r w:rsidRPr="006070EA">
              <w:rPr>
                <w:rFonts w:asciiTheme="majorHAnsi" w:hAnsiTheme="majorHAnsi" w:cstheme="majorHAnsi"/>
                <w:i/>
                <w:iCs/>
                <w:sz w:val="18"/>
                <w:szCs w:val="18"/>
              </w:rPr>
              <w:t>Cílový stav</w:t>
            </w:r>
            <w:r w:rsidRPr="006070EA">
              <w:rPr>
                <w:rFonts w:asciiTheme="majorHAnsi" w:hAnsiTheme="majorHAnsi" w:cstheme="majorHAnsi"/>
                <w:sz w:val="18"/>
                <w:szCs w:val="18"/>
              </w:rPr>
              <w:t>: zapojený přirozený pobřežní porost podle toku v celé jeho délce a ochranná úzká louka členící pole s doprovodným porostem.</w:t>
            </w:r>
          </w:p>
          <w:p w14:paraId="450F0FC8" w14:textId="3DB78842" w:rsidR="0098605A" w:rsidRPr="006070EA" w:rsidRDefault="0098605A" w:rsidP="0098605A">
            <w:pPr>
              <w:widowControl w:val="0"/>
              <w:spacing w:after="60"/>
              <w:rPr>
                <w:rFonts w:asciiTheme="majorHAnsi" w:hAnsiTheme="majorHAnsi" w:cstheme="majorHAnsi"/>
                <w:sz w:val="18"/>
                <w:szCs w:val="18"/>
              </w:rPr>
            </w:pPr>
            <w:r w:rsidRPr="006070EA">
              <w:rPr>
                <w:rFonts w:asciiTheme="majorHAnsi" w:hAnsiTheme="majorHAnsi" w:cstheme="majorHAnsi"/>
                <w:i/>
                <w:iCs/>
                <w:sz w:val="18"/>
                <w:szCs w:val="18"/>
              </w:rPr>
              <w:t>Možné znehodnocení</w:t>
            </w:r>
            <w:r w:rsidRPr="006070EA">
              <w:rPr>
                <w:rFonts w:asciiTheme="majorHAnsi" w:hAnsiTheme="majorHAnsi" w:cstheme="majorHAnsi"/>
                <w:sz w:val="18"/>
                <w:szCs w:val="18"/>
              </w:rPr>
              <w:t xml:space="preserve">: intenzifikace využívání, šíření geograficky nepůvodních druhů, </w:t>
            </w:r>
            <w:r w:rsidR="00F52F4A" w:rsidRPr="006070EA">
              <w:rPr>
                <w:rFonts w:asciiTheme="majorHAnsi" w:hAnsiTheme="majorHAnsi" w:cstheme="majorHAnsi"/>
                <w:sz w:val="18"/>
                <w:szCs w:val="18"/>
              </w:rPr>
              <w:t xml:space="preserve">pokračující </w:t>
            </w:r>
            <w:r w:rsidRPr="006070EA">
              <w:rPr>
                <w:rFonts w:asciiTheme="majorHAnsi" w:hAnsiTheme="majorHAnsi" w:cstheme="majorHAnsi"/>
                <w:sz w:val="18"/>
                <w:szCs w:val="18"/>
              </w:rPr>
              <w:t>zemědělská činnost</w:t>
            </w:r>
            <w:r w:rsidR="00F52F4A" w:rsidRPr="006070EA">
              <w:rPr>
                <w:rFonts w:asciiTheme="majorHAnsi" w:hAnsiTheme="majorHAnsi" w:cstheme="majorHAnsi"/>
                <w:sz w:val="18"/>
                <w:szCs w:val="18"/>
              </w:rPr>
              <w:t xml:space="preserve"> ve východní části biokoridoru</w:t>
            </w:r>
            <w:r w:rsidRPr="006070EA">
              <w:rPr>
                <w:rFonts w:asciiTheme="majorHAnsi" w:hAnsiTheme="majorHAnsi" w:cstheme="majorHAnsi"/>
                <w:sz w:val="18"/>
                <w:szCs w:val="18"/>
              </w:rPr>
              <w:t xml:space="preserve">, kácení </w:t>
            </w:r>
            <w:r w:rsidR="00F52F4A" w:rsidRPr="006070EA">
              <w:rPr>
                <w:rFonts w:asciiTheme="majorHAnsi" w:hAnsiTheme="majorHAnsi" w:cstheme="majorHAnsi"/>
                <w:sz w:val="18"/>
                <w:szCs w:val="18"/>
              </w:rPr>
              <w:t xml:space="preserve">doprovodných </w:t>
            </w:r>
            <w:r w:rsidRPr="006070EA">
              <w:rPr>
                <w:rFonts w:asciiTheme="majorHAnsi" w:hAnsiTheme="majorHAnsi" w:cstheme="majorHAnsi"/>
                <w:sz w:val="18"/>
                <w:szCs w:val="18"/>
              </w:rPr>
              <w:t>dřevin</w:t>
            </w:r>
          </w:p>
          <w:p w14:paraId="1F7EDDB3" w14:textId="5953B5E6" w:rsidR="0098605A" w:rsidRPr="006070EA" w:rsidRDefault="0098605A" w:rsidP="0098605A">
            <w:pPr>
              <w:widowControl w:val="0"/>
              <w:spacing w:after="60"/>
              <w:rPr>
                <w:rFonts w:asciiTheme="majorHAnsi" w:hAnsiTheme="majorHAnsi" w:cstheme="majorHAnsi"/>
                <w:color w:val="FF0000"/>
                <w:sz w:val="18"/>
                <w:szCs w:val="18"/>
              </w:rPr>
            </w:pPr>
            <w:r w:rsidRPr="006070EA">
              <w:rPr>
                <w:rFonts w:asciiTheme="majorHAnsi" w:hAnsiTheme="majorHAnsi" w:cstheme="majorHAnsi"/>
                <w:i/>
                <w:iCs/>
                <w:sz w:val="18"/>
                <w:szCs w:val="18"/>
              </w:rPr>
              <w:t>Návrh opatření</w:t>
            </w:r>
            <w:r w:rsidRPr="006070EA">
              <w:rPr>
                <w:rFonts w:asciiTheme="majorHAnsi" w:hAnsiTheme="majorHAnsi" w:cstheme="majorHAnsi"/>
                <w:sz w:val="18"/>
                <w:szCs w:val="18"/>
              </w:rPr>
              <w:t>: podpora stromové vegetace podél toku; dosadba místních přirozených dřevin a křovin v </w:t>
            </w:r>
            <w:r w:rsidR="00F52F4A" w:rsidRPr="006070EA">
              <w:rPr>
                <w:rFonts w:asciiTheme="majorHAnsi" w:hAnsiTheme="majorHAnsi" w:cstheme="majorHAnsi"/>
                <w:sz w:val="18"/>
                <w:szCs w:val="18"/>
              </w:rPr>
              <w:t>biokoridoru</w:t>
            </w:r>
            <w:r w:rsidRPr="006070EA">
              <w:rPr>
                <w:rFonts w:asciiTheme="majorHAnsi" w:hAnsiTheme="majorHAnsi" w:cstheme="majorHAnsi"/>
                <w:sz w:val="18"/>
                <w:szCs w:val="18"/>
              </w:rPr>
              <w:t>, revitalizace vodního toku, vytvoření ochranné zóny</w:t>
            </w:r>
            <w:r w:rsidR="00F52F4A" w:rsidRPr="006070EA">
              <w:rPr>
                <w:rFonts w:asciiTheme="majorHAnsi" w:hAnsiTheme="majorHAnsi" w:cstheme="majorHAnsi"/>
                <w:sz w:val="18"/>
                <w:szCs w:val="18"/>
              </w:rPr>
              <w:t>, dotvoření biokoridoru v jeho východní části</w:t>
            </w:r>
          </w:p>
        </w:tc>
      </w:tr>
      <w:tr w:rsidR="00543E96" w:rsidRPr="006070EA" w14:paraId="42B3E05D" w14:textId="77777777" w:rsidTr="006061B2">
        <w:trPr>
          <w:cantSplit/>
          <w:jc w:val="center"/>
        </w:trPr>
        <w:tc>
          <w:tcPr>
            <w:tcW w:w="1417" w:type="dxa"/>
            <w:vAlign w:val="center"/>
          </w:tcPr>
          <w:p w14:paraId="2B3D9BD8" w14:textId="38EB2191" w:rsidR="00543E96" w:rsidRPr="006070EA" w:rsidRDefault="00543E96" w:rsidP="006C7149">
            <w:pPr>
              <w:widowControl w:val="0"/>
              <w:spacing w:after="60"/>
              <w:jc w:val="center"/>
              <w:rPr>
                <w:rFonts w:asciiTheme="majorHAnsi" w:hAnsiTheme="majorHAnsi" w:cstheme="majorHAnsi"/>
                <w:b/>
                <w:sz w:val="18"/>
                <w:szCs w:val="18"/>
              </w:rPr>
            </w:pPr>
            <w:r w:rsidRPr="006070EA">
              <w:rPr>
                <w:rFonts w:asciiTheme="majorHAnsi" w:hAnsiTheme="majorHAnsi" w:cstheme="majorHAnsi"/>
                <w:b/>
                <w:sz w:val="18"/>
                <w:szCs w:val="18"/>
              </w:rPr>
              <w:t>L</w:t>
            </w:r>
            <w:r w:rsidR="006C7149" w:rsidRPr="006070EA">
              <w:rPr>
                <w:rFonts w:asciiTheme="majorHAnsi" w:hAnsiTheme="majorHAnsi" w:cstheme="majorHAnsi"/>
                <w:b/>
                <w:sz w:val="18"/>
                <w:szCs w:val="18"/>
              </w:rPr>
              <w:t>B</w:t>
            </w:r>
            <w:r w:rsidRPr="006070EA">
              <w:rPr>
                <w:rFonts w:asciiTheme="majorHAnsi" w:hAnsiTheme="majorHAnsi" w:cstheme="majorHAnsi"/>
                <w:b/>
                <w:sz w:val="18"/>
                <w:szCs w:val="18"/>
              </w:rPr>
              <w:t>K</w:t>
            </w:r>
            <w:r w:rsidR="006C7149" w:rsidRPr="006070EA">
              <w:rPr>
                <w:rFonts w:asciiTheme="majorHAnsi" w:hAnsiTheme="majorHAnsi" w:cstheme="majorHAnsi"/>
                <w:b/>
                <w:sz w:val="18"/>
                <w:szCs w:val="18"/>
              </w:rPr>
              <w:t>.</w:t>
            </w:r>
            <w:r w:rsidRPr="006070EA">
              <w:rPr>
                <w:rFonts w:asciiTheme="majorHAnsi" w:hAnsiTheme="majorHAnsi" w:cstheme="majorHAnsi"/>
                <w:b/>
                <w:sz w:val="18"/>
                <w:szCs w:val="18"/>
              </w:rPr>
              <w:t>4 Ke Stratovu</w:t>
            </w:r>
          </w:p>
        </w:tc>
        <w:tc>
          <w:tcPr>
            <w:tcW w:w="1417" w:type="dxa"/>
            <w:vAlign w:val="center"/>
          </w:tcPr>
          <w:p w14:paraId="7F058BBD" w14:textId="77777777" w:rsidR="00543E96" w:rsidRPr="006070EA" w:rsidRDefault="00543E96" w:rsidP="00543E96">
            <w:pPr>
              <w:widowControl w:val="0"/>
              <w:spacing w:after="60"/>
              <w:jc w:val="center"/>
              <w:rPr>
                <w:rFonts w:asciiTheme="majorHAnsi" w:hAnsiTheme="majorHAnsi" w:cstheme="majorHAnsi"/>
                <w:sz w:val="18"/>
                <w:szCs w:val="18"/>
              </w:rPr>
            </w:pPr>
            <w:r w:rsidRPr="006070EA">
              <w:rPr>
                <w:rFonts w:asciiTheme="majorHAnsi" w:hAnsiTheme="majorHAnsi" w:cstheme="majorHAnsi"/>
                <w:sz w:val="18"/>
                <w:szCs w:val="18"/>
              </w:rPr>
              <w:t>Průměrná šířka: 20 m</w:t>
            </w:r>
          </w:p>
          <w:p w14:paraId="75907C37" w14:textId="3E568191" w:rsidR="00543E96" w:rsidRPr="006070EA" w:rsidRDefault="00543E96" w:rsidP="00543E96">
            <w:pPr>
              <w:widowControl w:val="0"/>
              <w:spacing w:after="60"/>
              <w:jc w:val="center"/>
              <w:rPr>
                <w:rFonts w:asciiTheme="majorHAnsi" w:hAnsiTheme="majorHAnsi" w:cstheme="majorHAnsi"/>
                <w:color w:val="FF0000"/>
                <w:sz w:val="18"/>
                <w:szCs w:val="18"/>
              </w:rPr>
            </w:pPr>
            <w:r w:rsidRPr="006070EA">
              <w:rPr>
                <w:rFonts w:asciiTheme="majorHAnsi" w:hAnsiTheme="majorHAnsi" w:cstheme="majorHAnsi"/>
                <w:sz w:val="18"/>
                <w:szCs w:val="18"/>
              </w:rPr>
              <w:t>Délka v řešeném území: 1,1 km</w:t>
            </w:r>
          </w:p>
        </w:tc>
        <w:tc>
          <w:tcPr>
            <w:tcW w:w="1134" w:type="dxa"/>
            <w:vAlign w:val="center"/>
          </w:tcPr>
          <w:p w14:paraId="42FA4683" w14:textId="7C38A20F" w:rsidR="00543E96" w:rsidRPr="006070EA" w:rsidRDefault="00543E96" w:rsidP="00543E96">
            <w:pPr>
              <w:widowControl w:val="0"/>
              <w:spacing w:after="60"/>
              <w:jc w:val="center"/>
              <w:rPr>
                <w:rFonts w:asciiTheme="majorHAnsi" w:hAnsiTheme="majorHAnsi" w:cstheme="majorHAnsi"/>
                <w:sz w:val="18"/>
                <w:szCs w:val="18"/>
              </w:rPr>
            </w:pPr>
            <w:r w:rsidRPr="006070EA">
              <w:rPr>
                <w:rFonts w:asciiTheme="majorHAnsi" w:hAnsiTheme="majorHAnsi" w:cstheme="majorHAnsi"/>
                <w:sz w:val="18"/>
                <w:szCs w:val="18"/>
              </w:rPr>
              <w:t>nefunkční</w:t>
            </w:r>
          </w:p>
        </w:tc>
        <w:tc>
          <w:tcPr>
            <w:tcW w:w="5102" w:type="dxa"/>
            <w:vAlign w:val="center"/>
          </w:tcPr>
          <w:p w14:paraId="46DD0DAB" w14:textId="29F7A7C0" w:rsidR="00543E96" w:rsidRPr="006070EA" w:rsidRDefault="00543E96" w:rsidP="00543E96">
            <w:pPr>
              <w:widowControl w:val="0"/>
              <w:spacing w:after="60"/>
              <w:rPr>
                <w:rFonts w:asciiTheme="majorHAnsi" w:hAnsiTheme="majorHAnsi" w:cstheme="majorHAnsi"/>
                <w:sz w:val="18"/>
                <w:szCs w:val="18"/>
              </w:rPr>
            </w:pPr>
            <w:r w:rsidRPr="006070EA">
              <w:rPr>
                <w:rFonts w:asciiTheme="majorHAnsi" w:hAnsiTheme="majorHAnsi" w:cstheme="majorHAnsi"/>
                <w:i/>
                <w:iCs/>
                <w:sz w:val="18"/>
                <w:szCs w:val="18"/>
              </w:rPr>
              <w:t>Popis</w:t>
            </w:r>
            <w:r w:rsidRPr="006070EA">
              <w:rPr>
                <w:rFonts w:asciiTheme="majorHAnsi" w:hAnsiTheme="majorHAnsi" w:cstheme="majorHAnsi"/>
                <w:sz w:val="18"/>
                <w:szCs w:val="18"/>
              </w:rPr>
              <w:t>: biokoridor na orné půdě. Propojuje lokální biocentrum L</w:t>
            </w:r>
            <w:r w:rsidR="006C7149" w:rsidRPr="006070EA">
              <w:rPr>
                <w:rFonts w:asciiTheme="majorHAnsi" w:hAnsiTheme="majorHAnsi" w:cstheme="majorHAnsi"/>
                <w:sz w:val="18"/>
                <w:szCs w:val="18"/>
              </w:rPr>
              <w:t>B</w:t>
            </w:r>
            <w:r w:rsidRPr="006070EA">
              <w:rPr>
                <w:rFonts w:asciiTheme="majorHAnsi" w:hAnsiTheme="majorHAnsi" w:cstheme="majorHAnsi"/>
                <w:sz w:val="18"/>
                <w:szCs w:val="18"/>
              </w:rPr>
              <w:t>C</w:t>
            </w:r>
            <w:r w:rsidR="006C7149" w:rsidRPr="006070EA">
              <w:rPr>
                <w:rFonts w:asciiTheme="majorHAnsi" w:hAnsiTheme="majorHAnsi" w:cstheme="majorHAnsi"/>
                <w:sz w:val="18"/>
                <w:szCs w:val="18"/>
              </w:rPr>
              <w:t>.</w:t>
            </w:r>
            <w:r w:rsidRPr="006070EA">
              <w:rPr>
                <w:rFonts w:asciiTheme="majorHAnsi" w:hAnsiTheme="majorHAnsi" w:cstheme="majorHAnsi"/>
                <w:sz w:val="18"/>
                <w:szCs w:val="18"/>
              </w:rPr>
              <w:t>1 Nad Lyskem v území sousední obce Stratov s lokálním biocentrem L</w:t>
            </w:r>
            <w:r w:rsidR="006C7149" w:rsidRPr="006070EA">
              <w:rPr>
                <w:rFonts w:asciiTheme="majorHAnsi" w:hAnsiTheme="majorHAnsi" w:cstheme="majorHAnsi"/>
                <w:sz w:val="18"/>
                <w:szCs w:val="18"/>
              </w:rPr>
              <w:t>B</w:t>
            </w:r>
            <w:r w:rsidRPr="006070EA">
              <w:rPr>
                <w:rFonts w:asciiTheme="majorHAnsi" w:hAnsiTheme="majorHAnsi" w:cstheme="majorHAnsi"/>
                <w:sz w:val="18"/>
                <w:szCs w:val="18"/>
              </w:rPr>
              <w:t>C</w:t>
            </w:r>
            <w:r w:rsidR="006C7149" w:rsidRPr="006070EA">
              <w:rPr>
                <w:rFonts w:asciiTheme="majorHAnsi" w:hAnsiTheme="majorHAnsi" w:cstheme="majorHAnsi"/>
                <w:sz w:val="18"/>
                <w:szCs w:val="18"/>
              </w:rPr>
              <w:t>.</w:t>
            </w:r>
            <w:r w:rsidRPr="006070EA">
              <w:rPr>
                <w:rFonts w:asciiTheme="majorHAnsi" w:hAnsiTheme="majorHAnsi" w:cstheme="majorHAnsi"/>
                <w:sz w:val="18"/>
                <w:szCs w:val="18"/>
              </w:rPr>
              <w:t>3 Na bahnech.</w:t>
            </w:r>
          </w:p>
          <w:p w14:paraId="6DEE8BB7" w14:textId="0FB7242A" w:rsidR="00543E96" w:rsidRPr="006070EA" w:rsidRDefault="00543E96" w:rsidP="00543E96">
            <w:pPr>
              <w:widowControl w:val="0"/>
              <w:spacing w:after="60"/>
              <w:rPr>
                <w:rFonts w:asciiTheme="majorHAnsi" w:hAnsiTheme="majorHAnsi" w:cstheme="majorHAnsi"/>
                <w:sz w:val="18"/>
                <w:szCs w:val="18"/>
              </w:rPr>
            </w:pPr>
            <w:r w:rsidRPr="006070EA">
              <w:rPr>
                <w:rFonts w:asciiTheme="majorHAnsi" w:hAnsiTheme="majorHAnsi" w:cstheme="majorHAnsi"/>
                <w:i/>
                <w:iCs/>
                <w:sz w:val="18"/>
                <w:szCs w:val="18"/>
              </w:rPr>
              <w:t>Geobiocenologická typizace</w:t>
            </w:r>
            <w:r w:rsidRPr="006070EA">
              <w:rPr>
                <w:rFonts w:asciiTheme="majorHAnsi" w:hAnsiTheme="majorHAnsi" w:cstheme="majorHAnsi"/>
                <w:sz w:val="18"/>
                <w:szCs w:val="18"/>
              </w:rPr>
              <w:t>: 2 BD 3</w:t>
            </w:r>
          </w:p>
          <w:p w14:paraId="16647CD1" w14:textId="1805EDB2" w:rsidR="00543E96" w:rsidRPr="006070EA" w:rsidRDefault="00543E96" w:rsidP="00543E96">
            <w:pPr>
              <w:widowControl w:val="0"/>
              <w:spacing w:after="60"/>
              <w:rPr>
                <w:rFonts w:asciiTheme="majorHAnsi" w:hAnsiTheme="majorHAnsi" w:cstheme="majorHAnsi"/>
                <w:sz w:val="18"/>
                <w:szCs w:val="18"/>
              </w:rPr>
            </w:pPr>
            <w:r w:rsidRPr="006070EA">
              <w:rPr>
                <w:rFonts w:asciiTheme="majorHAnsi" w:hAnsiTheme="majorHAnsi" w:cstheme="majorHAnsi"/>
                <w:i/>
                <w:iCs/>
                <w:sz w:val="18"/>
                <w:szCs w:val="18"/>
              </w:rPr>
              <w:t>Cílový stav</w:t>
            </w:r>
            <w:r w:rsidRPr="006070EA">
              <w:rPr>
                <w:rFonts w:asciiTheme="majorHAnsi" w:hAnsiTheme="majorHAnsi" w:cstheme="majorHAnsi"/>
                <w:sz w:val="18"/>
                <w:szCs w:val="18"/>
              </w:rPr>
              <w:t xml:space="preserve">: </w:t>
            </w:r>
            <w:r w:rsidR="00322BBA" w:rsidRPr="006070EA">
              <w:rPr>
                <w:rFonts w:asciiTheme="majorHAnsi" w:hAnsiTheme="majorHAnsi" w:cstheme="majorHAnsi"/>
                <w:sz w:val="18"/>
                <w:szCs w:val="18"/>
              </w:rPr>
              <w:t>ochranná úzká louka členící pole s doprovodným porostem</w:t>
            </w:r>
            <w:r w:rsidRPr="006070EA">
              <w:rPr>
                <w:rFonts w:asciiTheme="majorHAnsi" w:hAnsiTheme="majorHAnsi" w:cstheme="majorHAnsi"/>
                <w:sz w:val="18"/>
                <w:szCs w:val="18"/>
              </w:rPr>
              <w:t>.</w:t>
            </w:r>
          </w:p>
          <w:p w14:paraId="6E9896FB" w14:textId="365A10FE" w:rsidR="00322BBA" w:rsidRPr="006070EA" w:rsidRDefault="00543E96" w:rsidP="00543E96">
            <w:pPr>
              <w:widowControl w:val="0"/>
              <w:spacing w:after="60"/>
              <w:rPr>
                <w:rFonts w:asciiTheme="majorHAnsi" w:hAnsiTheme="majorHAnsi" w:cstheme="majorHAnsi"/>
                <w:i/>
                <w:iCs/>
                <w:sz w:val="18"/>
                <w:szCs w:val="18"/>
              </w:rPr>
            </w:pPr>
            <w:r w:rsidRPr="006070EA">
              <w:rPr>
                <w:rFonts w:asciiTheme="majorHAnsi" w:hAnsiTheme="majorHAnsi" w:cstheme="majorHAnsi"/>
                <w:i/>
                <w:iCs/>
                <w:sz w:val="18"/>
                <w:szCs w:val="18"/>
              </w:rPr>
              <w:t>Možné znehodnocení</w:t>
            </w:r>
            <w:r w:rsidRPr="006070EA">
              <w:rPr>
                <w:rFonts w:asciiTheme="majorHAnsi" w:hAnsiTheme="majorHAnsi" w:cstheme="majorHAnsi"/>
                <w:sz w:val="18"/>
                <w:szCs w:val="18"/>
              </w:rPr>
              <w:t xml:space="preserve">: </w:t>
            </w:r>
            <w:r w:rsidR="00322BBA" w:rsidRPr="006070EA">
              <w:rPr>
                <w:rFonts w:asciiTheme="majorHAnsi" w:hAnsiTheme="majorHAnsi" w:cstheme="majorHAnsi"/>
                <w:sz w:val="18"/>
                <w:szCs w:val="18"/>
              </w:rPr>
              <w:t>intenzifikace využívání, pokračující zemědělská činnost</w:t>
            </w:r>
            <w:r w:rsidR="00322BBA" w:rsidRPr="006070EA">
              <w:rPr>
                <w:rFonts w:asciiTheme="majorHAnsi" w:hAnsiTheme="majorHAnsi" w:cstheme="majorHAnsi"/>
                <w:i/>
                <w:iCs/>
                <w:sz w:val="18"/>
                <w:szCs w:val="18"/>
              </w:rPr>
              <w:t xml:space="preserve"> </w:t>
            </w:r>
          </w:p>
          <w:p w14:paraId="5DB9F9E0" w14:textId="659AE12A" w:rsidR="00543E96" w:rsidRPr="006070EA" w:rsidRDefault="00543E96" w:rsidP="00543E96">
            <w:pPr>
              <w:widowControl w:val="0"/>
              <w:spacing w:after="60"/>
              <w:rPr>
                <w:rFonts w:asciiTheme="majorHAnsi" w:hAnsiTheme="majorHAnsi" w:cstheme="majorHAnsi"/>
                <w:color w:val="FF0000"/>
                <w:sz w:val="18"/>
                <w:szCs w:val="18"/>
              </w:rPr>
            </w:pPr>
            <w:r w:rsidRPr="006070EA">
              <w:rPr>
                <w:rFonts w:asciiTheme="majorHAnsi" w:hAnsiTheme="majorHAnsi" w:cstheme="majorHAnsi"/>
                <w:i/>
                <w:iCs/>
                <w:sz w:val="18"/>
                <w:szCs w:val="18"/>
              </w:rPr>
              <w:t>Návrh opatření</w:t>
            </w:r>
            <w:r w:rsidRPr="006070EA">
              <w:rPr>
                <w:rFonts w:asciiTheme="majorHAnsi" w:hAnsiTheme="majorHAnsi" w:cstheme="majorHAnsi"/>
                <w:sz w:val="18"/>
                <w:szCs w:val="18"/>
              </w:rPr>
              <w:t xml:space="preserve">: </w:t>
            </w:r>
            <w:r w:rsidR="00322BBA" w:rsidRPr="006070EA">
              <w:rPr>
                <w:rFonts w:asciiTheme="majorHAnsi" w:hAnsiTheme="majorHAnsi" w:cstheme="majorHAnsi"/>
                <w:sz w:val="18"/>
                <w:szCs w:val="18"/>
              </w:rPr>
              <w:t>vymezení trasy biokoridoru v rámci pozemkových úprav a stanovení konkrétních opatření. Při založení zavedení listnaté složky do porostů v trase biokoridoru</w:t>
            </w:r>
          </w:p>
        </w:tc>
      </w:tr>
    </w:tbl>
    <w:p w14:paraId="3F75545B" w14:textId="45761936" w:rsidR="00BB456A" w:rsidRPr="006070EA" w:rsidRDefault="00BB456A" w:rsidP="009E07E1">
      <w:pPr>
        <w:spacing w:before="120" w:after="120" w:line="240" w:lineRule="auto"/>
        <w:jc w:val="both"/>
        <w:rPr>
          <w:rFonts w:asciiTheme="majorHAnsi" w:hAnsiTheme="majorHAnsi" w:cstheme="majorHAnsi"/>
          <w:sz w:val="18"/>
        </w:rPr>
      </w:pPr>
      <w:r w:rsidRPr="006070EA">
        <w:rPr>
          <w:rFonts w:asciiTheme="majorHAnsi" w:hAnsiTheme="majorHAnsi" w:cstheme="majorHAnsi"/>
          <w:sz w:val="18"/>
        </w:rPr>
        <w:lastRenderedPageBreak/>
        <w:tab/>
        <w:t xml:space="preserve">Na hranicích správního území obce </w:t>
      </w:r>
      <w:r w:rsidR="00322BBA" w:rsidRPr="006070EA">
        <w:rPr>
          <w:rFonts w:asciiTheme="majorHAnsi" w:hAnsiTheme="majorHAnsi" w:cstheme="majorHAnsi"/>
          <w:sz w:val="18"/>
        </w:rPr>
        <w:t xml:space="preserve">Kostomlaty nad Labem </w:t>
      </w:r>
      <w:r w:rsidRPr="006070EA">
        <w:rPr>
          <w:rFonts w:asciiTheme="majorHAnsi" w:hAnsiTheme="majorHAnsi" w:cstheme="majorHAnsi"/>
          <w:sz w:val="18"/>
        </w:rPr>
        <w:t xml:space="preserve">bylo nutné koordinovat vymezené skladebné části ÚSES, které přesahují do území sousedních obcí. Způsob zajištění koordinace, případně odůvodnění navrženého řešení, </w:t>
      </w:r>
      <w:r w:rsidR="00322BBA" w:rsidRPr="006070EA">
        <w:rPr>
          <w:rFonts w:asciiTheme="majorHAnsi" w:hAnsiTheme="majorHAnsi" w:cstheme="majorHAnsi"/>
          <w:sz w:val="18"/>
        </w:rPr>
        <w:t>je uveden v kapitole 2.2 tohoto odůvodnění</w:t>
      </w:r>
      <w:r w:rsidRPr="006070EA">
        <w:rPr>
          <w:rFonts w:asciiTheme="majorHAnsi" w:hAnsiTheme="majorHAnsi" w:cstheme="majorHAnsi"/>
          <w:sz w:val="18"/>
        </w:rPr>
        <w:t>.</w:t>
      </w:r>
    </w:p>
    <w:p w14:paraId="173F3CDD" w14:textId="259BA0C2" w:rsidR="005A5525" w:rsidRPr="006070EA" w:rsidRDefault="005A5525" w:rsidP="009E07E1">
      <w:pPr>
        <w:pStyle w:val="Atext"/>
        <w:keepNext/>
        <w:ind w:firstLine="0"/>
        <w:jc w:val="right"/>
        <w:rPr>
          <w:rFonts w:asciiTheme="majorHAnsi" w:hAnsiTheme="majorHAnsi" w:cstheme="majorHAnsi"/>
          <w:i/>
          <w:snapToGrid w:val="0"/>
          <w:u w:val="single"/>
        </w:rPr>
      </w:pPr>
      <w:r w:rsidRPr="006070EA">
        <w:rPr>
          <w:rFonts w:asciiTheme="majorHAnsi" w:hAnsiTheme="majorHAnsi" w:cstheme="majorHAnsi"/>
          <w:i/>
          <w:snapToGrid w:val="0"/>
          <w:u w:val="single"/>
        </w:rPr>
        <w:t xml:space="preserve">Odůvodnění odst. </w:t>
      </w:r>
      <w:r w:rsidRPr="006070EA">
        <w:rPr>
          <w:rFonts w:asciiTheme="majorHAnsi" w:hAnsiTheme="majorHAnsi" w:cstheme="majorHAnsi"/>
          <w:b/>
          <w:i/>
          <w:snapToGrid w:val="0"/>
          <w:u w:val="single"/>
        </w:rPr>
        <w:t>(</w:t>
      </w:r>
      <w:r w:rsidR="00322BBA" w:rsidRPr="006070EA">
        <w:rPr>
          <w:rFonts w:asciiTheme="majorHAnsi" w:hAnsiTheme="majorHAnsi" w:cstheme="majorHAnsi"/>
          <w:b/>
          <w:i/>
          <w:snapToGrid w:val="0"/>
          <w:u w:val="single"/>
        </w:rPr>
        <w:t>5</w:t>
      </w:r>
      <w:r w:rsidR="0021590A">
        <w:rPr>
          <w:rFonts w:asciiTheme="majorHAnsi" w:hAnsiTheme="majorHAnsi" w:cstheme="majorHAnsi"/>
          <w:b/>
          <w:i/>
          <w:snapToGrid w:val="0"/>
          <w:u w:val="single"/>
        </w:rPr>
        <w:t>0</w:t>
      </w:r>
      <w:r w:rsidRPr="006070EA">
        <w:rPr>
          <w:rFonts w:asciiTheme="majorHAnsi" w:hAnsiTheme="majorHAnsi" w:cstheme="majorHAnsi"/>
          <w:b/>
          <w:i/>
          <w:snapToGrid w:val="0"/>
          <w:u w:val="single"/>
        </w:rPr>
        <w:t xml:space="preserve">) </w:t>
      </w:r>
      <w:r w:rsidRPr="006070EA">
        <w:rPr>
          <w:rFonts w:asciiTheme="majorHAnsi" w:hAnsiTheme="majorHAnsi" w:cstheme="majorHAnsi"/>
          <w:i/>
          <w:snapToGrid w:val="0"/>
          <w:u w:val="single"/>
        </w:rPr>
        <w:t>výrokové části</w:t>
      </w:r>
    </w:p>
    <w:p w14:paraId="700E99DD" w14:textId="77777777" w:rsidR="005A5525" w:rsidRPr="006070EA" w:rsidRDefault="005A5525" w:rsidP="009E07E1">
      <w:pPr>
        <w:pStyle w:val="Atext"/>
        <w:spacing w:before="60" w:after="60"/>
        <w:rPr>
          <w:rFonts w:asciiTheme="majorHAnsi" w:hAnsiTheme="majorHAnsi" w:cstheme="majorHAnsi"/>
          <w:snapToGrid w:val="0"/>
        </w:rPr>
      </w:pPr>
      <w:r w:rsidRPr="006070EA">
        <w:rPr>
          <w:rFonts w:asciiTheme="majorHAnsi" w:hAnsiTheme="majorHAnsi" w:cstheme="majorHAnsi"/>
          <w:snapToGrid w:val="0"/>
        </w:rPr>
        <w:t xml:space="preserve">Stanovení obecných zásad pro rozhodování ve vymezených skladebných částech ÚSES vychází z výše uvedených podkladů, a dále ze znalosti území, přírodních a krajinných charakteristik území. Na jejich základě byly aplikovány obecné zásady směřující ke zvyšování ekologické stability krajiny i jejích dílčích součástí. </w:t>
      </w:r>
    </w:p>
    <w:p w14:paraId="7B319A3C" w14:textId="08CA5DD8" w:rsidR="005A5525" w:rsidRPr="006070EA" w:rsidRDefault="005A5525" w:rsidP="009E07E1">
      <w:pPr>
        <w:pStyle w:val="Atext"/>
        <w:spacing w:before="60" w:after="60"/>
        <w:rPr>
          <w:rFonts w:asciiTheme="majorHAnsi" w:hAnsiTheme="majorHAnsi" w:cstheme="majorHAnsi"/>
          <w:snapToGrid w:val="0"/>
        </w:rPr>
      </w:pPr>
      <w:r w:rsidRPr="006070EA">
        <w:rPr>
          <w:rFonts w:asciiTheme="majorHAnsi" w:hAnsiTheme="majorHAnsi" w:cstheme="majorHAnsi"/>
          <w:snapToGrid w:val="0"/>
        </w:rPr>
        <w:t xml:space="preserve">Pro zachování vysoké a trvalé ekologické stability je nutné vymezení ekostabilizačních prvků a jejich vzájemné </w:t>
      </w:r>
      <w:r w:rsidRPr="006070EA">
        <w:rPr>
          <w:rFonts w:asciiTheme="majorHAnsi" w:hAnsiTheme="majorHAnsi" w:cstheme="majorHAnsi"/>
        </w:rPr>
        <w:t>propojení</w:t>
      </w:r>
      <w:r w:rsidRPr="006070EA">
        <w:rPr>
          <w:rFonts w:asciiTheme="majorHAnsi" w:hAnsiTheme="majorHAnsi" w:cstheme="majorHAnsi"/>
          <w:snapToGrid w:val="0"/>
        </w:rPr>
        <w:t xml:space="preserve">. Kostra ekologické stability je navržena na základě srovnání potenciálního a aktuálního přírodního stavu ekosystémů v krajině. </w:t>
      </w:r>
      <w:r w:rsidRPr="006070EA">
        <w:rPr>
          <w:rFonts w:asciiTheme="majorHAnsi" w:hAnsiTheme="majorHAnsi" w:cstheme="majorHAnsi"/>
        </w:rPr>
        <w:t>Při návrhu ÚSES jsou důležité směry migračních tras (vodní toky, údolí, hřbety apod.), reprezentativnost stanoviště, zastoupení ekologicky významných prvků, předpokládané antropogenní zásahy do krajiny, návaznost na sousední katastry a</w:t>
      </w:r>
      <w:r w:rsidR="006C7149" w:rsidRPr="006070EA">
        <w:rPr>
          <w:rFonts w:asciiTheme="majorHAnsi" w:hAnsiTheme="majorHAnsi" w:cstheme="majorHAnsi"/>
        </w:rPr>
        <w:t> </w:t>
      </w:r>
      <w:r w:rsidRPr="006070EA">
        <w:rPr>
          <w:rFonts w:asciiTheme="majorHAnsi" w:hAnsiTheme="majorHAnsi" w:cstheme="majorHAnsi"/>
        </w:rPr>
        <w:t xml:space="preserve">vzájemné provázání návrhů ÚSES. </w:t>
      </w:r>
      <w:r w:rsidRPr="006070EA">
        <w:rPr>
          <w:rFonts w:asciiTheme="majorHAnsi" w:hAnsiTheme="majorHAnsi" w:cstheme="majorHAnsi"/>
          <w:snapToGrid w:val="0"/>
        </w:rPr>
        <w:t>Pro skladebné prvky ÚSES jsou vymezovány zbytky přírodních a přirozených společenstev s nejvyšší ekologickou stabilitou. Tyto segmenty krajiny mají příznivý vliv na okolní méně stabilní části krajiny a</w:t>
      </w:r>
      <w:r w:rsidR="00BC0CD5" w:rsidRPr="006070EA">
        <w:rPr>
          <w:rFonts w:asciiTheme="majorHAnsi" w:hAnsiTheme="majorHAnsi" w:cstheme="majorHAnsi"/>
          <w:snapToGrid w:val="0"/>
        </w:rPr>
        <w:t> </w:t>
      </w:r>
      <w:r w:rsidRPr="006070EA">
        <w:rPr>
          <w:rFonts w:asciiTheme="majorHAnsi" w:hAnsiTheme="majorHAnsi" w:cstheme="majorHAnsi"/>
          <w:snapToGrid w:val="0"/>
        </w:rPr>
        <w:t>jsou nezbytné pro ochranu druhové a genové diverzity.</w:t>
      </w:r>
    </w:p>
    <w:p w14:paraId="71F51DAE" w14:textId="77777777" w:rsidR="003B52D1" w:rsidRPr="006070EA" w:rsidRDefault="003B52D1" w:rsidP="003B52D1">
      <w:pPr>
        <w:spacing w:before="120" w:after="120" w:line="240" w:lineRule="auto"/>
        <w:jc w:val="both"/>
        <w:rPr>
          <w:rFonts w:asciiTheme="majorHAnsi" w:hAnsiTheme="majorHAnsi" w:cstheme="majorHAnsi"/>
          <w:b/>
          <w:sz w:val="18"/>
        </w:rPr>
      </w:pPr>
      <w:r w:rsidRPr="006070EA">
        <w:rPr>
          <w:rFonts w:asciiTheme="majorHAnsi" w:hAnsiTheme="majorHAnsi" w:cstheme="majorHAnsi"/>
          <w:b/>
          <w:sz w:val="18"/>
        </w:rPr>
        <w:t>Doplňková opatření ÚSES (plochy významné zeleně plnící funkci interakčních prvků)</w:t>
      </w:r>
    </w:p>
    <w:p w14:paraId="6380845C" w14:textId="5A0A19F3" w:rsidR="003B52D1" w:rsidRPr="006070EA" w:rsidRDefault="003B52D1" w:rsidP="003B52D1">
      <w:pPr>
        <w:spacing w:before="60" w:after="60" w:line="240" w:lineRule="auto"/>
        <w:ind w:firstLine="709"/>
        <w:jc w:val="both"/>
        <w:rPr>
          <w:rFonts w:asciiTheme="majorHAnsi" w:hAnsiTheme="majorHAnsi" w:cstheme="majorHAnsi"/>
          <w:sz w:val="18"/>
        </w:rPr>
      </w:pPr>
      <w:r w:rsidRPr="006070EA">
        <w:rPr>
          <w:rFonts w:asciiTheme="majorHAnsi" w:hAnsiTheme="majorHAnsi" w:cstheme="majorHAnsi"/>
          <w:sz w:val="18"/>
        </w:rPr>
        <w:t>V řešeném území je systém ÚSES doplněn plochami významné zeleně. Těmi jsou nepostradatelné krajinné segmenty obvykle ekotonového charakteru, které zprostředkovávají na lokální úrovni příznivé působení ostatních ekologicky významných krajinných segmentů. Jedná se o liniové prvky (stávající, k doplnění, nově navržené), zejména zalesnění v pruzích stromovým a</w:t>
      </w:r>
      <w:r w:rsidR="006C7149" w:rsidRPr="006070EA">
        <w:rPr>
          <w:rFonts w:asciiTheme="majorHAnsi" w:hAnsiTheme="majorHAnsi" w:cstheme="majorHAnsi"/>
          <w:sz w:val="18"/>
        </w:rPr>
        <w:t> </w:t>
      </w:r>
      <w:r w:rsidRPr="006070EA">
        <w:rPr>
          <w:rFonts w:asciiTheme="majorHAnsi" w:hAnsiTheme="majorHAnsi" w:cstheme="majorHAnsi"/>
          <w:sz w:val="18"/>
        </w:rPr>
        <w:t>keřovým patrem, obnova krajinných formací podél zachovalých lánů, doplnění a obnovení stromořadí podél cest, břehových porostů, ozelenění a udržování tůní a podpora skupin stromů ve volné krajině. Důležité jsou též travnaté pruhy po vrstevnici, které mají protierozní charakter a jsou významné pro živočišnou faunu.</w:t>
      </w:r>
    </w:p>
    <w:p w14:paraId="5462A9D8" w14:textId="4BF48F3F" w:rsidR="003B52D1" w:rsidRPr="006070EA" w:rsidRDefault="003B52D1" w:rsidP="003B52D1">
      <w:pPr>
        <w:spacing w:before="60" w:after="60" w:line="240" w:lineRule="auto"/>
        <w:ind w:firstLine="709"/>
        <w:jc w:val="both"/>
        <w:rPr>
          <w:rFonts w:asciiTheme="majorHAnsi" w:hAnsiTheme="majorHAnsi" w:cstheme="majorHAnsi"/>
          <w:sz w:val="18"/>
        </w:rPr>
      </w:pPr>
      <w:r w:rsidRPr="006070EA">
        <w:rPr>
          <w:rFonts w:asciiTheme="majorHAnsi" w:hAnsiTheme="majorHAnsi" w:cstheme="majorHAnsi"/>
          <w:sz w:val="18"/>
        </w:rPr>
        <w:t xml:space="preserve">Významné plochy zeleně jsou vymezeny </w:t>
      </w:r>
      <w:r w:rsidR="00322BBA" w:rsidRPr="006070EA">
        <w:rPr>
          <w:rFonts w:asciiTheme="majorHAnsi" w:hAnsiTheme="majorHAnsi" w:cstheme="majorHAnsi"/>
          <w:sz w:val="18"/>
        </w:rPr>
        <w:t xml:space="preserve">zejména </w:t>
      </w:r>
      <w:r w:rsidRPr="006070EA">
        <w:rPr>
          <w:rFonts w:asciiTheme="majorHAnsi" w:hAnsiTheme="majorHAnsi" w:cstheme="majorHAnsi"/>
          <w:sz w:val="18"/>
        </w:rPr>
        <w:t xml:space="preserve">jako součást ploch smíšených nezastavěného území – </w:t>
      </w:r>
      <w:r w:rsidR="006C7149" w:rsidRPr="006070EA">
        <w:rPr>
          <w:rFonts w:asciiTheme="majorHAnsi" w:hAnsiTheme="majorHAnsi" w:cstheme="majorHAnsi"/>
          <w:sz w:val="18"/>
        </w:rPr>
        <w:t>zemědělství extenzivní</w:t>
      </w:r>
      <w:r w:rsidRPr="006070EA">
        <w:rPr>
          <w:rFonts w:asciiTheme="majorHAnsi" w:hAnsiTheme="majorHAnsi" w:cstheme="majorHAnsi"/>
          <w:sz w:val="18"/>
        </w:rPr>
        <w:t>, přírodní</w:t>
      </w:r>
      <w:r w:rsidR="006C7149" w:rsidRPr="006070EA">
        <w:rPr>
          <w:rFonts w:asciiTheme="majorHAnsi" w:hAnsiTheme="majorHAnsi" w:cstheme="majorHAnsi"/>
          <w:sz w:val="18"/>
        </w:rPr>
        <w:t xml:space="preserve"> priority</w:t>
      </w:r>
      <w:r w:rsidRPr="006070EA">
        <w:rPr>
          <w:rFonts w:asciiTheme="majorHAnsi" w:hAnsiTheme="majorHAnsi" w:cstheme="majorHAnsi"/>
          <w:sz w:val="18"/>
        </w:rPr>
        <w:t xml:space="preserve"> (</w:t>
      </w:r>
      <w:r w:rsidR="006C7149" w:rsidRPr="006070EA">
        <w:rPr>
          <w:rFonts w:asciiTheme="majorHAnsi" w:hAnsiTheme="majorHAnsi" w:cstheme="majorHAnsi"/>
          <w:sz w:val="18"/>
        </w:rPr>
        <w:t>MU.zp</w:t>
      </w:r>
      <w:r w:rsidRPr="006070EA">
        <w:rPr>
          <w:rFonts w:asciiTheme="majorHAnsi" w:hAnsiTheme="majorHAnsi" w:cstheme="majorHAnsi"/>
          <w:sz w:val="18"/>
        </w:rPr>
        <w:t>), lesních</w:t>
      </w:r>
      <w:r w:rsidR="006C7149" w:rsidRPr="006070EA">
        <w:rPr>
          <w:rFonts w:asciiTheme="majorHAnsi" w:hAnsiTheme="majorHAnsi" w:cstheme="majorHAnsi"/>
          <w:sz w:val="18"/>
        </w:rPr>
        <w:t xml:space="preserve"> všeobecných</w:t>
      </w:r>
      <w:r w:rsidRPr="006070EA">
        <w:rPr>
          <w:rFonts w:asciiTheme="majorHAnsi" w:hAnsiTheme="majorHAnsi" w:cstheme="majorHAnsi"/>
          <w:sz w:val="18"/>
        </w:rPr>
        <w:t xml:space="preserve"> (</w:t>
      </w:r>
      <w:r w:rsidR="006C7149" w:rsidRPr="006070EA">
        <w:rPr>
          <w:rFonts w:asciiTheme="majorHAnsi" w:hAnsiTheme="majorHAnsi" w:cstheme="majorHAnsi"/>
          <w:sz w:val="18"/>
        </w:rPr>
        <w:t>LU</w:t>
      </w:r>
      <w:r w:rsidRPr="006070EA">
        <w:rPr>
          <w:rFonts w:asciiTheme="majorHAnsi" w:hAnsiTheme="majorHAnsi" w:cstheme="majorHAnsi"/>
          <w:sz w:val="18"/>
        </w:rPr>
        <w:t>) a ploch dopravních (DS, DZ</w:t>
      </w:r>
      <w:r w:rsidR="006C7149" w:rsidRPr="006070EA">
        <w:rPr>
          <w:rFonts w:asciiTheme="majorHAnsi" w:hAnsiTheme="majorHAnsi" w:cstheme="majorHAnsi"/>
          <w:sz w:val="18"/>
        </w:rPr>
        <w:t>, DV</w:t>
      </w:r>
      <w:r w:rsidRPr="006070EA">
        <w:rPr>
          <w:rFonts w:asciiTheme="majorHAnsi" w:hAnsiTheme="majorHAnsi" w:cstheme="majorHAnsi"/>
          <w:sz w:val="18"/>
        </w:rPr>
        <w:t>)</w:t>
      </w:r>
      <w:r w:rsidR="00322BBA" w:rsidRPr="006070EA">
        <w:rPr>
          <w:rFonts w:asciiTheme="majorHAnsi" w:hAnsiTheme="majorHAnsi" w:cstheme="majorHAnsi"/>
          <w:sz w:val="18"/>
        </w:rPr>
        <w:t>, ale mohou být zahrnuty také v ostatních plochách s rozdílným způsobem využití</w:t>
      </w:r>
      <w:r w:rsidRPr="006070EA">
        <w:rPr>
          <w:rFonts w:asciiTheme="majorHAnsi" w:hAnsiTheme="majorHAnsi" w:cstheme="majorHAnsi"/>
          <w:sz w:val="18"/>
        </w:rPr>
        <w:t>. Jejich obnova a funkčnost souvisí především s realizací komplexních pozemkových úprav v území.</w:t>
      </w:r>
    </w:p>
    <w:p w14:paraId="046D3A33" w14:textId="77777777" w:rsidR="00AB1F4C" w:rsidRPr="006070EA" w:rsidRDefault="00887C54" w:rsidP="003A4B1E">
      <w:pPr>
        <w:pStyle w:val="Odstavecseseznamem"/>
        <w:keepNext/>
        <w:numPr>
          <w:ilvl w:val="2"/>
          <w:numId w:val="30"/>
        </w:numPr>
        <w:spacing w:before="160" w:after="120" w:line="240" w:lineRule="auto"/>
        <w:ind w:left="709" w:hanging="709"/>
        <w:contextualSpacing w:val="0"/>
        <w:outlineLvl w:val="2"/>
        <w:rPr>
          <w:rFonts w:asciiTheme="majorHAnsi" w:hAnsiTheme="majorHAnsi" w:cstheme="majorHAnsi"/>
          <w:b/>
        </w:rPr>
      </w:pPr>
      <w:bookmarkStart w:id="395" w:name="_Toc204678208"/>
      <w:r w:rsidRPr="006070EA">
        <w:rPr>
          <w:rFonts w:asciiTheme="majorHAnsi" w:hAnsiTheme="majorHAnsi" w:cstheme="majorHAnsi"/>
          <w:b/>
        </w:rPr>
        <w:t>Odůvodnění zásad zajištění p</w:t>
      </w:r>
      <w:r w:rsidR="00AB1F4C" w:rsidRPr="006070EA">
        <w:rPr>
          <w:rFonts w:asciiTheme="majorHAnsi" w:hAnsiTheme="majorHAnsi" w:cstheme="majorHAnsi"/>
          <w:b/>
        </w:rPr>
        <w:t>rostupnost</w:t>
      </w:r>
      <w:r w:rsidRPr="006070EA">
        <w:rPr>
          <w:rFonts w:asciiTheme="majorHAnsi" w:hAnsiTheme="majorHAnsi" w:cstheme="majorHAnsi"/>
          <w:b/>
        </w:rPr>
        <w:t>i</w:t>
      </w:r>
      <w:r w:rsidR="00AB1F4C" w:rsidRPr="006070EA">
        <w:rPr>
          <w:rFonts w:asciiTheme="majorHAnsi" w:hAnsiTheme="majorHAnsi" w:cstheme="majorHAnsi"/>
          <w:b/>
        </w:rPr>
        <w:t xml:space="preserve"> krajiny</w:t>
      </w:r>
      <w:bookmarkEnd w:id="395"/>
    </w:p>
    <w:p w14:paraId="6D5E64E8" w14:textId="23F51BF3" w:rsidR="00887C54" w:rsidRPr="006070EA" w:rsidRDefault="00887C54" w:rsidP="009E07E1">
      <w:pPr>
        <w:pStyle w:val="Atext"/>
        <w:keepNext/>
        <w:ind w:firstLine="0"/>
        <w:jc w:val="right"/>
        <w:rPr>
          <w:rFonts w:asciiTheme="majorHAnsi" w:hAnsiTheme="majorHAnsi" w:cstheme="majorHAnsi"/>
          <w:i/>
          <w:snapToGrid w:val="0"/>
          <w:u w:val="single"/>
        </w:rPr>
      </w:pPr>
      <w:r w:rsidRPr="006070EA">
        <w:rPr>
          <w:rFonts w:asciiTheme="majorHAnsi" w:hAnsiTheme="majorHAnsi" w:cstheme="majorHAnsi"/>
          <w:i/>
          <w:snapToGrid w:val="0"/>
          <w:u w:val="single"/>
        </w:rPr>
        <w:t xml:space="preserve">Odůvodnění odst. </w:t>
      </w:r>
      <w:r w:rsidRPr="006070EA">
        <w:rPr>
          <w:rFonts w:asciiTheme="majorHAnsi" w:hAnsiTheme="majorHAnsi" w:cstheme="majorHAnsi"/>
          <w:b/>
          <w:i/>
          <w:snapToGrid w:val="0"/>
          <w:u w:val="single"/>
        </w:rPr>
        <w:t>(</w:t>
      </w:r>
      <w:r w:rsidR="0032469D" w:rsidRPr="006070EA">
        <w:rPr>
          <w:rFonts w:asciiTheme="majorHAnsi" w:hAnsiTheme="majorHAnsi" w:cstheme="majorHAnsi"/>
          <w:b/>
          <w:i/>
          <w:snapToGrid w:val="0"/>
          <w:u w:val="single"/>
        </w:rPr>
        <w:t>5</w:t>
      </w:r>
      <w:r w:rsidR="0021590A">
        <w:rPr>
          <w:rFonts w:asciiTheme="majorHAnsi" w:hAnsiTheme="majorHAnsi" w:cstheme="majorHAnsi"/>
          <w:b/>
          <w:i/>
          <w:snapToGrid w:val="0"/>
          <w:u w:val="single"/>
        </w:rPr>
        <w:t>1</w:t>
      </w:r>
      <w:r w:rsidRPr="006070EA">
        <w:rPr>
          <w:rFonts w:asciiTheme="majorHAnsi" w:hAnsiTheme="majorHAnsi" w:cstheme="majorHAnsi"/>
          <w:b/>
          <w:i/>
          <w:snapToGrid w:val="0"/>
          <w:u w:val="single"/>
        </w:rPr>
        <w:t>)</w:t>
      </w:r>
      <w:r w:rsidR="0032469D" w:rsidRPr="006070EA">
        <w:rPr>
          <w:rFonts w:asciiTheme="majorHAnsi" w:hAnsiTheme="majorHAnsi" w:cstheme="majorHAnsi"/>
          <w:b/>
          <w:i/>
          <w:snapToGrid w:val="0"/>
          <w:u w:val="single"/>
        </w:rPr>
        <w:t xml:space="preserve"> </w:t>
      </w:r>
      <w:r w:rsidR="0032469D" w:rsidRPr="006070EA">
        <w:rPr>
          <w:rFonts w:asciiTheme="majorHAnsi" w:hAnsiTheme="majorHAnsi" w:cstheme="majorHAnsi"/>
          <w:bCs w:val="0"/>
          <w:i/>
          <w:snapToGrid w:val="0"/>
          <w:u w:val="single"/>
        </w:rPr>
        <w:t>a</w:t>
      </w:r>
      <w:r w:rsidR="0032469D" w:rsidRPr="006070EA">
        <w:rPr>
          <w:rFonts w:asciiTheme="majorHAnsi" w:hAnsiTheme="majorHAnsi" w:cstheme="majorHAnsi"/>
          <w:b/>
          <w:i/>
          <w:snapToGrid w:val="0"/>
          <w:u w:val="single"/>
        </w:rPr>
        <w:t xml:space="preserve"> (5</w:t>
      </w:r>
      <w:r w:rsidR="0021590A">
        <w:rPr>
          <w:rFonts w:asciiTheme="majorHAnsi" w:hAnsiTheme="majorHAnsi" w:cstheme="majorHAnsi"/>
          <w:b/>
          <w:i/>
          <w:snapToGrid w:val="0"/>
          <w:u w:val="single"/>
        </w:rPr>
        <w:t>2</w:t>
      </w:r>
      <w:r w:rsidR="0032469D" w:rsidRPr="006070EA">
        <w:rPr>
          <w:rFonts w:asciiTheme="majorHAnsi" w:hAnsiTheme="majorHAnsi" w:cstheme="majorHAnsi"/>
          <w:b/>
          <w:i/>
          <w:snapToGrid w:val="0"/>
          <w:u w:val="single"/>
        </w:rPr>
        <w:t>)</w:t>
      </w:r>
      <w:r w:rsidRPr="006070EA">
        <w:rPr>
          <w:rFonts w:asciiTheme="majorHAnsi" w:hAnsiTheme="majorHAnsi" w:cstheme="majorHAnsi"/>
          <w:b/>
          <w:i/>
          <w:snapToGrid w:val="0"/>
          <w:u w:val="single"/>
        </w:rPr>
        <w:t xml:space="preserve"> </w:t>
      </w:r>
      <w:r w:rsidRPr="006070EA">
        <w:rPr>
          <w:rFonts w:asciiTheme="majorHAnsi" w:hAnsiTheme="majorHAnsi" w:cstheme="majorHAnsi"/>
          <w:i/>
          <w:snapToGrid w:val="0"/>
          <w:u w:val="single"/>
        </w:rPr>
        <w:t>výrokové části</w:t>
      </w:r>
    </w:p>
    <w:p w14:paraId="595202D4" w14:textId="77777777" w:rsidR="00AB1F4C" w:rsidRPr="006070EA" w:rsidRDefault="00AB1F4C" w:rsidP="009E07E1">
      <w:pPr>
        <w:spacing w:before="60" w:after="0" w:line="240" w:lineRule="auto"/>
        <w:ind w:firstLine="709"/>
        <w:jc w:val="both"/>
        <w:rPr>
          <w:rFonts w:asciiTheme="majorHAnsi" w:eastAsiaTheme="minorEastAsia" w:hAnsiTheme="majorHAnsi" w:cstheme="majorHAnsi"/>
          <w:sz w:val="18"/>
        </w:rPr>
      </w:pPr>
      <w:r w:rsidRPr="006070EA">
        <w:rPr>
          <w:rFonts w:asciiTheme="majorHAnsi" w:eastAsiaTheme="minorEastAsia" w:hAnsiTheme="majorHAnsi" w:cstheme="majorHAnsi"/>
          <w:sz w:val="18"/>
        </w:rPr>
        <w:t>Jedním z cílů územního plánu je zachovat prostupnost krajiny jak pro člověka, tak i pro volně žijící živočichy. Prostupnost krajiny zajišťuje migraci a vzájemnou komunikaci populací, přímé komunikační propojení sídel v krajině a je také nutná pro zajištění hospodárného využívání krajiny. Pro člověka je prostupnost krajiny zajištěna zejména cestní sítí, přičemž snahou je obnovovat logická spojení nejdůležitějších bodů v krajině pěšími či cyklistickými cestami. Pro ostatní organismy je prostupnost zajištěna zejména územním systémem ekologické stability.</w:t>
      </w:r>
    </w:p>
    <w:p w14:paraId="11F80EAB" w14:textId="77777777" w:rsidR="0032469D" w:rsidRPr="006070EA" w:rsidRDefault="0032469D" w:rsidP="0032469D">
      <w:pPr>
        <w:spacing w:before="60" w:after="0" w:line="240" w:lineRule="auto"/>
        <w:ind w:firstLine="709"/>
        <w:jc w:val="both"/>
        <w:rPr>
          <w:rFonts w:asciiTheme="majorHAnsi" w:hAnsiTheme="majorHAnsi" w:cstheme="majorHAnsi"/>
          <w:sz w:val="18"/>
        </w:rPr>
      </w:pPr>
      <w:r w:rsidRPr="006070EA">
        <w:rPr>
          <w:rFonts w:asciiTheme="majorHAnsi" w:hAnsiTheme="majorHAnsi" w:cstheme="majorHAnsi"/>
          <w:sz w:val="18"/>
        </w:rPr>
        <w:t xml:space="preserve">Prostupnost krajiny je řešena vymezením základní sítě veřejných prostranství zajišťujících prostupnost území v nezbytné minimální míře a dále stanovením zásad prostu zajištění prostupnosti krajiny v kapitole 5.5 výrokové části ÚP Kostomlaty nad Labem. Zajištění prostupnosti krajiny v plochách veřejných prostranství vyplývá z § 3 odst. 5 vyhlášky č. 501/2006 Sb., ve znění pozdějších předpisů. Vymezení stávajících cest umožňujících bezpečný průchod krajinou vychází ze stávajících komunikací dle evidence katastru nemovitostí, prokazatelně využívaných cest v krajině na základě terénního průzkumu území, a dále z vymezení stabilizovaných turistických tras a cyklistických tras v řešeném území. </w:t>
      </w:r>
    </w:p>
    <w:p w14:paraId="6533352B" w14:textId="1B8D2CB0" w:rsidR="0032469D" w:rsidRPr="006070EA" w:rsidRDefault="0032469D" w:rsidP="0032469D">
      <w:pPr>
        <w:spacing w:before="60" w:after="0" w:line="240" w:lineRule="auto"/>
        <w:ind w:firstLine="709"/>
        <w:jc w:val="both"/>
        <w:rPr>
          <w:rFonts w:asciiTheme="majorHAnsi" w:hAnsiTheme="majorHAnsi" w:cstheme="majorHAnsi"/>
          <w:sz w:val="18"/>
        </w:rPr>
      </w:pPr>
      <w:r w:rsidRPr="006070EA">
        <w:rPr>
          <w:rFonts w:asciiTheme="majorHAnsi" w:hAnsiTheme="majorHAnsi" w:cstheme="majorHAnsi"/>
          <w:sz w:val="18"/>
        </w:rPr>
        <w:t>Podrobné řešení prostupnosti krajiny je tedy řešeno v rámci systému veřejných prostranství, pro nějž je v ÚP obsažena samostatná kapitola 4.2 textové části výroku a odpovídající odůvodnění v kapitole 11.4.2.</w:t>
      </w:r>
    </w:p>
    <w:p w14:paraId="46698793" w14:textId="62016E2C" w:rsidR="00887C54" w:rsidRPr="006070EA" w:rsidRDefault="00887C54" w:rsidP="009E07E1">
      <w:pPr>
        <w:spacing w:before="60" w:after="0" w:line="240" w:lineRule="auto"/>
        <w:ind w:firstLine="709"/>
        <w:jc w:val="both"/>
        <w:rPr>
          <w:rFonts w:asciiTheme="majorHAnsi" w:hAnsiTheme="majorHAnsi" w:cstheme="majorHAnsi"/>
          <w:sz w:val="18"/>
        </w:rPr>
      </w:pPr>
      <w:r w:rsidRPr="006070EA">
        <w:rPr>
          <w:rFonts w:asciiTheme="majorHAnsi" w:hAnsiTheme="majorHAnsi" w:cstheme="majorHAnsi"/>
          <w:sz w:val="18"/>
        </w:rPr>
        <w:t>ÚP vymezuje základní síť veřejných prostranství zajišťující prostupnost území v nezbytné minimální míře.</w:t>
      </w:r>
      <w:r w:rsidR="00F87824" w:rsidRPr="006070EA">
        <w:rPr>
          <w:rFonts w:asciiTheme="majorHAnsi" w:hAnsiTheme="majorHAnsi" w:cstheme="majorHAnsi"/>
          <w:sz w:val="18"/>
        </w:rPr>
        <w:t xml:space="preserve"> </w:t>
      </w:r>
      <w:r w:rsidRPr="006070EA">
        <w:rPr>
          <w:rFonts w:asciiTheme="majorHAnsi" w:hAnsiTheme="majorHAnsi" w:cstheme="majorHAnsi"/>
          <w:sz w:val="18"/>
        </w:rPr>
        <w:t>Rozvoj dalších veřejných prostranství je vhodné prověřit v podrobnější dokumentaci a</w:t>
      </w:r>
      <w:r w:rsidR="00616F2B" w:rsidRPr="006070EA">
        <w:rPr>
          <w:rFonts w:asciiTheme="majorHAnsi" w:hAnsiTheme="majorHAnsi" w:cstheme="majorHAnsi"/>
          <w:sz w:val="18"/>
        </w:rPr>
        <w:t> </w:t>
      </w:r>
      <w:r w:rsidRPr="006070EA">
        <w:rPr>
          <w:rFonts w:asciiTheme="majorHAnsi" w:hAnsiTheme="majorHAnsi" w:cstheme="majorHAnsi"/>
          <w:sz w:val="18"/>
        </w:rPr>
        <w:t>na základě dohody s vlastníky pozemků. ÚP</w:t>
      </w:r>
      <w:r w:rsidR="00A72821" w:rsidRPr="006070EA">
        <w:rPr>
          <w:rFonts w:asciiTheme="majorHAnsi" w:hAnsiTheme="majorHAnsi" w:cstheme="majorHAnsi"/>
          <w:sz w:val="18"/>
        </w:rPr>
        <w:t> </w:t>
      </w:r>
      <w:r w:rsidRPr="006070EA">
        <w:rPr>
          <w:rFonts w:asciiTheme="majorHAnsi" w:hAnsiTheme="majorHAnsi" w:cstheme="majorHAnsi"/>
          <w:sz w:val="18"/>
        </w:rPr>
        <w:t>proto umožňuje umisťovat veřejná prostranství také v dalších plochách s rozdílným způsobem využití. Důvodem je zejména ochrana stávajících veřejných prostranství a umožnění jejich rozvoje pro účely zajištění prostupnosti území a</w:t>
      </w:r>
      <w:r w:rsidR="00A72821" w:rsidRPr="006070EA">
        <w:rPr>
          <w:rFonts w:asciiTheme="majorHAnsi" w:hAnsiTheme="majorHAnsi" w:cstheme="majorHAnsi"/>
          <w:sz w:val="18"/>
        </w:rPr>
        <w:t> </w:t>
      </w:r>
      <w:r w:rsidRPr="006070EA">
        <w:rPr>
          <w:rFonts w:asciiTheme="majorHAnsi" w:hAnsiTheme="majorHAnsi" w:cstheme="majorHAnsi"/>
          <w:sz w:val="18"/>
        </w:rPr>
        <w:t>dobrých podmínek pro rekreaci a turistiku, včetně každodenní rekreace obyvatel</w:t>
      </w:r>
      <w:r w:rsidR="0042458A" w:rsidRPr="006070EA">
        <w:rPr>
          <w:rFonts w:asciiTheme="majorHAnsi" w:hAnsiTheme="majorHAnsi" w:cstheme="majorHAnsi"/>
          <w:sz w:val="18"/>
        </w:rPr>
        <w:t xml:space="preserve"> a vytvoření podmínek pro realizaci opatření, navržených v plánu společných zařízení ukončených komplexních pozemkových úprav</w:t>
      </w:r>
      <w:r w:rsidRPr="006070EA">
        <w:rPr>
          <w:rFonts w:asciiTheme="majorHAnsi" w:hAnsiTheme="majorHAnsi" w:cstheme="majorHAnsi"/>
          <w:sz w:val="18"/>
        </w:rPr>
        <w:t>.</w:t>
      </w:r>
      <w:r w:rsidR="0042458A" w:rsidRPr="006070EA">
        <w:rPr>
          <w:rFonts w:asciiTheme="majorHAnsi" w:hAnsiTheme="majorHAnsi" w:cstheme="majorHAnsi"/>
          <w:sz w:val="18"/>
        </w:rPr>
        <w:t xml:space="preserve"> </w:t>
      </w:r>
    </w:p>
    <w:p w14:paraId="5982DF34" w14:textId="77777777" w:rsidR="00887C54" w:rsidRPr="006070EA" w:rsidRDefault="00887C54" w:rsidP="003A4B1E">
      <w:pPr>
        <w:pStyle w:val="Odstavecseseznamem"/>
        <w:keepNext/>
        <w:numPr>
          <w:ilvl w:val="2"/>
          <w:numId w:val="30"/>
        </w:numPr>
        <w:spacing w:before="160" w:after="120" w:line="240" w:lineRule="auto"/>
        <w:ind w:left="709" w:hanging="709"/>
        <w:contextualSpacing w:val="0"/>
        <w:outlineLvl w:val="2"/>
        <w:rPr>
          <w:rFonts w:asciiTheme="majorHAnsi" w:hAnsiTheme="majorHAnsi" w:cstheme="majorHAnsi"/>
          <w:b/>
        </w:rPr>
      </w:pPr>
      <w:bookmarkStart w:id="396" w:name="_Toc204678209"/>
      <w:r w:rsidRPr="006070EA">
        <w:rPr>
          <w:rFonts w:asciiTheme="majorHAnsi" w:hAnsiTheme="majorHAnsi" w:cstheme="majorHAnsi"/>
          <w:b/>
        </w:rPr>
        <w:t>Odůvodnění p</w:t>
      </w:r>
      <w:r w:rsidR="00AB1F4C" w:rsidRPr="006070EA">
        <w:rPr>
          <w:rFonts w:asciiTheme="majorHAnsi" w:hAnsiTheme="majorHAnsi" w:cstheme="majorHAnsi"/>
          <w:b/>
        </w:rPr>
        <w:t>rotierozní</w:t>
      </w:r>
      <w:r w:rsidRPr="006070EA">
        <w:rPr>
          <w:rFonts w:asciiTheme="majorHAnsi" w:hAnsiTheme="majorHAnsi" w:cstheme="majorHAnsi"/>
          <w:b/>
        </w:rPr>
        <w:t>ch</w:t>
      </w:r>
      <w:r w:rsidR="00AB1F4C" w:rsidRPr="006070EA">
        <w:rPr>
          <w:rFonts w:asciiTheme="majorHAnsi" w:hAnsiTheme="majorHAnsi" w:cstheme="majorHAnsi"/>
          <w:b/>
        </w:rPr>
        <w:t xml:space="preserve"> a revitalizační</w:t>
      </w:r>
      <w:r w:rsidRPr="006070EA">
        <w:rPr>
          <w:rFonts w:asciiTheme="majorHAnsi" w:hAnsiTheme="majorHAnsi" w:cstheme="majorHAnsi"/>
          <w:b/>
        </w:rPr>
        <w:t>ch opatření v krajině</w:t>
      </w:r>
      <w:bookmarkEnd w:id="396"/>
    </w:p>
    <w:p w14:paraId="0CB9AEB4" w14:textId="52560CC5" w:rsidR="00013569" w:rsidRPr="006070EA" w:rsidRDefault="00013569" w:rsidP="009E07E1">
      <w:pPr>
        <w:pStyle w:val="Atext"/>
        <w:keepNext/>
        <w:ind w:firstLine="0"/>
        <w:jc w:val="right"/>
        <w:rPr>
          <w:rFonts w:asciiTheme="majorHAnsi" w:hAnsiTheme="majorHAnsi" w:cstheme="majorHAnsi"/>
          <w:i/>
          <w:snapToGrid w:val="0"/>
          <w:u w:val="single"/>
        </w:rPr>
      </w:pPr>
      <w:r w:rsidRPr="006070EA">
        <w:rPr>
          <w:rFonts w:asciiTheme="majorHAnsi" w:hAnsiTheme="majorHAnsi" w:cstheme="majorHAnsi"/>
          <w:i/>
          <w:snapToGrid w:val="0"/>
          <w:u w:val="single"/>
        </w:rPr>
        <w:t xml:space="preserve">Odůvodnění odst. </w:t>
      </w:r>
      <w:r w:rsidRPr="006070EA">
        <w:rPr>
          <w:rFonts w:asciiTheme="majorHAnsi" w:hAnsiTheme="majorHAnsi" w:cstheme="majorHAnsi"/>
          <w:b/>
          <w:i/>
          <w:snapToGrid w:val="0"/>
          <w:u w:val="single"/>
        </w:rPr>
        <w:t>(</w:t>
      </w:r>
      <w:r w:rsidR="00A72821" w:rsidRPr="006070EA">
        <w:rPr>
          <w:rFonts w:asciiTheme="majorHAnsi" w:hAnsiTheme="majorHAnsi" w:cstheme="majorHAnsi"/>
          <w:b/>
          <w:i/>
          <w:snapToGrid w:val="0"/>
          <w:u w:val="single"/>
        </w:rPr>
        <w:t>5</w:t>
      </w:r>
      <w:r w:rsidR="0021590A">
        <w:rPr>
          <w:rFonts w:asciiTheme="majorHAnsi" w:hAnsiTheme="majorHAnsi" w:cstheme="majorHAnsi"/>
          <w:b/>
          <w:i/>
          <w:snapToGrid w:val="0"/>
          <w:u w:val="single"/>
        </w:rPr>
        <w:t>3</w:t>
      </w:r>
      <w:r w:rsidRPr="006070EA">
        <w:rPr>
          <w:rFonts w:asciiTheme="majorHAnsi" w:hAnsiTheme="majorHAnsi" w:cstheme="majorHAnsi"/>
          <w:b/>
          <w:i/>
          <w:snapToGrid w:val="0"/>
          <w:u w:val="single"/>
        </w:rPr>
        <w:t>)</w:t>
      </w:r>
      <w:r w:rsidR="00A72821" w:rsidRPr="006070EA">
        <w:rPr>
          <w:rFonts w:asciiTheme="majorHAnsi" w:hAnsiTheme="majorHAnsi" w:cstheme="majorHAnsi"/>
          <w:b/>
          <w:i/>
          <w:snapToGrid w:val="0"/>
          <w:u w:val="single"/>
        </w:rPr>
        <w:t xml:space="preserve"> a (5</w:t>
      </w:r>
      <w:r w:rsidR="0021590A">
        <w:rPr>
          <w:rFonts w:asciiTheme="majorHAnsi" w:hAnsiTheme="majorHAnsi" w:cstheme="majorHAnsi"/>
          <w:b/>
          <w:i/>
          <w:snapToGrid w:val="0"/>
          <w:u w:val="single"/>
        </w:rPr>
        <w:t>4</w:t>
      </w:r>
      <w:r w:rsidR="00A72821" w:rsidRPr="006070EA">
        <w:rPr>
          <w:rFonts w:asciiTheme="majorHAnsi" w:hAnsiTheme="majorHAnsi" w:cstheme="majorHAnsi"/>
          <w:b/>
          <w:i/>
          <w:snapToGrid w:val="0"/>
          <w:u w:val="single"/>
        </w:rPr>
        <w:t>)</w:t>
      </w:r>
      <w:r w:rsidRPr="006070EA">
        <w:rPr>
          <w:rFonts w:asciiTheme="majorHAnsi" w:hAnsiTheme="majorHAnsi" w:cstheme="majorHAnsi"/>
          <w:b/>
          <w:i/>
          <w:snapToGrid w:val="0"/>
          <w:u w:val="single"/>
        </w:rPr>
        <w:t xml:space="preserve"> </w:t>
      </w:r>
      <w:r w:rsidRPr="006070EA">
        <w:rPr>
          <w:rFonts w:asciiTheme="majorHAnsi" w:hAnsiTheme="majorHAnsi" w:cstheme="majorHAnsi"/>
          <w:i/>
          <w:snapToGrid w:val="0"/>
          <w:u w:val="single"/>
        </w:rPr>
        <w:t>výrokové části</w:t>
      </w:r>
    </w:p>
    <w:p w14:paraId="4A6FD694" w14:textId="2EDEB125" w:rsidR="00664147" w:rsidRPr="006070EA" w:rsidRDefault="00887C54" w:rsidP="009E07E1">
      <w:pPr>
        <w:spacing w:before="60" w:after="0" w:line="240" w:lineRule="auto"/>
        <w:ind w:firstLine="709"/>
        <w:jc w:val="both"/>
        <w:rPr>
          <w:rFonts w:asciiTheme="majorHAnsi" w:hAnsiTheme="majorHAnsi" w:cstheme="majorHAnsi"/>
          <w:sz w:val="18"/>
        </w:rPr>
      </w:pPr>
      <w:r w:rsidRPr="006070EA">
        <w:rPr>
          <w:rFonts w:asciiTheme="majorHAnsi" w:hAnsiTheme="majorHAnsi" w:cstheme="majorHAnsi"/>
          <w:sz w:val="18"/>
        </w:rPr>
        <w:t xml:space="preserve">Protierozní a revitalizační opatření v krajině explicitně umožňují stanovené podmínky </w:t>
      </w:r>
      <w:r w:rsidR="00013569" w:rsidRPr="006070EA">
        <w:rPr>
          <w:rFonts w:asciiTheme="majorHAnsi" w:hAnsiTheme="majorHAnsi" w:cstheme="majorHAnsi"/>
          <w:sz w:val="18"/>
        </w:rPr>
        <w:t xml:space="preserve">využití ploch s rozdílným způsobem využití, zejm. </w:t>
      </w:r>
      <w:r w:rsidR="00664147" w:rsidRPr="006070EA">
        <w:rPr>
          <w:rFonts w:asciiTheme="majorHAnsi" w:hAnsiTheme="majorHAnsi" w:cstheme="majorHAnsi"/>
          <w:iCs/>
          <w:sz w:val="18"/>
        </w:rPr>
        <w:t>plochy</w:t>
      </w:r>
      <w:r w:rsidR="00664147" w:rsidRPr="006070EA">
        <w:rPr>
          <w:rFonts w:asciiTheme="majorHAnsi" w:hAnsiTheme="majorHAnsi" w:cstheme="majorHAnsi"/>
          <w:i/>
          <w:sz w:val="18"/>
        </w:rPr>
        <w:t xml:space="preserve"> vodní a vodohospodářské</w:t>
      </w:r>
      <w:r w:rsidR="006C7149" w:rsidRPr="006070EA">
        <w:rPr>
          <w:rFonts w:asciiTheme="majorHAnsi" w:hAnsiTheme="majorHAnsi" w:cstheme="majorHAnsi"/>
          <w:i/>
          <w:sz w:val="18"/>
        </w:rPr>
        <w:t xml:space="preserve"> všeobecné</w:t>
      </w:r>
      <w:r w:rsidR="00664147" w:rsidRPr="006070EA">
        <w:rPr>
          <w:rFonts w:asciiTheme="majorHAnsi" w:hAnsiTheme="majorHAnsi" w:cstheme="majorHAnsi"/>
          <w:sz w:val="18"/>
        </w:rPr>
        <w:t xml:space="preserve"> (W</w:t>
      </w:r>
      <w:r w:rsidR="006C7149" w:rsidRPr="006070EA">
        <w:rPr>
          <w:rFonts w:asciiTheme="majorHAnsi" w:hAnsiTheme="majorHAnsi" w:cstheme="majorHAnsi"/>
          <w:sz w:val="18"/>
        </w:rPr>
        <w:t>U</w:t>
      </w:r>
      <w:r w:rsidR="00664147" w:rsidRPr="006070EA">
        <w:rPr>
          <w:rFonts w:asciiTheme="majorHAnsi" w:hAnsiTheme="majorHAnsi" w:cstheme="majorHAnsi"/>
          <w:sz w:val="18"/>
        </w:rPr>
        <w:t>)</w:t>
      </w:r>
      <w:r w:rsidR="006C7149" w:rsidRPr="006070EA">
        <w:rPr>
          <w:rFonts w:asciiTheme="majorHAnsi" w:hAnsiTheme="majorHAnsi" w:cstheme="majorHAnsi"/>
          <w:sz w:val="18"/>
        </w:rPr>
        <w:t>,</w:t>
      </w:r>
      <w:r w:rsidR="00664147" w:rsidRPr="006070EA">
        <w:rPr>
          <w:rFonts w:asciiTheme="majorHAnsi" w:hAnsiTheme="majorHAnsi" w:cstheme="majorHAnsi"/>
          <w:sz w:val="18"/>
        </w:rPr>
        <w:t xml:space="preserve"> </w:t>
      </w:r>
      <w:r w:rsidR="00664147" w:rsidRPr="006070EA">
        <w:rPr>
          <w:rFonts w:asciiTheme="majorHAnsi" w:hAnsiTheme="majorHAnsi" w:cstheme="majorHAnsi"/>
          <w:i/>
          <w:sz w:val="18"/>
        </w:rPr>
        <w:t>zemědělské</w:t>
      </w:r>
      <w:r w:rsidR="006C7149" w:rsidRPr="006070EA">
        <w:rPr>
          <w:rFonts w:asciiTheme="majorHAnsi" w:hAnsiTheme="majorHAnsi" w:cstheme="majorHAnsi"/>
          <w:i/>
          <w:sz w:val="18"/>
        </w:rPr>
        <w:t xml:space="preserve"> všeobecné</w:t>
      </w:r>
      <w:r w:rsidR="00664147" w:rsidRPr="006070EA">
        <w:rPr>
          <w:rFonts w:asciiTheme="majorHAnsi" w:hAnsiTheme="majorHAnsi" w:cstheme="majorHAnsi"/>
          <w:sz w:val="18"/>
        </w:rPr>
        <w:t xml:space="preserve"> (</w:t>
      </w:r>
      <w:r w:rsidR="006C7149" w:rsidRPr="006070EA">
        <w:rPr>
          <w:rFonts w:asciiTheme="majorHAnsi" w:hAnsiTheme="majorHAnsi" w:cstheme="majorHAnsi"/>
          <w:sz w:val="18"/>
        </w:rPr>
        <w:t>AU</w:t>
      </w:r>
      <w:r w:rsidR="00664147" w:rsidRPr="006070EA">
        <w:rPr>
          <w:rFonts w:asciiTheme="majorHAnsi" w:hAnsiTheme="majorHAnsi" w:cstheme="majorHAnsi"/>
          <w:sz w:val="18"/>
        </w:rPr>
        <w:t xml:space="preserve">) a </w:t>
      </w:r>
      <w:r w:rsidR="00013569" w:rsidRPr="006070EA">
        <w:rPr>
          <w:rFonts w:asciiTheme="majorHAnsi" w:hAnsiTheme="majorHAnsi" w:cstheme="majorHAnsi"/>
          <w:i/>
          <w:sz w:val="18"/>
        </w:rPr>
        <w:t>smíšené nezastavěného území</w:t>
      </w:r>
      <w:r w:rsidR="006C7149" w:rsidRPr="006070EA">
        <w:rPr>
          <w:rFonts w:asciiTheme="majorHAnsi" w:hAnsiTheme="majorHAnsi" w:cstheme="majorHAnsi"/>
          <w:i/>
          <w:sz w:val="18"/>
        </w:rPr>
        <w:t xml:space="preserve"> – zemědělství extenzivní, přírodní priority</w:t>
      </w:r>
      <w:r w:rsidR="00013569" w:rsidRPr="006070EA">
        <w:rPr>
          <w:rFonts w:asciiTheme="majorHAnsi" w:hAnsiTheme="majorHAnsi" w:cstheme="majorHAnsi"/>
          <w:sz w:val="18"/>
        </w:rPr>
        <w:t xml:space="preserve"> (</w:t>
      </w:r>
      <w:r w:rsidR="006C7149" w:rsidRPr="006070EA">
        <w:rPr>
          <w:rFonts w:asciiTheme="majorHAnsi" w:hAnsiTheme="majorHAnsi" w:cstheme="majorHAnsi"/>
          <w:sz w:val="18"/>
        </w:rPr>
        <w:t>MU.zp</w:t>
      </w:r>
      <w:r w:rsidR="00013569" w:rsidRPr="006070EA">
        <w:rPr>
          <w:rFonts w:asciiTheme="majorHAnsi" w:hAnsiTheme="majorHAnsi" w:cstheme="majorHAnsi"/>
          <w:sz w:val="18"/>
        </w:rPr>
        <w:t>)</w:t>
      </w:r>
      <w:r w:rsidR="00664147" w:rsidRPr="006070EA">
        <w:rPr>
          <w:rFonts w:asciiTheme="majorHAnsi" w:hAnsiTheme="majorHAnsi" w:cstheme="majorHAnsi"/>
          <w:sz w:val="18"/>
        </w:rPr>
        <w:t>, tvořící majoritní podíl volné krajiny</w:t>
      </w:r>
      <w:r w:rsidRPr="006070EA">
        <w:rPr>
          <w:rFonts w:asciiTheme="majorHAnsi" w:hAnsiTheme="majorHAnsi" w:cstheme="majorHAnsi"/>
          <w:sz w:val="18"/>
        </w:rPr>
        <w:t xml:space="preserve">. </w:t>
      </w:r>
    </w:p>
    <w:p w14:paraId="70ABDB93" w14:textId="77777777" w:rsidR="00A72821" w:rsidRPr="006070EA" w:rsidRDefault="00A72821" w:rsidP="00A72821">
      <w:pPr>
        <w:pStyle w:val="Atext"/>
        <w:rPr>
          <w:rFonts w:asciiTheme="majorHAnsi" w:hAnsiTheme="majorHAnsi" w:cstheme="majorHAnsi"/>
        </w:rPr>
      </w:pPr>
      <w:r w:rsidRPr="006070EA">
        <w:rPr>
          <w:rFonts w:asciiTheme="majorHAnsi" w:hAnsiTheme="majorHAnsi" w:cstheme="majorHAnsi"/>
        </w:rPr>
        <w:t xml:space="preserve">Ochrana vodních toků je zakotvena v zákoně č. 254/2001 Sb., ve znění pozdějších předpisů (vodní zákon). Vodní toky a plochy tvoří významnou část ekologicky stabilních systémů a krajinných os, které je nezbytné chránit a posilovat zejména s ohledem na ochranu přírody a krajiny, zachování hydrologických charakteristik území a zajištění jejich zachování. Vodní prvky </w:t>
      </w:r>
      <w:r w:rsidRPr="006070EA">
        <w:rPr>
          <w:rFonts w:asciiTheme="majorHAnsi" w:hAnsiTheme="majorHAnsi" w:cstheme="majorHAnsi"/>
        </w:rPr>
        <w:lastRenderedPageBreak/>
        <w:t>jsou významnou atraktivitou každého území, představují obvykle nejvýraznější krajinné osy území a vážou na sebe kromě rozmanitých prvků krajinné zeleně také nejrůznější aktivity lidí (rekreaci a turistiku).</w:t>
      </w:r>
    </w:p>
    <w:p w14:paraId="0C1385D3" w14:textId="4E3B8A00" w:rsidR="00A72821" w:rsidRPr="006070EA" w:rsidRDefault="00A72821" w:rsidP="00A72821">
      <w:pPr>
        <w:spacing w:before="60" w:after="0" w:line="240" w:lineRule="auto"/>
        <w:ind w:firstLine="709"/>
        <w:jc w:val="both"/>
        <w:rPr>
          <w:rFonts w:asciiTheme="majorHAnsi" w:hAnsiTheme="majorHAnsi" w:cstheme="majorHAnsi"/>
          <w:sz w:val="18"/>
        </w:rPr>
      </w:pPr>
      <w:r w:rsidRPr="006070EA">
        <w:rPr>
          <w:rFonts w:asciiTheme="majorHAnsi" w:hAnsiTheme="majorHAnsi" w:cstheme="majorHAnsi"/>
          <w:sz w:val="18"/>
        </w:rPr>
        <w:t xml:space="preserve">Stanovení podmínek využití pro všechny plochy vymezené v nezastavěném území je dostatečně široké, aby umožnilo realizaci dalších opatření v krajině (zakládání pásů zeleně, průlehů, mezí, remízů apod.). ÚP tímto vytváří podmínky pro realizaci protierozních a revitalizačních opatření, jejichž konkrétní řešení je mimo měřítko ÚP a je nezbytné je upřesnit v rámci navazujících řízení a v podrobnějších dokumentacích či podkladech (revitalizační studie, studie odtokových poměrů apod.) s ohledem na podrobné podmínky a požadavky v území. </w:t>
      </w:r>
    </w:p>
    <w:p w14:paraId="6401A706" w14:textId="77777777" w:rsidR="00A72821" w:rsidRPr="006070EA" w:rsidRDefault="00A72821" w:rsidP="00A72821">
      <w:pPr>
        <w:pStyle w:val="Anadpistun"/>
        <w:rPr>
          <w:rFonts w:asciiTheme="majorHAnsi" w:hAnsiTheme="majorHAnsi" w:cstheme="majorHAnsi"/>
        </w:rPr>
      </w:pPr>
      <w:r w:rsidRPr="006070EA">
        <w:rPr>
          <w:rFonts w:asciiTheme="majorHAnsi" w:hAnsiTheme="majorHAnsi" w:cstheme="majorHAnsi"/>
        </w:rPr>
        <w:t>Ochranná pásma vodních toků</w:t>
      </w:r>
    </w:p>
    <w:p w14:paraId="2E7173F0" w14:textId="77777777" w:rsidR="00A72821" w:rsidRPr="006070EA" w:rsidRDefault="00A72821" w:rsidP="00D34A16">
      <w:pPr>
        <w:pStyle w:val="Atext"/>
        <w:keepNext/>
        <w:rPr>
          <w:rFonts w:asciiTheme="majorHAnsi" w:hAnsiTheme="majorHAnsi" w:cstheme="majorHAnsi"/>
        </w:rPr>
      </w:pPr>
      <w:r w:rsidRPr="006070EA">
        <w:rPr>
          <w:rFonts w:asciiTheme="majorHAnsi" w:hAnsiTheme="majorHAnsi" w:cstheme="majorHAnsi"/>
        </w:rPr>
        <w:t>Pro potřeby správy a údržby vodních toků je nutné zachovávat po obou stranách toku pro možnost užívání volný nezastavěný manipulační pruh o šířce 6 m od břehové čáry dle ustanovení § 49 zákona č. 254/2001 Sb., o vodách a o znění některých zákonů (vodní zákon), ve znění pozdějších předpisů, a vyhlášky č. 470/2001 Sb., kterou se stanoví seznam významných vodních toků a způsob provádění činností souvisejících se správou vodních toků.</w:t>
      </w:r>
    </w:p>
    <w:p w14:paraId="56B1BD1C" w14:textId="2027F0B9" w:rsidR="00AB1F4C" w:rsidRPr="006070EA" w:rsidRDefault="00887C54" w:rsidP="003A4B1E">
      <w:pPr>
        <w:pStyle w:val="Odstavecseseznamem"/>
        <w:keepNext/>
        <w:numPr>
          <w:ilvl w:val="2"/>
          <w:numId w:val="30"/>
        </w:numPr>
        <w:spacing w:before="160" w:after="120" w:line="240" w:lineRule="auto"/>
        <w:ind w:left="709" w:hanging="709"/>
        <w:contextualSpacing w:val="0"/>
        <w:outlineLvl w:val="2"/>
        <w:rPr>
          <w:rFonts w:asciiTheme="majorHAnsi" w:hAnsiTheme="majorHAnsi" w:cstheme="majorHAnsi"/>
          <w:b/>
        </w:rPr>
      </w:pPr>
      <w:bookmarkStart w:id="397" w:name="_Toc204678210"/>
      <w:r w:rsidRPr="006070EA">
        <w:rPr>
          <w:rFonts w:asciiTheme="majorHAnsi" w:hAnsiTheme="majorHAnsi" w:cstheme="majorHAnsi"/>
          <w:b/>
        </w:rPr>
        <w:t xml:space="preserve">Odůvodnění stanovené </w:t>
      </w:r>
      <w:r w:rsidR="00AB1F4C" w:rsidRPr="006070EA">
        <w:rPr>
          <w:rFonts w:asciiTheme="majorHAnsi" w:hAnsiTheme="majorHAnsi" w:cstheme="majorHAnsi"/>
          <w:b/>
        </w:rPr>
        <w:t>ochran</w:t>
      </w:r>
      <w:r w:rsidRPr="006070EA">
        <w:rPr>
          <w:rFonts w:asciiTheme="majorHAnsi" w:hAnsiTheme="majorHAnsi" w:cstheme="majorHAnsi"/>
          <w:b/>
        </w:rPr>
        <w:t>y</w:t>
      </w:r>
      <w:r w:rsidR="00AB1F4C" w:rsidRPr="006070EA">
        <w:rPr>
          <w:rFonts w:asciiTheme="majorHAnsi" w:hAnsiTheme="majorHAnsi" w:cstheme="majorHAnsi"/>
          <w:b/>
        </w:rPr>
        <w:t xml:space="preserve"> před povodněmi</w:t>
      </w:r>
      <w:bookmarkEnd w:id="397"/>
    </w:p>
    <w:p w14:paraId="24F6F3ED" w14:textId="6B901C46" w:rsidR="00B646BB" w:rsidRPr="006070EA" w:rsidRDefault="00B646BB" w:rsidP="00B646BB">
      <w:pPr>
        <w:pStyle w:val="Atext"/>
        <w:rPr>
          <w:rFonts w:asciiTheme="majorHAnsi" w:hAnsiTheme="majorHAnsi" w:cstheme="majorHAnsi"/>
          <w:color w:val="000000"/>
        </w:rPr>
      </w:pPr>
      <w:r w:rsidRPr="006070EA">
        <w:rPr>
          <w:rFonts w:asciiTheme="majorHAnsi" w:hAnsiTheme="majorHAnsi" w:cstheme="majorHAnsi"/>
          <w:color w:val="000000"/>
        </w:rPr>
        <w:t>Dle zákona č. 254/2001 Sb., o vodách a o změně některých zákonů (vodní zákon), ve znění pozdějších předpisů, byla v řešeném území stanovena záplavová území Q</w:t>
      </w:r>
      <w:r w:rsidRPr="006070EA">
        <w:rPr>
          <w:rFonts w:asciiTheme="majorHAnsi" w:hAnsiTheme="majorHAnsi" w:cstheme="majorHAnsi"/>
          <w:color w:val="000000"/>
          <w:vertAlign w:val="subscript"/>
        </w:rPr>
        <w:t>5</w:t>
      </w:r>
      <w:r w:rsidRPr="006070EA">
        <w:rPr>
          <w:rFonts w:asciiTheme="majorHAnsi" w:hAnsiTheme="majorHAnsi" w:cstheme="majorHAnsi"/>
          <w:color w:val="000000"/>
        </w:rPr>
        <w:t>, Q</w:t>
      </w:r>
      <w:r w:rsidRPr="006070EA">
        <w:rPr>
          <w:rFonts w:asciiTheme="majorHAnsi" w:hAnsiTheme="majorHAnsi" w:cstheme="majorHAnsi"/>
          <w:color w:val="000000"/>
          <w:vertAlign w:val="subscript"/>
        </w:rPr>
        <w:t>20</w:t>
      </w:r>
      <w:r w:rsidRPr="006070EA">
        <w:rPr>
          <w:rFonts w:asciiTheme="majorHAnsi" w:hAnsiTheme="majorHAnsi" w:cstheme="majorHAnsi"/>
          <w:color w:val="000000"/>
        </w:rPr>
        <w:t>,</w:t>
      </w:r>
      <w:r w:rsidRPr="006070EA">
        <w:rPr>
          <w:rFonts w:asciiTheme="majorHAnsi" w:hAnsiTheme="majorHAnsi" w:cstheme="majorHAnsi"/>
          <w:color w:val="000000"/>
          <w:vertAlign w:val="subscript"/>
        </w:rPr>
        <w:t xml:space="preserve"> </w:t>
      </w:r>
      <w:r w:rsidRPr="006070EA">
        <w:rPr>
          <w:rFonts w:asciiTheme="majorHAnsi" w:hAnsiTheme="majorHAnsi" w:cstheme="majorHAnsi"/>
          <w:color w:val="000000"/>
        </w:rPr>
        <w:t>Q</w:t>
      </w:r>
      <w:r w:rsidRPr="006070EA">
        <w:rPr>
          <w:rFonts w:asciiTheme="majorHAnsi" w:hAnsiTheme="majorHAnsi" w:cstheme="majorHAnsi"/>
          <w:color w:val="000000"/>
          <w:vertAlign w:val="subscript"/>
        </w:rPr>
        <w:t>100</w:t>
      </w:r>
      <w:r w:rsidRPr="006070EA">
        <w:rPr>
          <w:rFonts w:asciiTheme="majorHAnsi" w:hAnsiTheme="majorHAnsi" w:cstheme="majorHAnsi"/>
          <w:color w:val="000000"/>
        </w:rPr>
        <w:t xml:space="preserve"> a aktivní zón</w:t>
      </w:r>
      <w:r w:rsidR="006C7149" w:rsidRPr="006070EA">
        <w:rPr>
          <w:rFonts w:asciiTheme="majorHAnsi" w:hAnsiTheme="majorHAnsi" w:cstheme="majorHAnsi"/>
          <w:color w:val="000000"/>
        </w:rPr>
        <w:t>y</w:t>
      </w:r>
      <w:r w:rsidRPr="006070EA">
        <w:rPr>
          <w:rFonts w:asciiTheme="majorHAnsi" w:hAnsiTheme="majorHAnsi" w:cstheme="majorHAnsi"/>
          <w:color w:val="000000"/>
        </w:rPr>
        <w:t xml:space="preserve"> záplavového území:</w:t>
      </w:r>
    </w:p>
    <w:tbl>
      <w:tblPr>
        <w:tblW w:w="0" w:type="auto"/>
        <w:tblBorders>
          <w:insideH w:val="single" w:sz="4" w:space="0" w:color="auto"/>
          <w:insideV w:val="single" w:sz="4" w:space="0" w:color="auto"/>
        </w:tblBorders>
        <w:tblLayout w:type="fixed"/>
        <w:tblLook w:val="04A0" w:firstRow="1" w:lastRow="0" w:firstColumn="1" w:lastColumn="0" w:noHBand="0" w:noVBand="1"/>
      </w:tblPr>
      <w:tblGrid>
        <w:gridCol w:w="1242"/>
        <w:gridCol w:w="1560"/>
        <w:gridCol w:w="992"/>
        <w:gridCol w:w="1134"/>
        <w:gridCol w:w="1134"/>
        <w:gridCol w:w="850"/>
        <w:gridCol w:w="1134"/>
        <w:gridCol w:w="1242"/>
      </w:tblGrid>
      <w:tr w:rsidR="00B646BB" w:rsidRPr="006070EA" w14:paraId="33AE7D99" w14:textId="77777777" w:rsidTr="00780ACE">
        <w:trPr>
          <w:cantSplit/>
          <w:trHeight w:val="283"/>
          <w:tblHeader/>
        </w:trPr>
        <w:tc>
          <w:tcPr>
            <w:tcW w:w="1242" w:type="dxa"/>
            <w:tcBorders>
              <w:top w:val="nil"/>
              <w:left w:val="nil"/>
              <w:bottom w:val="single" w:sz="12" w:space="0" w:color="auto"/>
              <w:right w:val="single" w:sz="12" w:space="0" w:color="auto"/>
            </w:tcBorders>
            <w:shd w:val="clear" w:color="auto" w:fill="auto"/>
            <w:vAlign w:val="center"/>
            <w:hideMark/>
          </w:tcPr>
          <w:p w14:paraId="30F8914F" w14:textId="77777777" w:rsidR="00B646BB" w:rsidRPr="006070EA" w:rsidRDefault="00B646BB" w:rsidP="00780ACE">
            <w:pPr>
              <w:pStyle w:val="Bezmezer"/>
              <w:keepNext/>
              <w:jc w:val="center"/>
              <w:rPr>
                <w:rFonts w:asciiTheme="majorHAnsi" w:hAnsiTheme="majorHAnsi" w:cstheme="majorHAnsi"/>
                <w:b/>
                <w:color w:val="000000"/>
                <w:lang w:val="cs-CZ"/>
              </w:rPr>
            </w:pPr>
            <w:r w:rsidRPr="006070EA">
              <w:rPr>
                <w:rFonts w:asciiTheme="majorHAnsi" w:hAnsiTheme="majorHAnsi" w:cstheme="majorHAnsi"/>
                <w:b/>
                <w:color w:val="000000"/>
                <w:lang w:val="cs-CZ"/>
              </w:rPr>
              <w:t>ID záplavového území</w:t>
            </w:r>
          </w:p>
        </w:tc>
        <w:tc>
          <w:tcPr>
            <w:tcW w:w="1560" w:type="dxa"/>
            <w:tcBorders>
              <w:top w:val="nil"/>
              <w:left w:val="single" w:sz="12" w:space="0" w:color="auto"/>
              <w:bottom w:val="single" w:sz="12" w:space="0" w:color="auto"/>
              <w:right w:val="single" w:sz="12" w:space="0" w:color="auto"/>
            </w:tcBorders>
            <w:shd w:val="clear" w:color="auto" w:fill="auto"/>
            <w:vAlign w:val="center"/>
            <w:hideMark/>
          </w:tcPr>
          <w:p w14:paraId="4AEB3EBE" w14:textId="77777777" w:rsidR="00B646BB" w:rsidRPr="006070EA" w:rsidRDefault="00B646BB" w:rsidP="00780ACE">
            <w:pPr>
              <w:pStyle w:val="Bezmezer"/>
              <w:keepNext/>
              <w:jc w:val="center"/>
              <w:rPr>
                <w:rFonts w:asciiTheme="majorHAnsi" w:hAnsiTheme="majorHAnsi" w:cstheme="majorHAnsi"/>
                <w:b/>
                <w:color w:val="000000"/>
                <w:lang w:val="cs-CZ"/>
              </w:rPr>
            </w:pPr>
            <w:r w:rsidRPr="006070EA">
              <w:rPr>
                <w:rFonts w:asciiTheme="majorHAnsi" w:hAnsiTheme="majorHAnsi" w:cstheme="majorHAnsi"/>
                <w:b/>
                <w:color w:val="000000"/>
                <w:lang w:val="cs-CZ"/>
              </w:rPr>
              <w:t>správce vodního toku</w:t>
            </w:r>
          </w:p>
        </w:tc>
        <w:tc>
          <w:tcPr>
            <w:tcW w:w="992" w:type="dxa"/>
            <w:tcBorders>
              <w:top w:val="nil"/>
              <w:left w:val="single" w:sz="12" w:space="0" w:color="auto"/>
              <w:bottom w:val="single" w:sz="12" w:space="0" w:color="auto"/>
              <w:right w:val="single" w:sz="12" w:space="0" w:color="auto"/>
            </w:tcBorders>
            <w:shd w:val="clear" w:color="auto" w:fill="auto"/>
            <w:vAlign w:val="center"/>
            <w:hideMark/>
          </w:tcPr>
          <w:p w14:paraId="3DD2DDF5" w14:textId="77777777" w:rsidR="00B646BB" w:rsidRPr="006070EA" w:rsidRDefault="00B646BB" w:rsidP="00780ACE">
            <w:pPr>
              <w:pStyle w:val="Bezmezer"/>
              <w:keepNext/>
              <w:jc w:val="center"/>
              <w:rPr>
                <w:rFonts w:asciiTheme="majorHAnsi" w:hAnsiTheme="majorHAnsi" w:cstheme="majorHAnsi"/>
                <w:b/>
                <w:color w:val="000000"/>
                <w:lang w:val="cs-CZ"/>
              </w:rPr>
            </w:pPr>
            <w:r w:rsidRPr="006070EA">
              <w:rPr>
                <w:rFonts w:asciiTheme="majorHAnsi" w:hAnsiTheme="majorHAnsi" w:cstheme="majorHAnsi"/>
                <w:b/>
                <w:color w:val="000000"/>
                <w:lang w:val="cs-CZ"/>
              </w:rPr>
              <w:t>vodní tok</w:t>
            </w:r>
          </w:p>
        </w:tc>
        <w:tc>
          <w:tcPr>
            <w:tcW w:w="1134" w:type="dxa"/>
            <w:tcBorders>
              <w:top w:val="nil"/>
              <w:left w:val="single" w:sz="12" w:space="0" w:color="auto"/>
              <w:bottom w:val="single" w:sz="12" w:space="0" w:color="auto"/>
              <w:right w:val="single" w:sz="12" w:space="0" w:color="auto"/>
            </w:tcBorders>
            <w:shd w:val="clear" w:color="auto" w:fill="auto"/>
            <w:vAlign w:val="center"/>
            <w:hideMark/>
          </w:tcPr>
          <w:p w14:paraId="5D99DF29" w14:textId="77777777" w:rsidR="00B646BB" w:rsidRPr="006070EA" w:rsidRDefault="00B646BB" w:rsidP="00780ACE">
            <w:pPr>
              <w:pStyle w:val="Bezmezer"/>
              <w:keepNext/>
              <w:jc w:val="center"/>
              <w:rPr>
                <w:rFonts w:asciiTheme="majorHAnsi" w:hAnsiTheme="majorHAnsi" w:cstheme="majorHAnsi"/>
                <w:b/>
                <w:color w:val="000000"/>
                <w:lang w:val="cs-CZ"/>
              </w:rPr>
            </w:pPr>
            <w:r w:rsidRPr="006070EA">
              <w:rPr>
                <w:rFonts w:asciiTheme="majorHAnsi" w:hAnsiTheme="majorHAnsi" w:cstheme="majorHAnsi"/>
                <w:b/>
                <w:color w:val="000000"/>
                <w:lang w:val="cs-CZ"/>
              </w:rPr>
              <w:t>úsek</w:t>
            </w:r>
          </w:p>
          <w:p w14:paraId="73131BF5" w14:textId="355259F1" w:rsidR="00B646BB" w:rsidRPr="006070EA" w:rsidRDefault="00B646BB" w:rsidP="00780ACE">
            <w:pPr>
              <w:pStyle w:val="Bezmezer"/>
              <w:keepNext/>
              <w:jc w:val="center"/>
              <w:rPr>
                <w:rFonts w:asciiTheme="majorHAnsi" w:hAnsiTheme="majorHAnsi" w:cstheme="majorHAnsi"/>
                <w:b/>
                <w:color w:val="000000"/>
                <w:lang w:val="cs-CZ"/>
              </w:rPr>
            </w:pPr>
            <w:r w:rsidRPr="006070EA">
              <w:rPr>
                <w:rFonts w:asciiTheme="majorHAnsi" w:hAnsiTheme="majorHAnsi" w:cstheme="majorHAnsi"/>
                <w:b/>
                <w:color w:val="000000"/>
                <w:lang w:val="cs-CZ"/>
              </w:rPr>
              <w:t>od – do</w:t>
            </w:r>
          </w:p>
        </w:tc>
        <w:tc>
          <w:tcPr>
            <w:tcW w:w="1134" w:type="dxa"/>
            <w:tcBorders>
              <w:top w:val="nil"/>
              <w:left w:val="single" w:sz="12" w:space="0" w:color="auto"/>
              <w:bottom w:val="single" w:sz="12" w:space="0" w:color="auto"/>
              <w:right w:val="single" w:sz="12" w:space="0" w:color="auto"/>
            </w:tcBorders>
            <w:shd w:val="clear" w:color="auto" w:fill="auto"/>
            <w:vAlign w:val="center"/>
            <w:hideMark/>
          </w:tcPr>
          <w:p w14:paraId="3F246DB4" w14:textId="33513E01" w:rsidR="00B646BB" w:rsidRPr="006070EA" w:rsidRDefault="00B646BB" w:rsidP="00780ACE">
            <w:pPr>
              <w:pStyle w:val="Bezmezer"/>
              <w:keepNext/>
              <w:jc w:val="center"/>
              <w:rPr>
                <w:rFonts w:asciiTheme="majorHAnsi" w:hAnsiTheme="majorHAnsi" w:cstheme="majorHAnsi"/>
                <w:b/>
                <w:color w:val="000000"/>
                <w:lang w:val="cs-CZ"/>
              </w:rPr>
            </w:pPr>
            <w:r w:rsidRPr="006070EA">
              <w:rPr>
                <w:rFonts w:asciiTheme="majorHAnsi" w:hAnsiTheme="majorHAnsi" w:cstheme="majorHAnsi"/>
                <w:b/>
                <w:color w:val="000000"/>
                <w:lang w:val="cs-CZ"/>
              </w:rPr>
              <w:t>říční km</w:t>
            </w:r>
          </w:p>
          <w:p w14:paraId="73917B36" w14:textId="77777777" w:rsidR="00B646BB" w:rsidRPr="006070EA" w:rsidRDefault="00B646BB" w:rsidP="00780ACE">
            <w:pPr>
              <w:pStyle w:val="Bezmezer"/>
              <w:keepNext/>
              <w:jc w:val="center"/>
              <w:rPr>
                <w:rFonts w:asciiTheme="majorHAnsi" w:hAnsiTheme="majorHAnsi" w:cstheme="majorHAnsi"/>
                <w:b/>
                <w:color w:val="000000"/>
                <w:lang w:val="cs-CZ"/>
              </w:rPr>
            </w:pPr>
            <w:r w:rsidRPr="006070EA">
              <w:rPr>
                <w:rFonts w:asciiTheme="majorHAnsi" w:hAnsiTheme="majorHAnsi" w:cstheme="majorHAnsi"/>
                <w:b/>
                <w:color w:val="000000"/>
                <w:lang w:val="cs-CZ"/>
              </w:rPr>
              <w:t>od – do</w:t>
            </w:r>
          </w:p>
        </w:tc>
        <w:tc>
          <w:tcPr>
            <w:tcW w:w="850" w:type="dxa"/>
            <w:tcBorders>
              <w:top w:val="nil"/>
              <w:left w:val="single" w:sz="12" w:space="0" w:color="auto"/>
              <w:bottom w:val="single" w:sz="12" w:space="0" w:color="auto"/>
              <w:right w:val="single" w:sz="12" w:space="0" w:color="auto"/>
            </w:tcBorders>
            <w:shd w:val="clear" w:color="auto" w:fill="auto"/>
            <w:vAlign w:val="center"/>
            <w:hideMark/>
          </w:tcPr>
          <w:p w14:paraId="2F30CB3E" w14:textId="77777777" w:rsidR="00B646BB" w:rsidRPr="006070EA" w:rsidRDefault="00B646BB" w:rsidP="00780ACE">
            <w:pPr>
              <w:pStyle w:val="Bezmezer"/>
              <w:keepNext/>
              <w:jc w:val="center"/>
              <w:rPr>
                <w:rFonts w:asciiTheme="majorHAnsi" w:hAnsiTheme="majorHAnsi" w:cstheme="majorHAnsi"/>
                <w:b/>
                <w:color w:val="000000"/>
                <w:lang w:val="cs-CZ"/>
              </w:rPr>
            </w:pPr>
            <w:r w:rsidRPr="006070EA">
              <w:rPr>
                <w:rFonts w:asciiTheme="majorHAnsi" w:hAnsiTheme="majorHAnsi" w:cstheme="majorHAnsi"/>
                <w:b/>
                <w:color w:val="000000"/>
                <w:lang w:val="cs-CZ"/>
              </w:rPr>
              <w:t>délka zápl. území</w:t>
            </w:r>
          </w:p>
        </w:tc>
        <w:tc>
          <w:tcPr>
            <w:tcW w:w="1134" w:type="dxa"/>
            <w:tcBorders>
              <w:top w:val="nil"/>
              <w:left w:val="single" w:sz="12" w:space="0" w:color="auto"/>
              <w:bottom w:val="single" w:sz="12" w:space="0" w:color="auto"/>
              <w:right w:val="single" w:sz="12" w:space="0" w:color="auto"/>
            </w:tcBorders>
            <w:shd w:val="clear" w:color="auto" w:fill="auto"/>
            <w:vAlign w:val="center"/>
            <w:hideMark/>
          </w:tcPr>
          <w:p w14:paraId="7DF1D07A" w14:textId="77777777" w:rsidR="00B646BB" w:rsidRPr="006070EA" w:rsidRDefault="00B646BB" w:rsidP="00780ACE">
            <w:pPr>
              <w:pStyle w:val="Bezmezer"/>
              <w:keepNext/>
              <w:jc w:val="center"/>
              <w:rPr>
                <w:rFonts w:asciiTheme="majorHAnsi" w:hAnsiTheme="majorHAnsi" w:cstheme="majorHAnsi"/>
                <w:b/>
                <w:color w:val="000000"/>
                <w:lang w:val="cs-CZ"/>
              </w:rPr>
            </w:pPr>
            <w:r w:rsidRPr="006070EA">
              <w:rPr>
                <w:rFonts w:asciiTheme="majorHAnsi" w:hAnsiTheme="majorHAnsi" w:cstheme="majorHAnsi"/>
                <w:b/>
                <w:color w:val="000000"/>
                <w:lang w:val="cs-CZ"/>
              </w:rPr>
              <w:t>datum stanovení</w:t>
            </w:r>
          </w:p>
        </w:tc>
        <w:tc>
          <w:tcPr>
            <w:tcW w:w="1242" w:type="dxa"/>
            <w:tcBorders>
              <w:top w:val="nil"/>
              <w:left w:val="single" w:sz="12" w:space="0" w:color="auto"/>
              <w:bottom w:val="single" w:sz="12" w:space="0" w:color="auto"/>
              <w:right w:val="nil"/>
            </w:tcBorders>
            <w:shd w:val="clear" w:color="auto" w:fill="auto"/>
            <w:vAlign w:val="center"/>
            <w:hideMark/>
          </w:tcPr>
          <w:p w14:paraId="40D7D90C" w14:textId="77777777" w:rsidR="00B646BB" w:rsidRPr="006070EA" w:rsidRDefault="00B646BB" w:rsidP="00780ACE">
            <w:pPr>
              <w:pStyle w:val="Bezmezer"/>
              <w:keepNext/>
              <w:jc w:val="center"/>
              <w:rPr>
                <w:rFonts w:asciiTheme="majorHAnsi" w:hAnsiTheme="majorHAnsi" w:cstheme="majorHAnsi"/>
                <w:b/>
                <w:color w:val="000000"/>
                <w:lang w:val="cs-CZ"/>
              </w:rPr>
            </w:pPr>
            <w:r w:rsidRPr="006070EA">
              <w:rPr>
                <w:rFonts w:asciiTheme="majorHAnsi" w:hAnsiTheme="majorHAnsi" w:cstheme="majorHAnsi"/>
                <w:b/>
                <w:color w:val="000000"/>
                <w:lang w:val="cs-CZ"/>
              </w:rPr>
              <w:t>č. jednací</w:t>
            </w:r>
          </w:p>
        </w:tc>
      </w:tr>
      <w:tr w:rsidR="00B646BB" w:rsidRPr="006070EA" w14:paraId="039C1315" w14:textId="77777777" w:rsidTr="00780ACE">
        <w:trPr>
          <w:trHeight w:val="283"/>
        </w:trPr>
        <w:tc>
          <w:tcPr>
            <w:tcW w:w="1242" w:type="dxa"/>
            <w:tcBorders>
              <w:top w:val="single" w:sz="12" w:space="0" w:color="auto"/>
              <w:left w:val="nil"/>
              <w:bottom w:val="single" w:sz="12" w:space="0" w:color="auto"/>
              <w:right w:val="single" w:sz="4" w:space="0" w:color="auto"/>
            </w:tcBorders>
            <w:shd w:val="clear" w:color="auto" w:fill="auto"/>
            <w:vAlign w:val="center"/>
            <w:hideMark/>
          </w:tcPr>
          <w:p w14:paraId="48152110" w14:textId="77777777" w:rsidR="00B646BB" w:rsidRPr="006070EA" w:rsidRDefault="00B646BB" w:rsidP="00780ACE">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100000534</w:t>
            </w:r>
          </w:p>
        </w:tc>
        <w:tc>
          <w:tcPr>
            <w:tcW w:w="1560" w:type="dxa"/>
            <w:tcBorders>
              <w:top w:val="single" w:sz="12" w:space="0" w:color="auto"/>
              <w:left w:val="single" w:sz="4" w:space="0" w:color="auto"/>
              <w:bottom w:val="single" w:sz="12" w:space="0" w:color="auto"/>
              <w:right w:val="single" w:sz="4" w:space="0" w:color="auto"/>
            </w:tcBorders>
            <w:shd w:val="clear" w:color="auto" w:fill="auto"/>
            <w:vAlign w:val="center"/>
            <w:hideMark/>
          </w:tcPr>
          <w:p w14:paraId="6DA22B6A" w14:textId="77777777" w:rsidR="00B646BB" w:rsidRPr="006070EA" w:rsidRDefault="00B646BB" w:rsidP="00780ACE">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Povodí Labe, s. p.</w:t>
            </w:r>
          </w:p>
        </w:tc>
        <w:tc>
          <w:tcPr>
            <w:tcW w:w="992" w:type="dxa"/>
            <w:tcBorders>
              <w:top w:val="single" w:sz="12" w:space="0" w:color="auto"/>
              <w:left w:val="single" w:sz="4" w:space="0" w:color="auto"/>
              <w:bottom w:val="single" w:sz="12" w:space="0" w:color="auto"/>
              <w:right w:val="single" w:sz="4" w:space="0" w:color="auto"/>
            </w:tcBorders>
            <w:shd w:val="clear" w:color="auto" w:fill="auto"/>
            <w:vAlign w:val="center"/>
            <w:hideMark/>
          </w:tcPr>
          <w:p w14:paraId="01688217" w14:textId="77777777" w:rsidR="00B646BB" w:rsidRPr="006070EA" w:rsidRDefault="00B646BB" w:rsidP="00780ACE">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Vlkava</w:t>
            </w:r>
          </w:p>
        </w:tc>
        <w:tc>
          <w:tcPr>
            <w:tcW w:w="1134" w:type="dxa"/>
            <w:tcBorders>
              <w:top w:val="single" w:sz="12" w:space="0" w:color="auto"/>
              <w:left w:val="single" w:sz="4" w:space="0" w:color="auto"/>
              <w:bottom w:val="single" w:sz="12" w:space="0" w:color="auto"/>
              <w:right w:val="single" w:sz="4" w:space="0" w:color="auto"/>
            </w:tcBorders>
            <w:shd w:val="clear" w:color="auto" w:fill="auto"/>
            <w:vAlign w:val="center"/>
            <w:hideMark/>
          </w:tcPr>
          <w:p w14:paraId="21535425" w14:textId="77777777" w:rsidR="00B646BB" w:rsidRPr="006070EA" w:rsidRDefault="00B646BB" w:rsidP="00780ACE">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ústí –</w:t>
            </w:r>
          </w:p>
          <w:p w14:paraId="14CFD43B" w14:textId="77777777" w:rsidR="00B646BB" w:rsidRPr="006070EA" w:rsidRDefault="00B646BB" w:rsidP="00780ACE">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Kosořice</w:t>
            </w:r>
          </w:p>
        </w:tc>
        <w:tc>
          <w:tcPr>
            <w:tcW w:w="1134" w:type="dxa"/>
            <w:tcBorders>
              <w:top w:val="single" w:sz="12" w:space="0" w:color="auto"/>
              <w:left w:val="single" w:sz="4" w:space="0" w:color="auto"/>
              <w:bottom w:val="single" w:sz="12" w:space="0" w:color="auto"/>
              <w:right w:val="single" w:sz="4" w:space="0" w:color="auto"/>
            </w:tcBorders>
            <w:shd w:val="clear" w:color="auto" w:fill="auto"/>
            <w:vAlign w:val="center"/>
            <w:hideMark/>
          </w:tcPr>
          <w:p w14:paraId="040D90AD" w14:textId="77777777" w:rsidR="00B646BB" w:rsidRPr="006070EA" w:rsidRDefault="00B646BB" w:rsidP="00780ACE">
            <w:pPr>
              <w:pStyle w:val="Bezmezer"/>
              <w:jc w:val="center"/>
              <w:rPr>
                <w:rFonts w:asciiTheme="majorHAnsi" w:hAnsiTheme="majorHAnsi" w:cstheme="majorHAnsi"/>
                <w:color w:val="000000"/>
                <w:szCs w:val="18"/>
                <w:shd w:val="clear" w:color="auto" w:fill="FFFFFF"/>
                <w:lang w:val="cs-CZ"/>
              </w:rPr>
            </w:pPr>
            <w:r w:rsidRPr="006070EA">
              <w:rPr>
                <w:rFonts w:asciiTheme="majorHAnsi" w:hAnsiTheme="majorHAnsi" w:cstheme="majorHAnsi"/>
                <w:color w:val="000000"/>
                <w:szCs w:val="18"/>
                <w:shd w:val="clear" w:color="auto" w:fill="FFFFFF"/>
                <w:lang w:val="cs-CZ"/>
              </w:rPr>
              <w:t>0.0 říční km</w:t>
            </w:r>
          </w:p>
          <w:p w14:paraId="1773DF48" w14:textId="77777777" w:rsidR="00B646BB" w:rsidRPr="006070EA" w:rsidRDefault="00B646BB" w:rsidP="00780ACE">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- 28.14 říční km</w:t>
            </w:r>
          </w:p>
        </w:tc>
        <w:tc>
          <w:tcPr>
            <w:tcW w:w="850" w:type="dxa"/>
            <w:tcBorders>
              <w:top w:val="single" w:sz="12" w:space="0" w:color="auto"/>
              <w:left w:val="single" w:sz="4" w:space="0" w:color="auto"/>
              <w:bottom w:val="single" w:sz="12" w:space="0" w:color="auto"/>
              <w:right w:val="single" w:sz="4" w:space="0" w:color="auto"/>
            </w:tcBorders>
            <w:shd w:val="clear" w:color="auto" w:fill="auto"/>
            <w:vAlign w:val="center"/>
            <w:hideMark/>
          </w:tcPr>
          <w:p w14:paraId="53497F3F" w14:textId="77777777" w:rsidR="00B646BB" w:rsidRPr="006070EA" w:rsidRDefault="00B646BB" w:rsidP="00780ACE">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28.14 km</w:t>
            </w:r>
          </w:p>
        </w:tc>
        <w:tc>
          <w:tcPr>
            <w:tcW w:w="1134" w:type="dxa"/>
            <w:tcBorders>
              <w:top w:val="single" w:sz="12" w:space="0" w:color="auto"/>
              <w:left w:val="single" w:sz="4" w:space="0" w:color="auto"/>
              <w:bottom w:val="single" w:sz="12" w:space="0" w:color="auto"/>
              <w:right w:val="single" w:sz="4" w:space="0" w:color="auto"/>
            </w:tcBorders>
            <w:shd w:val="clear" w:color="auto" w:fill="auto"/>
            <w:vAlign w:val="center"/>
            <w:hideMark/>
          </w:tcPr>
          <w:p w14:paraId="45A36AEA" w14:textId="77777777" w:rsidR="00B646BB" w:rsidRPr="006070EA" w:rsidRDefault="00B646BB" w:rsidP="00780ACE">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07. 08. 2009</w:t>
            </w:r>
          </w:p>
        </w:tc>
        <w:tc>
          <w:tcPr>
            <w:tcW w:w="1242" w:type="dxa"/>
            <w:tcBorders>
              <w:top w:val="single" w:sz="12" w:space="0" w:color="auto"/>
              <w:left w:val="single" w:sz="4" w:space="0" w:color="auto"/>
              <w:bottom w:val="single" w:sz="12" w:space="0" w:color="auto"/>
              <w:right w:val="nil"/>
            </w:tcBorders>
            <w:shd w:val="clear" w:color="auto" w:fill="auto"/>
            <w:vAlign w:val="center"/>
            <w:hideMark/>
          </w:tcPr>
          <w:p w14:paraId="29497F0E" w14:textId="77777777" w:rsidR="00B646BB" w:rsidRPr="006070EA" w:rsidRDefault="00B646BB" w:rsidP="00780ACE">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04279l2009/KUSK</w:t>
            </w:r>
          </w:p>
        </w:tc>
      </w:tr>
      <w:tr w:rsidR="00B646BB" w:rsidRPr="006070EA" w14:paraId="73A86754" w14:textId="77777777" w:rsidTr="00780ACE">
        <w:trPr>
          <w:trHeight w:val="283"/>
        </w:trPr>
        <w:tc>
          <w:tcPr>
            <w:tcW w:w="1242" w:type="dxa"/>
            <w:tcBorders>
              <w:top w:val="single" w:sz="12" w:space="0" w:color="auto"/>
              <w:left w:val="nil"/>
              <w:bottom w:val="single" w:sz="12" w:space="0" w:color="auto"/>
              <w:right w:val="single" w:sz="4" w:space="0" w:color="auto"/>
            </w:tcBorders>
            <w:shd w:val="clear" w:color="auto" w:fill="auto"/>
            <w:vAlign w:val="center"/>
          </w:tcPr>
          <w:p w14:paraId="1594BBB0" w14:textId="77777777" w:rsidR="00B646BB" w:rsidRPr="006070EA" w:rsidRDefault="00B646BB" w:rsidP="00780ACE">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100000672</w:t>
            </w:r>
          </w:p>
        </w:tc>
        <w:tc>
          <w:tcPr>
            <w:tcW w:w="1560" w:type="dxa"/>
            <w:tcBorders>
              <w:top w:val="single" w:sz="12" w:space="0" w:color="auto"/>
              <w:left w:val="single" w:sz="4" w:space="0" w:color="auto"/>
              <w:bottom w:val="single" w:sz="12" w:space="0" w:color="auto"/>
              <w:right w:val="single" w:sz="4" w:space="0" w:color="auto"/>
            </w:tcBorders>
            <w:shd w:val="clear" w:color="auto" w:fill="auto"/>
            <w:vAlign w:val="center"/>
          </w:tcPr>
          <w:p w14:paraId="05F1051D" w14:textId="77777777" w:rsidR="00B646BB" w:rsidRPr="006070EA" w:rsidRDefault="00B646BB" w:rsidP="00780ACE">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Povodí Labe, s. p</w:t>
            </w:r>
          </w:p>
        </w:tc>
        <w:tc>
          <w:tcPr>
            <w:tcW w:w="992" w:type="dxa"/>
            <w:tcBorders>
              <w:top w:val="single" w:sz="12" w:space="0" w:color="auto"/>
              <w:left w:val="single" w:sz="4" w:space="0" w:color="auto"/>
              <w:bottom w:val="single" w:sz="12" w:space="0" w:color="auto"/>
              <w:right w:val="single" w:sz="4" w:space="0" w:color="auto"/>
            </w:tcBorders>
            <w:shd w:val="clear" w:color="auto" w:fill="auto"/>
            <w:vAlign w:val="center"/>
          </w:tcPr>
          <w:p w14:paraId="0A5DE987" w14:textId="77777777" w:rsidR="00B646BB" w:rsidRPr="006070EA" w:rsidRDefault="00B646BB" w:rsidP="00780ACE">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Vlkava</w:t>
            </w:r>
          </w:p>
        </w:tc>
        <w:tc>
          <w:tcPr>
            <w:tcW w:w="1134" w:type="dxa"/>
            <w:tcBorders>
              <w:top w:val="single" w:sz="12" w:space="0" w:color="auto"/>
              <w:left w:val="single" w:sz="4" w:space="0" w:color="auto"/>
              <w:bottom w:val="single" w:sz="12" w:space="0" w:color="auto"/>
              <w:right w:val="single" w:sz="4" w:space="0" w:color="auto"/>
            </w:tcBorders>
            <w:shd w:val="clear" w:color="auto" w:fill="auto"/>
            <w:vAlign w:val="center"/>
          </w:tcPr>
          <w:p w14:paraId="4FD4982A" w14:textId="77777777" w:rsidR="00B646BB" w:rsidRPr="006070EA" w:rsidRDefault="00B646BB" w:rsidP="00780ACE">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Kostomlaty nad Labem</w:t>
            </w:r>
          </w:p>
        </w:tc>
        <w:tc>
          <w:tcPr>
            <w:tcW w:w="1134" w:type="dxa"/>
            <w:tcBorders>
              <w:top w:val="single" w:sz="12" w:space="0" w:color="auto"/>
              <w:left w:val="single" w:sz="4" w:space="0" w:color="auto"/>
              <w:bottom w:val="single" w:sz="12" w:space="0" w:color="auto"/>
              <w:right w:val="single" w:sz="4" w:space="0" w:color="auto"/>
            </w:tcBorders>
            <w:shd w:val="clear" w:color="auto" w:fill="auto"/>
            <w:vAlign w:val="center"/>
          </w:tcPr>
          <w:p w14:paraId="29DE5EF9" w14:textId="77777777" w:rsidR="00B646BB" w:rsidRPr="006070EA" w:rsidRDefault="00B646BB" w:rsidP="00780ACE">
            <w:pPr>
              <w:pStyle w:val="Bezmezer"/>
              <w:jc w:val="center"/>
              <w:rPr>
                <w:rFonts w:asciiTheme="majorHAnsi" w:hAnsiTheme="majorHAnsi" w:cstheme="majorHAnsi"/>
                <w:color w:val="000000"/>
                <w:szCs w:val="18"/>
                <w:shd w:val="clear" w:color="auto" w:fill="FFFFFF"/>
                <w:lang w:val="cs-CZ"/>
              </w:rPr>
            </w:pPr>
            <w:r w:rsidRPr="006070EA">
              <w:rPr>
                <w:rFonts w:asciiTheme="majorHAnsi" w:hAnsiTheme="majorHAnsi" w:cstheme="majorHAnsi"/>
                <w:color w:val="000000"/>
                <w:szCs w:val="18"/>
                <w:shd w:val="clear" w:color="auto" w:fill="FFFFFF"/>
                <w:lang w:val="cs-CZ"/>
              </w:rPr>
              <w:t>0.9 říční km - 2.845 říční km</w:t>
            </w:r>
          </w:p>
        </w:tc>
        <w:tc>
          <w:tcPr>
            <w:tcW w:w="850" w:type="dxa"/>
            <w:tcBorders>
              <w:top w:val="single" w:sz="12" w:space="0" w:color="auto"/>
              <w:left w:val="single" w:sz="4" w:space="0" w:color="auto"/>
              <w:bottom w:val="single" w:sz="12" w:space="0" w:color="auto"/>
              <w:right w:val="single" w:sz="4" w:space="0" w:color="auto"/>
            </w:tcBorders>
            <w:shd w:val="clear" w:color="auto" w:fill="auto"/>
            <w:vAlign w:val="center"/>
          </w:tcPr>
          <w:p w14:paraId="52EE3685" w14:textId="77777777" w:rsidR="00B646BB" w:rsidRPr="006070EA" w:rsidRDefault="00B646BB" w:rsidP="00780ACE">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1.955 km</w:t>
            </w:r>
          </w:p>
        </w:tc>
        <w:tc>
          <w:tcPr>
            <w:tcW w:w="1134" w:type="dxa"/>
            <w:tcBorders>
              <w:top w:val="single" w:sz="12" w:space="0" w:color="auto"/>
              <w:left w:val="single" w:sz="4" w:space="0" w:color="auto"/>
              <w:bottom w:val="single" w:sz="12" w:space="0" w:color="auto"/>
              <w:right w:val="single" w:sz="4" w:space="0" w:color="auto"/>
            </w:tcBorders>
            <w:shd w:val="clear" w:color="auto" w:fill="auto"/>
            <w:vAlign w:val="center"/>
          </w:tcPr>
          <w:p w14:paraId="17AE71C6" w14:textId="77777777" w:rsidR="00B646BB" w:rsidRPr="006070EA" w:rsidRDefault="00B646BB" w:rsidP="00780ACE">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29 03. 2011</w:t>
            </w:r>
          </w:p>
        </w:tc>
        <w:tc>
          <w:tcPr>
            <w:tcW w:w="1242" w:type="dxa"/>
            <w:tcBorders>
              <w:top w:val="single" w:sz="12" w:space="0" w:color="auto"/>
              <w:left w:val="single" w:sz="4" w:space="0" w:color="auto"/>
              <w:bottom w:val="single" w:sz="12" w:space="0" w:color="auto"/>
              <w:right w:val="nil"/>
            </w:tcBorders>
            <w:shd w:val="clear" w:color="auto" w:fill="auto"/>
            <w:vAlign w:val="center"/>
          </w:tcPr>
          <w:p w14:paraId="1A4F6A29" w14:textId="77777777" w:rsidR="00B646BB" w:rsidRPr="006070EA" w:rsidRDefault="00B646BB" w:rsidP="00780ACE">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034449l20IO/KUSK</w:t>
            </w:r>
          </w:p>
        </w:tc>
      </w:tr>
      <w:tr w:rsidR="00B646BB" w:rsidRPr="006070EA" w14:paraId="73E8B83B" w14:textId="77777777" w:rsidTr="00780ACE">
        <w:trPr>
          <w:trHeight w:val="283"/>
        </w:trPr>
        <w:tc>
          <w:tcPr>
            <w:tcW w:w="1242" w:type="dxa"/>
            <w:tcBorders>
              <w:top w:val="single" w:sz="12" w:space="0" w:color="auto"/>
              <w:left w:val="nil"/>
              <w:bottom w:val="single" w:sz="12" w:space="0" w:color="auto"/>
              <w:right w:val="single" w:sz="4" w:space="0" w:color="auto"/>
            </w:tcBorders>
            <w:shd w:val="clear" w:color="auto" w:fill="auto"/>
            <w:vAlign w:val="center"/>
          </w:tcPr>
          <w:p w14:paraId="1E9109D0" w14:textId="77777777" w:rsidR="00B646BB" w:rsidRPr="006070EA" w:rsidRDefault="00B646BB" w:rsidP="00780ACE">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100001008</w:t>
            </w:r>
          </w:p>
        </w:tc>
        <w:tc>
          <w:tcPr>
            <w:tcW w:w="1560" w:type="dxa"/>
            <w:tcBorders>
              <w:top w:val="single" w:sz="12" w:space="0" w:color="auto"/>
              <w:left w:val="single" w:sz="4" w:space="0" w:color="auto"/>
              <w:bottom w:val="single" w:sz="12" w:space="0" w:color="auto"/>
              <w:right w:val="single" w:sz="4" w:space="0" w:color="auto"/>
            </w:tcBorders>
            <w:shd w:val="clear" w:color="auto" w:fill="auto"/>
            <w:vAlign w:val="center"/>
          </w:tcPr>
          <w:p w14:paraId="3D3233A0" w14:textId="77777777" w:rsidR="00B646BB" w:rsidRPr="006070EA" w:rsidRDefault="00B646BB" w:rsidP="00780ACE">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Povodí Labe, s. p</w:t>
            </w:r>
          </w:p>
        </w:tc>
        <w:tc>
          <w:tcPr>
            <w:tcW w:w="992" w:type="dxa"/>
            <w:tcBorders>
              <w:top w:val="single" w:sz="12" w:space="0" w:color="auto"/>
              <w:left w:val="single" w:sz="4" w:space="0" w:color="auto"/>
              <w:bottom w:val="single" w:sz="12" w:space="0" w:color="auto"/>
              <w:right w:val="single" w:sz="4" w:space="0" w:color="auto"/>
            </w:tcBorders>
            <w:shd w:val="clear" w:color="auto" w:fill="auto"/>
            <w:vAlign w:val="center"/>
          </w:tcPr>
          <w:p w14:paraId="49F34A68" w14:textId="77777777" w:rsidR="00B646BB" w:rsidRPr="006070EA" w:rsidRDefault="00B646BB" w:rsidP="00780ACE">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Labe</w:t>
            </w:r>
          </w:p>
        </w:tc>
        <w:tc>
          <w:tcPr>
            <w:tcW w:w="1134" w:type="dxa"/>
            <w:tcBorders>
              <w:top w:val="single" w:sz="12" w:space="0" w:color="auto"/>
              <w:left w:val="single" w:sz="4" w:space="0" w:color="auto"/>
              <w:bottom w:val="single" w:sz="12" w:space="0" w:color="auto"/>
              <w:right w:val="single" w:sz="4" w:space="0" w:color="auto"/>
            </w:tcBorders>
            <w:shd w:val="clear" w:color="auto" w:fill="auto"/>
            <w:vAlign w:val="center"/>
          </w:tcPr>
          <w:p w14:paraId="157A43FC" w14:textId="77777777" w:rsidR="00B646BB" w:rsidRPr="006070EA" w:rsidRDefault="00B646BB" w:rsidP="00780ACE">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Labe Středočeský kraj</w:t>
            </w:r>
          </w:p>
        </w:tc>
        <w:tc>
          <w:tcPr>
            <w:tcW w:w="1134" w:type="dxa"/>
            <w:tcBorders>
              <w:top w:val="single" w:sz="12" w:space="0" w:color="auto"/>
              <w:left w:val="single" w:sz="4" w:space="0" w:color="auto"/>
              <w:bottom w:val="single" w:sz="12" w:space="0" w:color="auto"/>
              <w:right w:val="single" w:sz="4" w:space="0" w:color="auto"/>
            </w:tcBorders>
            <w:shd w:val="clear" w:color="auto" w:fill="auto"/>
            <w:vAlign w:val="center"/>
          </w:tcPr>
          <w:p w14:paraId="0E8EE9F9" w14:textId="77777777" w:rsidR="00B646BB" w:rsidRPr="006070EA" w:rsidRDefault="00B646BB" w:rsidP="00780ACE">
            <w:pPr>
              <w:pStyle w:val="Bezmezer"/>
              <w:jc w:val="center"/>
              <w:rPr>
                <w:rFonts w:asciiTheme="majorHAnsi" w:hAnsiTheme="majorHAnsi" w:cstheme="majorHAnsi"/>
                <w:color w:val="000000"/>
                <w:szCs w:val="18"/>
                <w:shd w:val="clear" w:color="auto" w:fill="FFFFFF"/>
                <w:lang w:val="cs-CZ"/>
              </w:rPr>
            </w:pPr>
            <w:r w:rsidRPr="006070EA">
              <w:rPr>
                <w:rFonts w:asciiTheme="majorHAnsi" w:hAnsiTheme="majorHAnsi" w:cstheme="majorHAnsi"/>
                <w:color w:val="000000"/>
                <w:szCs w:val="18"/>
                <w:shd w:val="clear" w:color="auto" w:fill="FFFFFF"/>
                <w:lang w:val="cs-CZ"/>
              </w:rPr>
              <w:t>826.613 říční km - 935.713 říční km</w:t>
            </w:r>
          </w:p>
        </w:tc>
        <w:tc>
          <w:tcPr>
            <w:tcW w:w="850" w:type="dxa"/>
            <w:tcBorders>
              <w:top w:val="single" w:sz="12" w:space="0" w:color="auto"/>
              <w:left w:val="single" w:sz="4" w:space="0" w:color="auto"/>
              <w:bottom w:val="single" w:sz="12" w:space="0" w:color="auto"/>
              <w:right w:val="single" w:sz="4" w:space="0" w:color="auto"/>
            </w:tcBorders>
            <w:shd w:val="clear" w:color="auto" w:fill="auto"/>
            <w:vAlign w:val="center"/>
          </w:tcPr>
          <w:p w14:paraId="1BB2BD9E" w14:textId="77777777" w:rsidR="00B646BB" w:rsidRPr="006070EA" w:rsidRDefault="00B646BB" w:rsidP="00780ACE">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109.1 km</w:t>
            </w:r>
          </w:p>
        </w:tc>
        <w:tc>
          <w:tcPr>
            <w:tcW w:w="1134" w:type="dxa"/>
            <w:tcBorders>
              <w:top w:val="single" w:sz="12" w:space="0" w:color="auto"/>
              <w:left w:val="single" w:sz="4" w:space="0" w:color="auto"/>
              <w:bottom w:val="single" w:sz="12" w:space="0" w:color="auto"/>
              <w:right w:val="single" w:sz="4" w:space="0" w:color="auto"/>
            </w:tcBorders>
            <w:shd w:val="clear" w:color="auto" w:fill="auto"/>
            <w:vAlign w:val="center"/>
          </w:tcPr>
          <w:p w14:paraId="332106CE" w14:textId="77777777" w:rsidR="00B646BB" w:rsidRPr="006070EA" w:rsidRDefault="00B646BB" w:rsidP="00780ACE">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28. 05. 2015</w:t>
            </w:r>
          </w:p>
        </w:tc>
        <w:tc>
          <w:tcPr>
            <w:tcW w:w="1242" w:type="dxa"/>
            <w:tcBorders>
              <w:top w:val="single" w:sz="12" w:space="0" w:color="auto"/>
              <w:left w:val="single" w:sz="4" w:space="0" w:color="auto"/>
              <w:bottom w:val="single" w:sz="12" w:space="0" w:color="auto"/>
              <w:right w:val="nil"/>
            </w:tcBorders>
            <w:shd w:val="clear" w:color="auto" w:fill="auto"/>
            <w:vAlign w:val="center"/>
          </w:tcPr>
          <w:p w14:paraId="150ECD5A" w14:textId="77777777" w:rsidR="00B646BB" w:rsidRPr="006070EA" w:rsidRDefault="00B646BB" w:rsidP="00780ACE">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073794/2015/KUSK</w:t>
            </w:r>
          </w:p>
        </w:tc>
      </w:tr>
      <w:tr w:rsidR="00B646BB" w:rsidRPr="006070EA" w14:paraId="56531F29" w14:textId="77777777" w:rsidTr="00780ACE">
        <w:trPr>
          <w:trHeight w:val="283"/>
        </w:trPr>
        <w:tc>
          <w:tcPr>
            <w:tcW w:w="1242" w:type="dxa"/>
            <w:tcBorders>
              <w:top w:val="single" w:sz="12" w:space="0" w:color="auto"/>
              <w:left w:val="nil"/>
              <w:bottom w:val="nil"/>
              <w:right w:val="single" w:sz="4" w:space="0" w:color="auto"/>
            </w:tcBorders>
            <w:shd w:val="clear" w:color="auto" w:fill="auto"/>
            <w:vAlign w:val="center"/>
          </w:tcPr>
          <w:p w14:paraId="41F094A9" w14:textId="77777777" w:rsidR="00B646BB" w:rsidRPr="006070EA" w:rsidRDefault="00B646BB" w:rsidP="00780ACE">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100001045</w:t>
            </w:r>
          </w:p>
        </w:tc>
        <w:tc>
          <w:tcPr>
            <w:tcW w:w="1560" w:type="dxa"/>
            <w:tcBorders>
              <w:top w:val="single" w:sz="12" w:space="0" w:color="auto"/>
              <w:left w:val="single" w:sz="4" w:space="0" w:color="auto"/>
              <w:bottom w:val="nil"/>
              <w:right w:val="single" w:sz="4" w:space="0" w:color="auto"/>
            </w:tcBorders>
            <w:shd w:val="clear" w:color="auto" w:fill="auto"/>
            <w:vAlign w:val="center"/>
          </w:tcPr>
          <w:p w14:paraId="45840085" w14:textId="77777777" w:rsidR="00B646BB" w:rsidRPr="006070EA" w:rsidRDefault="00B646BB" w:rsidP="00780ACE">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Povodí Labe, s. p</w:t>
            </w:r>
          </w:p>
        </w:tc>
        <w:tc>
          <w:tcPr>
            <w:tcW w:w="992" w:type="dxa"/>
            <w:tcBorders>
              <w:top w:val="single" w:sz="12" w:space="0" w:color="auto"/>
              <w:left w:val="single" w:sz="4" w:space="0" w:color="auto"/>
              <w:bottom w:val="nil"/>
              <w:right w:val="single" w:sz="4" w:space="0" w:color="auto"/>
            </w:tcBorders>
            <w:shd w:val="clear" w:color="auto" w:fill="auto"/>
            <w:vAlign w:val="center"/>
          </w:tcPr>
          <w:p w14:paraId="7414C215" w14:textId="77777777" w:rsidR="00B646BB" w:rsidRPr="006070EA" w:rsidRDefault="00B646BB" w:rsidP="00780ACE">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Vlkava</w:t>
            </w:r>
          </w:p>
        </w:tc>
        <w:tc>
          <w:tcPr>
            <w:tcW w:w="1134" w:type="dxa"/>
            <w:tcBorders>
              <w:top w:val="single" w:sz="12" w:space="0" w:color="auto"/>
              <w:left w:val="single" w:sz="4" w:space="0" w:color="auto"/>
              <w:bottom w:val="nil"/>
              <w:right w:val="single" w:sz="4" w:space="0" w:color="auto"/>
            </w:tcBorders>
            <w:shd w:val="clear" w:color="auto" w:fill="auto"/>
            <w:vAlign w:val="center"/>
          </w:tcPr>
          <w:p w14:paraId="5B66A2AD" w14:textId="7717DA0C" w:rsidR="00B646BB" w:rsidRPr="006070EA" w:rsidRDefault="00B646BB" w:rsidP="00780ACE">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 xml:space="preserve">Hronětice </w:t>
            </w:r>
            <w:r w:rsidR="006C7149" w:rsidRPr="006070EA">
              <w:rPr>
                <w:rFonts w:asciiTheme="majorHAnsi" w:hAnsiTheme="majorHAnsi" w:cstheme="majorHAnsi"/>
                <w:color w:val="000000"/>
                <w:szCs w:val="18"/>
                <w:lang w:val="cs-CZ"/>
              </w:rPr>
              <w:t>–</w:t>
            </w:r>
            <w:r w:rsidRPr="006070EA">
              <w:rPr>
                <w:rFonts w:asciiTheme="majorHAnsi" w:hAnsiTheme="majorHAnsi" w:cstheme="majorHAnsi"/>
                <w:color w:val="000000"/>
                <w:szCs w:val="18"/>
                <w:lang w:val="cs-CZ"/>
              </w:rPr>
              <w:t xml:space="preserve"> Zbožíčko</w:t>
            </w:r>
          </w:p>
        </w:tc>
        <w:tc>
          <w:tcPr>
            <w:tcW w:w="1134" w:type="dxa"/>
            <w:tcBorders>
              <w:top w:val="single" w:sz="12" w:space="0" w:color="auto"/>
              <w:left w:val="single" w:sz="4" w:space="0" w:color="auto"/>
              <w:bottom w:val="nil"/>
              <w:right w:val="single" w:sz="4" w:space="0" w:color="auto"/>
            </w:tcBorders>
            <w:shd w:val="clear" w:color="auto" w:fill="auto"/>
            <w:vAlign w:val="center"/>
          </w:tcPr>
          <w:p w14:paraId="0B7BBB37" w14:textId="77777777" w:rsidR="00B646BB" w:rsidRPr="006070EA" w:rsidRDefault="00B646BB" w:rsidP="00780ACE">
            <w:pPr>
              <w:pStyle w:val="Bezmezer"/>
              <w:jc w:val="center"/>
              <w:rPr>
                <w:rFonts w:asciiTheme="majorHAnsi" w:hAnsiTheme="majorHAnsi" w:cstheme="majorHAnsi"/>
                <w:color w:val="000000"/>
                <w:szCs w:val="18"/>
                <w:shd w:val="clear" w:color="auto" w:fill="FFFFFF"/>
                <w:lang w:val="cs-CZ"/>
              </w:rPr>
            </w:pPr>
            <w:r w:rsidRPr="006070EA">
              <w:rPr>
                <w:rFonts w:asciiTheme="majorHAnsi" w:hAnsiTheme="majorHAnsi" w:cstheme="majorHAnsi"/>
                <w:color w:val="000000"/>
                <w:szCs w:val="18"/>
                <w:shd w:val="clear" w:color="auto" w:fill="FFFFFF"/>
                <w:lang w:val="cs-CZ"/>
              </w:rPr>
              <w:t>8.956 říční km - 9.377 říční km</w:t>
            </w:r>
          </w:p>
        </w:tc>
        <w:tc>
          <w:tcPr>
            <w:tcW w:w="850" w:type="dxa"/>
            <w:tcBorders>
              <w:top w:val="single" w:sz="12" w:space="0" w:color="auto"/>
              <w:left w:val="single" w:sz="4" w:space="0" w:color="auto"/>
              <w:bottom w:val="nil"/>
              <w:right w:val="single" w:sz="4" w:space="0" w:color="auto"/>
            </w:tcBorders>
            <w:shd w:val="clear" w:color="auto" w:fill="auto"/>
            <w:vAlign w:val="center"/>
          </w:tcPr>
          <w:p w14:paraId="24C9E3D4" w14:textId="77777777" w:rsidR="00B646BB" w:rsidRPr="006070EA" w:rsidRDefault="00B646BB" w:rsidP="00780ACE">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0,421 km</w:t>
            </w:r>
          </w:p>
        </w:tc>
        <w:tc>
          <w:tcPr>
            <w:tcW w:w="1134" w:type="dxa"/>
            <w:tcBorders>
              <w:top w:val="single" w:sz="12" w:space="0" w:color="auto"/>
              <w:left w:val="single" w:sz="4" w:space="0" w:color="auto"/>
              <w:bottom w:val="nil"/>
              <w:right w:val="single" w:sz="4" w:space="0" w:color="auto"/>
            </w:tcBorders>
            <w:shd w:val="clear" w:color="auto" w:fill="auto"/>
            <w:vAlign w:val="center"/>
          </w:tcPr>
          <w:p w14:paraId="7036145A" w14:textId="77777777" w:rsidR="00B646BB" w:rsidRPr="006070EA" w:rsidRDefault="00B646BB" w:rsidP="00780ACE">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22. 04. 2016</w:t>
            </w:r>
          </w:p>
        </w:tc>
        <w:tc>
          <w:tcPr>
            <w:tcW w:w="1242" w:type="dxa"/>
            <w:tcBorders>
              <w:top w:val="single" w:sz="12" w:space="0" w:color="auto"/>
              <w:left w:val="single" w:sz="4" w:space="0" w:color="auto"/>
              <w:bottom w:val="nil"/>
              <w:right w:val="nil"/>
            </w:tcBorders>
            <w:shd w:val="clear" w:color="auto" w:fill="auto"/>
            <w:vAlign w:val="center"/>
          </w:tcPr>
          <w:p w14:paraId="65B7C6D1" w14:textId="77777777" w:rsidR="00B646BB" w:rsidRPr="006070EA" w:rsidRDefault="00B646BB" w:rsidP="00780ACE">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061837/2016/KUSK/5</w:t>
            </w:r>
          </w:p>
        </w:tc>
      </w:tr>
    </w:tbl>
    <w:p w14:paraId="574FC47A" w14:textId="79BEAE66" w:rsidR="00013569" w:rsidRPr="006070EA" w:rsidRDefault="00013569" w:rsidP="009E07E1">
      <w:pPr>
        <w:pStyle w:val="Atext"/>
        <w:keepNext/>
        <w:ind w:firstLine="0"/>
        <w:jc w:val="right"/>
        <w:rPr>
          <w:rFonts w:asciiTheme="majorHAnsi" w:hAnsiTheme="majorHAnsi" w:cstheme="majorHAnsi"/>
          <w:i/>
          <w:snapToGrid w:val="0"/>
          <w:u w:val="single"/>
        </w:rPr>
      </w:pPr>
      <w:r w:rsidRPr="006070EA">
        <w:rPr>
          <w:rFonts w:asciiTheme="majorHAnsi" w:hAnsiTheme="majorHAnsi" w:cstheme="majorHAnsi"/>
          <w:i/>
          <w:snapToGrid w:val="0"/>
          <w:u w:val="single"/>
        </w:rPr>
        <w:t xml:space="preserve">Odůvodnění odst. </w:t>
      </w:r>
      <w:r w:rsidRPr="006070EA">
        <w:rPr>
          <w:rFonts w:asciiTheme="majorHAnsi" w:hAnsiTheme="majorHAnsi" w:cstheme="majorHAnsi"/>
          <w:b/>
          <w:i/>
          <w:snapToGrid w:val="0"/>
          <w:u w:val="single"/>
        </w:rPr>
        <w:t>(</w:t>
      </w:r>
      <w:r w:rsidR="00780ACE" w:rsidRPr="006070EA">
        <w:rPr>
          <w:rFonts w:asciiTheme="majorHAnsi" w:hAnsiTheme="majorHAnsi" w:cstheme="majorHAnsi"/>
          <w:b/>
          <w:i/>
          <w:snapToGrid w:val="0"/>
          <w:u w:val="single"/>
        </w:rPr>
        <w:t>5</w:t>
      </w:r>
      <w:r w:rsidR="0021590A">
        <w:rPr>
          <w:rFonts w:asciiTheme="majorHAnsi" w:hAnsiTheme="majorHAnsi" w:cstheme="majorHAnsi"/>
          <w:b/>
          <w:i/>
          <w:snapToGrid w:val="0"/>
          <w:u w:val="single"/>
        </w:rPr>
        <w:t>5</w:t>
      </w:r>
      <w:r w:rsidRPr="006070EA">
        <w:rPr>
          <w:rFonts w:asciiTheme="majorHAnsi" w:hAnsiTheme="majorHAnsi" w:cstheme="majorHAnsi"/>
          <w:b/>
          <w:i/>
          <w:snapToGrid w:val="0"/>
          <w:u w:val="single"/>
        </w:rPr>
        <w:t>)</w:t>
      </w:r>
      <w:r w:rsidR="00780ACE" w:rsidRPr="006070EA">
        <w:rPr>
          <w:rFonts w:asciiTheme="majorHAnsi" w:hAnsiTheme="majorHAnsi" w:cstheme="majorHAnsi"/>
          <w:b/>
          <w:i/>
          <w:snapToGrid w:val="0"/>
          <w:u w:val="single"/>
        </w:rPr>
        <w:t xml:space="preserve"> </w:t>
      </w:r>
      <w:r w:rsidR="00780ACE" w:rsidRPr="006070EA">
        <w:rPr>
          <w:rFonts w:asciiTheme="majorHAnsi" w:hAnsiTheme="majorHAnsi" w:cstheme="majorHAnsi"/>
          <w:bCs w:val="0"/>
          <w:i/>
          <w:snapToGrid w:val="0"/>
          <w:u w:val="single"/>
        </w:rPr>
        <w:t>a</w:t>
      </w:r>
      <w:r w:rsidR="00780ACE" w:rsidRPr="006070EA">
        <w:rPr>
          <w:rFonts w:asciiTheme="majorHAnsi" w:hAnsiTheme="majorHAnsi" w:cstheme="majorHAnsi"/>
          <w:b/>
          <w:i/>
          <w:snapToGrid w:val="0"/>
          <w:u w:val="single"/>
        </w:rPr>
        <w:t xml:space="preserve"> (5</w:t>
      </w:r>
      <w:r w:rsidR="0021590A">
        <w:rPr>
          <w:rFonts w:asciiTheme="majorHAnsi" w:hAnsiTheme="majorHAnsi" w:cstheme="majorHAnsi"/>
          <w:b/>
          <w:i/>
          <w:snapToGrid w:val="0"/>
          <w:u w:val="single"/>
        </w:rPr>
        <w:t>6</w:t>
      </w:r>
      <w:r w:rsidR="00780ACE" w:rsidRPr="006070EA">
        <w:rPr>
          <w:rFonts w:asciiTheme="majorHAnsi" w:hAnsiTheme="majorHAnsi" w:cstheme="majorHAnsi"/>
          <w:b/>
          <w:i/>
          <w:snapToGrid w:val="0"/>
          <w:u w:val="single"/>
        </w:rPr>
        <w:t>)</w:t>
      </w:r>
      <w:r w:rsidRPr="006070EA">
        <w:rPr>
          <w:rFonts w:asciiTheme="majorHAnsi" w:hAnsiTheme="majorHAnsi" w:cstheme="majorHAnsi"/>
          <w:i/>
          <w:snapToGrid w:val="0"/>
          <w:u w:val="single"/>
        </w:rPr>
        <w:t xml:space="preserve"> výrokové části</w:t>
      </w:r>
    </w:p>
    <w:p w14:paraId="2A314FCB" w14:textId="1B9A9B2C" w:rsidR="00C77A77" w:rsidRPr="006070EA" w:rsidRDefault="00013569" w:rsidP="009E07E1">
      <w:pPr>
        <w:spacing w:before="60" w:after="0" w:line="240" w:lineRule="auto"/>
        <w:ind w:firstLine="709"/>
        <w:jc w:val="both"/>
        <w:rPr>
          <w:rFonts w:asciiTheme="majorHAnsi" w:hAnsiTheme="majorHAnsi" w:cstheme="majorHAnsi"/>
          <w:sz w:val="18"/>
        </w:rPr>
      </w:pPr>
      <w:r w:rsidRPr="006070EA">
        <w:rPr>
          <w:rFonts w:asciiTheme="majorHAnsi" w:hAnsiTheme="majorHAnsi" w:cstheme="majorHAnsi"/>
          <w:sz w:val="18"/>
        </w:rPr>
        <w:t xml:space="preserve">Realizaci protipovodňových opatření explicitně umožňují stanovené podmínky využití ploch s rozdílným způsobem využití, </w:t>
      </w:r>
      <w:r w:rsidR="00C77A77" w:rsidRPr="006070EA">
        <w:rPr>
          <w:rFonts w:asciiTheme="majorHAnsi" w:hAnsiTheme="majorHAnsi" w:cstheme="majorHAnsi"/>
          <w:sz w:val="18"/>
        </w:rPr>
        <w:t>např</w:t>
      </w:r>
      <w:r w:rsidRPr="006070EA">
        <w:rPr>
          <w:rFonts w:asciiTheme="majorHAnsi" w:hAnsiTheme="majorHAnsi" w:cstheme="majorHAnsi"/>
          <w:sz w:val="18"/>
        </w:rPr>
        <w:t xml:space="preserve">. </w:t>
      </w:r>
      <w:r w:rsidRPr="006070EA">
        <w:rPr>
          <w:rFonts w:asciiTheme="majorHAnsi" w:hAnsiTheme="majorHAnsi" w:cstheme="majorHAnsi"/>
          <w:i/>
          <w:sz w:val="18"/>
        </w:rPr>
        <w:t>vodní a vodohospodářské</w:t>
      </w:r>
      <w:r w:rsidR="006C7149" w:rsidRPr="006070EA">
        <w:rPr>
          <w:rFonts w:asciiTheme="majorHAnsi" w:hAnsiTheme="majorHAnsi" w:cstheme="majorHAnsi"/>
          <w:sz w:val="18"/>
        </w:rPr>
        <w:t xml:space="preserve"> </w:t>
      </w:r>
      <w:r w:rsidR="006C7149" w:rsidRPr="006070EA">
        <w:rPr>
          <w:rFonts w:asciiTheme="majorHAnsi" w:hAnsiTheme="majorHAnsi" w:cstheme="majorHAnsi"/>
          <w:i/>
          <w:iCs/>
          <w:sz w:val="18"/>
        </w:rPr>
        <w:t>všeobecné</w:t>
      </w:r>
      <w:r w:rsidR="006C7149" w:rsidRPr="006070EA">
        <w:rPr>
          <w:rFonts w:asciiTheme="majorHAnsi" w:hAnsiTheme="majorHAnsi" w:cstheme="majorHAnsi"/>
          <w:sz w:val="18"/>
        </w:rPr>
        <w:t xml:space="preserve"> </w:t>
      </w:r>
      <w:r w:rsidRPr="006070EA">
        <w:rPr>
          <w:rFonts w:asciiTheme="majorHAnsi" w:hAnsiTheme="majorHAnsi" w:cstheme="majorHAnsi"/>
          <w:sz w:val="18"/>
        </w:rPr>
        <w:t>(W</w:t>
      </w:r>
      <w:r w:rsidR="006C7149" w:rsidRPr="006070EA">
        <w:rPr>
          <w:rFonts w:asciiTheme="majorHAnsi" w:hAnsiTheme="majorHAnsi" w:cstheme="majorHAnsi"/>
          <w:sz w:val="18"/>
        </w:rPr>
        <w:t>U</w:t>
      </w:r>
      <w:r w:rsidRPr="006070EA">
        <w:rPr>
          <w:rFonts w:asciiTheme="majorHAnsi" w:hAnsiTheme="majorHAnsi" w:cstheme="majorHAnsi"/>
          <w:sz w:val="18"/>
        </w:rPr>
        <w:t>),</w:t>
      </w:r>
      <w:r w:rsidR="00C77A77" w:rsidRPr="006070EA">
        <w:rPr>
          <w:rFonts w:asciiTheme="majorHAnsi" w:hAnsiTheme="majorHAnsi" w:cstheme="majorHAnsi"/>
          <w:sz w:val="18"/>
        </w:rPr>
        <w:t xml:space="preserve"> </w:t>
      </w:r>
      <w:r w:rsidR="00C77A77" w:rsidRPr="006070EA">
        <w:rPr>
          <w:rFonts w:asciiTheme="majorHAnsi" w:hAnsiTheme="majorHAnsi" w:cstheme="majorHAnsi"/>
          <w:i/>
          <w:sz w:val="18"/>
        </w:rPr>
        <w:t>zemědělské</w:t>
      </w:r>
      <w:r w:rsidR="00C77A77" w:rsidRPr="006070EA">
        <w:rPr>
          <w:rFonts w:asciiTheme="majorHAnsi" w:hAnsiTheme="majorHAnsi" w:cstheme="majorHAnsi"/>
          <w:sz w:val="18"/>
        </w:rPr>
        <w:t xml:space="preserve"> </w:t>
      </w:r>
      <w:r w:rsidR="006C7149" w:rsidRPr="006070EA">
        <w:rPr>
          <w:rFonts w:asciiTheme="majorHAnsi" w:hAnsiTheme="majorHAnsi" w:cstheme="majorHAnsi"/>
          <w:i/>
          <w:iCs/>
          <w:sz w:val="18"/>
        </w:rPr>
        <w:t>všeobecné</w:t>
      </w:r>
      <w:r w:rsidR="006C7149" w:rsidRPr="006070EA">
        <w:rPr>
          <w:rFonts w:asciiTheme="majorHAnsi" w:hAnsiTheme="majorHAnsi" w:cstheme="majorHAnsi"/>
          <w:sz w:val="18"/>
        </w:rPr>
        <w:t xml:space="preserve"> </w:t>
      </w:r>
      <w:r w:rsidR="00C77A77" w:rsidRPr="006070EA">
        <w:rPr>
          <w:rFonts w:asciiTheme="majorHAnsi" w:hAnsiTheme="majorHAnsi" w:cstheme="majorHAnsi"/>
          <w:sz w:val="18"/>
        </w:rPr>
        <w:t>(</w:t>
      </w:r>
      <w:r w:rsidR="006C7149" w:rsidRPr="006070EA">
        <w:rPr>
          <w:rFonts w:asciiTheme="majorHAnsi" w:hAnsiTheme="majorHAnsi" w:cstheme="majorHAnsi"/>
          <w:sz w:val="18"/>
        </w:rPr>
        <w:t>AU</w:t>
      </w:r>
      <w:r w:rsidR="00C77A77" w:rsidRPr="006070EA">
        <w:rPr>
          <w:rFonts w:asciiTheme="majorHAnsi" w:hAnsiTheme="majorHAnsi" w:cstheme="majorHAnsi"/>
          <w:sz w:val="18"/>
        </w:rPr>
        <w:t>)</w:t>
      </w:r>
      <w:r w:rsidR="006C7149" w:rsidRPr="006070EA">
        <w:rPr>
          <w:rFonts w:asciiTheme="majorHAnsi" w:hAnsiTheme="majorHAnsi" w:cstheme="majorHAnsi"/>
          <w:sz w:val="18"/>
        </w:rPr>
        <w:t>,</w:t>
      </w:r>
      <w:r w:rsidRPr="006070EA">
        <w:rPr>
          <w:rFonts w:asciiTheme="majorHAnsi" w:hAnsiTheme="majorHAnsi" w:cstheme="majorHAnsi"/>
          <w:sz w:val="18"/>
        </w:rPr>
        <w:t xml:space="preserve"> </w:t>
      </w:r>
      <w:r w:rsidRPr="006070EA">
        <w:rPr>
          <w:rFonts w:asciiTheme="majorHAnsi" w:hAnsiTheme="majorHAnsi" w:cstheme="majorHAnsi"/>
          <w:i/>
          <w:sz w:val="18"/>
        </w:rPr>
        <w:t>smíšené nezastavěného území</w:t>
      </w:r>
      <w:r w:rsidRPr="006070EA">
        <w:rPr>
          <w:rFonts w:asciiTheme="majorHAnsi" w:hAnsiTheme="majorHAnsi" w:cstheme="majorHAnsi"/>
          <w:sz w:val="18"/>
        </w:rPr>
        <w:t xml:space="preserve"> (</w:t>
      </w:r>
      <w:r w:rsidR="006C7149" w:rsidRPr="006070EA">
        <w:rPr>
          <w:rFonts w:asciiTheme="majorHAnsi" w:hAnsiTheme="majorHAnsi" w:cstheme="majorHAnsi"/>
          <w:sz w:val="18"/>
        </w:rPr>
        <w:t>MU.zp</w:t>
      </w:r>
      <w:r w:rsidR="00780ACE" w:rsidRPr="006070EA">
        <w:rPr>
          <w:rFonts w:asciiTheme="majorHAnsi" w:hAnsiTheme="majorHAnsi" w:cstheme="majorHAnsi"/>
          <w:sz w:val="18"/>
        </w:rPr>
        <w:t xml:space="preserve">, </w:t>
      </w:r>
      <w:r w:rsidR="006C7149" w:rsidRPr="006070EA">
        <w:rPr>
          <w:rFonts w:asciiTheme="majorHAnsi" w:hAnsiTheme="majorHAnsi" w:cstheme="majorHAnsi"/>
          <w:sz w:val="18"/>
        </w:rPr>
        <w:t>MU.r</w:t>
      </w:r>
      <w:r w:rsidR="00780ACE" w:rsidRPr="006070EA">
        <w:rPr>
          <w:rFonts w:asciiTheme="majorHAnsi" w:hAnsiTheme="majorHAnsi" w:cstheme="majorHAnsi"/>
          <w:sz w:val="18"/>
        </w:rPr>
        <w:t xml:space="preserve">, </w:t>
      </w:r>
      <w:r w:rsidR="006C7149" w:rsidRPr="006070EA">
        <w:rPr>
          <w:rFonts w:asciiTheme="majorHAnsi" w:hAnsiTheme="majorHAnsi" w:cstheme="majorHAnsi"/>
          <w:sz w:val="18"/>
        </w:rPr>
        <w:t>MU.s</w:t>
      </w:r>
      <w:r w:rsidRPr="006070EA">
        <w:rPr>
          <w:rFonts w:asciiTheme="majorHAnsi" w:hAnsiTheme="majorHAnsi" w:cstheme="majorHAnsi"/>
          <w:sz w:val="18"/>
        </w:rPr>
        <w:t xml:space="preserve">). </w:t>
      </w:r>
    </w:p>
    <w:p w14:paraId="2DCDC283" w14:textId="77777777" w:rsidR="00780ACE" w:rsidRPr="006070EA" w:rsidRDefault="00780ACE" w:rsidP="00780ACE">
      <w:pPr>
        <w:spacing w:before="60" w:after="0" w:line="240" w:lineRule="auto"/>
        <w:ind w:firstLine="709"/>
        <w:jc w:val="both"/>
        <w:rPr>
          <w:rFonts w:asciiTheme="majorHAnsi" w:hAnsiTheme="majorHAnsi" w:cstheme="majorHAnsi"/>
          <w:sz w:val="18"/>
        </w:rPr>
      </w:pPr>
      <w:r w:rsidRPr="006070EA">
        <w:rPr>
          <w:rFonts w:asciiTheme="majorHAnsi" w:hAnsiTheme="majorHAnsi" w:cstheme="majorHAnsi"/>
          <w:sz w:val="18"/>
        </w:rPr>
        <w:t>Stanovení podmínek využití pro všechny plochy vymezené v nezastavěném území je dostatečně široké, aby umožnilo realizaci dalších opatření v krajině (výstavba suchých poldrů, vodních nádrží, rybníků, tůní, revitalizace vodních toků, změny rostlinného pokryvu, zatravňování a zalesňování břehů a přirozených inundací, tvorba protierozních mezí a vegetačních pásů a další opatření prováděné za účelem zachycení vody v povodí a zpomalení jejího odtoku). ÚP tímto vytváří podmínky pro realizaci protipovodňových opatření, jejichž konkrétní řešení je mimo měřítko ÚP a je nezbytné je upřesnit v rámci navazujících řízení a v podrobnějších dokumentacích či podkladech (opatření krajského povodňového plánu, studie odtokových poměrů apod.) s ohledem na podrobné podmínky a požadavky v území.</w:t>
      </w:r>
    </w:p>
    <w:p w14:paraId="3ABB8E63" w14:textId="6DDEAB7A" w:rsidR="00780ACE" w:rsidRPr="006070EA" w:rsidRDefault="00780ACE" w:rsidP="00780ACE">
      <w:pPr>
        <w:spacing w:before="60" w:after="0" w:line="240" w:lineRule="auto"/>
        <w:ind w:firstLine="709"/>
        <w:jc w:val="both"/>
        <w:rPr>
          <w:rFonts w:asciiTheme="majorHAnsi" w:hAnsiTheme="majorHAnsi" w:cstheme="majorHAnsi"/>
          <w:sz w:val="18"/>
        </w:rPr>
      </w:pPr>
      <w:r w:rsidRPr="006070EA">
        <w:rPr>
          <w:rFonts w:asciiTheme="majorHAnsi" w:hAnsiTheme="majorHAnsi" w:cstheme="majorHAnsi"/>
          <w:sz w:val="18"/>
        </w:rPr>
        <w:t>Stanoveny jsou obecné zásady vycházející z obecné znalosti problematiky a její aplikace s ohledem na konkrétní podmínky v území, a dále zejména z podkladu Strategie ochrany před povodněmi pro území České republiky (2000), Koncepce řešení problematiky ochrany před povodněmi v České republice s využitím technických a přírodě blízkých opatření v období (Ministerstvo zemědělství, Ministerstvo životního prostředí ČR, 2010) a z dalších oborových podkladů.</w:t>
      </w:r>
    </w:p>
    <w:p w14:paraId="48523253" w14:textId="77777777" w:rsidR="00780ACE" w:rsidRPr="006070EA" w:rsidRDefault="00780ACE" w:rsidP="00780ACE">
      <w:pPr>
        <w:spacing w:before="60" w:after="0" w:line="240" w:lineRule="auto"/>
        <w:ind w:firstLine="709"/>
        <w:jc w:val="both"/>
        <w:rPr>
          <w:rFonts w:asciiTheme="majorHAnsi" w:hAnsiTheme="majorHAnsi" w:cstheme="majorHAnsi"/>
          <w:sz w:val="18"/>
        </w:rPr>
      </w:pPr>
      <w:r w:rsidRPr="006070EA">
        <w:rPr>
          <w:rFonts w:asciiTheme="majorHAnsi" w:hAnsiTheme="majorHAnsi" w:cstheme="majorHAnsi"/>
          <w:sz w:val="18"/>
        </w:rPr>
        <w:t>Obecné zásady protipovodňové ochrany jsou na základě uvedených podkladů založeny na zvyšování retenční schopnosti krajiny a na umožnění realizace dílčích opatření zejména přírodního charakteru. Důvodem stanovení zásad je ochrana urbanizovaného území před záplavami a nežádoucími rozlivy vodních toků a vytvoření podmínek pro realizaci staveb a opatření protipovodňové ochrany. Veškeré stavby a činnosti v záplavovém území podléhají souhlasu vodoprávního úřadu podle § 17 zákona č. 254/2001 Sb., o vodách a o změně některých zákonů (vodní zákon), ve znění pozdějších předpisů.</w:t>
      </w:r>
    </w:p>
    <w:p w14:paraId="5D9A13E7" w14:textId="77777777" w:rsidR="00780ACE" w:rsidRPr="006070EA" w:rsidRDefault="00780ACE" w:rsidP="00780ACE">
      <w:pPr>
        <w:spacing w:before="60" w:after="0" w:line="240" w:lineRule="auto"/>
        <w:ind w:firstLine="709"/>
        <w:jc w:val="both"/>
        <w:rPr>
          <w:rFonts w:asciiTheme="majorHAnsi" w:hAnsiTheme="majorHAnsi" w:cstheme="majorHAnsi"/>
          <w:sz w:val="18"/>
        </w:rPr>
      </w:pPr>
      <w:r w:rsidRPr="006070EA">
        <w:rPr>
          <w:rFonts w:asciiTheme="majorHAnsi" w:hAnsiTheme="majorHAnsi" w:cstheme="majorHAnsi"/>
          <w:sz w:val="18"/>
        </w:rPr>
        <w:t>Stanovením obecných zásad a umožněním realizace protipovodňových opatření v nezastavěném území jsou vytvořeny podmínky pro realizaci protipovodňových opatření, jejichž konkrétní řešení je mimo měřítko územního plánu a je nezbytné je upřesnit v rámci navazujících řízení a v podrobnějších dokumentacích či podkladech (opatření krajského povodňového plánu, studie odtokových poměrů apod.) s ohledem na podrobné podmínky a požadavky v území.</w:t>
      </w:r>
    </w:p>
    <w:p w14:paraId="67039933" w14:textId="77777777" w:rsidR="00082327" w:rsidRPr="006070EA" w:rsidRDefault="00082327" w:rsidP="003A4B1E">
      <w:pPr>
        <w:pStyle w:val="Odstavecseseznamem"/>
        <w:keepNext/>
        <w:numPr>
          <w:ilvl w:val="2"/>
          <w:numId w:val="30"/>
        </w:numPr>
        <w:spacing w:before="160" w:after="120" w:line="240" w:lineRule="auto"/>
        <w:ind w:left="709" w:hanging="709"/>
        <w:contextualSpacing w:val="0"/>
        <w:outlineLvl w:val="2"/>
        <w:rPr>
          <w:rFonts w:asciiTheme="majorHAnsi" w:hAnsiTheme="majorHAnsi" w:cstheme="majorHAnsi"/>
          <w:b/>
        </w:rPr>
      </w:pPr>
      <w:bookmarkStart w:id="398" w:name="_Toc204678211"/>
      <w:r w:rsidRPr="006070EA">
        <w:rPr>
          <w:rFonts w:asciiTheme="majorHAnsi" w:hAnsiTheme="majorHAnsi" w:cstheme="majorHAnsi"/>
          <w:b/>
        </w:rPr>
        <w:lastRenderedPageBreak/>
        <w:t>Odůvodnění koncepce rekreace a cestovního ruchu</w:t>
      </w:r>
      <w:bookmarkEnd w:id="398"/>
    </w:p>
    <w:p w14:paraId="5D91ECFB" w14:textId="5E1AF7C2" w:rsidR="00EE0B78" w:rsidRPr="006070EA" w:rsidRDefault="00EE0B78" w:rsidP="00EE0B78">
      <w:pPr>
        <w:pStyle w:val="Atext"/>
        <w:keepNext/>
        <w:ind w:firstLine="0"/>
        <w:jc w:val="right"/>
        <w:rPr>
          <w:rFonts w:asciiTheme="majorHAnsi" w:hAnsiTheme="majorHAnsi" w:cstheme="majorHAnsi"/>
          <w:i/>
          <w:snapToGrid w:val="0"/>
          <w:u w:val="single"/>
        </w:rPr>
      </w:pPr>
      <w:r w:rsidRPr="006070EA">
        <w:rPr>
          <w:rFonts w:asciiTheme="majorHAnsi" w:hAnsiTheme="majorHAnsi" w:cstheme="majorHAnsi"/>
          <w:i/>
          <w:snapToGrid w:val="0"/>
          <w:u w:val="single"/>
        </w:rPr>
        <w:t xml:space="preserve">Odůvodnění odst. </w:t>
      </w:r>
      <w:r w:rsidRPr="006070EA">
        <w:rPr>
          <w:rFonts w:asciiTheme="majorHAnsi" w:hAnsiTheme="majorHAnsi" w:cstheme="majorHAnsi"/>
          <w:b/>
          <w:i/>
          <w:snapToGrid w:val="0"/>
          <w:u w:val="single"/>
        </w:rPr>
        <w:t>(</w:t>
      </w:r>
      <w:r w:rsidR="0021590A">
        <w:rPr>
          <w:rFonts w:asciiTheme="majorHAnsi" w:hAnsiTheme="majorHAnsi" w:cstheme="majorHAnsi"/>
          <w:b/>
          <w:i/>
          <w:snapToGrid w:val="0"/>
          <w:u w:val="single"/>
        </w:rPr>
        <w:t>57</w:t>
      </w:r>
      <w:r w:rsidRPr="006070EA">
        <w:rPr>
          <w:rFonts w:asciiTheme="majorHAnsi" w:hAnsiTheme="majorHAnsi" w:cstheme="majorHAnsi"/>
          <w:b/>
          <w:i/>
          <w:snapToGrid w:val="0"/>
          <w:u w:val="single"/>
        </w:rPr>
        <w:t>) a (</w:t>
      </w:r>
      <w:r w:rsidR="0021590A">
        <w:rPr>
          <w:rFonts w:asciiTheme="majorHAnsi" w:hAnsiTheme="majorHAnsi" w:cstheme="majorHAnsi"/>
          <w:b/>
          <w:i/>
          <w:snapToGrid w:val="0"/>
          <w:u w:val="single"/>
        </w:rPr>
        <w:t>58</w:t>
      </w:r>
      <w:r w:rsidRPr="006070EA">
        <w:rPr>
          <w:rFonts w:asciiTheme="majorHAnsi" w:hAnsiTheme="majorHAnsi" w:cstheme="majorHAnsi"/>
          <w:b/>
          <w:i/>
          <w:snapToGrid w:val="0"/>
          <w:u w:val="single"/>
        </w:rPr>
        <w:t>)</w:t>
      </w:r>
      <w:r w:rsidRPr="006070EA">
        <w:rPr>
          <w:rFonts w:asciiTheme="majorHAnsi" w:hAnsiTheme="majorHAnsi" w:cstheme="majorHAnsi"/>
          <w:i/>
          <w:snapToGrid w:val="0"/>
          <w:u w:val="single"/>
        </w:rPr>
        <w:t xml:space="preserve"> výrokové části</w:t>
      </w:r>
    </w:p>
    <w:p w14:paraId="781BC241" w14:textId="29BB6DC1" w:rsidR="002F3880" w:rsidRPr="006070EA" w:rsidRDefault="002F3880" w:rsidP="002F3880">
      <w:pPr>
        <w:pStyle w:val="Atext"/>
        <w:rPr>
          <w:rFonts w:asciiTheme="majorHAnsi" w:hAnsiTheme="majorHAnsi" w:cstheme="majorHAnsi"/>
          <w:color w:val="000000"/>
        </w:rPr>
      </w:pPr>
      <w:r w:rsidRPr="006070EA">
        <w:rPr>
          <w:rFonts w:asciiTheme="majorHAnsi" w:hAnsiTheme="majorHAnsi" w:cstheme="majorHAnsi"/>
          <w:color w:val="000000"/>
        </w:rPr>
        <w:t>SO ORP Nymburk těží z přírodního a kulturního bohatství. Z přírodního bohatství je nejzajímavější přírodní památka Písečný přesyp u Píst, kde se nachází jeden z posledních dochovaných písečných přesypů ve středním Polabí. Zajímavou a</w:t>
      </w:r>
      <w:r w:rsidR="00386074" w:rsidRPr="006070EA">
        <w:rPr>
          <w:rFonts w:asciiTheme="majorHAnsi" w:hAnsiTheme="majorHAnsi" w:cstheme="majorHAnsi"/>
          <w:color w:val="000000"/>
        </w:rPr>
        <w:t> </w:t>
      </w:r>
      <w:r w:rsidRPr="006070EA">
        <w:rPr>
          <w:rFonts w:asciiTheme="majorHAnsi" w:hAnsiTheme="majorHAnsi" w:cstheme="majorHAnsi"/>
          <w:color w:val="000000"/>
        </w:rPr>
        <w:t>významnou kulturní dominantou celé oblasti je zámek Loučeň se svým labyrintáriem. Vesnickou památkovou rezervací byla vyhlášena obec Bošín se svou roubenou zástavbou a návesním půdorysem středověkého původu. Významnou historickou památkou jsou městské hradby v Nymburku z 13. stol. z dob vlády Václava II. Ke každodenní či krátkodobé rekreaci lze využít značené turistické či cyklistické trasy či sportoviště (především v Nymburku). Dlouhodobá rekreace není v SO ORP významná. Oblast Nymburska je vyhledávána také díky osadě Kersko, která je známa díky Bohumilu Hrabalovi, který zde léta žil a podle jehož předlohy byl v Kersku natočen film Slavnosti sněženek.</w:t>
      </w:r>
    </w:p>
    <w:p w14:paraId="5BF81E44" w14:textId="18656DB4" w:rsidR="002F3880" w:rsidRPr="006070EA" w:rsidRDefault="002F3880" w:rsidP="002F3880">
      <w:pPr>
        <w:pStyle w:val="Atext"/>
        <w:rPr>
          <w:rFonts w:asciiTheme="majorHAnsi" w:hAnsiTheme="majorHAnsi" w:cstheme="majorHAnsi"/>
          <w:color w:val="000000"/>
          <w:szCs w:val="32"/>
        </w:rPr>
      </w:pPr>
      <w:r w:rsidRPr="006070EA">
        <w:rPr>
          <w:rFonts w:asciiTheme="majorHAnsi" w:hAnsiTheme="majorHAnsi" w:cstheme="majorHAnsi"/>
          <w:color w:val="000000"/>
        </w:rPr>
        <w:t xml:space="preserve">Obec Kostomlaty nad Labem spadá dle České centrály cestovního ruchu </w:t>
      </w:r>
      <w:r w:rsidR="000E7F63" w:rsidRPr="006070EA">
        <w:rPr>
          <w:rFonts w:asciiTheme="majorHAnsi" w:hAnsiTheme="majorHAnsi" w:cstheme="majorHAnsi"/>
          <w:color w:val="000000"/>
        </w:rPr>
        <w:t>–</w:t>
      </w:r>
      <w:r w:rsidRPr="006070EA">
        <w:rPr>
          <w:rFonts w:asciiTheme="majorHAnsi" w:hAnsiTheme="majorHAnsi" w:cstheme="majorHAnsi"/>
          <w:color w:val="000000"/>
        </w:rPr>
        <w:t xml:space="preserve"> CzechTourism do turistického regionu </w:t>
      </w:r>
      <w:r w:rsidRPr="006070EA">
        <w:rPr>
          <w:rFonts w:asciiTheme="majorHAnsi" w:hAnsiTheme="majorHAnsi" w:cstheme="majorHAnsi"/>
          <w:color w:val="000000"/>
          <w:szCs w:val="32"/>
        </w:rPr>
        <w:t xml:space="preserve">04 Střední Čechy - severovýchod – Polabí. </w:t>
      </w:r>
    </w:p>
    <w:p w14:paraId="58ADEAD9" w14:textId="133AA447" w:rsidR="002F3880" w:rsidRPr="006070EA" w:rsidRDefault="002F3880" w:rsidP="002F3880">
      <w:pPr>
        <w:pStyle w:val="Atext"/>
        <w:rPr>
          <w:rFonts w:asciiTheme="majorHAnsi" w:hAnsiTheme="majorHAnsi" w:cstheme="majorHAnsi"/>
          <w:color w:val="000000"/>
        </w:rPr>
      </w:pPr>
      <w:r w:rsidRPr="006070EA">
        <w:rPr>
          <w:rFonts w:asciiTheme="majorHAnsi" w:hAnsiTheme="majorHAnsi" w:cstheme="majorHAnsi"/>
          <w:color w:val="000000"/>
        </w:rPr>
        <w:t>Kostomlaty nad Labem pouze základní občanskou vybavenost (obchod, pošta, ubytovací a stravovací zařízení). Za</w:t>
      </w:r>
      <w:r w:rsidR="000E7F63" w:rsidRPr="006070EA">
        <w:rPr>
          <w:rFonts w:asciiTheme="majorHAnsi" w:hAnsiTheme="majorHAnsi" w:cstheme="majorHAnsi"/>
          <w:color w:val="000000"/>
        </w:rPr>
        <w:t> </w:t>
      </w:r>
      <w:r w:rsidRPr="006070EA">
        <w:rPr>
          <w:rFonts w:asciiTheme="majorHAnsi" w:hAnsiTheme="majorHAnsi" w:cstheme="majorHAnsi"/>
          <w:color w:val="000000"/>
        </w:rPr>
        <w:t>turisticky významnější centra v okolí lze považovat Kersko a Ostrá. V rámci řešeného území se nenachází žádné přírodní koupaliště ani kemp.</w:t>
      </w:r>
    </w:p>
    <w:p w14:paraId="23176000" w14:textId="44975318" w:rsidR="002F3880" w:rsidRPr="006070EA" w:rsidRDefault="002F3880" w:rsidP="003B36CA">
      <w:pPr>
        <w:keepNext/>
        <w:autoSpaceDE w:val="0"/>
        <w:autoSpaceDN w:val="0"/>
        <w:adjustRightInd w:val="0"/>
        <w:jc w:val="both"/>
        <w:rPr>
          <w:rFonts w:asciiTheme="majorHAnsi" w:hAnsiTheme="majorHAnsi" w:cstheme="majorHAnsi"/>
          <w:i/>
          <w:iCs/>
          <w:color w:val="000000"/>
          <w:sz w:val="18"/>
          <w:szCs w:val="18"/>
        </w:rPr>
      </w:pPr>
      <w:r w:rsidRPr="006070EA">
        <w:rPr>
          <w:rFonts w:asciiTheme="majorHAnsi" w:hAnsiTheme="majorHAnsi" w:cstheme="majorHAnsi"/>
          <w:i/>
          <w:iCs/>
          <w:color w:val="000000"/>
          <w:sz w:val="18"/>
          <w:szCs w:val="18"/>
        </w:rPr>
        <w:t>Tab</w:t>
      </w:r>
      <w:r w:rsidR="000E7F63" w:rsidRPr="006070EA">
        <w:rPr>
          <w:rFonts w:asciiTheme="majorHAnsi" w:hAnsiTheme="majorHAnsi" w:cstheme="majorHAnsi"/>
          <w:i/>
          <w:iCs/>
          <w:color w:val="000000"/>
          <w:sz w:val="18"/>
          <w:szCs w:val="18"/>
        </w:rPr>
        <w:t>.</w:t>
      </w:r>
      <w:r w:rsidRPr="006070EA">
        <w:rPr>
          <w:rFonts w:asciiTheme="majorHAnsi" w:hAnsiTheme="majorHAnsi" w:cstheme="majorHAnsi"/>
          <w:i/>
          <w:iCs/>
          <w:color w:val="000000"/>
          <w:sz w:val="18"/>
          <w:szCs w:val="18"/>
        </w:rPr>
        <w:t>:  Rekreační potenciál obc</w:t>
      </w:r>
      <w:r w:rsidR="000E7F63" w:rsidRPr="006070EA">
        <w:rPr>
          <w:rFonts w:asciiTheme="majorHAnsi" w:hAnsiTheme="majorHAnsi" w:cstheme="majorHAnsi"/>
          <w:i/>
          <w:iCs/>
          <w:color w:val="000000"/>
          <w:sz w:val="18"/>
          <w:szCs w:val="18"/>
        </w:rPr>
        <w:t xml:space="preserve">e </w:t>
      </w:r>
      <w:r w:rsidRPr="006070EA">
        <w:rPr>
          <w:rFonts w:asciiTheme="majorHAnsi" w:hAnsiTheme="majorHAnsi" w:cstheme="majorHAnsi"/>
          <w:i/>
          <w:iCs/>
          <w:color w:val="000000"/>
          <w:sz w:val="18"/>
          <w:szCs w:val="18"/>
        </w:rPr>
        <w:t xml:space="preserve">– stav k 31. 12. 2015 </w:t>
      </w:r>
    </w:p>
    <w:tbl>
      <w:tblPr>
        <w:tblW w:w="0" w:type="auto"/>
        <w:tblBorders>
          <w:insideH w:val="single" w:sz="6" w:space="0" w:color="000000"/>
          <w:insideV w:val="single" w:sz="6" w:space="0" w:color="000000"/>
        </w:tblBorders>
        <w:tblLook w:val="0000" w:firstRow="0" w:lastRow="0" w:firstColumn="0" w:lastColumn="0" w:noHBand="0" w:noVBand="0"/>
      </w:tblPr>
      <w:tblGrid>
        <w:gridCol w:w="1404"/>
        <w:gridCol w:w="1337"/>
        <w:gridCol w:w="912"/>
        <w:gridCol w:w="1047"/>
        <w:gridCol w:w="1184"/>
        <w:gridCol w:w="1593"/>
        <w:gridCol w:w="1593"/>
      </w:tblGrid>
      <w:tr w:rsidR="002F3880" w:rsidRPr="006070EA" w14:paraId="66E4C895" w14:textId="77777777" w:rsidTr="000E7F63">
        <w:trPr>
          <w:trHeight w:val="612"/>
        </w:trPr>
        <w:tc>
          <w:tcPr>
            <w:tcW w:w="0" w:type="auto"/>
            <w:shd w:val="clear" w:color="auto" w:fill="auto"/>
            <w:vAlign w:val="center"/>
          </w:tcPr>
          <w:p w14:paraId="4168B6E8" w14:textId="77777777" w:rsidR="002F3880" w:rsidRPr="006070EA" w:rsidRDefault="002F3880" w:rsidP="000E7F63">
            <w:pPr>
              <w:autoSpaceDE w:val="0"/>
              <w:autoSpaceDN w:val="0"/>
              <w:adjustRightInd w:val="0"/>
              <w:spacing w:after="0"/>
              <w:jc w:val="center"/>
              <w:rPr>
                <w:rFonts w:asciiTheme="majorHAnsi" w:hAnsiTheme="majorHAnsi" w:cstheme="majorHAnsi"/>
                <w:b/>
                <w:color w:val="000000"/>
                <w:sz w:val="18"/>
                <w:szCs w:val="18"/>
              </w:rPr>
            </w:pPr>
            <w:r w:rsidRPr="006070EA">
              <w:rPr>
                <w:rFonts w:asciiTheme="majorHAnsi" w:hAnsiTheme="majorHAnsi" w:cstheme="majorHAnsi"/>
                <w:b/>
                <w:color w:val="000000"/>
                <w:sz w:val="18"/>
                <w:szCs w:val="18"/>
              </w:rPr>
              <w:t>Obec</w:t>
            </w:r>
          </w:p>
        </w:tc>
        <w:tc>
          <w:tcPr>
            <w:tcW w:w="0" w:type="auto"/>
            <w:shd w:val="clear" w:color="auto" w:fill="auto"/>
            <w:vAlign w:val="center"/>
          </w:tcPr>
          <w:p w14:paraId="693DAD22" w14:textId="77777777" w:rsidR="002F3880" w:rsidRPr="006070EA" w:rsidRDefault="002F3880" w:rsidP="000E7F63">
            <w:pPr>
              <w:autoSpaceDE w:val="0"/>
              <w:autoSpaceDN w:val="0"/>
              <w:adjustRightInd w:val="0"/>
              <w:spacing w:after="0"/>
              <w:jc w:val="center"/>
              <w:rPr>
                <w:rFonts w:asciiTheme="majorHAnsi" w:hAnsiTheme="majorHAnsi" w:cstheme="majorHAnsi"/>
                <w:b/>
                <w:color w:val="000000"/>
                <w:sz w:val="18"/>
                <w:szCs w:val="18"/>
              </w:rPr>
            </w:pPr>
            <w:r w:rsidRPr="006070EA">
              <w:rPr>
                <w:rFonts w:asciiTheme="majorHAnsi" w:hAnsiTheme="majorHAnsi" w:cstheme="majorHAnsi"/>
                <w:b/>
                <w:color w:val="000000"/>
                <w:sz w:val="18"/>
                <w:szCs w:val="18"/>
              </w:rPr>
              <w:t>Trvalé travní porosty (ha)</w:t>
            </w:r>
          </w:p>
        </w:tc>
        <w:tc>
          <w:tcPr>
            <w:tcW w:w="0" w:type="auto"/>
            <w:shd w:val="clear" w:color="auto" w:fill="auto"/>
            <w:vAlign w:val="center"/>
          </w:tcPr>
          <w:p w14:paraId="7E27DCCC" w14:textId="77777777" w:rsidR="002F3880" w:rsidRPr="006070EA" w:rsidRDefault="002F3880" w:rsidP="000E7F63">
            <w:pPr>
              <w:autoSpaceDE w:val="0"/>
              <w:autoSpaceDN w:val="0"/>
              <w:adjustRightInd w:val="0"/>
              <w:spacing w:after="0"/>
              <w:jc w:val="center"/>
              <w:rPr>
                <w:rFonts w:asciiTheme="majorHAnsi" w:hAnsiTheme="majorHAnsi" w:cstheme="majorHAnsi"/>
                <w:b/>
                <w:color w:val="000000"/>
                <w:sz w:val="18"/>
                <w:szCs w:val="18"/>
              </w:rPr>
            </w:pPr>
            <w:r w:rsidRPr="006070EA">
              <w:rPr>
                <w:rFonts w:asciiTheme="majorHAnsi" w:hAnsiTheme="majorHAnsi" w:cstheme="majorHAnsi"/>
                <w:b/>
                <w:color w:val="000000"/>
                <w:sz w:val="18"/>
                <w:szCs w:val="18"/>
              </w:rPr>
              <w:t>Lesní půda (ha)</w:t>
            </w:r>
          </w:p>
        </w:tc>
        <w:tc>
          <w:tcPr>
            <w:tcW w:w="0" w:type="auto"/>
            <w:shd w:val="clear" w:color="auto" w:fill="auto"/>
            <w:vAlign w:val="center"/>
          </w:tcPr>
          <w:p w14:paraId="5A4E6A14" w14:textId="77777777" w:rsidR="002F3880" w:rsidRPr="006070EA" w:rsidRDefault="002F3880" w:rsidP="000E7F63">
            <w:pPr>
              <w:autoSpaceDE w:val="0"/>
              <w:autoSpaceDN w:val="0"/>
              <w:adjustRightInd w:val="0"/>
              <w:spacing w:after="0"/>
              <w:jc w:val="center"/>
              <w:rPr>
                <w:rFonts w:asciiTheme="majorHAnsi" w:hAnsiTheme="majorHAnsi" w:cstheme="majorHAnsi"/>
                <w:b/>
                <w:color w:val="000000"/>
                <w:sz w:val="18"/>
                <w:szCs w:val="18"/>
              </w:rPr>
            </w:pPr>
            <w:r w:rsidRPr="006070EA">
              <w:rPr>
                <w:rFonts w:asciiTheme="majorHAnsi" w:hAnsiTheme="majorHAnsi" w:cstheme="majorHAnsi"/>
                <w:b/>
                <w:color w:val="000000"/>
                <w:sz w:val="18"/>
                <w:szCs w:val="18"/>
              </w:rPr>
              <w:t>Vodní plochy (ha)</w:t>
            </w:r>
          </w:p>
        </w:tc>
        <w:tc>
          <w:tcPr>
            <w:tcW w:w="0" w:type="auto"/>
            <w:shd w:val="clear" w:color="auto" w:fill="auto"/>
            <w:vAlign w:val="center"/>
          </w:tcPr>
          <w:p w14:paraId="0D4877BB" w14:textId="77777777" w:rsidR="002F3880" w:rsidRPr="006070EA" w:rsidRDefault="002F3880" w:rsidP="000E7F63">
            <w:pPr>
              <w:autoSpaceDE w:val="0"/>
              <w:autoSpaceDN w:val="0"/>
              <w:adjustRightInd w:val="0"/>
              <w:spacing w:after="0"/>
              <w:jc w:val="center"/>
              <w:rPr>
                <w:rFonts w:asciiTheme="majorHAnsi" w:hAnsiTheme="majorHAnsi" w:cstheme="majorHAnsi"/>
                <w:b/>
                <w:color w:val="000000"/>
                <w:sz w:val="18"/>
                <w:szCs w:val="18"/>
              </w:rPr>
            </w:pPr>
            <w:r w:rsidRPr="006070EA">
              <w:rPr>
                <w:rFonts w:asciiTheme="majorHAnsi" w:hAnsiTheme="majorHAnsi" w:cstheme="majorHAnsi"/>
                <w:b/>
                <w:color w:val="000000"/>
                <w:sz w:val="18"/>
                <w:szCs w:val="18"/>
              </w:rPr>
              <w:t>Celková výměra (ha)</w:t>
            </w:r>
          </w:p>
        </w:tc>
        <w:tc>
          <w:tcPr>
            <w:tcW w:w="0" w:type="auto"/>
            <w:shd w:val="clear" w:color="auto" w:fill="auto"/>
            <w:vAlign w:val="center"/>
          </w:tcPr>
          <w:p w14:paraId="3025FB14" w14:textId="77777777" w:rsidR="002F3880" w:rsidRPr="006070EA" w:rsidRDefault="002F3880" w:rsidP="000E7F63">
            <w:pPr>
              <w:autoSpaceDE w:val="0"/>
              <w:autoSpaceDN w:val="0"/>
              <w:adjustRightInd w:val="0"/>
              <w:spacing w:after="0"/>
              <w:jc w:val="center"/>
              <w:rPr>
                <w:rFonts w:asciiTheme="majorHAnsi" w:hAnsiTheme="majorHAnsi" w:cstheme="majorHAnsi"/>
                <w:b/>
                <w:color w:val="000000"/>
                <w:sz w:val="18"/>
                <w:szCs w:val="18"/>
              </w:rPr>
            </w:pPr>
            <w:r w:rsidRPr="006070EA">
              <w:rPr>
                <w:rFonts w:asciiTheme="majorHAnsi" w:hAnsiTheme="majorHAnsi" w:cstheme="majorHAnsi"/>
                <w:b/>
                <w:color w:val="000000"/>
                <w:sz w:val="18"/>
                <w:szCs w:val="18"/>
              </w:rPr>
              <w:t>2013 - Rekreační potenciál (%)</w:t>
            </w:r>
          </w:p>
        </w:tc>
        <w:tc>
          <w:tcPr>
            <w:tcW w:w="0" w:type="auto"/>
            <w:shd w:val="clear" w:color="auto" w:fill="auto"/>
            <w:vAlign w:val="center"/>
          </w:tcPr>
          <w:p w14:paraId="3C1E064F" w14:textId="77777777" w:rsidR="002F3880" w:rsidRPr="006070EA" w:rsidRDefault="002F3880" w:rsidP="000E7F63">
            <w:pPr>
              <w:autoSpaceDE w:val="0"/>
              <w:autoSpaceDN w:val="0"/>
              <w:adjustRightInd w:val="0"/>
              <w:spacing w:after="0"/>
              <w:jc w:val="center"/>
              <w:rPr>
                <w:rFonts w:asciiTheme="majorHAnsi" w:hAnsiTheme="majorHAnsi" w:cstheme="majorHAnsi"/>
                <w:b/>
                <w:color w:val="000000"/>
                <w:sz w:val="18"/>
                <w:szCs w:val="18"/>
              </w:rPr>
            </w:pPr>
            <w:r w:rsidRPr="006070EA">
              <w:rPr>
                <w:rFonts w:asciiTheme="majorHAnsi" w:hAnsiTheme="majorHAnsi" w:cstheme="majorHAnsi"/>
                <w:b/>
                <w:color w:val="000000"/>
                <w:sz w:val="18"/>
                <w:szCs w:val="18"/>
              </w:rPr>
              <w:t>2015 - Rekreační potenciál (%)</w:t>
            </w:r>
          </w:p>
        </w:tc>
      </w:tr>
      <w:tr w:rsidR="002F3880" w:rsidRPr="006070EA" w14:paraId="71662672" w14:textId="77777777" w:rsidTr="000E7F63">
        <w:trPr>
          <w:trHeight w:val="107"/>
        </w:trPr>
        <w:tc>
          <w:tcPr>
            <w:tcW w:w="0" w:type="auto"/>
            <w:shd w:val="clear" w:color="auto" w:fill="auto"/>
            <w:vAlign w:val="center"/>
          </w:tcPr>
          <w:p w14:paraId="71EFEBB2" w14:textId="77777777" w:rsidR="002F3880" w:rsidRPr="006070EA" w:rsidRDefault="002F3880" w:rsidP="000E7F63">
            <w:pPr>
              <w:autoSpaceDE w:val="0"/>
              <w:autoSpaceDN w:val="0"/>
              <w:adjustRightInd w:val="0"/>
              <w:spacing w:after="0"/>
              <w:jc w:val="center"/>
              <w:rPr>
                <w:rFonts w:asciiTheme="majorHAnsi" w:hAnsiTheme="majorHAnsi" w:cstheme="majorHAnsi"/>
                <w:color w:val="000000"/>
                <w:sz w:val="18"/>
                <w:szCs w:val="18"/>
              </w:rPr>
            </w:pPr>
            <w:r w:rsidRPr="006070EA">
              <w:rPr>
                <w:rFonts w:asciiTheme="majorHAnsi" w:hAnsiTheme="majorHAnsi" w:cstheme="majorHAnsi"/>
                <w:color w:val="000000"/>
                <w:sz w:val="18"/>
                <w:szCs w:val="18"/>
              </w:rPr>
              <w:t>Kostomlaty nad Labem</w:t>
            </w:r>
          </w:p>
        </w:tc>
        <w:tc>
          <w:tcPr>
            <w:tcW w:w="0" w:type="auto"/>
            <w:shd w:val="clear" w:color="auto" w:fill="auto"/>
            <w:vAlign w:val="center"/>
          </w:tcPr>
          <w:p w14:paraId="1C31F743" w14:textId="77777777" w:rsidR="002F3880" w:rsidRPr="006070EA" w:rsidRDefault="002F3880" w:rsidP="000E7F63">
            <w:pPr>
              <w:autoSpaceDE w:val="0"/>
              <w:autoSpaceDN w:val="0"/>
              <w:adjustRightInd w:val="0"/>
              <w:spacing w:after="0"/>
              <w:jc w:val="center"/>
              <w:rPr>
                <w:rFonts w:asciiTheme="majorHAnsi" w:hAnsiTheme="majorHAnsi" w:cstheme="majorHAnsi"/>
                <w:color w:val="000000"/>
                <w:sz w:val="18"/>
                <w:szCs w:val="18"/>
              </w:rPr>
            </w:pPr>
            <w:r w:rsidRPr="006070EA">
              <w:rPr>
                <w:rFonts w:asciiTheme="majorHAnsi" w:hAnsiTheme="majorHAnsi" w:cstheme="majorHAnsi"/>
                <w:color w:val="000000"/>
                <w:sz w:val="18"/>
                <w:szCs w:val="18"/>
              </w:rPr>
              <w:t>68,2</w:t>
            </w:r>
          </w:p>
        </w:tc>
        <w:tc>
          <w:tcPr>
            <w:tcW w:w="0" w:type="auto"/>
            <w:shd w:val="clear" w:color="auto" w:fill="auto"/>
            <w:vAlign w:val="center"/>
          </w:tcPr>
          <w:p w14:paraId="43E798E3" w14:textId="77777777" w:rsidR="002F3880" w:rsidRPr="006070EA" w:rsidRDefault="002F3880" w:rsidP="000E7F63">
            <w:pPr>
              <w:autoSpaceDE w:val="0"/>
              <w:autoSpaceDN w:val="0"/>
              <w:adjustRightInd w:val="0"/>
              <w:spacing w:after="0"/>
              <w:jc w:val="center"/>
              <w:rPr>
                <w:rFonts w:asciiTheme="majorHAnsi" w:hAnsiTheme="majorHAnsi" w:cstheme="majorHAnsi"/>
                <w:color w:val="000000"/>
                <w:sz w:val="18"/>
                <w:szCs w:val="18"/>
              </w:rPr>
            </w:pPr>
            <w:r w:rsidRPr="006070EA">
              <w:rPr>
                <w:rFonts w:asciiTheme="majorHAnsi" w:hAnsiTheme="majorHAnsi" w:cstheme="majorHAnsi"/>
                <w:color w:val="000000"/>
                <w:sz w:val="18"/>
                <w:szCs w:val="18"/>
              </w:rPr>
              <w:t>99,0</w:t>
            </w:r>
          </w:p>
        </w:tc>
        <w:tc>
          <w:tcPr>
            <w:tcW w:w="0" w:type="auto"/>
            <w:shd w:val="clear" w:color="auto" w:fill="auto"/>
            <w:vAlign w:val="center"/>
          </w:tcPr>
          <w:p w14:paraId="26E1043F" w14:textId="77777777" w:rsidR="002F3880" w:rsidRPr="006070EA" w:rsidRDefault="002F3880" w:rsidP="000E7F63">
            <w:pPr>
              <w:autoSpaceDE w:val="0"/>
              <w:autoSpaceDN w:val="0"/>
              <w:adjustRightInd w:val="0"/>
              <w:spacing w:after="0"/>
              <w:jc w:val="center"/>
              <w:rPr>
                <w:rFonts w:asciiTheme="majorHAnsi" w:hAnsiTheme="majorHAnsi" w:cstheme="majorHAnsi"/>
                <w:color w:val="000000"/>
                <w:sz w:val="18"/>
                <w:szCs w:val="18"/>
              </w:rPr>
            </w:pPr>
            <w:r w:rsidRPr="006070EA">
              <w:rPr>
                <w:rFonts w:asciiTheme="majorHAnsi" w:hAnsiTheme="majorHAnsi" w:cstheme="majorHAnsi"/>
                <w:color w:val="000000"/>
                <w:sz w:val="18"/>
                <w:szCs w:val="18"/>
              </w:rPr>
              <w:t>50,6</w:t>
            </w:r>
          </w:p>
        </w:tc>
        <w:tc>
          <w:tcPr>
            <w:tcW w:w="0" w:type="auto"/>
            <w:shd w:val="clear" w:color="auto" w:fill="auto"/>
            <w:vAlign w:val="center"/>
          </w:tcPr>
          <w:p w14:paraId="216CBF2D" w14:textId="77777777" w:rsidR="002F3880" w:rsidRPr="006070EA" w:rsidRDefault="002F3880" w:rsidP="000E7F63">
            <w:pPr>
              <w:autoSpaceDE w:val="0"/>
              <w:autoSpaceDN w:val="0"/>
              <w:adjustRightInd w:val="0"/>
              <w:spacing w:after="0"/>
              <w:jc w:val="center"/>
              <w:rPr>
                <w:rFonts w:asciiTheme="majorHAnsi" w:hAnsiTheme="majorHAnsi" w:cstheme="majorHAnsi"/>
                <w:color w:val="000000"/>
                <w:sz w:val="18"/>
                <w:szCs w:val="18"/>
              </w:rPr>
            </w:pPr>
            <w:r w:rsidRPr="006070EA">
              <w:rPr>
                <w:rFonts w:asciiTheme="majorHAnsi" w:hAnsiTheme="majorHAnsi" w:cstheme="majorHAnsi"/>
                <w:color w:val="000000"/>
                <w:sz w:val="18"/>
                <w:szCs w:val="18"/>
              </w:rPr>
              <w:t>1803,9</w:t>
            </w:r>
          </w:p>
        </w:tc>
        <w:tc>
          <w:tcPr>
            <w:tcW w:w="0" w:type="auto"/>
            <w:shd w:val="clear" w:color="auto" w:fill="auto"/>
            <w:vAlign w:val="center"/>
          </w:tcPr>
          <w:p w14:paraId="63EEF677" w14:textId="77777777" w:rsidR="002F3880" w:rsidRPr="006070EA" w:rsidRDefault="002F3880" w:rsidP="000E7F63">
            <w:pPr>
              <w:autoSpaceDE w:val="0"/>
              <w:autoSpaceDN w:val="0"/>
              <w:adjustRightInd w:val="0"/>
              <w:spacing w:after="0"/>
              <w:jc w:val="center"/>
              <w:rPr>
                <w:rFonts w:asciiTheme="majorHAnsi" w:hAnsiTheme="majorHAnsi" w:cstheme="majorHAnsi"/>
                <w:color w:val="000000"/>
                <w:sz w:val="18"/>
                <w:szCs w:val="18"/>
              </w:rPr>
            </w:pPr>
            <w:r w:rsidRPr="006070EA">
              <w:rPr>
                <w:rFonts w:asciiTheme="majorHAnsi" w:hAnsiTheme="majorHAnsi" w:cstheme="majorHAnsi"/>
                <w:color w:val="000000"/>
                <w:sz w:val="18"/>
                <w:szCs w:val="18"/>
              </w:rPr>
              <w:t>12,08</w:t>
            </w:r>
          </w:p>
        </w:tc>
        <w:tc>
          <w:tcPr>
            <w:tcW w:w="0" w:type="auto"/>
            <w:shd w:val="clear" w:color="auto" w:fill="auto"/>
            <w:vAlign w:val="center"/>
          </w:tcPr>
          <w:p w14:paraId="61721A41" w14:textId="77777777" w:rsidR="002F3880" w:rsidRPr="006070EA" w:rsidRDefault="002F3880" w:rsidP="000E7F63">
            <w:pPr>
              <w:autoSpaceDE w:val="0"/>
              <w:autoSpaceDN w:val="0"/>
              <w:adjustRightInd w:val="0"/>
              <w:spacing w:after="0"/>
              <w:jc w:val="center"/>
              <w:rPr>
                <w:rFonts w:asciiTheme="majorHAnsi" w:hAnsiTheme="majorHAnsi" w:cstheme="majorHAnsi"/>
                <w:color w:val="000000"/>
                <w:sz w:val="18"/>
                <w:szCs w:val="18"/>
              </w:rPr>
            </w:pPr>
            <w:r w:rsidRPr="006070EA">
              <w:rPr>
                <w:rFonts w:asciiTheme="majorHAnsi" w:hAnsiTheme="majorHAnsi" w:cstheme="majorHAnsi"/>
                <w:color w:val="000000"/>
                <w:sz w:val="18"/>
                <w:szCs w:val="18"/>
              </w:rPr>
              <w:t>12,07</w:t>
            </w:r>
          </w:p>
        </w:tc>
      </w:tr>
    </w:tbl>
    <w:p w14:paraId="76DDE6C3" w14:textId="77777777" w:rsidR="002F3880" w:rsidRPr="006070EA" w:rsidRDefault="002F3880" w:rsidP="000E7F63">
      <w:pPr>
        <w:pStyle w:val="Atext"/>
        <w:rPr>
          <w:rFonts w:asciiTheme="majorHAnsi" w:hAnsiTheme="majorHAnsi" w:cstheme="majorHAnsi"/>
          <w:color w:val="000000"/>
        </w:rPr>
      </w:pPr>
      <w:r w:rsidRPr="006070EA">
        <w:rPr>
          <w:rFonts w:asciiTheme="majorHAnsi" w:hAnsiTheme="majorHAnsi" w:cstheme="majorHAnsi"/>
          <w:color w:val="000000"/>
        </w:rPr>
        <w:t xml:space="preserve">Rekreační potenciál je ukazatel vypočtený z podílu součtu ploch rekreačně využitelných (lesy, louky, pastviny, vodní plochy, zahrady) k celkové ploše obce </w:t>
      </w:r>
      <w:r w:rsidRPr="006070EA">
        <w:rPr>
          <w:rFonts w:asciiTheme="majorHAnsi" w:hAnsiTheme="majorHAnsi" w:cstheme="majorHAnsi"/>
          <w:color w:val="000000"/>
          <w:szCs w:val="18"/>
        </w:rPr>
        <w:t>dle ÚAP SO ORP Nymburk</w:t>
      </w:r>
      <w:r w:rsidRPr="006070EA">
        <w:rPr>
          <w:rFonts w:asciiTheme="majorHAnsi" w:hAnsiTheme="majorHAnsi" w:cstheme="majorHAnsi"/>
          <w:color w:val="000000"/>
        </w:rPr>
        <w:t>.</w:t>
      </w:r>
    </w:p>
    <w:p w14:paraId="056E90B7" w14:textId="07C23E20" w:rsidR="005E0426" w:rsidRPr="006070EA" w:rsidRDefault="00661656" w:rsidP="000E7F63">
      <w:pPr>
        <w:spacing w:before="120" w:after="120" w:line="240" w:lineRule="auto"/>
        <w:ind w:firstLine="709"/>
        <w:jc w:val="both"/>
        <w:rPr>
          <w:rFonts w:asciiTheme="majorHAnsi" w:hAnsiTheme="majorHAnsi" w:cstheme="majorHAnsi"/>
          <w:sz w:val="18"/>
          <w:szCs w:val="18"/>
        </w:rPr>
      </w:pPr>
      <w:r w:rsidRPr="006070EA">
        <w:rPr>
          <w:rFonts w:asciiTheme="majorHAnsi" w:hAnsiTheme="majorHAnsi" w:cstheme="majorHAnsi"/>
          <w:sz w:val="18"/>
          <w:szCs w:val="18"/>
        </w:rPr>
        <w:t>Z hlediska turistické infrastruktury řešeným územím prochází</w:t>
      </w:r>
      <w:r w:rsidR="000E7F63" w:rsidRPr="006070EA">
        <w:rPr>
          <w:rFonts w:asciiTheme="majorHAnsi" w:hAnsiTheme="majorHAnsi" w:cstheme="majorHAnsi"/>
          <w:sz w:val="18"/>
          <w:szCs w:val="18"/>
        </w:rPr>
        <w:t xml:space="preserve"> značené turistické a cyklistické trasy a jsou vytvořeny podmínky pro jejich rozvoj, podrobněji viz kapitola 11.4.3.</w:t>
      </w:r>
      <w:r w:rsidR="000E7F63" w:rsidRPr="006070EA">
        <w:rPr>
          <w:rFonts w:asciiTheme="majorHAnsi" w:hAnsiTheme="majorHAnsi" w:cstheme="majorHAnsi"/>
        </w:rPr>
        <w:t xml:space="preserve"> </w:t>
      </w:r>
      <w:r w:rsidR="000E7F63" w:rsidRPr="006070EA">
        <w:rPr>
          <w:rFonts w:asciiTheme="majorHAnsi" w:hAnsiTheme="majorHAnsi" w:cstheme="majorHAnsi"/>
          <w:sz w:val="18"/>
          <w:szCs w:val="18"/>
        </w:rPr>
        <w:t>Zásadní význam z hlediska každodenní rekreace mají také plochy P</w:t>
      </w:r>
      <w:r w:rsidR="00386074" w:rsidRPr="006070EA">
        <w:rPr>
          <w:rFonts w:asciiTheme="majorHAnsi" w:hAnsiTheme="majorHAnsi" w:cstheme="majorHAnsi"/>
          <w:sz w:val="18"/>
          <w:szCs w:val="18"/>
        </w:rPr>
        <w:t>U</w:t>
      </w:r>
      <w:r w:rsidR="000E7F63" w:rsidRPr="006070EA">
        <w:rPr>
          <w:rFonts w:asciiTheme="majorHAnsi" w:hAnsiTheme="majorHAnsi" w:cstheme="majorHAnsi"/>
          <w:sz w:val="18"/>
          <w:szCs w:val="18"/>
        </w:rPr>
        <w:t xml:space="preserve"> – veřejná prostranství </w:t>
      </w:r>
      <w:r w:rsidR="00386074" w:rsidRPr="006070EA">
        <w:rPr>
          <w:rFonts w:asciiTheme="majorHAnsi" w:hAnsiTheme="majorHAnsi" w:cstheme="majorHAnsi"/>
          <w:sz w:val="18"/>
          <w:szCs w:val="18"/>
        </w:rPr>
        <w:t xml:space="preserve">všeobecná </w:t>
      </w:r>
      <w:r w:rsidR="000E7F63" w:rsidRPr="006070EA">
        <w:rPr>
          <w:rFonts w:asciiTheme="majorHAnsi" w:hAnsiTheme="majorHAnsi" w:cstheme="majorHAnsi"/>
          <w:sz w:val="18"/>
          <w:szCs w:val="18"/>
        </w:rPr>
        <w:t>a Z</w:t>
      </w:r>
      <w:r w:rsidR="00386074" w:rsidRPr="006070EA">
        <w:rPr>
          <w:rFonts w:asciiTheme="majorHAnsi" w:hAnsiTheme="majorHAnsi" w:cstheme="majorHAnsi"/>
          <w:sz w:val="18"/>
          <w:szCs w:val="18"/>
        </w:rPr>
        <w:t>P</w:t>
      </w:r>
      <w:r w:rsidR="000E7F63" w:rsidRPr="006070EA">
        <w:rPr>
          <w:rFonts w:asciiTheme="majorHAnsi" w:hAnsiTheme="majorHAnsi" w:cstheme="majorHAnsi"/>
          <w:sz w:val="18"/>
          <w:szCs w:val="18"/>
        </w:rPr>
        <w:t xml:space="preserve"> –</w:t>
      </w:r>
      <w:r w:rsidR="00386074" w:rsidRPr="006070EA">
        <w:rPr>
          <w:rFonts w:asciiTheme="majorHAnsi" w:hAnsiTheme="majorHAnsi" w:cstheme="majorHAnsi"/>
          <w:sz w:val="18"/>
          <w:szCs w:val="18"/>
        </w:rPr>
        <w:t xml:space="preserve"> </w:t>
      </w:r>
      <w:r w:rsidR="000E7F63" w:rsidRPr="006070EA">
        <w:rPr>
          <w:rFonts w:asciiTheme="majorHAnsi" w:hAnsiTheme="majorHAnsi" w:cstheme="majorHAnsi"/>
          <w:sz w:val="18"/>
          <w:szCs w:val="18"/>
        </w:rPr>
        <w:t>zeleň</w:t>
      </w:r>
      <w:r w:rsidR="00386074" w:rsidRPr="006070EA">
        <w:rPr>
          <w:rFonts w:asciiTheme="majorHAnsi" w:hAnsiTheme="majorHAnsi" w:cstheme="majorHAnsi"/>
          <w:sz w:val="18"/>
          <w:szCs w:val="18"/>
        </w:rPr>
        <w:t xml:space="preserve"> – parky a parkově upravené plochy</w:t>
      </w:r>
      <w:r w:rsidR="000E7F63" w:rsidRPr="006070EA">
        <w:rPr>
          <w:rFonts w:asciiTheme="majorHAnsi" w:hAnsiTheme="majorHAnsi" w:cstheme="majorHAnsi"/>
          <w:sz w:val="18"/>
          <w:szCs w:val="18"/>
        </w:rPr>
        <w:t>.</w:t>
      </w:r>
    </w:p>
    <w:p w14:paraId="43F07F7C" w14:textId="41C9B540" w:rsidR="005E0426" w:rsidRPr="006070EA" w:rsidRDefault="005B663D" w:rsidP="000E7F63">
      <w:pPr>
        <w:spacing w:before="120" w:after="120" w:line="240" w:lineRule="auto"/>
        <w:ind w:firstLine="709"/>
        <w:jc w:val="both"/>
        <w:rPr>
          <w:rFonts w:asciiTheme="majorHAnsi" w:hAnsiTheme="majorHAnsi" w:cstheme="majorHAnsi"/>
          <w:sz w:val="18"/>
          <w:szCs w:val="18"/>
        </w:rPr>
      </w:pPr>
      <w:r w:rsidRPr="006070EA">
        <w:rPr>
          <w:rFonts w:asciiTheme="majorHAnsi" w:hAnsiTheme="majorHAnsi" w:cstheme="majorHAnsi"/>
          <w:sz w:val="18"/>
          <w:szCs w:val="18"/>
        </w:rPr>
        <w:t xml:space="preserve">Významným prvkem </w:t>
      </w:r>
      <w:r w:rsidR="000E7F63" w:rsidRPr="006070EA">
        <w:rPr>
          <w:rFonts w:asciiTheme="majorHAnsi" w:hAnsiTheme="majorHAnsi" w:cstheme="majorHAnsi"/>
          <w:sz w:val="18"/>
          <w:szCs w:val="18"/>
        </w:rPr>
        <w:t xml:space="preserve">území </w:t>
      </w:r>
      <w:r w:rsidRPr="006070EA">
        <w:rPr>
          <w:rFonts w:asciiTheme="majorHAnsi" w:hAnsiTheme="majorHAnsi" w:cstheme="majorHAnsi"/>
          <w:sz w:val="18"/>
          <w:szCs w:val="18"/>
        </w:rPr>
        <w:t xml:space="preserve">je </w:t>
      </w:r>
      <w:r w:rsidR="00F97790" w:rsidRPr="006070EA">
        <w:rPr>
          <w:rFonts w:asciiTheme="majorHAnsi" w:hAnsiTheme="majorHAnsi" w:cstheme="majorHAnsi"/>
          <w:sz w:val="18"/>
          <w:szCs w:val="18"/>
        </w:rPr>
        <w:t xml:space="preserve">řeka </w:t>
      </w:r>
      <w:r w:rsidR="000E7F63" w:rsidRPr="006070EA">
        <w:rPr>
          <w:rFonts w:asciiTheme="majorHAnsi" w:hAnsiTheme="majorHAnsi" w:cstheme="majorHAnsi"/>
          <w:sz w:val="18"/>
          <w:szCs w:val="18"/>
        </w:rPr>
        <w:t>Labe</w:t>
      </w:r>
      <w:r w:rsidR="00F97790" w:rsidRPr="006070EA">
        <w:rPr>
          <w:rFonts w:asciiTheme="majorHAnsi" w:hAnsiTheme="majorHAnsi" w:cstheme="majorHAnsi"/>
          <w:sz w:val="18"/>
          <w:szCs w:val="18"/>
        </w:rPr>
        <w:t xml:space="preserve">, </w:t>
      </w:r>
      <w:r w:rsidR="000E7F63" w:rsidRPr="006070EA">
        <w:rPr>
          <w:rFonts w:asciiTheme="majorHAnsi" w:hAnsiTheme="majorHAnsi" w:cstheme="majorHAnsi"/>
          <w:sz w:val="18"/>
          <w:szCs w:val="18"/>
        </w:rPr>
        <w:t>protékající po jižní hranici území.</w:t>
      </w:r>
      <w:r w:rsidR="00F97790" w:rsidRPr="006070EA">
        <w:rPr>
          <w:rFonts w:asciiTheme="majorHAnsi" w:hAnsiTheme="majorHAnsi" w:cstheme="majorHAnsi"/>
          <w:sz w:val="18"/>
          <w:szCs w:val="18"/>
        </w:rPr>
        <w:t xml:space="preserve"> </w:t>
      </w:r>
      <w:r w:rsidR="005E0426" w:rsidRPr="006070EA">
        <w:rPr>
          <w:rFonts w:asciiTheme="majorHAnsi" w:hAnsiTheme="majorHAnsi" w:cstheme="majorHAnsi"/>
          <w:sz w:val="18"/>
          <w:szCs w:val="18"/>
        </w:rPr>
        <w:t>V</w:t>
      </w:r>
      <w:r w:rsidRPr="006070EA">
        <w:rPr>
          <w:rFonts w:asciiTheme="majorHAnsi" w:hAnsiTheme="majorHAnsi" w:cstheme="majorHAnsi"/>
          <w:sz w:val="18"/>
          <w:szCs w:val="18"/>
        </w:rPr>
        <w:t xml:space="preserve"> řešeném</w:t>
      </w:r>
      <w:r w:rsidR="005E0426" w:rsidRPr="006070EA">
        <w:rPr>
          <w:rFonts w:asciiTheme="majorHAnsi" w:hAnsiTheme="majorHAnsi" w:cstheme="majorHAnsi"/>
          <w:sz w:val="18"/>
          <w:szCs w:val="18"/>
        </w:rPr>
        <w:t xml:space="preserve"> území se nachází několik historicky, kulturně a přírodně hodnotných míst, které z hlediska cestovních ruchů vytvářejí potenciální cíle pro návštěvu, </w:t>
      </w:r>
      <w:r w:rsidR="000E7F63" w:rsidRPr="006070EA">
        <w:rPr>
          <w:rFonts w:asciiTheme="majorHAnsi" w:hAnsiTheme="majorHAnsi" w:cstheme="majorHAnsi"/>
          <w:sz w:val="18"/>
          <w:szCs w:val="18"/>
        </w:rPr>
        <w:t>podrobněji viz kapitola 11.2.3.</w:t>
      </w:r>
      <w:r w:rsidR="005E0426" w:rsidRPr="006070EA">
        <w:rPr>
          <w:rFonts w:asciiTheme="majorHAnsi" w:hAnsiTheme="majorHAnsi" w:cstheme="majorHAnsi"/>
          <w:sz w:val="18"/>
          <w:szCs w:val="18"/>
        </w:rPr>
        <w:t xml:space="preserve"> </w:t>
      </w:r>
    </w:p>
    <w:p w14:paraId="723B2340" w14:textId="34D86C02" w:rsidR="000E7F63" w:rsidRPr="006070EA" w:rsidRDefault="000E7F63" w:rsidP="000E7F63">
      <w:pPr>
        <w:spacing w:before="120" w:after="120" w:line="240" w:lineRule="auto"/>
        <w:ind w:firstLine="709"/>
        <w:jc w:val="both"/>
        <w:rPr>
          <w:rFonts w:asciiTheme="majorHAnsi" w:hAnsiTheme="majorHAnsi" w:cstheme="majorHAnsi"/>
          <w:sz w:val="18"/>
          <w:szCs w:val="18"/>
        </w:rPr>
      </w:pPr>
      <w:r w:rsidRPr="006070EA">
        <w:rPr>
          <w:rFonts w:asciiTheme="majorHAnsi" w:hAnsiTheme="majorHAnsi" w:cstheme="majorHAnsi"/>
          <w:sz w:val="18"/>
          <w:szCs w:val="18"/>
        </w:rPr>
        <w:t>Rozvoj různých forem rekreace je umožněn v rámci ploch s rozdílným způsobem využití v souladu s jejich stanovenými podmínkami využití.</w:t>
      </w:r>
    </w:p>
    <w:p w14:paraId="44E32050" w14:textId="25EA9112" w:rsidR="00EE0B78" w:rsidRPr="006070EA" w:rsidRDefault="00EE0B78" w:rsidP="00EE0B78">
      <w:pPr>
        <w:spacing w:before="120" w:after="60" w:line="240" w:lineRule="auto"/>
        <w:ind w:firstLine="709"/>
        <w:jc w:val="both"/>
        <w:rPr>
          <w:rFonts w:asciiTheme="majorHAnsi" w:hAnsiTheme="majorHAnsi" w:cstheme="majorHAnsi"/>
          <w:sz w:val="18"/>
          <w:szCs w:val="18"/>
        </w:rPr>
      </w:pPr>
      <w:r w:rsidRPr="006070EA">
        <w:rPr>
          <w:rFonts w:asciiTheme="majorHAnsi" w:hAnsiTheme="majorHAnsi" w:cstheme="majorHAnsi"/>
          <w:sz w:val="18"/>
          <w:szCs w:val="18"/>
        </w:rPr>
        <w:t xml:space="preserve">Územní plán Kostomlaty nad Labem stanovuje obecné zásady vycházející z odborné znalosti problematiky a její aplikace v řešeném území s ohledem na konkrétní podmínky v území, a dále zejména z těchto podkladů: </w:t>
      </w:r>
    </w:p>
    <w:p w14:paraId="585B85E3" w14:textId="42679AE3" w:rsidR="00EE0B78" w:rsidRPr="006070EA" w:rsidRDefault="00EE0B78" w:rsidP="00EE0B78">
      <w:pPr>
        <w:pStyle w:val="Odstavecseseznamem"/>
        <w:numPr>
          <w:ilvl w:val="0"/>
          <w:numId w:val="27"/>
        </w:numPr>
        <w:spacing w:after="120" w:line="240" w:lineRule="auto"/>
        <w:ind w:hanging="357"/>
        <w:jc w:val="both"/>
        <w:rPr>
          <w:rFonts w:asciiTheme="majorHAnsi" w:hAnsiTheme="majorHAnsi" w:cstheme="majorHAnsi"/>
          <w:sz w:val="18"/>
        </w:rPr>
      </w:pPr>
      <w:r w:rsidRPr="006070EA">
        <w:rPr>
          <w:rFonts w:asciiTheme="majorHAnsi" w:hAnsiTheme="majorHAnsi" w:cstheme="majorHAnsi"/>
          <w:sz w:val="18"/>
        </w:rPr>
        <w:t>PÚR ČR (ve znění aktualizací 1, 2, 3, 4</w:t>
      </w:r>
      <w:r w:rsidR="00386074" w:rsidRPr="006070EA">
        <w:rPr>
          <w:rFonts w:asciiTheme="majorHAnsi" w:hAnsiTheme="majorHAnsi" w:cstheme="majorHAnsi"/>
          <w:sz w:val="18"/>
        </w:rPr>
        <w:t>,</w:t>
      </w:r>
      <w:r w:rsidRPr="006070EA">
        <w:rPr>
          <w:rFonts w:asciiTheme="majorHAnsi" w:hAnsiTheme="majorHAnsi" w:cstheme="majorHAnsi"/>
          <w:sz w:val="18"/>
        </w:rPr>
        <w:t xml:space="preserve"> 5</w:t>
      </w:r>
      <w:r w:rsidR="00386074" w:rsidRPr="006070EA">
        <w:rPr>
          <w:rFonts w:asciiTheme="majorHAnsi" w:hAnsiTheme="majorHAnsi" w:cstheme="majorHAnsi"/>
          <w:sz w:val="18"/>
        </w:rPr>
        <w:t xml:space="preserve"> a 6</w:t>
      </w:r>
      <w:r w:rsidRPr="006070EA">
        <w:rPr>
          <w:rFonts w:asciiTheme="majorHAnsi" w:hAnsiTheme="majorHAnsi" w:cstheme="majorHAnsi"/>
          <w:sz w:val="18"/>
        </w:rPr>
        <w:t>)</w:t>
      </w:r>
    </w:p>
    <w:p w14:paraId="4A2C33B9" w14:textId="71B5C61D" w:rsidR="00EE0B78" w:rsidRPr="006070EA" w:rsidRDefault="00EE0B78" w:rsidP="00EE0B78">
      <w:pPr>
        <w:pStyle w:val="Odstavecseseznamem"/>
        <w:numPr>
          <w:ilvl w:val="0"/>
          <w:numId w:val="27"/>
        </w:numPr>
        <w:spacing w:after="120" w:line="240" w:lineRule="auto"/>
        <w:ind w:hanging="357"/>
        <w:jc w:val="both"/>
        <w:rPr>
          <w:rFonts w:asciiTheme="majorHAnsi" w:hAnsiTheme="majorHAnsi" w:cstheme="majorHAnsi"/>
          <w:sz w:val="18"/>
        </w:rPr>
      </w:pPr>
      <w:r w:rsidRPr="006070EA">
        <w:rPr>
          <w:rFonts w:asciiTheme="majorHAnsi" w:hAnsiTheme="majorHAnsi" w:cstheme="majorHAnsi"/>
          <w:sz w:val="18"/>
        </w:rPr>
        <w:t xml:space="preserve">Zásady územního rozvoje Středočeského kraje (ve znění aktualizací </w:t>
      </w:r>
      <w:r w:rsidR="00386074" w:rsidRPr="006070EA">
        <w:rPr>
          <w:rFonts w:asciiTheme="majorHAnsi" w:hAnsiTheme="majorHAnsi" w:cstheme="majorHAnsi"/>
          <w:sz w:val="18"/>
        </w:rPr>
        <w:t xml:space="preserve">č. </w:t>
      </w:r>
      <w:r w:rsidRPr="006070EA">
        <w:rPr>
          <w:rFonts w:asciiTheme="majorHAnsi" w:hAnsiTheme="majorHAnsi" w:cstheme="majorHAnsi"/>
          <w:sz w:val="18"/>
        </w:rPr>
        <w:t>1</w:t>
      </w:r>
      <w:r w:rsidR="00386074" w:rsidRPr="006070EA">
        <w:rPr>
          <w:rFonts w:asciiTheme="majorHAnsi" w:hAnsiTheme="majorHAnsi" w:cstheme="majorHAnsi"/>
          <w:sz w:val="18"/>
        </w:rPr>
        <w:t>,</w:t>
      </w:r>
      <w:r w:rsidRPr="006070EA">
        <w:rPr>
          <w:rFonts w:asciiTheme="majorHAnsi" w:hAnsiTheme="majorHAnsi" w:cstheme="majorHAnsi"/>
          <w:sz w:val="18"/>
        </w:rPr>
        <w:t xml:space="preserve"> 2</w:t>
      </w:r>
      <w:r w:rsidR="00386074" w:rsidRPr="006070EA">
        <w:rPr>
          <w:rFonts w:asciiTheme="majorHAnsi" w:hAnsiTheme="majorHAnsi" w:cstheme="majorHAnsi"/>
          <w:sz w:val="18"/>
        </w:rPr>
        <w:t>, 7 a 6</w:t>
      </w:r>
      <w:r w:rsidRPr="006070EA">
        <w:rPr>
          <w:rFonts w:asciiTheme="majorHAnsi" w:hAnsiTheme="majorHAnsi" w:cstheme="majorHAnsi"/>
          <w:sz w:val="18"/>
        </w:rPr>
        <w:t>)</w:t>
      </w:r>
    </w:p>
    <w:p w14:paraId="1CC92D61" w14:textId="77777777" w:rsidR="00EE0B78" w:rsidRPr="006070EA" w:rsidRDefault="00EE0B78" w:rsidP="00EE0B78">
      <w:pPr>
        <w:pStyle w:val="Odstavecseseznamem"/>
        <w:numPr>
          <w:ilvl w:val="0"/>
          <w:numId w:val="27"/>
        </w:numPr>
        <w:spacing w:after="120" w:line="240" w:lineRule="auto"/>
        <w:ind w:hanging="357"/>
        <w:jc w:val="both"/>
        <w:rPr>
          <w:rFonts w:asciiTheme="majorHAnsi" w:hAnsiTheme="majorHAnsi" w:cstheme="majorHAnsi"/>
          <w:sz w:val="18"/>
        </w:rPr>
      </w:pPr>
      <w:r w:rsidRPr="006070EA">
        <w:rPr>
          <w:rFonts w:asciiTheme="majorHAnsi" w:hAnsiTheme="majorHAnsi" w:cstheme="majorHAnsi"/>
          <w:sz w:val="18"/>
        </w:rPr>
        <w:t>Návrh nové rajonizace cestovního ruchu ČR</w:t>
      </w:r>
    </w:p>
    <w:p w14:paraId="6CDEAEAA" w14:textId="77777777" w:rsidR="00EE0B78" w:rsidRPr="006070EA" w:rsidRDefault="00EE0B78" w:rsidP="00EE0B78">
      <w:pPr>
        <w:pStyle w:val="Odstavecseseznamem"/>
        <w:numPr>
          <w:ilvl w:val="0"/>
          <w:numId w:val="27"/>
        </w:numPr>
        <w:spacing w:after="120" w:line="240" w:lineRule="auto"/>
        <w:ind w:hanging="357"/>
        <w:jc w:val="both"/>
        <w:rPr>
          <w:rFonts w:asciiTheme="majorHAnsi" w:hAnsiTheme="majorHAnsi" w:cstheme="majorHAnsi"/>
          <w:sz w:val="18"/>
        </w:rPr>
      </w:pPr>
      <w:r w:rsidRPr="006070EA">
        <w:rPr>
          <w:rFonts w:asciiTheme="majorHAnsi" w:hAnsiTheme="majorHAnsi" w:cstheme="majorHAnsi"/>
          <w:sz w:val="18"/>
        </w:rPr>
        <w:t>zákon č. 114/1992 Sb., o ochraně přírody a krajiny, ve znění pozdějších předpisů</w:t>
      </w:r>
    </w:p>
    <w:p w14:paraId="35DF9416" w14:textId="77777777" w:rsidR="00EE0B78" w:rsidRPr="006070EA" w:rsidRDefault="00EE0B78" w:rsidP="00EE0B78">
      <w:pPr>
        <w:pStyle w:val="Odstavecseseznamem"/>
        <w:numPr>
          <w:ilvl w:val="0"/>
          <w:numId w:val="27"/>
        </w:numPr>
        <w:spacing w:after="120" w:line="240" w:lineRule="auto"/>
        <w:ind w:hanging="357"/>
        <w:jc w:val="both"/>
        <w:rPr>
          <w:rFonts w:asciiTheme="majorHAnsi" w:hAnsiTheme="majorHAnsi" w:cstheme="majorHAnsi"/>
          <w:sz w:val="18"/>
        </w:rPr>
      </w:pPr>
      <w:r w:rsidRPr="006070EA">
        <w:rPr>
          <w:rFonts w:asciiTheme="majorHAnsi" w:hAnsiTheme="majorHAnsi" w:cstheme="majorHAnsi"/>
          <w:sz w:val="18"/>
        </w:rPr>
        <w:t>Evropská úmluva o krajině</w:t>
      </w:r>
    </w:p>
    <w:p w14:paraId="5D40F239" w14:textId="657E4071" w:rsidR="00EE0B78" w:rsidRPr="006070EA" w:rsidRDefault="00EE0B78" w:rsidP="00EE0B78">
      <w:pPr>
        <w:pStyle w:val="Odstavecseseznamem"/>
        <w:numPr>
          <w:ilvl w:val="0"/>
          <w:numId w:val="27"/>
        </w:numPr>
        <w:spacing w:after="120" w:line="240" w:lineRule="auto"/>
        <w:ind w:hanging="357"/>
        <w:jc w:val="both"/>
        <w:rPr>
          <w:rFonts w:asciiTheme="majorHAnsi" w:hAnsiTheme="majorHAnsi" w:cstheme="majorHAnsi"/>
          <w:sz w:val="18"/>
        </w:rPr>
      </w:pPr>
      <w:r w:rsidRPr="006070EA">
        <w:rPr>
          <w:rFonts w:asciiTheme="majorHAnsi" w:hAnsiTheme="majorHAnsi" w:cstheme="majorHAnsi"/>
          <w:sz w:val="18"/>
        </w:rPr>
        <w:t xml:space="preserve">ÚAP SO ORP Nymburk </w:t>
      </w:r>
    </w:p>
    <w:p w14:paraId="1F995392" w14:textId="370ABC94" w:rsidR="00EE0B78" w:rsidRPr="006070EA" w:rsidRDefault="00EE0B78" w:rsidP="00EE0B78">
      <w:pPr>
        <w:pStyle w:val="Odstavecseseznamem"/>
        <w:numPr>
          <w:ilvl w:val="0"/>
          <w:numId w:val="27"/>
        </w:numPr>
        <w:spacing w:after="120" w:line="240" w:lineRule="auto"/>
        <w:ind w:hanging="357"/>
        <w:jc w:val="both"/>
        <w:rPr>
          <w:rFonts w:asciiTheme="majorHAnsi" w:hAnsiTheme="majorHAnsi" w:cstheme="majorHAnsi"/>
          <w:sz w:val="18"/>
        </w:rPr>
      </w:pPr>
      <w:r w:rsidRPr="006070EA">
        <w:rPr>
          <w:rFonts w:asciiTheme="majorHAnsi" w:hAnsiTheme="majorHAnsi" w:cstheme="majorHAnsi"/>
          <w:sz w:val="18"/>
        </w:rPr>
        <w:t>Zadání ÚP Kostomlaty nad Labem (2021)</w:t>
      </w:r>
    </w:p>
    <w:p w14:paraId="5827B9DD" w14:textId="77777777" w:rsidR="00EE0B78" w:rsidRPr="006070EA" w:rsidRDefault="00EE0B78" w:rsidP="00EE0B78">
      <w:pPr>
        <w:pStyle w:val="Odstavecseseznamem"/>
        <w:numPr>
          <w:ilvl w:val="0"/>
          <w:numId w:val="27"/>
        </w:numPr>
        <w:spacing w:after="120" w:line="240" w:lineRule="auto"/>
        <w:ind w:hanging="357"/>
        <w:jc w:val="both"/>
        <w:rPr>
          <w:rFonts w:asciiTheme="majorHAnsi" w:hAnsiTheme="majorHAnsi" w:cstheme="majorHAnsi"/>
          <w:sz w:val="18"/>
        </w:rPr>
      </w:pPr>
      <w:r w:rsidRPr="006070EA">
        <w:rPr>
          <w:rFonts w:asciiTheme="majorHAnsi" w:hAnsiTheme="majorHAnsi" w:cstheme="majorHAnsi"/>
          <w:sz w:val="18"/>
        </w:rPr>
        <w:t>terénní průzkum zpracovatele ÚP</w:t>
      </w:r>
    </w:p>
    <w:p w14:paraId="5E0CF7EB" w14:textId="091EC154" w:rsidR="00EE0B78" w:rsidRPr="006070EA" w:rsidRDefault="00EE0B78" w:rsidP="00EE0B78">
      <w:pPr>
        <w:spacing w:before="60" w:after="60" w:line="240" w:lineRule="auto"/>
        <w:ind w:firstLine="709"/>
        <w:jc w:val="both"/>
        <w:rPr>
          <w:rFonts w:asciiTheme="majorHAnsi" w:hAnsiTheme="majorHAnsi" w:cstheme="majorHAnsi"/>
          <w:sz w:val="18"/>
        </w:rPr>
      </w:pPr>
      <w:r w:rsidRPr="006070EA">
        <w:rPr>
          <w:rFonts w:asciiTheme="majorHAnsi" w:hAnsiTheme="majorHAnsi" w:cstheme="majorHAnsi"/>
          <w:sz w:val="18"/>
        </w:rPr>
        <w:t>K rozvoji cestovního ruchu musí docházet takovým způsobem, který napomáhá celkovému rozvoji území, je šetrný k</w:t>
      </w:r>
      <w:r w:rsidR="00386074" w:rsidRPr="006070EA">
        <w:rPr>
          <w:rFonts w:asciiTheme="majorHAnsi" w:hAnsiTheme="majorHAnsi" w:cstheme="majorHAnsi"/>
          <w:sz w:val="18"/>
        </w:rPr>
        <w:t> </w:t>
      </w:r>
      <w:r w:rsidRPr="006070EA">
        <w:rPr>
          <w:rFonts w:asciiTheme="majorHAnsi" w:hAnsiTheme="majorHAnsi" w:cstheme="majorHAnsi"/>
          <w:sz w:val="18"/>
        </w:rPr>
        <w:t>využívání přírodních a kulturních hodnot obce a vede k dlouhodobé prosperitě, aniž by ohrozil uspokojení potřeb budoucích generací.</w:t>
      </w:r>
    </w:p>
    <w:p w14:paraId="328FC877" w14:textId="77777777" w:rsidR="00EE0B78" w:rsidRPr="006070EA" w:rsidRDefault="00EE0B78" w:rsidP="00EE0B78">
      <w:pPr>
        <w:spacing w:before="60" w:after="60" w:line="240" w:lineRule="auto"/>
        <w:ind w:firstLine="709"/>
        <w:jc w:val="both"/>
        <w:rPr>
          <w:rFonts w:asciiTheme="majorHAnsi" w:hAnsiTheme="majorHAnsi" w:cstheme="majorHAnsi"/>
          <w:sz w:val="18"/>
        </w:rPr>
      </w:pPr>
      <w:r w:rsidRPr="006070EA">
        <w:rPr>
          <w:rFonts w:asciiTheme="majorHAnsi" w:hAnsiTheme="majorHAnsi" w:cstheme="majorHAnsi"/>
          <w:sz w:val="18"/>
        </w:rPr>
        <w:t xml:space="preserve">Umožnění rekreačních aktivit v krajině je jedním ze základních předpokladů rozvoje turistiky v území. ÚP v tomto směru definuje podmínky pro rozvoj rekreačních aktivit v nezastavěném území. Zásada je stanovena také dle PÚR ČR („vytvářet územní podmínky pro zajištění migrační prostupnosti krajiny pro volně žijící živočichy a pro člověka“). Fyzická prostupnost území (pohyb lidí po veřejných komunikacích a cestách – v územním plánu reprezentovaných plochami veřejných prostranství) je základním předpokladem pro jeho (nejen rekreační) využívání. Biologická prostupnost území zajišťuje zachování a rozvoj biologické rozmanitosti území a migraci živočichů, které jsou nezbytným předpokladem ochrany přírody a krajiny. </w:t>
      </w:r>
    </w:p>
    <w:p w14:paraId="510A4BC1" w14:textId="77B0D1AD" w:rsidR="00EE0B78" w:rsidRPr="006070EA" w:rsidRDefault="00EE0B78" w:rsidP="00EE0B78">
      <w:pPr>
        <w:spacing w:before="60" w:after="60" w:line="240" w:lineRule="auto"/>
        <w:ind w:firstLine="709"/>
        <w:jc w:val="both"/>
        <w:rPr>
          <w:rFonts w:asciiTheme="majorHAnsi" w:hAnsiTheme="majorHAnsi" w:cstheme="majorHAnsi"/>
          <w:sz w:val="18"/>
        </w:rPr>
      </w:pPr>
      <w:r w:rsidRPr="006070EA">
        <w:rPr>
          <w:rFonts w:asciiTheme="majorHAnsi" w:hAnsiTheme="majorHAnsi" w:cstheme="majorHAnsi"/>
          <w:sz w:val="18"/>
        </w:rPr>
        <w:t>Předpokladem pro rozvoj cestovního ruchu obce je efektivní využití turistického potenciálu území, spočívající především v posílení spolupráce a provázanosti se sousedními obcemi, využití kvalitního a atraktivního přírodního prostředí, kulturně historických památek území, a ve zvýšení nabídky služeb spojených s cestovním ruchem. K rozvoji cestovního ruchu musí zároveň docházet takovým způsobem, který napomáhá celkovému rozvoji území, je šetrný k využívání přírodních a kulturních hodnot obce a vede k dlouhodobé prosperitě, aniž by ohrozil uspokojení potřeb budoucích generací.</w:t>
      </w:r>
    </w:p>
    <w:p w14:paraId="5E20BE84" w14:textId="4A60B05D" w:rsidR="00EE0B78" w:rsidRPr="006070EA" w:rsidRDefault="00EE0B78" w:rsidP="00EE0B78">
      <w:pPr>
        <w:spacing w:before="60" w:after="60" w:line="240" w:lineRule="auto"/>
        <w:ind w:firstLine="709"/>
        <w:jc w:val="both"/>
        <w:rPr>
          <w:rFonts w:asciiTheme="majorHAnsi" w:hAnsiTheme="majorHAnsi" w:cstheme="majorHAnsi"/>
          <w:sz w:val="18"/>
        </w:rPr>
      </w:pPr>
      <w:r w:rsidRPr="006070EA">
        <w:rPr>
          <w:rFonts w:asciiTheme="majorHAnsi" w:hAnsiTheme="majorHAnsi" w:cstheme="majorHAnsi"/>
          <w:sz w:val="18"/>
        </w:rPr>
        <w:lastRenderedPageBreak/>
        <w:t xml:space="preserve">V rámci rekreační funkce se uplatňují nejen plochy přímo určené pro rekreace, ale také zařízení rekreace a cestovního ruchu, která jsou nedílnou součástí smíšených městských území, v menší míře i v plochách bydlení, a dále jako doplňková zařízení v plochách občanského vybavení. Samostatně pak rekreační funkci doplňují sportovní zařízení ať už v urbanizovaném území (sportovní stavby, stadiony, bazén) nebo areály extenzivních sportovních aktivit ve volné krajině. Nezbytnou součástí rekreace je síť pěších a cyklistických tras, které jsou vedeny v rámci systému veřejných prostranství, a dále systém sídelní zeleně zajišťující každodenní rekreaci obyvatel. </w:t>
      </w:r>
    </w:p>
    <w:p w14:paraId="0409F8D3" w14:textId="77777777" w:rsidR="00765DA3" w:rsidRPr="006070EA" w:rsidRDefault="00765DA3" w:rsidP="00CE07C9">
      <w:pPr>
        <w:spacing w:before="60" w:after="60" w:line="240" w:lineRule="auto"/>
        <w:ind w:firstLine="709"/>
        <w:jc w:val="both"/>
        <w:rPr>
          <w:rFonts w:asciiTheme="majorHAnsi" w:hAnsiTheme="majorHAnsi" w:cstheme="majorHAnsi"/>
          <w:sz w:val="18"/>
        </w:rPr>
      </w:pPr>
      <w:r w:rsidRPr="006070EA">
        <w:rPr>
          <w:rFonts w:asciiTheme="majorHAnsi" w:hAnsiTheme="majorHAnsi" w:cstheme="majorHAnsi"/>
          <w:sz w:val="18"/>
        </w:rPr>
        <w:t xml:space="preserve">Územní plán za účelem podpory cestovního ruchu umožňuje v rámci podmínek ploch s rozdílným způsobem využití realizovat stavby a opatření zvyšující atraktivitu obce pro turisty a rekreanty. </w:t>
      </w:r>
    </w:p>
    <w:p w14:paraId="0D9B6F60" w14:textId="77777777" w:rsidR="00765DA3" w:rsidRPr="006070EA" w:rsidRDefault="00765DA3" w:rsidP="00CE07C9">
      <w:pPr>
        <w:spacing w:before="60" w:after="60" w:line="240" w:lineRule="auto"/>
        <w:ind w:firstLine="709"/>
        <w:jc w:val="both"/>
        <w:rPr>
          <w:rFonts w:asciiTheme="majorHAnsi" w:hAnsiTheme="majorHAnsi" w:cstheme="majorHAnsi"/>
          <w:sz w:val="18"/>
        </w:rPr>
      </w:pPr>
      <w:r w:rsidRPr="006070EA">
        <w:rPr>
          <w:rFonts w:asciiTheme="majorHAnsi" w:hAnsiTheme="majorHAnsi" w:cstheme="majorHAnsi"/>
          <w:sz w:val="18"/>
        </w:rPr>
        <w:t>Podpora malého a středního podnikání ve vazbě na cestovní ruch je jedním z pilířů ekonomické soběstačnosti obce. Územní plán v rámci podmínek využití jednotlivých ploch s rozdílným způsobem využití, zejména ploch bydlení</w:t>
      </w:r>
      <w:r w:rsidR="00B14E1C" w:rsidRPr="006070EA">
        <w:rPr>
          <w:rFonts w:asciiTheme="majorHAnsi" w:hAnsiTheme="majorHAnsi" w:cstheme="majorHAnsi"/>
          <w:sz w:val="18"/>
        </w:rPr>
        <w:t>, smíšených venkovských</w:t>
      </w:r>
      <w:r w:rsidRPr="006070EA">
        <w:rPr>
          <w:rFonts w:asciiTheme="majorHAnsi" w:hAnsiTheme="majorHAnsi" w:cstheme="majorHAnsi"/>
          <w:sz w:val="18"/>
        </w:rPr>
        <w:t xml:space="preserve"> a ploch občanského vybavení, </w:t>
      </w:r>
      <w:r w:rsidR="00B14E1C" w:rsidRPr="006070EA">
        <w:rPr>
          <w:rFonts w:asciiTheme="majorHAnsi" w:hAnsiTheme="majorHAnsi" w:cstheme="majorHAnsi"/>
          <w:sz w:val="18"/>
        </w:rPr>
        <w:t xml:space="preserve">přičemž </w:t>
      </w:r>
      <w:r w:rsidRPr="006070EA">
        <w:rPr>
          <w:rFonts w:asciiTheme="majorHAnsi" w:hAnsiTheme="majorHAnsi" w:cstheme="majorHAnsi"/>
          <w:sz w:val="18"/>
        </w:rPr>
        <w:t xml:space="preserve">umožňuje prolínaní funkcí, které se vzájemně negativně neovlivňují. </w:t>
      </w:r>
    </w:p>
    <w:p w14:paraId="00841E79" w14:textId="77777777" w:rsidR="004254E6" w:rsidRPr="006070EA" w:rsidRDefault="00082327" w:rsidP="003A4B1E">
      <w:pPr>
        <w:pStyle w:val="Odstavecseseznamem"/>
        <w:keepNext/>
        <w:numPr>
          <w:ilvl w:val="2"/>
          <w:numId w:val="30"/>
        </w:numPr>
        <w:spacing w:before="160" w:after="120" w:line="240" w:lineRule="auto"/>
        <w:ind w:left="709" w:hanging="709"/>
        <w:contextualSpacing w:val="0"/>
        <w:outlineLvl w:val="2"/>
        <w:rPr>
          <w:rFonts w:asciiTheme="majorHAnsi" w:hAnsiTheme="majorHAnsi" w:cstheme="majorHAnsi"/>
          <w:b/>
        </w:rPr>
      </w:pPr>
      <w:bookmarkStart w:id="399" w:name="_Toc204678212"/>
      <w:r w:rsidRPr="006070EA">
        <w:rPr>
          <w:rFonts w:asciiTheme="majorHAnsi" w:hAnsiTheme="majorHAnsi" w:cstheme="majorHAnsi"/>
          <w:b/>
        </w:rPr>
        <w:t>Odůvodnění podmínek pro dobývání ložisek nerostných surovin</w:t>
      </w:r>
      <w:bookmarkEnd w:id="399"/>
    </w:p>
    <w:p w14:paraId="1F2BED2F" w14:textId="27D01C75" w:rsidR="00267CB8" w:rsidRPr="006070EA" w:rsidRDefault="00267CB8" w:rsidP="00267CB8">
      <w:pPr>
        <w:pStyle w:val="Atext"/>
        <w:keepNext/>
        <w:ind w:firstLine="0"/>
        <w:jc w:val="right"/>
        <w:rPr>
          <w:rFonts w:asciiTheme="majorHAnsi" w:hAnsiTheme="majorHAnsi" w:cstheme="majorHAnsi"/>
          <w:i/>
          <w:snapToGrid w:val="0"/>
          <w:u w:val="single"/>
        </w:rPr>
      </w:pPr>
      <w:r w:rsidRPr="006070EA">
        <w:rPr>
          <w:rFonts w:asciiTheme="majorHAnsi" w:hAnsiTheme="majorHAnsi" w:cstheme="majorHAnsi"/>
          <w:i/>
          <w:snapToGrid w:val="0"/>
          <w:u w:val="single"/>
        </w:rPr>
        <w:t xml:space="preserve">Odůvodnění odst. </w:t>
      </w:r>
      <w:r w:rsidRPr="006070EA">
        <w:rPr>
          <w:rFonts w:asciiTheme="majorHAnsi" w:hAnsiTheme="majorHAnsi" w:cstheme="majorHAnsi"/>
          <w:b/>
          <w:i/>
          <w:snapToGrid w:val="0"/>
          <w:u w:val="single"/>
        </w:rPr>
        <w:t>(</w:t>
      </w:r>
      <w:r w:rsidR="0021590A">
        <w:rPr>
          <w:rFonts w:asciiTheme="majorHAnsi" w:hAnsiTheme="majorHAnsi" w:cstheme="majorHAnsi"/>
          <w:b/>
          <w:i/>
          <w:snapToGrid w:val="0"/>
          <w:u w:val="single"/>
        </w:rPr>
        <w:t>59</w:t>
      </w:r>
      <w:r w:rsidRPr="006070EA">
        <w:rPr>
          <w:rFonts w:asciiTheme="majorHAnsi" w:hAnsiTheme="majorHAnsi" w:cstheme="majorHAnsi"/>
          <w:b/>
          <w:i/>
          <w:snapToGrid w:val="0"/>
          <w:u w:val="single"/>
        </w:rPr>
        <w:t>)</w:t>
      </w:r>
      <w:r w:rsidRPr="006070EA">
        <w:rPr>
          <w:rFonts w:asciiTheme="majorHAnsi" w:hAnsiTheme="majorHAnsi" w:cstheme="majorHAnsi"/>
          <w:i/>
          <w:snapToGrid w:val="0"/>
          <w:u w:val="single"/>
        </w:rPr>
        <w:t xml:space="preserve"> výrokové části</w:t>
      </w:r>
    </w:p>
    <w:p w14:paraId="7336E1F6" w14:textId="0FD128DC" w:rsidR="00267CB8" w:rsidRPr="006070EA" w:rsidRDefault="0030034C" w:rsidP="00267CB8">
      <w:pPr>
        <w:spacing w:after="60" w:line="240" w:lineRule="auto"/>
        <w:ind w:firstLine="709"/>
        <w:jc w:val="both"/>
        <w:rPr>
          <w:rFonts w:asciiTheme="majorHAnsi" w:hAnsiTheme="majorHAnsi" w:cstheme="majorHAnsi"/>
          <w:sz w:val="18"/>
        </w:rPr>
      </w:pPr>
      <w:r w:rsidRPr="006070EA">
        <w:rPr>
          <w:rFonts w:asciiTheme="majorHAnsi" w:hAnsiTheme="majorHAnsi" w:cstheme="majorHAnsi"/>
          <w:sz w:val="18"/>
        </w:rPr>
        <w:t>Podle</w:t>
      </w:r>
      <w:r w:rsidR="00267CB8" w:rsidRPr="006070EA">
        <w:rPr>
          <w:rFonts w:asciiTheme="majorHAnsi" w:hAnsiTheme="majorHAnsi" w:cstheme="majorHAnsi"/>
          <w:sz w:val="18"/>
        </w:rPr>
        <w:t> zákon</w:t>
      </w:r>
      <w:r w:rsidRPr="006070EA">
        <w:rPr>
          <w:rFonts w:asciiTheme="majorHAnsi" w:hAnsiTheme="majorHAnsi" w:cstheme="majorHAnsi"/>
          <w:sz w:val="18"/>
        </w:rPr>
        <w:t>a</w:t>
      </w:r>
      <w:r w:rsidR="00267CB8" w:rsidRPr="006070EA">
        <w:rPr>
          <w:rFonts w:asciiTheme="majorHAnsi" w:hAnsiTheme="majorHAnsi" w:cstheme="majorHAnsi"/>
          <w:sz w:val="18"/>
        </w:rPr>
        <w:t xml:space="preserve"> č. 44/1988 Sb., o ochraně a využití nerostného bohatství (horní zákon), ve znění pozdějších předpisů, </w:t>
      </w:r>
      <w:r w:rsidRPr="006070EA">
        <w:rPr>
          <w:rFonts w:asciiTheme="majorHAnsi" w:hAnsiTheme="majorHAnsi" w:cstheme="majorHAnsi"/>
          <w:sz w:val="18"/>
        </w:rPr>
        <w:t>ne</w:t>
      </w:r>
      <w:r w:rsidR="00267CB8" w:rsidRPr="006070EA">
        <w:rPr>
          <w:rFonts w:asciiTheme="majorHAnsi" w:hAnsiTheme="majorHAnsi" w:cstheme="majorHAnsi"/>
          <w:sz w:val="18"/>
        </w:rPr>
        <w:t xml:space="preserve">jsou </w:t>
      </w:r>
      <w:r w:rsidRPr="006070EA">
        <w:rPr>
          <w:rFonts w:asciiTheme="majorHAnsi" w:hAnsiTheme="majorHAnsi" w:cstheme="majorHAnsi"/>
          <w:sz w:val="18"/>
        </w:rPr>
        <w:t xml:space="preserve">v řešeném území </w:t>
      </w:r>
      <w:r w:rsidR="00267CB8" w:rsidRPr="006070EA">
        <w:rPr>
          <w:rFonts w:asciiTheme="majorHAnsi" w:hAnsiTheme="majorHAnsi" w:cstheme="majorHAnsi"/>
          <w:sz w:val="18"/>
        </w:rPr>
        <w:t>evidovaná chráněná ložisková území, ložiska nerostných surovin, poddolovaná a</w:t>
      </w:r>
      <w:r w:rsidRPr="006070EA">
        <w:rPr>
          <w:rFonts w:asciiTheme="majorHAnsi" w:hAnsiTheme="majorHAnsi" w:cstheme="majorHAnsi"/>
          <w:sz w:val="18"/>
        </w:rPr>
        <w:t>ni</w:t>
      </w:r>
      <w:r w:rsidR="00267CB8" w:rsidRPr="006070EA">
        <w:rPr>
          <w:rFonts w:asciiTheme="majorHAnsi" w:hAnsiTheme="majorHAnsi" w:cstheme="majorHAnsi"/>
          <w:sz w:val="18"/>
        </w:rPr>
        <w:t xml:space="preserve"> sesuvná území. </w:t>
      </w:r>
    </w:p>
    <w:p w14:paraId="1B879BEC" w14:textId="4CAB1B91" w:rsidR="00267CB8" w:rsidRPr="006070EA" w:rsidRDefault="00267CB8" w:rsidP="00267CB8">
      <w:pPr>
        <w:spacing w:after="60" w:line="240" w:lineRule="auto"/>
        <w:ind w:firstLine="709"/>
        <w:jc w:val="both"/>
        <w:rPr>
          <w:rFonts w:asciiTheme="majorHAnsi" w:hAnsiTheme="majorHAnsi" w:cstheme="majorHAnsi"/>
          <w:sz w:val="18"/>
        </w:rPr>
      </w:pPr>
      <w:r w:rsidRPr="006070EA">
        <w:rPr>
          <w:rFonts w:asciiTheme="majorHAnsi" w:hAnsiTheme="majorHAnsi" w:cstheme="majorHAnsi"/>
          <w:sz w:val="18"/>
        </w:rPr>
        <w:t>V řešeném území se nevyskytují stávající plochy těžby nerostů. Žádné konkrétní záměry na těžbu v řešeném území nebyly zjištěny, a proto je těžba v řešeném území zcela vyloučena v souladu s § 18 odst. 5 zákona č. 183/2006 Sb. s ohledem na ochranu nezastavěného území a zejména ochranu přírodních a historických hodnot</w:t>
      </w:r>
      <w:r w:rsidR="0030034C" w:rsidRPr="006070EA">
        <w:rPr>
          <w:rFonts w:asciiTheme="majorHAnsi" w:hAnsiTheme="majorHAnsi" w:cstheme="majorHAnsi"/>
          <w:sz w:val="18"/>
        </w:rPr>
        <w:t xml:space="preserve"> a</w:t>
      </w:r>
      <w:r w:rsidRPr="006070EA">
        <w:rPr>
          <w:rFonts w:asciiTheme="majorHAnsi" w:hAnsiTheme="majorHAnsi" w:cstheme="majorHAnsi"/>
          <w:sz w:val="18"/>
        </w:rPr>
        <w:t xml:space="preserve"> kvalitního životního prostředí, které je nezbytným předpokladem pro zachování rekreačního významu území.</w:t>
      </w:r>
    </w:p>
    <w:p w14:paraId="3EC5C46B" w14:textId="77777777" w:rsidR="00082327" w:rsidRPr="006070EA" w:rsidRDefault="00082327" w:rsidP="00C1554B">
      <w:pPr>
        <w:pStyle w:val="Mra2-reakceern"/>
        <w:keepNext/>
        <w:keepLines/>
        <w:pBdr>
          <w:left w:val="none" w:sz="0" w:space="0" w:color="auto"/>
        </w:pBdr>
        <w:shd w:val="clear" w:color="auto" w:fill="DEEAF6" w:themeFill="accent1" w:themeFillTint="33"/>
        <w:spacing w:before="240" w:after="120"/>
        <w:ind w:left="703" w:hanging="703"/>
        <w:rPr>
          <w:rFonts w:asciiTheme="majorHAnsi" w:hAnsiTheme="majorHAnsi" w:cstheme="majorHAnsi"/>
          <w:b/>
          <w:i/>
          <w:color w:val="auto"/>
          <w:sz w:val="22"/>
        </w:rPr>
      </w:pPr>
      <w:r w:rsidRPr="006070EA">
        <w:rPr>
          <w:rFonts w:asciiTheme="majorHAnsi" w:hAnsiTheme="majorHAnsi" w:cstheme="majorHAnsi"/>
          <w:b/>
          <w:i/>
          <w:color w:val="auto"/>
          <w:sz w:val="22"/>
        </w:rPr>
        <w:t>AD 6</w:t>
      </w:r>
      <w:r w:rsidRPr="006070EA">
        <w:rPr>
          <w:rFonts w:asciiTheme="majorHAnsi" w:hAnsiTheme="majorHAnsi" w:cstheme="majorHAnsi"/>
          <w:b/>
          <w:i/>
          <w:color w:val="auto"/>
          <w:sz w:val="22"/>
        </w:rPr>
        <w:tab/>
        <w:t>Stanovení podmínek pro využití ploch s rozdílným způsobem využití s určením převažujícího účelu využití (hlavní využití), pokud je možné jej stanovit, přípustného využití, nepřípustného využití (včetně stanovení, ve kterých plochách je vyloučeno umisťování staveb, zařízení a jiných opatření pro účely uvedené v § 18 odst. 5 stavebního zákona), popřípadě stanovení podmíněně přípustného využití těchto ploch a stanovení podmínek prostorového uspořádání, včetně základních podmínek ochrany krajinného rázu (například výškové regulace zástavby, charakteru a struktury zástavby, stanovení rozmezí výměry pro vymezování stavebních pozemků a intenzity jejich využití)</w:t>
      </w:r>
    </w:p>
    <w:p w14:paraId="440D1044" w14:textId="751DE140" w:rsidR="00974B9D" w:rsidRPr="006070EA" w:rsidRDefault="00974B9D" w:rsidP="003A4B1E">
      <w:pPr>
        <w:pStyle w:val="Odstavecseseznamem"/>
        <w:keepNext/>
        <w:numPr>
          <w:ilvl w:val="1"/>
          <w:numId w:val="30"/>
        </w:numPr>
        <w:spacing w:before="160" w:after="120" w:line="240" w:lineRule="auto"/>
        <w:ind w:left="709" w:hanging="709"/>
        <w:contextualSpacing w:val="0"/>
        <w:outlineLvl w:val="1"/>
        <w:rPr>
          <w:rFonts w:asciiTheme="majorHAnsi" w:hAnsiTheme="majorHAnsi" w:cstheme="majorHAnsi"/>
          <w:b/>
          <w:sz w:val="24"/>
          <w:szCs w:val="20"/>
        </w:rPr>
      </w:pPr>
      <w:bookmarkStart w:id="400" w:name="_Toc204678213"/>
      <w:bookmarkStart w:id="401" w:name="_Toc459717340"/>
      <w:r w:rsidRPr="006070EA">
        <w:rPr>
          <w:rFonts w:asciiTheme="majorHAnsi" w:hAnsiTheme="majorHAnsi" w:cstheme="majorHAnsi"/>
          <w:b/>
          <w:sz w:val="24"/>
          <w:szCs w:val="20"/>
        </w:rPr>
        <w:t xml:space="preserve">Odůvodnění podmínek </w:t>
      </w:r>
      <w:r w:rsidR="00D91F09" w:rsidRPr="006070EA">
        <w:rPr>
          <w:rFonts w:asciiTheme="majorHAnsi" w:hAnsiTheme="majorHAnsi" w:cstheme="majorHAnsi"/>
          <w:b/>
          <w:sz w:val="24"/>
          <w:szCs w:val="20"/>
        </w:rPr>
        <w:t xml:space="preserve">využití a </w:t>
      </w:r>
      <w:r w:rsidRPr="006070EA">
        <w:rPr>
          <w:rFonts w:asciiTheme="majorHAnsi" w:hAnsiTheme="majorHAnsi" w:cstheme="majorHAnsi"/>
          <w:b/>
          <w:sz w:val="24"/>
          <w:szCs w:val="20"/>
        </w:rPr>
        <w:t>prostorové uspořádání území</w:t>
      </w:r>
      <w:bookmarkEnd w:id="400"/>
      <w:r w:rsidRPr="006070EA">
        <w:rPr>
          <w:rFonts w:asciiTheme="majorHAnsi" w:hAnsiTheme="majorHAnsi" w:cstheme="majorHAnsi"/>
          <w:b/>
          <w:sz w:val="24"/>
          <w:szCs w:val="20"/>
        </w:rPr>
        <w:t xml:space="preserve"> </w:t>
      </w:r>
      <w:bookmarkEnd w:id="401"/>
    </w:p>
    <w:p w14:paraId="0B635876" w14:textId="77777777" w:rsidR="003B36CA" w:rsidRPr="006070EA" w:rsidRDefault="003B36CA" w:rsidP="003B36CA">
      <w:pPr>
        <w:pStyle w:val="Odstavecseseznamem"/>
        <w:keepNext/>
        <w:numPr>
          <w:ilvl w:val="2"/>
          <w:numId w:val="30"/>
        </w:numPr>
        <w:spacing w:before="160" w:after="120" w:line="240" w:lineRule="auto"/>
        <w:ind w:left="709" w:hanging="709"/>
        <w:contextualSpacing w:val="0"/>
        <w:outlineLvl w:val="2"/>
        <w:rPr>
          <w:rFonts w:asciiTheme="majorHAnsi" w:hAnsiTheme="majorHAnsi" w:cstheme="majorHAnsi"/>
          <w:b/>
        </w:rPr>
      </w:pPr>
      <w:bookmarkStart w:id="402" w:name="_Toc85130718"/>
      <w:bookmarkStart w:id="403" w:name="_Toc204678214"/>
      <w:r w:rsidRPr="006070EA">
        <w:rPr>
          <w:rFonts w:asciiTheme="majorHAnsi" w:hAnsiTheme="majorHAnsi" w:cstheme="majorHAnsi"/>
          <w:b/>
        </w:rPr>
        <w:t>Odůvodnění výkladu pojmů</w:t>
      </w:r>
      <w:bookmarkEnd w:id="402"/>
      <w:bookmarkEnd w:id="403"/>
    </w:p>
    <w:p w14:paraId="7D454B6E" w14:textId="3E9167E1" w:rsidR="003B36CA" w:rsidRPr="006070EA" w:rsidRDefault="003B36CA" w:rsidP="003B36CA">
      <w:pPr>
        <w:pStyle w:val="Atext"/>
        <w:keepNext/>
        <w:ind w:firstLine="0"/>
        <w:jc w:val="right"/>
        <w:rPr>
          <w:rFonts w:asciiTheme="majorHAnsi" w:hAnsiTheme="majorHAnsi" w:cstheme="majorHAnsi"/>
          <w:i/>
          <w:snapToGrid w:val="0"/>
          <w:u w:val="single"/>
        </w:rPr>
      </w:pPr>
      <w:r w:rsidRPr="006070EA">
        <w:rPr>
          <w:rFonts w:asciiTheme="majorHAnsi" w:hAnsiTheme="majorHAnsi" w:cstheme="majorHAnsi"/>
          <w:i/>
          <w:snapToGrid w:val="0"/>
          <w:u w:val="single"/>
        </w:rPr>
        <w:t>Odůvodnění odst.</w:t>
      </w:r>
      <w:r w:rsidRPr="006070EA">
        <w:rPr>
          <w:rFonts w:asciiTheme="majorHAnsi" w:hAnsiTheme="majorHAnsi" w:cstheme="majorHAnsi"/>
          <w:b/>
          <w:i/>
          <w:snapToGrid w:val="0"/>
          <w:u w:val="single"/>
        </w:rPr>
        <w:t xml:space="preserve"> (6</w:t>
      </w:r>
      <w:r w:rsidR="0021590A">
        <w:rPr>
          <w:rFonts w:asciiTheme="majorHAnsi" w:hAnsiTheme="majorHAnsi" w:cstheme="majorHAnsi"/>
          <w:b/>
          <w:i/>
          <w:snapToGrid w:val="0"/>
          <w:u w:val="single"/>
        </w:rPr>
        <w:t>0</w:t>
      </w:r>
      <w:r w:rsidRPr="006070EA">
        <w:rPr>
          <w:rFonts w:asciiTheme="majorHAnsi" w:hAnsiTheme="majorHAnsi" w:cstheme="majorHAnsi"/>
          <w:b/>
          <w:i/>
          <w:snapToGrid w:val="0"/>
          <w:u w:val="single"/>
        </w:rPr>
        <w:t xml:space="preserve">) </w:t>
      </w:r>
      <w:r w:rsidRPr="006070EA">
        <w:rPr>
          <w:rFonts w:asciiTheme="majorHAnsi" w:hAnsiTheme="majorHAnsi" w:cstheme="majorHAnsi"/>
          <w:i/>
          <w:snapToGrid w:val="0"/>
          <w:u w:val="single"/>
        </w:rPr>
        <w:t>výrokové části</w:t>
      </w:r>
    </w:p>
    <w:p w14:paraId="666BAD60" w14:textId="10A0C3E3" w:rsidR="003B36CA" w:rsidRPr="006070EA" w:rsidRDefault="003B36CA" w:rsidP="003B36CA">
      <w:pPr>
        <w:pStyle w:val="Atext"/>
        <w:rPr>
          <w:rFonts w:asciiTheme="majorHAnsi" w:hAnsiTheme="majorHAnsi" w:cstheme="majorHAnsi"/>
        </w:rPr>
      </w:pPr>
      <w:r w:rsidRPr="006070EA">
        <w:rPr>
          <w:rFonts w:asciiTheme="majorHAnsi" w:hAnsiTheme="majorHAnsi" w:cstheme="majorHAnsi"/>
        </w:rPr>
        <w:t>Výklad pojmů je uveden z důvodu nezbytnosti jednoznačného výkladu ustanovení obsažených v územním plánu s</w:t>
      </w:r>
      <w:r w:rsidR="00D91F09" w:rsidRPr="006070EA">
        <w:rPr>
          <w:rFonts w:asciiTheme="majorHAnsi" w:hAnsiTheme="majorHAnsi" w:cstheme="majorHAnsi"/>
        </w:rPr>
        <w:t> </w:t>
      </w:r>
      <w:r w:rsidRPr="006070EA">
        <w:rPr>
          <w:rFonts w:asciiTheme="majorHAnsi" w:hAnsiTheme="majorHAnsi" w:cstheme="majorHAnsi"/>
        </w:rPr>
        <w:t>cílem zamezit možné dezinterpretaci pojmů. Většina pojmů není dostatečně vysvětlena v právních předpisech, nebo je nutné je upřesnit pro jednoznačný výklad správních úřadů. Výklad pojmů vychází z terminologie stavebního zákona, kterou v případě potřeby upřesňuje na základě odborných podkladů, českých technických norem (ČSN) a zejména pak dle metodických pomůcek územního plánování (metodiky a metodické výklady Ministerstva pro místní rozvoj ČR, slovník Ústavu územního rozvoje a další).</w:t>
      </w:r>
    </w:p>
    <w:p w14:paraId="31E9B04E" w14:textId="77777777" w:rsidR="00552020" w:rsidRPr="006070EA" w:rsidRDefault="00552020" w:rsidP="00552020">
      <w:pPr>
        <w:pStyle w:val="Odstavecseseznamem"/>
        <w:keepNext/>
        <w:numPr>
          <w:ilvl w:val="2"/>
          <w:numId w:val="30"/>
        </w:numPr>
        <w:spacing w:before="160" w:after="120" w:line="240" w:lineRule="auto"/>
        <w:ind w:left="709" w:hanging="709"/>
        <w:contextualSpacing w:val="0"/>
        <w:outlineLvl w:val="2"/>
        <w:rPr>
          <w:rFonts w:asciiTheme="majorHAnsi" w:hAnsiTheme="majorHAnsi" w:cstheme="majorHAnsi"/>
          <w:b/>
        </w:rPr>
      </w:pPr>
      <w:bookmarkStart w:id="404" w:name="_Toc85130719"/>
      <w:bookmarkStart w:id="405" w:name="_Toc204678215"/>
      <w:r w:rsidRPr="006070EA">
        <w:rPr>
          <w:rFonts w:asciiTheme="majorHAnsi" w:hAnsiTheme="majorHAnsi" w:cstheme="majorHAnsi"/>
          <w:b/>
        </w:rPr>
        <w:t>Odůvodnění podmínek využití a prostorového uspořádání území</w:t>
      </w:r>
      <w:bookmarkEnd w:id="404"/>
      <w:bookmarkEnd w:id="405"/>
    </w:p>
    <w:p w14:paraId="6D1D7B5F" w14:textId="77777777" w:rsidR="00552020" w:rsidRPr="006070EA" w:rsidRDefault="00552020" w:rsidP="00552020">
      <w:pPr>
        <w:pStyle w:val="ANADPIS4"/>
        <w:rPr>
          <w:rFonts w:asciiTheme="majorHAnsi" w:hAnsiTheme="majorHAnsi" w:cstheme="majorHAnsi"/>
        </w:rPr>
      </w:pPr>
      <w:r w:rsidRPr="006070EA">
        <w:rPr>
          <w:rFonts w:asciiTheme="majorHAnsi" w:hAnsiTheme="majorHAnsi" w:cstheme="majorHAnsi"/>
        </w:rPr>
        <w:t>Obecné odůvodnění</w:t>
      </w:r>
    </w:p>
    <w:p w14:paraId="1F12DFF4" w14:textId="14DED551" w:rsidR="00552020" w:rsidRPr="006070EA" w:rsidRDefault="00552020" w:rsidP="00552020">
      <w:pPr>
        <w:pStyle w:val="Atext"/>
        <w:keepNext/>
        <w:ind w:firstLine="0"/>
        <w:jc w:val="right"/>
        <w:rPr>
          <w:rFonts w:asciiTheme="majorHAnsi" w:hAnsiTheme="majorHAnsi" w:cstheme="majorHAnsi"/>
          <w:i/>
          <w:snapToGrid w:val="0"/>
          <w:u w:val="single"/>
        </w:rPr>
      </w:pPr>
      <w:r w:rsidRPr="006070EA">
        <w:rPr>
          <w:rFonts w:asciiTheme="majorHAnsi" w:hAnsiTheme="majorHAnsi" w:cstheme="majorHAnsi"/>
          <w:i/>
          <w:snapToGrid w:val="0"/>
          <w:u w:val="single"/>
        </w:rPr>
        <w:t>Odůvodnění odst.</w:t>
      </w:r>
      <w:r w:rsidRPr="006070EA">
        <w:rPr>
          <w:rFonts w:asciiTheme="majorHAnsi" w:hAnsiTheme="majorHAnsi" w:cstheme="majorHAnsi"/>
          <w:b/>
          <w:i/>
          <w:snapToGrid w:val="0"/>
          <w:u w:val="single"/>
        </w:rPr>
        <w:t xml:space="preserve"> (6</w:t>
      </w:r>
      <w:r w:rsidR="0021590A">
        <w:rPr>
          <w:rFonts w:asciiTheme="majorHAnsi" w:hAnsiTheme="majorHAnsi" w:cstheme="majorHAnsi"/>
          <w:b/>
          <w:i/>
          <w:snapToGrid w:val="0"/>
          <w:u w:val="single"/>
        </w:rPr>
        <w:t>1</w:t>
      </w:r>
      <w:r w:rsidRPr="006070EA">
        <w:rPr>
          <w:rFonts w:asciiTheme="majorHAnsi" w:hAnsiTheme="majorHAnsi" w:cstheme="majorHAnsi"/>
          <w:b/>
          <w:i/>
          <w:snapToGrid w:val="0"/>
          <w:u w:val="single"/>
        </w:rPr>
        <w:t>) - (</w:t>
      </w:r>
      <w:r w:rsidR="00EF7B4B" w:rsidRPr="006070EA">
        <w:rPr>
          <w:rFonts w:asciiTheme="majorHAnsi" w:hAnsiTheme="majorHAnsi" w:cstheme="majorHAnsi"/>
          <w:b/>
          <w:i/>
          <w:snapToGrid w:val="0"/>
          <w:u w:val="single"/>
        </w:rPr>
        <w:t>8</w:t>
      </w:r>
      <w:r w:rsidR="0021590A">
        <w:rPr>
          <w:rFonts w:asciiTheme="majorHAnsi" w:hAnsiTheme="majorHAnsi" w:cstheme="majorHAnsi"/>
          <w:b/>
          <w:i/>
          <w:snapToGrid w:val="0"/>
          <w:u w:val="single"/>
        </w:rPr>
        <w:t>2</w:t>
      </w:r>
      <w:r w:rsidRPr="006070EA">
        <w:rPr>
          <w:rFonts w:asciiTheme="majorHAnsi" w:hAnsiTheme="majorHAnsi" w:cstheme="majorHAnsi"/>
          <w:b/>
          <w:i/>
          <w:snapToGrid w:val="0"/>
          <w:u w:val="single"/>
        </w:rPr>
        <w:t xml:space="preserve">) </w:t>
      </w:r>
      <w:r w:rsidRPr="006070EA">
        <w:rPr>
          <w:rFonts w:asciiTheme="majorHAnsi" w:hAnsiTheme="majorHAnsi" w:cstheme="majorHAnsi"/>
          <w:i/>
          <w:snapToGrid w:val="0"/>
          <w:u w:val="single"/>
        </w:rPr>
        <w:t>výrokové části</w:t>
      </w:r>
    </w:p>
    <w:p w14:paraId="51C8DD00" w14:textId="11567CED" w:rsidR="00386074" w:rsidRPr="006070EA" w:rsidRDefault="00552020" w:rsidP="00386074">
      <w:pPr>
        <w:pStyle w:val="Atext"/>
        <w:rPr>
          <w:rFonts w:asciiTheme="majorHAnsi" w:eastAsia="Calibri" w:hAnsiTheme="majorHAnsi" w:cstheme="majorHAnsi"/>
          <w:szCs w:val="18"/>
        </w:rPr>
      </w:pPr>
      <w:r w:rsidRPr="006070EA">
        <w:rPr>
          <w:rFonts w:asciiTheme="majorHAnsi" w:hAnsiTheme="majorHAnsi" w:cstheme="majorHAnsi"/>
        </w:rPr>
        <w:t>V řešeném území jsou vymezeny plochy s rozdílným způsobem využití v souladu s vyhláškou č. 501/2006 Sb., v</w:t>
      </w:r>
      <w:r w:rsidR="007A39DC" w:rsidRPr="006070EA">
        <w:rPr>
          <w:rFonts w:asciiTheme="majorHAnsi" w:hAnsiTheme="majorHAnsi" w:cstheme="majorHAnsi"/>
        </w:rPr>
        <w:t> </w:t>
      </w:r>
      <w:r w:rsidRPr="006070EA">
        <w:rPr>
          <w:rFonts w:asciiTheme="majorHAnsi" w:hAnsiTheme="majorHAnsi" w:cstheme="majorHAnsi"/>
        </w:rPr>
        <w:t>souladu s odst. 1 písm. c a odst. 2 písm. d přílohy č. 7 vyhlášky č. 500/2006 Sb.</w:t>
      </w:r>
      <w:r w:rsidR="00386074" w:rsidRPr="006070EA">
        <w:rPr>
          <w:rFonts w:asciiTheme="majorHAnsi" w:hAnsiTheme="majorHAnsi" w:cstheme="majorHAnsi"/>
        </w:rPr>
        <w:t xml:space="preserve"> v aktuálním znění, resp. v souladu </w:t>
      </w:r>
      <w:r w:rsidR="00386074" w:rsidRPr="006070EA">
        <w:rPr>
          <w:rFonts w:asciiTheme="majorHAnsi" w:eastAsia="Calibri" w:hAnsiTheme="majorHAnsi" w:cstheme="majorHAnsi"/>
          <w:szCs w:val="18"/>
        </w:rPr>
        <w:t xml:space="preserve">Jednotným standardem ÚPD (Standard vybraných částí územního plánu, Metodický pokyn MMR, 2023) podle § 21a vyhlášky č. 418/2022 Sb., kterou se mění vyhláška č. 500/2006 Sb., o územně analytických podkladech, územně plánovací dokumentaci a způsobu evidence územně plánovací činnosti, ve znění pozdějších předpisů, vyhláška č. 501/2006 Sb., o obecných požadavcích na využívání území, ve znění pozdějších předpisů, a vyhláška č. 360/2021 Sb., kterou se mění vyhláška č. 501/2006 Sb., o obecných požadavcích na využívání území, ve znění pozdějších předpisů, ve znění vyhlášky č. 164/2022 Sb., </w:t>
      </w:r>
      <w:r w:rsidR="00386074" w:rsidRPr="006070EA">
        <w:rPr>
          <w:rFonts w:asciiTheme="majorHAnsi" w:hAnsiTheme="majorHAnsi" w:cstheme="majorHAnsi"/>
          <w:szCs w:val="18"/>
        </w:rPr>
        <w:t>jsou v řešeném území vymezeny plochy s rozdílným způsobem využití</w:t>
      </w:r>
      <w:r w:rsidR="00386074" w:rsidRPr="006070EA">
        <w:rPr>
          <w:rFonts w:asciiTheme="majorHAnsi" w:eastAsia="Calibri" w:hAnsiTheme="majorHAnsi" w:cstheme="majorHAnsi"/>
          <w:szCs w:val="18"/>
        </w:rPr>
        <w:t>.</w:t>
      </w:r>
    </w:p>
    <w:p w14:paraId="03158978" w14:textId="77777777" w:rsidR="00552020" w:rsidRPr="006070EA" w:rsidRDefault="00552020" w:rsidP="00552020">
      <w:pPr>
        <w:pStyle w:val="Anadpistun"/>
        <w:rPr>
          <w:rFonts w:asciiTheme="majorHAnsi" w:hAnsiTheme="majorHAnsi" w:cstheme="majorHAnsi"/>
        </w:rPr>
      </w:pPr>
      <w:r w:rsidRPr="006070EA">
        <w:rPr>
          <w:rFonts w:asciiTheme="majorHAnsi" w:hAnsiTheme="majorHAnsi" w:cstheme="majorHAnsi"/>
        </w:rPr>
        <w:t xml:space="preserve">Obecné odůvodnění vymezení ploch s rozdílným způsobem využití a stanovení podmínek jejich využití </w:t>
      </w:r>
    </w:p>
    <w:p w14:paraId="6C47721E" w14:textId="3C958ACA" w:rsidR="00552020" w:rsidRPr="006070EA" w:rsidRDefault="00552020" w:rsidP="00552020">
      <w:pPr>
        <w:pStyle w:val="Atext"/>
        <w:rPr>
          <w:rFonts w:asciiTheme="majorHAnsi" w:hAnsiTheme="majorHAnsi" w:cstheme="majorHAnsi"/>
        </w:rPr>
      </w:pPr>
      <w:r w:rsidRPr="006070EA">
        <w:rPr>
          <w:rFonts w:asciiTheme="majorHAnsi" w:eastAsia="Calibri" w:hAnsiTheme="majorHAnsi" w:cstheme="majorHAnsi"/>
          <w:bCs w:val="0"/>
          <w:iCs w:val="0"/>
        </w:rPr>
        <w:t xml:space="preserve">Plochy s rozdílným způsobem využití beze zbytku pokrývají celé řešené území. </w:t>
      </w:r>
      <w:r w:rsidRPr="006070EA">
        <w:rPr>
          <w:rFonts w:asciiTheme="majorHAnsi" w:hAnsiTheme="majorHAnsi" w:cstheme="majorHAnsi"/>
        </w:rPr>
        <w:t xml:space="preserve">Členění vychází ze stavu území dle Katastru nemovitostí a dle skutečností zjištěných terénními průzkumy v období </w:t>
      </w:r>
      <w:r w:rsidR="007A39DC" w:rsidRPr="006070EA">
        <w:rPr>
          <w:rFonts w:asciiTheme="majorHAnsi" w:hAnsiTheme="majorHAnsi" w:cstheme="majorHAnsi"/>
        </w:rPr>
        <w:t>2015</w:t>
      </w:r>
      <w:r w:rsidRPr="006070EA">
        <w:rPr>
          <w:rFonts w:asciiTheme="majorHAnsi" w:hAnsiTheme="majorHAnsi" w:cstheme="majorHAnsi"/>
        </w:rPr>
        <w:t xml:space="preserve"> – 202</w:t>
      </w:r>
      <w:r w:rsidR="007A39DC" w:rsidRPr="006070EA">
        <w:rPr>
          <w:rFonts w:asciiTheme="majorHAnsi" w:hAnsiTheme="majorHAnsi" w:cstheme="majorHAnsi"/>
        </w:rPr>
        <w:t>1</w:t>
      </w:r>
      <w:r w:rsidRPr="006070EA">
        <w:rPr>
          <w:rFonts w:asciiTheme="majorHAnsi" w:hAnsiTheme="majorHAnsi" w:cstheme="majorHAnsi"/>
        </w:rPr>
        <w:t xml:space="preserve">. </w:t>
      </w:r>
    </w:p>
    <w:p w14:paraId="0BF1EB94" w14:textId="3E03467F" w:rsidR="00552020" w:rsidRPr="006070EA" w:rsidRDefault="00552020" w:rsidP="00552020">
      <w:pPr>
        <w:pStyle w:val="Atext"/>
        <w:rPr>
          <w:rFonts w:asciiTheme="majorHAnsi" w:hAnsiTheme="majorHAnsi" w:cstheme="majorHAnsi"/>
          <w:snapToGrid w:val="0"/>
        </w:rPr>
      </w:pPr>
      <w:r w:rsidRPr="006070EA">
        <w:rPr>
          <w:rFonts w:asciiTheme="majorHAnsi" w:hAnsiTheme="majorHAnsi" w:cstheme="majorHAnsi"/>
        </w:rPr>
        <w:lastRenderedPageBreak/>
        <w:t xml:space="preserve">Vymezení ploch a stanovení hlavního, přípustného, podmíněně přípustného a nepřípustného využití je plně v souladu s § 4 – § 17 vyhlášky č. 501/2006 Sb., o obecných požadavcích na využívání území, ve znění pozdějších předpisů. </w:t>
      </w:r>
      <w:r w:rsidRPr="006070EA">
        <w:rPr>
          <w:rFonts w:asciiTheme="majorHAnsi" w:eastAsia="Calibri" w:hAnsiTheme="majorHAnsi" w:cstheme="majorHAnsi"/>
        </w:rPr>
        <w:t xml:space="preserve">Vybrané plochy jsou podrobněji členěny v souladu s § 3 odst. 4 vyhlášky č. 501/2006 Sb. </w:t>
      </w:r>
    </w:p>
    <w:p w14:paraId="5AE74EED" w14:textId="77777777" w:rsidR="00552020" w:rsidRPr="006070EA" w:rsidRDefault="00552020" w:rsidP="00552020">
      <w:pPr>
        <w:spacing w:after="60" w:line="240" w:lineRule="auto"/>
        <w:ind w:firstLine="709"/>
        <w:jc w:val="both"/>
        <w:rPr>
          <w:rFonts w:asciiTheme="majorHAnsi" w:hAnsiTheme="majorHAnsi" w:cstheme="majorHAnsi"/>
          <w:sz w:val="18"/>
        </w:rPr>
      </w:pPr>
      <w:r w:rsidRPr="006070EA">
        <w:rPr>
          <w:rFonts w:asciiTheme="majorHAnsi" w:hAnsiTheme="majorHAnsi" w:cstheme="majorHAnsi"/>
          <w:sz w:val="18"/>
        </w:rPr>
        <w:t xml:space="preserve">Při vymezování ploch byl zohledněn převažující, resp. hlavní způsob využití pozemků a velikost vymezovaných ploch ve vazbě na ustanovení § 3 odst. 1 vyhlášky č. 501/2006 Sb., o obecných požadavcích na využívání území, ve znění pozdějších předpisů. Stanovení hlavního, přípustného, podmíněně přípustného a nepřípustného využití vychází z § 3 odst. 1 vyhlášky č. 501/2006 Sb. </w:t>
      </w:r>
    </w:p>
    <w:p w14:paraId="76CBC2D8" w14:textId="77777777" w:rsidR="00552020" w:rsidRPr="006070EA" w:rsidRDefault="00552020" w:rsidP="00552020">
      <w:pPr>
        <w:pStyle w:val="Norml"/>
        <w:ind w:left="3544" w:hanging="2835"/>
        <w:rPr>
          <w:rFonts w:asciiTheme="majorHAnsi" w:hAnsiTheme="majorHAnsi" w:cstheme="majorHAnsi"/>
        </w:rPr>
      </w:pPr>
      <w:r w:rsidRPr="006070EA">
        <w:rPr>
          <w:rFonts w:asciiTheme="majorHAnsi" w:hAnsiTheme="majorHAnsi" w:cstheme="majorHAnsi"/>
          <w:b/>
        </w:rPr>
        <w:t>Hlavní využití</w:t>
      </w:r>
      <w:r w:rsidRPr="006070EA">
        <w:rPr>
          <w:rFonts w:asciiTheme="majorHAnsi" w:hAnsiTheme="majorHAnsi" w:cstheme="majorHAnsi"/>
          <w:b/>
        </w:rPr>
        <w:tab/>
      </w:r>
      <w:r w:rsidRPr="006070EA">
        <w:rPr>
          <w:rFonts w:asciiTheme="majorHAnsi" w:hAnsiTheme="majorHAnsi" w:cstheme="majorHAnsi"/>
        </w:rPr>
        <w:t>je takové využití území, které v dané ploše s rozdílným způsobem využití umožňuje umisťovat a povolovat stavby a zařízení a jejich změny, změny v užívání a rozhodovat o využití území, které v území nebo ploše převládají</w:t>
      </w:r>
    </w:p>
    <w:p w14:paraId="01FED621" w14:textId="77777777" w:rsidR="00552020" w:rsidRPr="006070EA" w:rsidRDefault="00552020" w:rsidP="00552020">
      <w:pPr>
        <w:pStyle w:val="Norml"/>
        <w:ind w:left="3544" w:hanging="2835"/>
        <w:rPr>
          <w:rFonts w:asciiTheme="majorHAnsi" w:hAnsiTheme="majorHAnsi" w:cstheme="majorHAnsi"/>
        </w:rPr>
      </w:pPr>
      <w:r w:rsidRPr="006070EA">
        <w:rPr>
          <w:rFonts w:asciiTheme="majorHAnsi" w:hAnsiTheme="majorHAnsi" w:cstheme="majorHAnsi"/>
          <w:b/>
        </w:rPr>
        <w:t>Přípustné využití</w:t>
      </w:r>
      <w:r w:rsidRPr="006070EA">
        <w:rPr>
          <w:rFonts w:asciiTheme="majorHAnsi" w:hAnsiTheme="majorHAnsi" w:cstheme="majorHAnsi"/>
          <w:b/>
        </w:rPr>
        <w:tab/>
      </w:r>
      <w:r w:rsidRPr="006070EA">
        <w:rPr>
          <w:rFonts w:asciiTheme="majorHAnsi" w:hAnsiTheme="majorHAnsi" w:cstheme="majorHAnsi"/>
        </w:rPr>
        <w:t>stanovuje další možné využití nad rámec hlavního využití v podmínkách využití ploch s rozdílným způsobem využití, jedná se zejména o činnosti, stavby a zařízení doplňující hlavní využití, s ním související a slučitelné</w:t>
      </w:r>
    </w:p>
    <w:p w14:paraId="286954A1" w14:textId="77777777" w:rsidR="00552020" w:rsidRPr="006070EA" w:rsidRDefault="00552020" w:rsidP="00552020">
      <w:pPr>
        <w:pStyle w:val="Norml"/>
        <w:ind w:left="3544" w:hanging="2824"/>
        <w:rPr>
          <w:rFonts w:asciiTheme="majorHAnsi" w:hAnsiTheme="majorHAnsi" w:cstheme="majorHAnsi"/>
          <w:b/>
        </w:rPr>
      </w:pPr>
      <w:r w:rsidRPr="006070EA">
        <w:rPr>
          <w:rFonts w:asciiTheme="majorHAnsi" w:hAnsiTheme="majorHAnsi" w:cstheme="majorHAnsi"/>
          <w:b/>
        </w:rPr>
        <w:t>Podmíněně přípustně využití</w:t>
      </w:r>
      <w:r w:rsidRPr="006070EA">
        <w:rPr>
          <w:rFonts w:asciiTheme="majorHAnsi" w:hAnsiTheme="majorHAnsi" w:cstheme="majorHAnsi"/>
          <w:b/>
        </w:rPr>
        <w:tab/>
      </w:r>
      <w:r w:rsidRPr="006070EA">
        <w:rPr>
          <w:rFonts w:asciiTheme="majorHAnsi" w:hAnsiTheme="majorHAnsi" w:cstheme="majorHAnsi"/>
        </w:rPr>
        <w:t>je takové využití, pro jehož přípustnost jsou stanoveny podmínky, za jakých lze stavby, činnosti a zařízení v území umístit, při nesplnění těchto podmínek je umisťování činností, staveb a nařízení nepřípustné</w:t>
      </w:r>
    </w:p>
    <w:p w14:paraId="6BE07782" w14:textId="77777777" w:rsidR="00552020" w:rsidRPr="006070EA" w:rsidRDefault="00552020" w:rsidP="00552020">
      <w:pPr>
        <w:pStyle w:val="Norml"/>
        <w:ind w:left="3544" w:hanging="2835"/>
        <w:rPr>
          <w:rFonts w:asciiTheme="majorHAnsi" w:hAnsiTheme="majorHAnsi" w:cstheme="majorHAnsi"/>
        </w:rPr>
      </w:pPr>
      <w:r w:rsidRPr="006070EA">
        <w:rPr>
          <w:rFonts w:asciiTheme="majorHAnsi" w:hAnsiTheme="majorHAnsi" w:cstheme="majorHAnsi"/>
          <w:b/>
        </w:rPr>
        <w:t>Nepřípustné využití</w:t>
      </w:r>
      <w:r w:rsidRPr="006070EA">
        <w:rPr>
          <w:rFonts w:asciiTheme="majorHAnsi" w:hAnsiTheme="majorHAnsi" w:cstheme="majorHAnsi"/>
          <w:b/>
        </w:rPr>
        <w:tab/>
      </w:r>
      <w:r w:rsidRPr="006070EA">
        <w:rPr>
          <w:rFonts w:asciiTheme="majorHAnsi" w:hAnsiTheme="majorHAnsi" w:cstheme="majorHAnsi"/>
        </w:rPr>
        <w:t>jsou stavby, jejich změny, změny v užívání a využití území, které neodpovídají hlavnímu, přípustnému či podmíněně přípustnému využití území stanovenému pro danou plochu s rozdílným způsobem využití a nelze je v dané ploše umisťovat a povolovat.</w:t>
      </w:r>
    </w:p>
    <w:p w14:paraId="1D55B0F6" w14:textId="608AAEF0" w:rsidR="00552020" w:rsidRPr="006070EA" w:rsidRDefault="00552020" w:rsidP="00552020">
      <w:pPr>
        <w:spacing w:after="60" w:line="240" w:lineRule="auto"/>
        <w:ind w:firstLine="709"/>
        <w:jc w:val="both"/>
        <w:rPr>
          <w:rFonts w:asciiTheme="majorHAnsi" w:hAnsiTheme="majorHAnsi" w:cstheme="majorHAnsi"/>
          <w:sz w:val="18"/>
        </w:rPr>
      </w:pPr>
      <w:r w:rsidRPr="006070EA">
        <w:rPr>
          <w:rFonts w:asciiTheme="majorHAnsi" w:hAnsiTheme="majorHAnsi" w:cstheme="majorHAnsi"/>
          <w:sz w:val="18"/>
        </w:rPr>
        <w:t xml:space="preserve">Výše uvedené pojmy jsou definovány v textové části výroku ÚP </w:t>
      </w:r>
      <w:r w:rsidR="007A39DC" w:rsidRPr="006070EA">
        <w:rPr>
          <w:rFonts w:asciiTheme="majorHAnsi" w:hAnsiTheme="majorHAnsi" w:cstheme="majorHAnsi"/>
          <w:sz w:val="18"/>
        </w:rPr>
        <w:t>Kostomlaty nad Labem</w:t>
      </w:r>
      <w:r w:rsidRPr="006070EA">
        <w:rPr>
          <w:rFonts w:asciiTheme="majorHAnsi" w:hAnsiTheme="majorHAnsi" w:cstheme="majorHAnsi"/>
          <w:sz w:val="18"/>
        </w:rPr>
        <w:t xml:space="preserve"> v kapitole 6.1. Výklad pojmů. </w:t>
      </w:r>
    </w:p>
    <w:p w14:paraId="7B729538" w14:textId="77777777" w:rsidR="00552020" w:rsidRPr="006070EA" w:rsidRDefault="00552020" w:rsidP="00552020">
      <w:pPr>
        <w:pStyle w:val="Anadpistun"/>
        <w:rPr>
          <w:rFonts w:asciiTheme="majorHAnsi" w:hAnsiTheme="majorHAnsi" w:cstheme="majorHAnsi"/>
          <w:snapToGrid w:val="0"/>
        </w:rPr>
      </w:pPr>
      <w:r w:rsidRPr="006070EA">
        <w:rPr>
          <w:rFonts w:asciiTheme="majorHAnsi" w:hAnsiTheme="majorHAnsi" w:cstheme="majorHAnsi"/>
          <w:snapToGrid w:val="0"/>
        </w:rPr>
        <w:t>Obecné odůvodnění stanovení jednotlivých podmínek prostorového uspořádání</w:t>
      </w:r>
    </w:p>
    <w:p w14:paraId="75D38CF6" w14:textId="77777777" w:rsidR="00552020" w:rsidRPr="006070EA" w:rsidRDefault="00552020" w:rsidP="00552020">
      <w:pPr>
        <w:pStyle w:val="Atext"/>
        <w:rPr>
          <w:rFonts w:asciiTheme="majorHAnsi" w:hAnsiTheme="majorHAnsi" w:cstheme="majorHAnsi"/>
        </w:rPr>
      </w:pPr>
      <w:r w:rsidRPr="006070EA">
        <w:rPr>
          <w:rFonts w:asciiTheme="majorHAnsi" w:hAnsiTheme="majorHAnsi" w:cstheme="majorHAnsi"/>
        </w:rPr>
        <w:t xml:space="preserve">Ve vazbě na požadavek vyhlášky č. 501/2006 Sb. (příloha č. 7 – obsah územního plánu), ve znění pozdějších předpisů, jsou v plochách s rozdílným způsobem využití stanoveny podmínky prostorového uspořádání (například výšková regulace zástavby, charakter a struktura zástavby, stanovení rozmezí výměry pro vymezování stavebních pozemků a intenzity jejich využití). </w:t>
      </w:r>
    </w:p>
    <w:p w14:paraId="4FD3B0E1" w14:textId="77777777" w:rsidR="00552020" w:rsidRPr="006070EA" w:rsidRDefault="00552020" w:rsidP="00552020">
      <w:pPr>
        <w:pStyle w:val="Atext"/>
        <w:rPr>
          <w:rFonts w:asciiTheme="majorHAnsi" w:hAnsiTheme="majorHAnsi" w:cstheme="majorHAnsi"/>
        </w:rPr>
      </w:pPr>
      <w:r w:rsidRPr="006070EA">
        <w:rPr>
          <w:rFonts w:asciiTheme="majorHAnsi" w:hAnsiTheme="majorHAnsi" w:cstheme="majorHAnsi"/>
        </w:rPr>
        <w:t xml:space="preserve">V rámci územního plánování je prostorové uspořádání území definováno zejména výškovou regulací zástavby, stanovením charakteru a struktury zástavby a intenzitou využití pozemků. </w:t>
      </w:r>
    </w:p>
    <w:p w14:paraId="073576CB" w14:textId="77777777" w:rsidR="00552020" w:rsidRPr="006070EA" w:rsidRDefault="00552020" w:rsidP="00552020">
      <w:pPr>
        <w:pStyle w:val="Atext"/>
        <w:rPr>
          <w:rFonts w:asciiTheme="majorHAnsi" w:hAnsiTheme="majorHAnsi" w:cstheme="majorHAnsi"/>
        </w:rPr>
      </w:pPr>
      <w:r w:rsidRPr="006070EA">
        <w:rPr>
          <w:rFonts w:asciiTheme="majorHAnsi" w:hAnsiTheme="majorHAnsi" w:cstheme="majorHAnsi"/>
        </w:rPr>
        <w:t>Podmínky prostorového uspořádání jsou stanoveny pro jednotlivé typy ploch s rozdílným způsobem využití; jsou definovány na základě podrobné analýzy území a na základě odborných znalostí a zkušeností zpracovatele zejména v případech, kdy je to nezbytné s ohledem na hodnoty území, krajinný ráz, dílčí požadavky urbanistické koncepce (např. regulovat zástavbu na okrajích sídel a ve volné krajině, v rekreačních lokalitách) apod.</w:t>
      </w:r>
    </w:p>
    <w:p w14:paraId="291AEF10" w14:textId="4097D622" w:rsidR="00552020" w:rsidRPr="006070EA" w:rsidRDefault="00552020" w:rsidP="00552020">
      <w:pPr>
        <w:pStyle w:val="Atext"/>
        <w:rPr>
          <w:rFonts w:asciiTheme="majorHAnsi" w:hAnsiTheme="majorHAnsi" w:cstheme="majorHAnsi"/>
        </w:rPr>
      </w:pPr>
      <w:r w:rsidRPr="006070EA">
        <w:rPr>
          <w:rFonts w:asciiTheme="majorHAnsi" w:hAnsiTheme="majorHAnsi" w:cstheme="majorHAnsi"/>
        </w:rPr>
        <w:t>Pro plochy s rozdílným způsobem využití vymezené v urbanizovaném území</w:t>
      </w:r>
      <w:r w:rsidR="007A39DC" w:rsidRPr="006070EA">
        <w:rPr>
          <w:rFonts w:asciiTheme="majorHAnsi" w:hAnsiTheme="majorHAnsi" w:cstheme="majorHAnsi"/>
        </w:rPr>
        <w:t>,</w:t>
      </w:r>
      <w:r w:rsidRPr="006070EA">
        <w:rPr>
          <w:rFonts w:asciiTheme="majorHAnsi" w:hAnsiTheme="majorHAnsi" w:cstheme="majorHAnsi"/>
        </w:rPr>
        <w:t xml:space="preserve"> resp. v rámci urbanistické koncepce (viz kapitola 11.3.2), tedy plochy uplatňující se v zastavěném území a zastavitelných plochách, jsou stanoveny podmínky prostorového uspořádání zajišťující základní požadavky na vymezování stavebních pozemků a umisťování staveb. Pro všechny plochy je stanoven charakter a struktura zástavby a maximální výška zástavby, v případě potřebnosti jsou pak pro jednotlivé typy ploch s rozdílným způsobem využití stanoveny další podmínky prostorového uspořádání. </w:t>
      </w:r>
    </w:p>
    <w:p w14:paraId="0951FDD3" w14:textId="05AF4408" w:rsidR="00552020" w:rsidRPr="006070EA" w:rsidRDefault="00552020" w:rsidP="00552020">
      <w:pPr>
        <w:pStyle w:val="Norml"/>
        <w:ind w:left="3544" w:hanging="2835"/>
        <w:rPr>
          <w:rFonts w:asciiTheme="majorHAnsi" w:hAnsiTheme="majorHAnsi" w:cstheme="majorHAnsi"/>
        </w:rPr>
      </w:pPr>
      <w:r w:rsidRPr="006070EA">
        <w:rPr>
          <w:rFonts w:asciiTheme="majorHAnsi" w:hAnsiTheme="majorHAnsi" w:cstheme="majorHAnsi"/>
          <w:b/>
        </w:rPr>
        <w:t>Charakter a struktura zástavby</w:t>
      </w:r>
      <w:r w:rsidRPr="006070EA">
        <w:rPr>
          <w:rFonts w:asciiTheme="majorHAnsi" w:hAnsiTheme="majorHAnsi" w:cstheme="majorHAnsi"/>
          <w:b/>
        </w:rPr>
        <w:tab/>
      </w:r>
      <w:r w:rsidRPr="006070EA">
        <w:rPr>
          <w:rFonts w:asciiTheme="majorHAnsi" w:hAnsiTheme="majorHAnsi" w:cstheme="majorHAnsi"/>
        </w:rPr>
        <w:t>respektují stávající charakter a strukturu zástavby ve stabilizovaných plochách s rozdílným způsobem využití. Důvodem pro stanovení charakteru a struktury zástavby je zajištění ochrany charakteru stávající zástavby a její vhodné doplnění v případě nové výstavby; tím je zajištěna stabilizace zástavby a</w:t>
      </w:r>
      <w:r w:rsidR="00386074" w:rsidRPr="006070EA">
        <w:rPr>
          <w:rFonts w:asciiTheme="majorHAnsi" w:hAnsiTheme="majorHAnsi" w:cstheme="majorHAnsi"/>
        </w:rPr>
        <w:t> </w:t>
      </w:r>
      <w:r w:rsidRPr="006070EA">
        <w:rPr>
          <w:rFonts w:asciiTheme="majorHAnsi" w:hAnsiTheme="majorHAnsi" w:cstheme="majorHAnsi"/>
        </w:rPr>
        <w:t xml:space="preserve">urbanistické struktury sídel, zachování historicky daného, urbanisticky kvalitního či provozně podmíněného uspořádání zástavby. </w:t>
      </w:r>
    </w:p>
    <w:p w14:paraId="2983464B" w14:textId="609457A0" w:rsidR="00552020" w:rsidRPr="006070EA" w:rsidRDefault="00552020" w:rsidP="00552020">
      <w:pPr>
        <w:pStyle w:val="Norml"/>
        <w:ind w:left="3544" w:hanging="2835"/>
        <w:rPr>
          <w:rFonts w:asciiTheme="majorHAnsi" w:hAnsiTheme="majorHAnsi" w:cstheme="majorHAnsi"/>
        </w:rPr>
      </w:pPr>
      <w:r w:rsidRPr="006070EA">
        <w:rPr>
          <w:rFonts w:asciiTheme="majorHAnsi" w:hAnsiTheme="majorHAnsi" w:cstheme="majorHAnsi"/>
          <w:b/>
        </w:rPr>
        <w:t>Maximální výška zástavby</w:t>
      </w:r>
      <w:r w:rsidRPr="006070EA">
        <w:rPr>
          <w:rFonts w:asciiTheme="majorHAnsi" w:hAnsiTheme="majorHAnsi" w:cstheme="majorHAnsi"/>
          <w:b/>
        </w:rPr>
        <w:tab/>
      </w:r>
      <w:r w:rsidRPr="006070EA">
        <w:rPr>
          <w:rFonts w:asciiTheme="majorHAnsi" w:hAnsiTheme="majorHAnsi" w:cstheme="majorHAnsi"/>
        </w:rPr>
        <w:t>je vždy stanovena dle převládající stávající výšky zástavby v dané lokalitě, případně dle navrhovaných změn ve způsobu využití, kde stanovení maximální výšky zástavby vychází z obvyklých hodnot daného typu zástavby. Důvodem pro její stanovení je ochrana a stabilizace stávající urbanistické struktury zástavby sídel; tímto způsobem je potvrzeno historicky vytvořené výškové uspořádání zástavby. Stanovení maximální výšky zástavby v</w:t>
      </w:r>
      <w:r w:rsidR="007A39DC" w:rsidRPr="006070EA">
        <w:rPr>
          <w:rFonts w:asciiTheme="majorHAnsi" w:hAnsiTheme="majorHAnsi" w:cstheme="majorHAnsi"/>
        </w:rPr>
        <w:t> </w:t>
      </w:r>
      <w:r w:rsidRPr="006070EA">
        <w:rPr>
          <w:rFonts w:asciiTheme="majorHAnsi" w:hAnsiTheme="majorHAnsi" w:cstheme="majorHAnsi"/>
        </w:rPr>
        <w:t>zastavitelných plochách a v plochách přestavby vychází z okolní zástavby a</w:t>
      </w:r>
      <w:r w:rsidR="007A39DC" w:rsidRPr="006070EA">
        <w:rPr>
          <w:rFonts w:asciiTheme="majorHAnsi" w:hAnsiTheme="majorHAnsi" w:cstheme="majorHAnsi"/>
        </w:rPr>
        <w:t> </w:t>
      </w:r>
      <w:r w:rsidRPr="006070EA">
        <w:rPr>
          <w:rFonts w:asciiTheme="majorHAnsi" w:hAnsiTheme="majorHAnsi" w:cstheme="majorHAnsi"/>
        </w:rPr>
        <w:t>z</w:t>
      </w:r>
      <w:r w:rsidR="00386074" w:rsidRPr="006070EA">
        <w:rPr>
          <w:rFonts w:asciiTheme="majorHAnsi" w:hAnsiTheme="majorHAnsi" w:cstheme="majorHAnsi"/>
        </w:rPr>
        <w:t> </w:t>
      </w:r>
      <w:r w:rsidRPr="006070EA">
        <w:rPr>
          <w:rFonts w:asciiTheme="majorHAnsi" w:hAnsiTheme="majorHAnsi" w:cstheme="majorHAnsi"/>
        </w:rPr>
        <w:t>cílového stavu urbanistického uspořádání celé lokality. Při rozvoji zástavby na okrajích sídel je zohledněna poloha budoucí zástavby na pomezí sídla a</w:t>
      </w:r>
      <w:r w:rsidR="00386074" w:rsidRPr="006070EA">
        <w:rPr>
          <w:rFonts w:asciiTheme="majorHAnsi" w:hAnsiTheme="majorHAnsi" w:cstheme="majorHAnsi"/>
        </w:rPr>
        <w:t> </w:t>
      </w:r>
      <w:r w:rsidRPr="006070EA">
        <w:rPr>
          <w:rFonts w:asciiTheme="majorHAnsi" w:hAnsiTheme="majorHAnsi" w:cstheme="majorHAnsi"/>
        </w:rPr>
        <w:t>volné krajiny, maximální výška proto nepřevyšuje okolní zástavbu a</w:t>
      </w:r>
      <w:r w:rsidR="007A39DC" w:rsidRPr="006070EA">
        <w:rPr>
          <w:rFonts w:asciiTheme="majorHAnsi" w:hAnsiTheme="majorHAnsi" w:cstheme="majorHAnsi"/>
        </w:rPr>
        <w:t> </w:t>
      </w:r>
      <w:r w:rsidRPr="006070EA">
        <w:rPr>
          <w:rFonts w:asciiTheme="majorHAnsi" w:hAnsiTheme="majorHAnsi" w:cstheme="majorHAnsi"/>
        </w:rPr>
        <w:t>případně je oproti intenzivnější zástavbě uvnitř sídel mírně snížena z</w:t>
      </w:r>
      <w:r w:rsidR="007A39DC" w:rsidRPr="006070EA">
        <w:rPr>
          <w:rFonts w:asciiTheme="majorHAnsi" w:hAnsiTheme="majorHAnsi" w:cstheme="majorHAnsi"/>
        </w:rPr>
        <w:t> </w:t>
      </w:r>
      <w:r w:rsidRPr="006070EA">
        <w:rPr>
          <w:rFonts w:asciiTheme="majorHAnsi" w:hAnsiTheme="majorHAnsi" w:cstheme="majorHAnsi"/>
        </w:rPr>
        <w:t>důvodů ochrany krajinného rázu a pozvolného přechodu sídelní struktury do volné krajiny.</w:t>
      </w:r>
    </w:p>
    <w:p w14:paraId="2C2C7F64" w14:textId="77777777" w:rsidR="00552020" w:rsidRPr="006070EA" w:rsidRDefault="00552020" w:rsidP="00D430EF">
      <w:pPr>
        <w:pStyle w:val="Norml"/>
        <w:keepNext/>
        <w:ind w:left="3544" w:hanging="2835"/>
        <w:rPr>
          <w:rFonts w:asciiTheme="majorHAnsi" w:hAnsiTheme="majorHAnsi" w:cstheme="majorHAnsi"/>
          <w:b/>
        </w:rPr>
      </w:pPr>
      <w:r w:rsidRPr="006070EA">
        <w:rPr>
          <w:rFonts w:asciiTheme="majorHAnsi" w:hAnsiTheme="majorHAnsi" w:cstheme="majorHAnsi"/>
          <w:b/>
        </w:rPr>
        <w:lastRenderedPageBreak/>
        <w:t>Koeficient maximálního zastavění pozemku</w:t>
      </w:r>
    </w:p>
    <w:p w14:paraId="421FF87E" w14:textId="77777777" w:rsidR="00552020" w:rsidRPr="006070EA" w:rsidRDefault="00552020" w:rsidP="00552020">
      <w:pPr>
        <w:pStyle w:val="Norml"/>
        <w:ind w:left="3544" w:hanging="2835"/>
        <w:rPr>
          <w:rFonts w:asciiTheme="majorHAnsi" w:hAnsiTheme="majorHAnsi" w:cstheme="majorHAnsi"/>
        </w:rPr>
      </w:pPr>
      <w:r w:rsidRPr="006070EA">
        <w:rPr>
          <w:rFonts w:asciiTheme="majorHAnsi" w:hAnsiTheme="majorHAnsi" w:cstheme="majorHAnsi"/>
          <w:b/>
        </w:rPr>
        <w:tab/>
      </w:r>
      <w:r w:rsidRPr="006070EA">
        <w:rPr>
          <w:rFonts w:asciiTheme="majorHAnsi" w:hAnsiTheme="majorHAnsi" w:cstheme="majorHAnsi"/>
        </w:rPr>
        <w:tab/>
        <w:t xml:space="preserve">zajišťuje zachování stávající hustoty zástavby a vyloučení jejích výrazných změn v případě stabilizovaných ploch; v zastavitelných plochách zajišťuje cílovou hustotou zástavby vycházející z charakteru a struktury zástavby v území v rámci daného typu ploch s rozdílným způsobem využití. </w:t>
      </w:r>
    </w:p>
    <w:p w14:paraId="5F8CD975" w14:textId="7D196F7D" w:rsidR="00552020" w:rsidRPr="006070EA" w:rsidRDefault="00552020" w:rsidP="00552020">
      <w:pPr>
        <w:pStyle w:val="Norml"/>
        <w:ind w:left="3544" w:hanging="2835"/>
        <w:rPr>
          <w:rFonts w:asciiTheme="majorHAnsi" w:hAnsiTheme="majorHAnsi" w:cstheme="majorHAnsi"/>
        </w:rPr>
      </w:pPr>
      <w:r w:rsidRPr="006070EA">
        <w:rPr>
          <w:rFonts w:asciiTheme="majorHAnsi" w:hAnsiTheme="majorHAnsi" w:cstheme="majorHAnsi"/>
        </w:rPr>
        <w:tab/>
        <w:t>V plochách veřejných prostranství a</w:t>
      </w:r>
      <w:r w:rsidR="007A39DC" w:rsidRPr="006070EA">
        <w:rPr>
          <w:rFonts w:asciiTheme="majorHAnsi" w:hAnsiTheme="majorHAnsi" w:cstheme="majorHAnsi"/>
        </w:rPr>
        <w:t> </w:t>
      </w:r>
      <w:r w:rsidRPr="006070EA">
        <w:rPr>
          <w:rFonts w:asciiTheme="majorHAnsi" w:hAnsiTheme="majorHAnsi" w:cstheme="majorHAnsi"/>
        </w:rPr>
        <w:t xml:space="preserve">v plochách zeleně je koeficient maximálního zastavění pozemku stanoven z důvodu ochrany ploch před vyšší mírou zastavění, s umožněním drobných staveb zvyšujících využitelnost jinak převážně nezastavěných ploch. </w:t>
      </w:r>
    </w:p>
    <w:p w14:paraId="397F359F" w14:textId="77777777" w:rsidR="00552020" w:rsidRPr="006070EA" w:rsidRDefault="00552020" w:rsidP="001B776E">
      <w:pPr>
        <w:pStyle w:val="Norml"/>
        <w:keepNext/>
        <w:ind w:left="3544" w:hanging="2835"/>
        <w:rPr>
          <w:rFonts w:asciiTheme="majorHAnsi" w:hAnsiTheme="majorHAnsi" w:cstheme="majorHAnsi"/>
          <w:b/>
        </w:rPr>
      </w:pPr>
      <w:r w:rsidRPr="006070EA">
        <w:rPr>
          <w:rFonts w:asciiTheme="majorHAnsi" w:hAnsiTheme="majorHAnsi" w:cstheme="majorHAnsi"/>
          <w:b/>
        </w:rPr>
        <w:t>Koeficient minimálního podílu zeleně na pozemku</w:t>
      </w:r>
    </w:p>
    <w:p w14:paraId="6038DF9D" w14:textId="654037DD" w:rsidR="00552020" w:rsidRPr="006070EA" w:rsidRDefault="00552020" w:rsidP="001B776E">
      <w:pPr>
        <w:pStyle w:val="Norml"/>
        <w:keepLines/>
        <w:ind w:left="3544" w:hanging="3544"/>
        <w:rPr>
          <w:rFonts w:asciiTheme="majorHAnsi" w:hAnsiTheme="majorHAnsi" w:cstheme="majorHAnsi"/>
        </w:rPr>
      </w:pPr>
      <w:r w:rsidRPr="006070EA">
        <w:rPr>
          <w:rFonts w:asciiTheme="majorHAnsi" w:hAnsiTheme="majorHAnsi" w:cstheme="majorHAnsi"/>
          <w:b/>
        </w:rPr>
        <w:tab/>
      </w:r>
      <w:r w:rsidRPr="006070EA">
        <w:rPr>
          <w:rFonts w:asciiTheme="majorHAnsi" w:hAnsiTheme="majorHAnsi" w:cstheme="majorHAnsi"/>
        </w:rPr>
        <w:t>zajišťuje minimální podíl zeleně na pozemku v rámci některých ploch s</w:t>
      </w:r>
      <w:r w:rsidR="001B776E" w:rsidRPr="006070EA">
        <w:rPr>
          <w:rFonts w:asciiTheme="majorHAnsi" w:hAnsiTheme="majorHAnsi" w:cstheme="majorHAnsi"/>
        </w:rPr>
        <w:t> </w:t>
      </w:r>
      <w:r w:rsidRPr="006070EA">
        <w:rPr>
          <w:rFonts w:asciiTheme="majorHAnsi" w:hAnsiTheme="majorHAnsi" w:cstheme="majorHAnsi"/>
        </w:rPr>
        <w:t xml:space="preserve">rozdílným způsobem využití, zejména v případech, kdy je nezbytné zajistit minimální podíl zeleně např. ve výrobních areálech a dopravních či technických plochách (ve formě izolační zeleně z důvodu zajištění vsakování dešťových vod a případné prostorové izolace areálu ve vztahu k okolní zástavbě), v plochách bydlení a občanského vybavení (ve formě doplňkové zeleně) zajišťující také příznivé podmínky obytného nebo rekreačního území). Minimální podíl zeleně v urbanizovaném území je důležitým prvkem také z hlediska zajištění sídelní zeleně a rozvoje modrozelené infrastruktury v rozsahu soukromých pozemků. </w:t>
      </w:r>
    </w:p>
    <w:p w14:paraId="00E7757D" w14:textId="77777777" w:rsidR="00552020" w:rsidRPr="006070EA" w:rsidRDefault="00552020" w:rsidP="00552020">
      <w:pPr>
        <w:pStyle w:val="Norml"/>
        <w:ind w:left="3544" w:hanging="2835"/>
        <w:rPr>
          <w:rFonts w:asciiTheme="majorHAnsi" w:hAnsiTheme="majorHAnsi" w:cstheme="majorHAnsi"/>
          <w:b/>
        </w:rPr>
      </w:pPr>
      <w:r w:rsidRPr="006070EA">
        <w:rPr>
          <w:rFonts w:asciiTheme="majorHAnsi" w:hAnsiTheme="majorHAnsi" w:cstheme="majorHAnsi"/>
          <w:b/>
        </w:rPr>
        <w:t>Rozmezí výměry pro vymezování stavebního pozemku</w:t>
      </w:r>
    </w:p>
    <w:p w14:paraId="4A92DBA8" w14:textId="75A9BFE5" w:rsidR="00552020" w:rsidRPr="006070EA" w:rsidRDefault="00552020" w:rsidP="00552020">
      <w:pPr>
        <w:pStyle w:val="Norml"/>
        <w:ind w:left="3544" w:hanging="2835"/>
        <w:rPr>
          <w:rFonts w:asciiTheme="majorHAnsi" w:hAnsiTheme="majorHAnsi" w:cstheme="majorHAnsi"/>
        </w:rPr>
      </w:pPr>
      <w:r w:rsidRPr="006070EA">
        <w:rPr>
          <w:rFonts w:asciiTheme="majorHAnsi" w:hAnsiTheme="majorHAnsi" w:cstheme="majorHAnsi"/>
          <w:b/>
        </w:rPr>
        <w:tab/>
      </w:r>
      <w:r w:rsidRPr="006070EA">
        <w:rPr>
          <w:rFonts w:asciiTheme="majorHAnsi" w:hAnsiTheme="majorHAnsi" w:cstheme="majorHAnsi"/>
        </w:rPr>
        <w:t>je pro vybrané plochy (</w:t>
      </w:r>
      <w:r w:rsidR="001B776E" w:rsidRPr="006070EA">
        <w:rPr>
          <w:rFonts w:asciiTheme="majorHAnsi" w:hAnsiTheme="majorHAnsi" w:cstheme="majorHAnsi"/>
        </w:rPr>
        <w:t>BI</w:t>
      </w:r>
      <w:r w:rsidRPr="006070EA">
        <w:rPr>
          <w:rFonts w:asciiTheme="majorHAnsi" w:hAnsiTheme="majorHAnsi" w:cstheme="majorHAnsi"/>
        </w:rPr>
        <w:t xml:space="preserve">, </w:t>
      </w:r>
      <w:r w:rsidR="001B776E" w:rsidRPr="006070EA">
        <w:rPr>
          <w:rFonts w:asciiTheme="majorHAnsi" w:hAnsiTheme="majorHAnsi" w:cstheme="majorHAnsi"/>
        </w:rPr>
        <w:t>SM, SV</w:t>
      </w:r>
      <w:r w:rsidRPr="006070EA">
        <w:rPr>
          <w:rFonts w:asciiTheme="majorHAnsi" w:hAnsiTheme="majorHAnsi" w:cstheme="majorHAnsi"/>
        </w:rPr>
        <w:t>), v nichž se očekává rozvoj individuální obytné zástavby stanoveno z důvodu zajištění efektivního využití ploch a</w:t>
      </w:r>
      <w:r w:rsidR="001B776E" w:rsidRPr="006070EA">
        <w:rPr>
          <w:rFonts w:asciiTheme="majorHAnsi" w:hAnsiTheme="majorHAnsi" w:cstheme="majorHAnsi"/>
        </w:rPr>
        <w:t> </w:t>
      </w:r>
      <w:r w:rsidRPr="006070EA">
        <w:rPr>
          <w:rFonts w:asciiTheme="majorHAnsi" w:hAnsiTheme="majorHAnsi" w:cstheme="majorHAnsi"/>
        </w:rPr>
        <w:t>zamezení vzniku plošně rozsáhlých pozemků, které by znemožnily efektivně a hospodárně využívat zastavěné území, zastavitelné plochy a</w:t>
      </w:r>
      <w:r w:rsidR="001B776E" w:rsidRPr="006070EA">
        <w:rPr>
          <w:rFonts w:asciiTheme="majorHAnsi" w:hAnsiTheme="majorHAnsi" w:cstheme="majorHAnsi"/>
        </w:rPr>
        <w:t> </w:t>
      </w:r>
      <w:r w:rsidRPr="006070EA">
        <w:rPr>
          <w:rFonts w:asciiTheme="majorHAnsi" w:hAnsiTheme="majorHAnsi" w:cstheme="majorHAnsi"/>
        </w:rPr>
        <w:t xml:space="preserve">veřejnou (zejména dopravní a technickou) infrastrukturu. </w:t>
      </w:r>
    </w:p>
    <w:p w14:paraId="7F018C0D" w14:textId="77777777" w:rsidR="00552020" w:rsidRPr="006070EA" w:rsidRDefault="00552020" w:rsidP="00552020">
      <w:pPr>
        <w:pStyle w:val="Norml"/>
        <w:ind w:left="3544" w:hanging="2835"/>
        <w:rPr>
          <w:rFonts w:asciiTheme="majorHAnsi" w:hAnsiTheme="majorHAnsi" w:cstheme="majorHAnsi"/>
          <w:b/>
        </w:rPr>
      </w:pPr>
      <w:r w:rsidRPr="006070EA">
        <w:rPr>
          <w:rFonts w:asciiTheme="majorHAnsi" w:hAnsiTheme="majorHAnsi" w:cstheme="majorHAnsi"/>
          <w:b/>
        </w:rPr>
        <w:t>Maximální velikost zastavěné plochy objektu</w:t>
      </w:r>
    </w:p>
    <w:p w14:paraId="7966DA16" w14:textId="77777777" w:rsidR="00552020" w:rsidRPr="006070EA" w:rsidRDefault="00552020" w:rsidP="00552020">
      <w:pPr>
        <w:pStyle w:val="Norml"/>
        <w:ind w:left="3544" w:hanging="2835"/>
        <w:rPr>
          <w:rFonts w:asciiTheme="majorHAnsi" w:hAnsiTheme="majorHAnsi" w:cstheme="majorHAnsi"/>
        </w:rPr>
      </w:pPr>
      <w:r w:rsidRPr="006070EA">
        <w:rPr>
          <w:rFonts w:asciiTheme="majorHAnsi" w:hAnsiTheme="majorHAnsi" w:cstheme="majorHAnsi"/>
          <w:b/>
        </w:rPr>
        <w:tab/>
      </w:r>
      <w:r w:rsidRPr="006070EA">
        <w:rPr>
          <w:rFonts w:asciiTheme="majorHAnsi" w:hAnsiTheme="majorHAnsi" w:cstheme="majorHAnsi"/>
        </w:rPr>
        <w:t xml:space="preserve">je stanovena ve vybraných plochách zejména s cílem omezit velikost případné zástavby v plochách převážně nezastavitelných s charakterem solitérních staveb (doplňkových staveb zvyšujících využitelnost těchto ploch). </w:t>
      </w:r>
    </w:p>
    <w:p w14:paraId="79C9787F" w14:textId="65641FCC" w:rsidR="00552020" w:rsidRPr="006070EA" w:rsidRDefault="00552020" w:rsidP="00552020">
      <w:pPr>
        <w:pStyle w:val="Atext"/>
        <w:rPr>
          <w:rFonts w:asciiTheme="majorHAnsi" w:hAnsiTheme="majorHAnsi" w:cstheme="majorHAnsi"/>
        </w:rPr>
      </w:pPr>
      <w:r w:rsidRPr="006070EA">
        <w:rPr>
          <w:rFonts w:asciiTheme="majorHAnsi" w:hAnsiTheme="majorHAnsi" w:cstheme="majorHAnsi"/>
        </w:rPr>
        <w:t xml:space="preserve">Pro plochy s rozdílným způsobem využití vymezené ve volné krajině, resp. v rámci koncepce uspořádání krajiny (viz kapitola 11.5.2.), tedy plochy uplatňující se v nezastavěném území a v plochách změn v krajině, jsou stanoveny podmínky prostorového uspořádání zajišťující základní požadavky na umisťování staveb v nezastavěném území (§ 18 odst. 5 stavebního zákona). Pro </w:t>
      </w:r>
      <w:r w:rsidR="001B776E" w:rsidRPr="006070EA">
        <w:rPr>
          <w:rFonts w:asciiTheme="majorHAnsi" w:hAnsiTheme="majorHAnsi" w:cstheme="majorHAnsi"/>
        </w:rPr>
        <w:t>většinu</w:t>
      </w:r>
      <w:r w:rsidRPr="006070EA">
        <w:rPr>
          <w:rFonts w:asciiTheme="majorHAnsi" w:hAnsiTheme="majorHAnsi" w:cstheme="majorHAnsi"/>
        </w:rPr>
        <w:t xml:space="preserve"> ploch je stanovena maximální výška staveb a maximální velikost zastavěné plochy objektu s ohledem na fakt, že ve volné krajině lze umisťovat pouze jednotlivé stavby v souladu s § 18 odst. 5 stavebního zákona. </w:t>
      </w:r>
      <w:r w:rsidR="001B776E" w:rsidRPr="006070EA">
        <w:rPr>
          <w:rFonts w:asciiTheme="majorHAnsi" w:hAnsiTheme="majorHAnsi" w:cstheme="majorHAnsi"/>
        </w:rPr>
        <w:t>Podmínky nejsou stanoveny pro plochy</w:t>
      </w:r>
      <w:r w:rsidR="001B776E" w:rsidRPr="006070EA">
        <w:rPr>
          <w:rFonts w:asciiTheme="majorHAnsi" w:hAnsiTheme="majorHAnsi" w:cstheme="majorHAnsi"/>
          <w:i/>
          <w:iCs w:val="0"/>
        </w:rPr>
        <w:t xml:space="preserve"> smíšené nezastavěného území – sportovní</w:t>
      </w:r>
      <w:r w:rsidR="001B776E" w:rsidRPr="006070EA">
        <w:rPr>
          <w:rFonts w:asciiTheme="majorHAnsi" w:hAnsiTheme="majorHAnsi" w:cstheme="majorHAnsi"/>
        </w:rPr>
        <w:t xml:space="preserve"> </w:t>
      </w:r>
      <w:r w:rsidR="00386074" w:rsidRPr="006070EA">
        <w:rPr>
          <w:rFonts w:asciiTheme="majorHAnsi" w:hAnsiTheme="majorHAnsi" w:cstheme="majorHAnsi"/>
          <w:i/>
          <w:iCs w:val="0"/>
        </w:rPr>
        <w:t>využití</w:t>
      </w:r>
      <w:r w:rsidR="00386074" w:rsidRPr="006070EA">
        <w:rPr>
          <w:rFonts w:asciiTheme="majorHAnsi" w:hAnsiTheme="majorHAnsi" w:cstheme="majorHAnsi"/>
        </w:rPr>
        <w:t xml:space="preserve"> </w:t>
      </w:r>
      <w:r w:rsidR="001B776E" w:rsidRPr="006070EA">
        <w:rPr>
          <w:rFonts w:asciiTheme="majorHAnsi" w:hAnsiTheme="majorHAnsi" w:cstheme="majorHAnsi"/>
        </w:rPr>
        <w:t>(</w:t>
      </w:r>
      <w:r w:rsidR="00386074" w:rsidRPr="006070EA">
        <w:rPr>
          <w:rFonts w:asciiTheme="majorHAnsi" w:hAnsiTheme="majorHAnsi" w:cstheme="majorHAnsi"/>
        </w:rPr>
        <w:t>MU.s</w:t>
      </w:r>
      <w:r w:rsidR="001B776E" w:rsidRPr="006070EA">
        <w:rPr>
          <w:rFonts w:asciiTheme="majorHAnsi" w:hAnsiTheme="majorHAnsi" w:cstheme="majorHAnsi"/>
        </w:rPr>
        <w:t xml:space="preserve">) v souvislosti s jejich </w:t>
      </w:r>
      <w:r w:rsidR="00982A60" w:rsidRPr="006070EA">
        <w:rPr>
          <w:rFonts w:asciiTheme="majorHAnsi" w:hAnsiTheme="majorHAnsi" w:cstheme="majorHAnsi"/>
        </w:rPr>
        <w:t xml:space="preserve">lokalizací, </w:t>
      </w:r>
      <w:r w:rsidR="001B776E" w:rsidRPr="006070EA">
        <w:rPr>
          <w:rFonts w:asciiTheme="majorHAnsi" w:hAnsiTheme="majorHAnsi" w:cstheme="majorHAnsi"/>
        </w:rPr>
        <w:t>charakterem a</w:t>
      </w:r>
      <w:r w:rsidR="00982A60" w:rsidRPr="006070EA">
        <w:rPr>
          <w:rFonts w:asciiTheme="majorHAnsi" w:hAnsiTheme="majorHAnsi" w:cstheme="majorHAnsi"/>
        </w:rPr>
        <w:t> </w:t>
      </w:r>
      <w:r w:rsidR="001B776E" w:rsidRPr="006070EA">
        <w:rPr>
          <w:rFonts w:asciiTheme="majorHAnsi" w:hAnsiTheme="majorHAnsi" w:cstheme="majorHAnsi"/>
        </w:rPr>
        <w:t>stanovenými podmínkami pro jejich využití.</w:t>
      </w:r>
    </w:p>
    <w:p w14:paraId="41209FBD" w14:textId="7F3F9169" w:rsidR="00552020" w:rsidRPr="006070EA" w:rsidRDefault="00552020" w:rsidP="00552020">
      <w:pPr>
        <w:pStyle w:val="Norml"/>
        <w:ind w:left="3544" w:hanging="2835"/>
        <w:rPr>
          <w:rFonts w:asciiTheme="majorHAnsi" w:hAnsiTheme="majorHAnsi" w:cstheme="majorHAnsi"/>
        </w:rPr>
      </w:pPr>
      <w:r w:rsidRPr="006070EA">
        <w:rPr>
          <w:rFonts w:asciiTheme="majorHAnsi" w:hAnsiTheme="majorHAnsi" w:cstheme="majorHAnsi"/>
          <w:b/>
        </w:rPr>
        <w:t>Maximální výška stavb</w:t>
      </w:r>
      <w:r w:rsidR="001B776E" w:rsidRPr="006070EA">
        <w:rPr>
          <w:rFonts w:asciiTheme="majorHAnsi" w:hAnsiTheme="majorHAnsi" w:cstheme="majorHAnsi"/>
          <w:b/>
        </w:rPr>
        <w:t>y</w:t>
      </w:r>
      <w:r w:rsidRPr="006070EA">
        <w:rPr>
          <w:rFonts w:asciiTheme="majorHAnsi" w:hAnsiTheme="majorHAnsi" w:cstheme="majorHAnsi"/>
          <w:b/>
        </w:rPr>
        <w:tab/>
      </w:r>
      <w:r w:rsidRPr="006070EA">
        <w:rPr>
          <w:rFonts w:asciiTheme="majorHAnsi" w:hAnsiTheme="majorHAnsi" w:cstheme="majorHAnsi"/>
        </w:rPr>
        <w:t xml:space="preserve">je stanovena v plochách nezastavěného území pro případy umisťování staveb dle § 18 odst. 5 stavebního zákona, s ohledem na ochranu krajinného rázu </w:t>
      </w:r>
      <w:r w:rsidRPr="006070EA">
        <w:rPr>
          <w:rFonts w:asciiTheme="majorHAnsi" w:hAnsiTheme="majorHAnsi" w:cstheme="majorHAnsi"/>
          <w:snapToGrid w:val="0"/>
        </w:rPr>
        <w:t>tak, aby objekty výrazně nepřevyšovaly okolní vegetaci a svou výškou i</w:t>
      </w:r>
      <w:r w:rsidR="00982A60" w:rsidRPr="006070EA">
        <w:rPr>
          <w:rFonts w:asciiTheme="majorHAnsi" w:hAnsiTheme="majorHAnsi" w:cstheme="majorHAnsi"/>
          <w:snapToGrid w:val="0"/>
        </w:rPr>
        <w:t> </w:t>
      </w:r>
      <w:r w:rsidRPr="006070EA">
        <w:rPr>
          <w:rFonts w:asciiTheme="majorHAnsi" w:hAnsiTheme="majorHAnsi" w:cstheme="majorHAnsi"/>
          <w:snapToGrid w:val="0"/>
        </w:rPr>
        <w:t xml:space="preserve">hmotou nenarušovaly měřítko krajiny a krajinné horizonty v dálkových pohledech. </w:t>
      </w:r>
    </w:p>
    <w:p w14:paraId="1B9CFC64" w14:textId="77777777" w:rsidR="00552020" w:rsidRPr="006070EA" w:rsidRDefault="00552020" w:rsidP="00552020">
      <w:pPr>
        <w:pStyle w:val="Norml"/>
        <w:ind w:left="3544" w:hanging="2835"/>
        <w:rPr>
          <w:rFonts w:asciiTheme="majorHAnsi" w:hAnsiTheme="majorHAnsi" w:cstheme="majorHAnsi"/>
          <w:b/>
        </w:rPr>
      </w:pPr>
      <w:r w:rsidRPr="006070EA">
        <w:rPr>
          <w:rFonts w:asciiTheme="majorHAnsi" w:hAnsiTheme="majorHAnsi" w:cstheme="majorHAnsi"/>
          <w:b/>
        </w:rPr>
        <w:t>Maximální velikost zastavěné plochy objektu</w:t>
      </w:r>
    </w:p>
    <w:p w14:paraId="708B3CED" w14:textId="3B5A7042" w:rsidR="00552020" w:rsidRPr="006070EA" w:rsidRDefault="00552020" w:rsidP="00552020">
      <w:pPr>
        <w:pStyle w:val="Norml"/>
        <w:ind w:left="3544" w:hanging="2835"/>
        <w:rPr>
          <w:rFonts w:asciiTheme="majorHAnsi" w:hAnsiTheme="majorHAnsi" w:cstheme="majorHAnsi"/>
        </w:rPr>
      </w:pPr>
      <w:r w:rsidRPr="006070EA">
        <w:rPr>
          <w:rFonts w:asciiTheme="majorHAnsi" w:hAnsiTheme="majorHAnsi" w:cstheme="majorHAnsi"/>
          <w:b/>
        </w:rPr>
        <w:tab/>
      </w:r>
      <w:r w:rsidRPr="006070EA">
        <w:rPr>
          <w:rFonts w:asciiTheme="majorHAnsi" w:hAnsiTheme="majorHAnsi" w:cstheme="majorHAnsi"/>
        </w:rPr>
        <w:t xml:space="preserve">je stanovena v plochách nezastavěného území pro případy umisťování staveb dle § 18 odst. 5 stavebního zákona, s ohledem na ochranu krajinného rázu </w:t>
      </w:r>
      <w:r w:rsidRPr="006070EA">
        <w:rPr>
          <w:rFonts w:asciiTheme="majorHAnsi" w:hAnsiTheme="majorHAnsi" w:cstheme="majorHAnsi"/>
          <w:snapToGrid w:val="0"/>
        </w:rPr>
        <w:t>tak, aby objekty svou velikostí a hmotou nenarušovaly měřítko krajiny a</w:t>
      </w:r>
      <w:r w:rsidR="00982A60" w:rsidRPr="006070EA">
        <w:rPr>
          <w:rFonts w:asciiTheme="majorHAnsi" w:hAnsiTheme="majorHAnsi" w:cstheme="majorHAnsi"/>
          <w:snapToGrid w:val="0"/>
        </w:rPr>
        <w:t> </w:t>
      </w:r>
      <w:r w:rsidRPr="006070EA">
        <w:rPr>
          <w:rFonts w:asciiTheme="majorHAnsi" w:hAnsiTheme="majorHAnsi" w:cstheme="majorHAnsi"/>
          <w:snapToGrid w:val="0"/>
        </w:rPr>
        <w:t xml:space="preserve">krajinné horizonty v dálkových pohledech. </w:t>
      </w:r>
    </w:p>
    <w:p w14:paraId="28AD3D92" w14:textId="06A5896F" w:rsidR="00552020" w:rsidRPr="006070EA" w:rsidRDefault="00552020" w:rsidP="00552020">
      <w:pPr>
        <w:pStyle w:val="Atext"/>
        <w:rPr>
          <w:rFonts w:asciiTheme="majorHAnsi" w:hAnsiTheme="majorHAnsi" w:cstheme="majorHAnsi"/>
        </w:rPr>
      </w:pPr>
      <w:r w:rsidRPr="006070EA">
        <w:rPr>
          <w:rFonts w:asciiTheme="majorHAnsi" w:hAnsiTheme="majorHAnsi" w:cstheme="majorHAnsi"/>
        </w:rPr>
        <w:t xml:space="preserve">Výše uvedené pojmy jsou definovány v textové části výroku ÚP </w:t>
      </w:r>
      <w:r w:rsidR="00982A60" w:rsidRPr="006070EA">
        <w:rPr>
          <w:rFonts w:asciiTheme="majorHAnsi" w:hAnsiTheme="majorHAnsi" w:cstheme="majorHAnsi"/>
        </w:rPr>
        <w:t>Kostomlaty nad Labem</w:t>
      </w:r>
      <w:r w:rsidRPr="006070EA">
        <w:rPr>
          <w:rFonts w:asciiTheme="majorHAnsi" w:hAnsiTheme="majorHAnsi" w:cstheme="majorHAnsi"/>
        </w:rPr>
        <w:t xml:space="preserve"> v kapitole 6.1. Výklad pojmů. </w:t>
      </w:r>
    </w:p>
    <w:p w14:paraId="191FCC0E" w14:textId="77777777" w:rsidR="00552020" w:rsidRPr="006070EA" w:rsidRDefault="00552020" w:rsidP="00D430EF">
      <w:pPr>
        <w:pStyle w:val="ANADPIS4"/>
        <w:rPr>
          <w:rFonts w:asciiTheme="majorHAnsi" w:hAnsiTheme="majorHAnsi" w:cstheme="majorHAnsi"/>
        </w:rPr>
      </w:pPr>
      <w:r w:rsidRPr="006070EA">
        <w:rPr>
          <w:rFonts w:asciiTheme="majorHAnsi" w:hAnsiTheme="majorHAnsi" w:cstheme="majorHAnsi"/>
        </w:rPr>
        <w:lastRenderedPageBreak/>
        <w:t>odůvodnění VYMEZENÍ A STANOVENÍ PODMÍNEK V RÁMCI JEDNOTLIVÝCH TYPŮ PLOCH S ROZDÍLNÝM ZPŮSOBEM VYUŽITÍ</w:t>
      </w:r>
    </w:p>
    <w:p w14:paraId="09830C4F" w14:textId="77777777" w:rsidR="00552020" w:rsidRPr="006070EA" w:rsidRDefault="00552020" w:rsidP="00D430EF">
      <w:pPr>
        <w:pStyle w:val="ANADPIS4"/>
        <w:shd w:val="clear" w:color="auto" w:fill="auto"/>
        <w:rPr>
          <w:rFonts w:asciiTheme="majorHAnsi" w:hAnsiTheme="majorHAnsi" w:cstheme="majorHAnsi"/>
          <w:sz w:val="18"/>
        </w:rPr>
      </w:pPr>
      <w:r w:rsidRPr="006070EA">
        <w:rPr>
          <w:rFonts w:asciiTheme="majorHAnsi" w:hAnsiTheme="majorHAnsi" w:cstheme="majorHAnsi"/>
        </w:rPr>
        <w:t>PLOCHY BYDLENÍ</w:t>
      </w:r>
    </w:p>
    <w:p w14:paraId="037BD698" w14:textId="6879EA7F" w:rsidR="00552020" w:rsidRPr="006070EA" w:rsidRDefault="00552020" w:rsidP="00D430EF">
      <w:pPr>
        <w:pStyle w:val="Anadpistun"/>
        <w:tabs>
          <w:tab w:val="right" w:pos="9639"/>
        </w:tabs>
        <w:jc w:val="right"/>
        <w:rPr>
          <w:rFonts w:asciiTheme="majorHAnsi" w:hAnsiTheme="majorHAnsi" w:cstheme="majorHAnsi"/>
          <w:b w:val="0"/>
        </w:rPr>
      </w:pPr>
      <w:r w:rsidRPr="006070EA">
        <w:rPr>
          <w:rFonts w:asciiTheme="majorHAnsi" w:hAnsiTheme="majorHAnsi" w:cstheme="majorHAnsi"/>
          <w:b w:val="0"/>
          <w:i/>
          <w:snapToGrid w:val="0"/>
          <w:u w:val="single"/>
        </w:rPr>
        <w:t xml:space="preserve">Odůvodnění odst. </w:t>
      </w:r>
      <w:r w:rsidRPr="006070EA">
        <w:rPr>
          <w:rFonts w:asciiTheme="majorHAnsi" w:hAnsiTheme="majorHAnsi" w:cstheme="majorHAnsi"/>
          <w:i/>
          <w:snapToGrid w:val="0"/>
          <w:u w:val="single"/>
        </w:rPr>
        <w:t>(</w:t>
      </w:r>
      <w:r w:rsidR="00982A60" w:rsidRPr="006070EA">
        <w:rPr>
          <w:rFonts w:asciiTheme="majorHAnsi" w:hAnsiTheme="majorHAnsi" w:cstheme="majorHAnsi"/>
          <w:i/>
          <w:snapToGrid w:val="0"/>
          <w:u w:val="single"/>
        </w:rPr>
        <w:t>6</w:t>
      </w:r>
      <w:r w:rsidR="0021590A">
        <w:rPr>
          <w:rFonts w:asciiTheme="majorHAnsi" w:hAnsiTheme="majorHAnsi" w:cstheme="majorHAnsi"/>
          <w:i/>
          <w:snapToGrid w:val="0"/>
          <w:u w:val="single"/>
        </w:rPr>
        <w:t>1</w:t>
      </w:r>
      <w:r w:rsidRPr="006070EA">
        <w:rPr>
          <w:rFonts w:asciiTheme="majorHAnsi" w:hAnsiTheme="majorHAnsi" w:cstheme="majorHAnsi"/>
          <w:i/>
          <w:snapToGrid w:val="0"/>
          <w:u w:val="single"/>
        </w:rPr>
        <w:t>)</w:t>
      </w:r>
      <w:r w:rsidR="00982A60" w:rsidRPr="006070EA">
        <w:rPr>
          <w:rFonts w:asciiTheme="majorHAnsi" w:hAnsiTheme="majorHAnsi" w:cstheme="majorHAnsi"/>
          <w:i/>
          <w:snapToGrid w:val="0"/>
          <w:u w:val="single"/>
        </w:rPr>
        <w:t xml:space="preserve"> </w:t>
      </w:r>
      <w:r w:rsidR="0021590A">
        <w:rPr>
          <w:rFonts w:asciiTheme="majorHAnsi" w:hAnsiTheme="majorHAnsi" w:cstheme="majorHAnsi"/>
          <w:i/>
          <w:snapToGrid w:val="0"/>
          <w:u w:val="single"/>
        </w:rPr>
        <w:t>a</w:t>
      </w:r>
      <w:r w:rsidR="00982A60" w:rsidRPr="006070EA">
        <w:rPr>
          <w:rFonts w:asciiTheme="majorHAnsi" w:hAnsiTheme="majorHAnsi" w:cstheme="majorHAnsi"/>
          <w:i/>
          <w:snapToGrid w:val="0"/>
          <w:u w:val="single"/>
        </w:rPr>
        <w:t xml:space="preserve"> (6</w:t>
      </w:r>
      <w:r w:rsidR="0021590A">
        <w:rPr>
          <w:rFonts w:asciiTheme="majorHAnsi" w:hAnsiTheme="majorHAnsi" w:cstheme="majorHAnsi"/>
          <w:i/>
          <w:snapToGrid w:val="0"/>
          <w:u w:val="single"/>
        </w:rPr>
        <w:t>2</w:t>
      </w:r>
      <w:r w:rsidR="00982A60" w:rsidRPr="006070EA">
        <w:rPr>
          <w:rFonts w:asciiTheme="majorHAnsi" w:hAnsiTheme="majorHAnsi" w:cstheme="majorHAnsi"/>
          <w:i/>
          <w:snapToGrid w:val="0"/>
          <w:u w:val="single"/>
        </w:rPr>
        <w:t>)</w:t>
      </w:r>
      <w:r w:rsidRPr="006070EA">
        <w:rPr>
          <w:rFonts w:asciiTheme="majorHAnsi" w:hAnsiTheme="majorHAnsi" w:cstheme="majorHAnsi"/>
          <w:i/>
          <w:snapToGrid w:val="0"/>
          <w:u w:val="single"/>
        </w:rPr>
        <w:t xml:space="preserve"> </w:t>
      </w:r>
      <w:r w:rsidRPr="006070EA">
        <w:rPr>
          <w:rFonts w:asciiTheme="majorHAnsi" w:hAnsiTheme="majorHAnsi" w:cstheme="majorHAnsi"/>
          <w:b w:val="0"/>
          <w:i/>
          <w:snapToGrid w:val="0"/>
          <w:u w:val="single"/>
        </w:rPr>
        <w:t>výrokové části</w:t>
      </w:r>
    </w:p>
    <w:p w14:paraId="40E438EB" w14:textId="1D0357B6" w:rsidR="00552020" w:rsidRPr="006070EA" w:rsidRDefault="00552020" w:rsidP="00D430EF">
      <w:pPr>
        <w:pStyle w:val="Atext"/>
        <w:keepNext/>
        <w:rPr>
          <w:rFonts w:asciiTheme="majorHAnsi" w:hAnsiTheme="majorHAnsi" w:cstheme="majorHAnsi"/>
        </w:rPr>
      </w:pPr>
      <w:r w:rsidRPr="006070EA">
        <w:rPr>
          <w:rFonts w:asciiTheme="majorHAnsi" w:hAnsiTheme="majorHAnsi" w:cstheme="majorHAnsi"/>
        </w:rPr>
        <w:t>V souladu s § 4 vyhlášky č. 501/2006 Sb.</w:t>
      </w:r>
      <w:r w:rsidR="00982A60" w:rsidRPr="006070EA">
        <w:rPr>
          <w:rFonts w:asciiTheme="majorHAnsi" w:hAnsiTheme="majorHAnsi" w:cstheme="majorHAnsi"/>
        </w:rPr>
        <w:t xml:space="preserve"> jsou vymezeny plochy bydlení v následujícím členění</w:t>
      </w:r>
      <w:r w:rsidRPr="006070EA">
        <w:rPr>
          <w:rFonts w:asciiTheme="majorHAnsi" w:hAnsiTheme="majorHAnsi" w:cstheme="majorHAnsi"/>
        </w:rPr>
        <w:t xml:space="preserve">: </w:t>
      </w:r>
    </w:p>
    <w:p w14:paraId="0E6875F4" w14:textId="77777777" w:rsidR="00552020" w:rsidRPr="006070EA" w:rsidRDefault="00552020" w:rsidP="00552020">
      <w:pPr>
        <w:pStyle w:val="Anadpistun"/>
        <w:rPr>
          <w:rFonts w:asciiTheme="majorHAnsi" w:hAnsiTheme="majorHAnsi" w:cstheme="majorHAnsi"/>
        </w:rPr>
      </w:pPr>
      <w:r w:rsidRPr="006070EA">
        <w:rPr>
          <w:rFonts w:asciiTheme="majorHAnsi" w:hAnsiTheme="majorHAnsi" w:cstheme="majorHAnsi"/>
        </w:rPr>
        <w:t>Bydlení hromadné (BH)</w:t>
      </w:r>
    </w:p>
    <w:p w14:paraId="5881B84D" w14:textId="04D6CBE3" w:rsidR="00552020" w:rsidRPr="006070EA" w:rsidRDefault="00552020" w:rsidP="00552020">
      <w:pPr>
        <w:pStyle w:val="Atext"/>
        <w:rPr>
          <w:rFonts w:asciiTheme="majorHAnsi" w:hAnsiTheme="majorHAnsi" w:cstheme="majorHAnsi"/>
        </w:rPr>
      </w:pPr>
      <w:r w:rsidRPr="006070EA">
        <w:rPr>
          <w:rFonts w:asciiTheme="majorHAnsi" w:hAnsiTheme="majorHAnsi" w:cstheme="majorHAnsi"/>
        </w:rPr>
        <w:t>Plochy BH reprezentují bytové domy nebo soubory bytových domů a jsou vymezeny z důvodu stabilizace souborů bytových domů umístěných v</w:t>
      </w:r>
      <w:r w:rsidR="00982A60" w:rsidRPr="006070EA">
        <w:rPr>
          <w:rFonts w:asciiTheme="majorHAnsi" w:hAnsiTheme="majorHAnsi" w:cstheme="majorHAnsi"/>
        </w:rPr>
        <w:t xml:space="preserve"> převažující </w:t>
      </w:r>
      <w:r w:rsidRPr="006070EA">
        <w:rPr>
          <w:rFonts w:asciiTheme="majorHAnsi" w:hAnsiTheme="majorHAnsi" w:cstheme="majorHAnsi"/>
        </w:rPr>
        <w:t xml:space="preserve">zástavbě rodinných domů, zajištění vysoké kvality bydlení, vyloučení dopravní zátěže, zachování vysokého podílu veřejně přístupné zeleně a možností doplnění občanského vybavení lokálního významu. Vyloučeny jsou výrobní aktivity a nadmístní vybavenost, které by mohly narušit kvalitu obytného prostředí výrazným navýšením dopravní či hygienické zátěže. </w:t>
      </w:r>
    </w:p>
    <w:p w14:paraId="038857B0" w14:textId="4F3641B3" w:rsidR="00552020" w:rsidRPr="006070EA" w:rsidRDefault="00552020" w:rsidP="00552020">
      <w:pPr>
        <w:pStyle w:val="Atext"/>
        <w:rPr>
          <w:rFonts w:asciiTheme="majorHAnsi" w:hAnsiTheme="majorHAnsi" w:cstheme="majorHAnsi"/>
        </w:rPr>
      </w:pPr>
      <w:r w:rsidRPr="006070EA">
        <w:rPr>
          <w:rFonts w:asciiTheme="majorHAnsi" w:hAnsiTheme="majorHAnsi" w:cstheme="majorHAnsi"/>
        </w:rPr>
        <w:t>Charakter a struktura zástavby vychází ze stávajícího charakteru zástavby bytových domů – prostorově výrazná zástavba umístěná ve volném prostoru s podílem veřejné zeleně. Stanovená maximální výška zástavby odpovídá stávajícím objektům bytových domů nebo je mírně vyšší</w:t>
      </w:r>
      <w:r w:rsidR="00982A60" w:rsidRPr="006070EA">
        <w:rPr>
          <w:rFonts w:asciiTheme="majorHAnsi" w:hAnsiTheme="majorHAnsi" w:cstheme="majorHAnsi"/>
        </w:rPr>
        <w:t xml:space="preserve"> (pro vytvoření rezervy)</w:t>
      </w:r>
      <w:r w:rsidRPr="006070EA">
        <w:rPr>
          <w:rFonts w:asciiTheme="majorHAnsi" w:hAnsiTheme="majorHAnsi" w:cstheme="majorHAnsi"/>
        </w:rPr>
        <w:t xml:space="preserve">. Koeficient maximálního zastavění pozemku je vymezen s ohledem na stávající zástavbu bytových domů a zajišťuje zachování měřítka a velikosti hmot této zástavby. Koeficient minimálního podílu zeleně na pozemku vychází z požadavku § 21 vyhlášky č. 501/2006 Sb. týkající se zajištění části pozemku bytového domu schopné vsakovat dešťovou vodu. Zároveň je stanovením koeficientu zajištěna vysoká kvalita obytného prostředí a dostatečný podíl zeleně v rámci obytné zástavby jako součást systému sídelní zeleně. </w:t>
      </w:r>
    </w:p>
    <w:p w14:paraId="60940C46" w14:textId="77777777" w:rsidR="00982A60" w:rsidRPr="006070EA" w:rsidRDefault="00982A60" w:rsidP="00982A60">
      <w:pPr>
        <w:pStyle w:val="Anadpistun"/>
        <w:rPr>
          <w:rFonts w:asciiTheme="majorHAnsi" w:hAnsiTheme="majorHAnsi" w:cstheme="majorHAnsi"/>
        </w:rPr>
      </w:pPr>
      <w:r w:rsidRPr="006070EA">
        <w:rPr>
          <w:rFonts w:asciiTheme="majorHAnsi" w:hAnsiTheme="majorHAnsi" w:cstheme="majorHAnsi"/>
        </w:rPr>
        <w:t>Bydlení individuální (BI)</w:t>
      </w:r>
    </w:p>
    <w:p w14:paraId="2AA7D583" w14:textId="6AF6299D" w:rsidR="00982A60" w:rsidRPr="006070EA" w:rsidRDefault="00982A60" w:rsidP="00982A60">
      <w:pPr>
        <w:pStyle w:val="Atext"/>
        <w:rPr>
          <w:rFonts w:asciiTheme="majorHAnsi" w:hAnsiTheme="majorHAnsi" w:cstheme="majorHAnsi"/>
        </w:rPr>
      </w:pPr>
      <w:r w:rsidRPr="006070EA">
        <w:rPr>
          <w:rFonts w:asciiTheme="majorHAnsi" w:hAnsiTheme="majorHAnsi" w:cstheme="majorHAnsi"/>
        </w:rPr>
        <w:t>Plochy BI reprezentují individuální bydlení v</w:t>
      </w:r>
      <w:r w:rsidR="002B7C96" w:rsidRPr="006070EA">
        <w:rPr>
          <w:rFonts w:asciiTheme="majorHAnsi" w:hAnsiTheme="majorHAnsi" w:cstheme="majorHAnsi"/>
        </w:rPr>
        <w:t xml:space="preserve"> Kostomlatech nad Labem </w:t>
      </w:r>
      <w:r w:rsidRPr="006070EA">
        <w:rPr>
          <w:rFonts w:asciiTheme="majorHAnsi" w:hAnsiTheme="majorHAnsi" w:cstheme="majorHAnsi"/>
        </w:rPr>
        <w:t>– plochy rodinných domů s příměsí nerušících obslužných funkcí místního významu, s umožněním lokálních ekonomických aktivit (drobné podnikání v oblasti služeb a</w:t>
      </w:r>
      <w:r w:rsidR="002B7C96" w:rsidRPr="006070EA">
        <w:rPr>
          <w:rFonts w:asciiTheme="majorHAnsi" w:hAnsiTheme="majorHAnsi" w:cstheme="majorHAnsi"/>
        </w:rPr>
        <w:t> </w:t>
      </w:r>
      <w:r w:rsidRPr="006070EA">
        <w:rPr>
          <w:rFonts w:asciiTheme="majorHAnsi" w:hAnsiTheme="majorHAnsi" w:cstheme="majorHAnsi"/>
        </w:rPr>
        <w:t>vybavenosti). Plochy BI zahrnují intenzivně urbanizovan</w:t>
      </w:r>
      <w:r w:rsidR="002B7C96" w:rsidRPr="006070EA">
        <w:rPr>
          <w:rFonts w:asciiTheme="majorHAnsi" w:hAnsiTheme="majorHAnsi" w:cstheme="majorHAnsi"/>
        </w:rPr>
        <w:t>é</w:t>
      </w:r>
      <w:r w:rsidRPr="006070EA">
        <w:rPr>
          <w:rFonts w:asciiTheme="majorHAnsi" w:hAnsiTheme="majorHAnsi" w:cstheme="majorHAnsi"/>
        </w:rPr>
        <w:t xml:space="preserve"> území </w:t>
      </w:r>
      <w:r w:rsidR="002B7C96" w:rsidRPr="006070EA">
        <w:rPr>
          <w:rFonts w:asciiTheme="majorHAnsi" w:hAnsiTheme="majorHAnsi" w:cstheme="majorHAnsi"/>
        </w:rPr>
        <w:t xml:space="preserve">hlavního sídla v území, </w:t>
      </w:r>
      <w:r w:rsidRPr="006070EA">
        <w:rPr>
          <w:rFonts w:asciiTheme="majorHAnsi" w:hAnsiTheme="majorHAnsi" w:cstheme="majorHAnsi"/>
        </w:rPr>
        <w:t xml:space="preserve">zajišťující zejména bydlení individuálního charakteru. </w:t>
      </w:r>
    </w:p>
    <w:p w14:paraId="03B6D4A4" w14:textId="32466E07" w:rsidR="00982A60" w:rsidRPr="006070EA" w:rsidRDefault="00982A60" w:rsidP="00982A60">
      <w:pPr>
        <w:pStyle w:val="Atext"/>
        <w:rPr>
          <w:rFonts w:asciiTheme="majorHAnsi" w:hAnsiTheme="majorHAnsi" w:cstheme="majorHAnsi"/>
        </w:rPr>
      </w:pPr>
      <w:r w:rsidRPr="006070EA">
        <w:rPr>
          <w:rFonts w:asciiTheme="majorHAnsi" w:hAnsiTheme="majorHAnsi" w:cstheme="majorHAnsi"/>
        </w:rPr>
        <w:t>Důvodem samostatného vymezení je stabilizace a ochrana rezidenčních čtvrtí individuálního bydlení v řešeném území, zajištění vysoké kvality obytného prostředí, vyloučení dopravní zátěže, zachování charakteru individuálního bydlení a</w:t>
      </w:r>
      <w:r w:rsidR="002B7C96" w:rsidRPr="006070EA">
        <w:rPr>
          <w:rFonts w:asciiTheme="majorHAnsi" w:hAnsiTheme="majorHAnsi" w:cstheme="majorHAnsi"/>
        </w:rPr>
        <w:t> </w:t>
      </w:r>
      <w:r w:rsidRPr="006070EA">
        <w:rPr>
          <w:rFonts w:asciiTheme="majorHAnsi" w:hAnsiTheme="majorHAnsi" w:cstheme="majorHAnsi"/>
        </w:rPr>
        <w:t>zachování možností doplnění občanského vybavení lokálního významu. Stanovením podmínek využití a prostorového uspořádání je zajištěno efektivní využití pro další rozvoj individuální obytné zástavby představující koncentrované bydlení v rodinných domech.</w:t>
      </w:r>
    </w:p>
    <w:p w14:paraId="18084716" w14:textId="77777777" w:rsidR="00982A60" w:rsidRPr="006070EA" w:rsidRDefault="00982A60" w:rsidP="00982A60">
      <w:pPr>
        <w:pStyle w:val="Atext"/>
        <w:rPr>
          <w:rFonts w:asciiTheme="majorHAnsi" w:hAnsiTheme="majorHAnsi" w:cstheme="majorHAnsi"/>
        </w:rPr>
      </w:pPr>
      <w:r w:rsidRPr="006070EA">
        <w:rPr>
          <w:rFonts w:asciiTheme="majorHAnsi" w:hAnsiTheme="majorHAnsi" w:cstheme="majorHAnsi"/>
        </w:rPr>
        <w:t xml:space="preserve">Umožněna je existence i případný rozvoj objektů individuální rekreace, vyloučeny jsou výrobní aktivity a nadmístní vybavenost, které by mohly narušit kvalitu obytného prostředí výrazným navýšením dopravní či hygienické zátěže. </w:t>
      </w:r>
    </w:p>
    <w:p w14:paraId="449EE4A9" w14:textId="5344222B" w:rsidR="00982A60" w:rsidRPr="006070EA" w:rsidRDefault="00982A60" w:rsidP="00982A60">
      <w:pPr>
        <w:pStyle w:val="Atext"/>
        <w:rPr>
          <w:rFonts w:asciiTheme="majorHAnsi" w:hAnsiTheme="majorHAnsi" w:cstheme="majorHAnsi"/>
        </w:rPr>
      </w:pPr>
      <w:r w:rsidRPr="006070EA">
        <w:rPr>
          <w:rFonts w:asciiTheme="majorHAnsi" w:hAnsiTheme="majorHAnsi" w:cstheme="majorHAnsi"/>
        </w:rPr>
        <w:t xml:space="preserve">Z hlediska stanovení prostorové struktury zástavby je zohledněna stávající struktura zástavby. </w:t>
      </w:r>
      <w:r w:rsidR="002B7C96" w:rsidRPr="006070EA">
        <w:rPr>
          <w:rFonts w:asciiTheme="majorHAnsi" w:hAnsiTheme="majorHAnsi" w:cstheme="majorHAnsi"/>
        </w:rPr>
        <w:t>J</w:t>
      </w:r>
      <w:r w:rsidRPr="006070EA">
        <w:rPr>
          <w:rFonts w:asciiTheme="majorHAnsi" w:hAnsiTheme="majorHAnsi" w:cstheme="majorHAnsi"/>
        </w:rPr>
        <w:t>e stanovena volná individuální struktura zástavby</w:t>
      </w:r>
      <w:r w:rsidR="002B7C96" w:rsidRPr="006070EA">
        <w:rPr>
          <w:rFonts w:asciiTheme="majorHAnsi" w:hAnsiTheme="majorHAnsi" w:cstheme="majorHAnsi"/>
        </w:rPr>
        <w:t xml:space="preserve"> v souladu se založenou urbanistickou strukturou</w:t>
      </w:r>
      <w:r w:rsidRPr="006070EA">
        <w:rPr>
          <w:rFonts w:asciiTheme="majorHAnsi" w:hAnsiTheme="majorHAnsi" w:cstheme="majorHAnsi"/>
        </w:rPr>
        <w:t xml:space="preserve">. Maximální výška zástavby vychází z výškové hladiny stávající obytné zástavby na území </w:t>
      </w:r>
      <w:r w:rsidR="002B7C96" w:rsidRPr="006070EA">
        <w:rPr>
          <w:rFonts w:asciiTheme="majorHAnsi" w:hAnsiTheme="majorHAnsi" w:cstheme="majorHAnsi"/>
        </w:rPr>
        <w:t>obce</w:t>
      </w:r>
      <w:r w:rsidRPr="006070EA">
        <w:rPr>
          <w:rFonts w:asciiTheme="majorHAnsi" w:hAnsiTheme="majorHAnsi" w:cstheme="majorHAnsi"/>
        </w:rPr>
        <w:t>.</w:t>
      </w:r>
      <w:r w:rsidR="002B7C96" w:rsidRPr="006070EA">
        <w:rPr>
          <w:rFonts w:asciiTheme="majorHAnsi" w:hAnsiTheme="majorHAnsi" w:cstheme="majorHAnsi"/>
        </w:rPr>
        <w:t xml:space="preserve"> </w:t>
      </w:r>
      <w:r w:rsidRPr="006070EA">
        <w:rPr>
          <w:rFonts w:asciiTheme="majorHAnsi" w:hAnsiTheme="majorHAnsi" w:cstheme="majorHAnsi"/>
        </w:rPr>
        <w:t>Koeficient maximálního zastavění pozemku vychází ze stávající individuální obytné zástavby a zajišťuje zachování měřítka a velikosti hmot této zástavby.</w:t>
      </w:r>
    </w:p>
    <w:p w14:paraId="1EB70821" w14:textId="77777777" w:rsidR="00982A60" w:rsidRPr="006070EA" w:rsidRDefault="00982A60" w:rsidP="00982A60">
      <w:pPr>
        <w:pStyle w:val="Atext"/>
        <w:rPr>
          <w:rFonts w:asciiTheme="majorHAnsi" w:hAnsiTheme="majorHAnsi" w:cstheme="majorHAnsi"/>
        </w:rPr>
      </w:pPr>
      <w:r w:rsidRPr="006070EA">
        <w:rPr>
          <w:rFonts w:asciiTheme="majorHAnsi" w:hAnsiTheme="majorHAnsi" w:cstheme="majorHAnsi"/>
        </w:rPr>
        <w:t xml:space="preserve">Koeficient minimálního podílu zeleně na pozemku vychází z požadavku § 21 vyhlášky č. 501/2006 Sb. týkající se zajištění části pozemku samostatně stojícího rodinného domu nebo stavby pro rodinnou rekreaci schopné vsakovat dešťovou vodu. Zároveň je stanovením koeficientu zajištěna vysoká kvalita obytného prostředí a dostatečný podíl zeleně v rámci individuální zástavby jako součást systému sídelní zeleně. </w:t>
      </w:r>
    </w:p>
    <w:p w14:paraId="264F6DDF" w14:textId="3A322CBD" w:rsidR="00982A60" w:rsidRPr="006070EA" w:rsidRDefault="00982A60" w:rsidP="00552020">
      <w:pPr>
        <w:pStyle w:val="Atext"/>
        <w:rPr>
          <w:rFonts w:asciiTheme="majorHAnsi" w:hAnsiTheme="majorHAnsi" w:cstheme="majorHAnsi"/>
        </w:rPr>
      </w:pPr>
      <w:r w:rsidRPr="006070EA">
        <w:rPr>
          <w:rFonts w:asciiTheme="majorHAnsi" w:hAnsiTheme="majorHAnsi" w:cstheme="majorHAnsi"/>
        </w:rPr>
        <w:t>Rozmezí výměry pro vymezování stavebního pozemku je stanoveno z důvodu zajištění efektivního využití ploch a</w:t>
      </w:r>
      <w:r w:rsidR="002B7C96" w:rsidRPr="006070EA">
        <w:rPr>
          <w:rFonts w:asciiTheme="majorHAnsi" w:hAnsiTheme="majorHAnsi" w:cstheme="majorHAnsi"/>
        </w:rPr>
        <w:t> </w:t>
      </w:r>
      <w:r w:rsidRPr="006070EA">
        <w:rPr>
          <w:rFonts w:asciiTheme="majorHAnsi" w:hAnsiTheme="majorHAnsi" w:cstheme="majorHAnsi"/>
        </w:rPr>
        <w:t>zamezení vzniku plošně rozsáhlých pozemků, které by znemožnily efektivně a hospodárně využívat zastavěné území, zastavitelné plochy a související veřejnou (zejména dopravní a technickou) infrastrukturu, nebo naopak příliš intenzivní zástavby (např. řadové RD s více bytovými jednotkami), která by mohla urbanisticky a provozně narušit obytné prostředí převážně individuální zástavby.</w:t>
      </w:r>
      <w:r w:rsidR="002B7C96" w:rsidRPr="006070EA">
        <w:rPr>
          <w:rFonts w:asciiTheme="majorHAnsi" w:hAnsiTheme="majorHAnsi" w:cstheme="majorHAnsi"/>
        </w:rPr>
        <w:t xml:space="preserve"> Minimální hodnota pro vymezení stavebního pozemku zohledňuje výměry stávajících rezerv v zastavěném území.</w:t>
      </w:r>
    </w:p>
    <w:p w14:paraId="2098BC21" w14:textId="77777777" w:rsidR="00552020" w:rsidRPr="006070EA" w:rsidRDefault="00552020" w:rsidP="002B7C96">
      <w:pPr>
        <w:pStyle w:val="ANADPIS4"/>
        <w:shd w:val="clear" w:color="auto" w:fill="auto"/>
        <w:rPr>
          <w:rFonts w:asciiTheme="majorHAnsi" w:hAnsiTheme="majorHAnsi" w:cstheme="majorHAnsi"/>
          <w:i/>
          <w:snapToGrid w:val="0"/>
          <w:u w:val="single"/>
        </w:rPr>
      </w:pPr>
      <w:r w:rsidRPr="006070EA">
        <w:rPr>
          <w:rFonts w:asciiTheme="majorHAnsi" w:hAnsiTheme="majorHAnsi" w:cstheme="majorHAnsi"/>
        </w:rPr>
        <w:t>PLOCHY OBČANSKÉHO VYBAVENÍ</w:t>
      </w:r>
    </w:p>
    <w:p w14:paraId="1E75F284" w14:textId="6D944ED5" w:rsidR="00552020" w:rsidRPr="006070EA" w:rsidRDefault="00552020" w:rsidP="00552020">
      <w:pPr>
        <w:pStyle w:val="Anadpistun"/>
        <w:tabs>
          <w:tab w:val="right" w:pos="9639"/>
        </w:tabs>
        <w:jc w:val="right"/>
        <w:rPr>
          <w:rFonts w:asciiTheme="majorHAnsi" w:hAnsiTheme="majorHAnsi" w:cstheme="majorHAnsi"/>
          <w:b w:val="0"/>
        </w:rPr>
      </w:pPr>
      <w:r w:rsidRPr="006070EA">
        <w:rPr>
          <w:rFonts w:asciiTheme="majorHAnsi" w:hAnsiTheme="majorHAnsi" w:cstheme="majorHAnsi"/>
          <w:b w:val="0"/>
          <w:i/>
          <w:snapToGrid w:val="0"/>
          <w:u w:val="single"/>
        </w:rPr>
        <w:t xml:space="preserve">Odůvodnění odst. </w:t>
      </w:r>
      <w:r w:rsidRPr="006070EA">
        <w:rPr>
          <w:rFonts w:asciiTheme="majorHAnsi" w:hAnsiTheme="majorHAnsi" w:cstheme="majorHAnsi"/>
          <w:i/>
          <w:snapToGrid w:val="0"/>
          <w:u w:val="single"/>
        </w:rPr>
        <w:t>(6</w:t>
      </w:r>
      <w:r w:rsidR="0021590A">
        <w:rPr>
          <w:rFonts w:asciiTheme="majorHAnsi" w:hAnsiTheme="majorHAnsi" w:cstheme="majorHAnsi"/>
          <w:i/>
          <w:snapToGrid w:val="0"/>
          <w:u w:val="single"/>
        </w:rPr>
        <w:t>3</w:t>
      </w:r>
      <w:r w:rsidR="006C766E" w:rsidRPr="006070EA">
        <w:rPr>
          <w:rFonts w:asciiTheme="majorHAnsi" w:hAnsiTheme="majorHAnsi" w:cstheme="majorHAnsi"/>
          <w:i/>
          <w:snapToGrid w:val="0"/>
          <w:u w:val="single"/>
        </w:rPr>
        <w:t xml:space="preserve">) </w:t>
      </w:r>
      <w:r w:rsidR="0021590A">
        <w:rPr>
          <w:rFonts w:asciiTheme="majorHAnsi" w:hAnsiTheme="majorHAnsi" w:cstheme="majorHAnsi"/>
          <w:i/>
          <w:snapToGrid w:val="0"/>
          <w:u w:val="single"/>
        </w:rPr>
        <w:t>a</w:t>
      </w:r>
      <w:r w:rsidRPr="006070EA">
        <w:rPr>
          <w:rFonts w:asciiTheme="majorHAnsi" w:hAnsiTheme="majorHAnsi" w:cstheme="majorHAnsi"/>
          <w:i/>
          <w:snapToGrid w:val="0"/>
          <w:u w:val="single"/>
        </w:rPr>
        <w:t xml:space="preserve"> (6</w:t>
      </w:r>
      <w:r w:rsidR="0021590A">
        <w:rPr>
          <w:rFonts w:asciiTheme="majorHAnsi" w:hAnsiTheme="majorHAnsi" w:cstheme="majorHAnsi"/>
          <w:i/>
          <w:snapToGrid w:val="0"/>
          <w:u w:val="single"/>
        </w:rPr>
        <w:t>4</w:t>
      </w:r>
      <w:r w:rsidRPr="006070EA">
        <w:rPr>
          <w:rFonts w:asciiTheme="majorHAnsi" w:hAnsiTheme="majorHAnsi" w:cstheme="majorHAnsi"/>
          <w:i/>
          <w:snapToGrid w:val="0"/>
          <w:u w:val="single"/>
        </w:rPr>
        <w:t xml:space="preserve">) </w:t>
      </w:r>
      <w:r w:rsidRPr="006070EA">
        <w:rPr>
          <w:rFonts w:asciiTheme="majorHAnsi" w:hAnsiTheme="majorHAnsi" w:cstheme="majorHAnsi"/>
          <w:b w:val="0"/>
          <w:i/>
          <w:snapToGrid w:val="0"/>
          <w:u w:val="single"/>
        </w:rPr>
        <w:t>výrokové části</w:t>
      </w:r>
    </w:p>
    <w:p w14:paraId="2DE57218" w14:textId="3D9465E5" w:rsidR="00552020" w:rsidRPr="006070EA" w:rsidRDefault="00552020" w:rsidP="00552020">
      <w:pPr>
        <w:pStyle w:val="Atext"/>
        <w:rPr>
          <w:rFonts w:asciiTheme="majorHAnsi" w:hAnsiTheme="majorHAnsi" w:cstheme="majorHAnsi"/>
        </w:rPr>
      </w:pPr>
      <w:r w:rsidRPr="006070EA">
        <w:rPr>
          <w:rFonts w:asciiTheme="majorHAnsi" w:hAnsiTheme="majorHAnsi" w:cstheme="majorHAnsi"/>
        </w:rPr>
        <w:t xml:space="preserve">V souladu s § 6 vyhlášky č. 501/2006 Sb. jsou vymezeny plochy občanského vybavení v následujícím členění: </w:t>
      </w:r>
    </w:p>
    <w:p w14:paraId="5A614DC3" w14:textId="77777777" w:rsidR="00552020" w:rsidRPr="006070EA" w:rsidRDefault="00552020" w:rsidP="00552020">
      <w:pPr>
        <w:pStyle w:val="Anadpistun"/>
        <w:rPr>
          <w:rFonts w:asciiTheme="majorHAnsi" w:hAnsiTheme="majorHAnsi" w:cstheme="majorHAnsi"/>
        </w:rPr>
      </w:pPr>
      <w:r w:rsidRPr="006070EA">
        <w:rPr>
          <w:rFonts w:asciiTheme="majorHAnsi" w:hAnsiTheme="majorHAnsi" w:cstheme="majorHAnsi"/>
        </w:rPr>
        <w:t>Občanské vybavení veřejné (OV)</w:t>
      </w:r>
    </w:p>
    <w:p w14:paraId="61F11904" w14:textId="2B9034DE" w:rsidR="00552020" w:rsidRPr="006070EA" w:rsidRDefault="00552020" w:rsidP="00552020">
      <w:pPr>
        <w:pStyle w:val="Atext"/>
        <w:rPr>
          <w:rFonts w:asciiTheme="majorHAnsi" w:hAnsiTheme="majorHAnsi" w:cstheme="majorHAnsi"/>
        </w:rPr>
      </w:pPr>
      <w:r w:rsidRPr="006070EA">
        <w:rPr>
          <w:rFonts w:asciiTheme="majorHAnsi" w:hAnsiTheme="majorHAnsi" w:cstheme="majorHAnsi"/>
        </w:rPr>
        <w:t>Plochy OV jsou vymezeny z důvodu ochrany občanského vybavení veřejného charakteru – zejména stavby a areály pro vzdělávání a výchovu, sociální služby a péči o rodiny, zdravotní služby, kulturu, veřejnou správu, ochranu obyvatelstva</w:t>
      </w:r>
      <w:r w:rsidR="006C766E" w:rsidRPr="006070EA">
        <w:rPr>
          <w:rFonts w:asciiTheme="majorHAnsi" w:hAnsiTheme="majorHAnsi" w:cstheme="majorHAnsi"/>
        </w:rPr>
        <w:t xml:space="preserve"> a sportovní aktivity</w:t>
      </w:r>
      <w:r w:rsidRPr="006070EA">
        <w:rPr>
          <w:rFonts w:asciiTheme="majorHAnsi" w:hAnsiTheme="majorHAnsi" w:cstheme="majorHAnsi"/>
        </w:rPr>
        <w:t xml:space="preserve">. Důvodem pro jejich samostatné vymezení je nutnost usměrňovat ochranu a rozvoj občanského vybavení </w:t>
      </w:r>
      <w:r w:rsidRPr="006070EA">
        <w:rPr>
          <w:rFonts w:asciiTheme="majorHAnsi" w:hAnsiTheme="majorHAnsi" w:cstheme="majorHAnsi"/>
        </w:rPr>
        <w:lastRenderedPageBreak/>
        <w:t xml:space="preserve">na území obce, zachování významu daných zařízení v rámci sídelní struktury (např. mateřská a základní škola) a vhodného umístění těchto areálů v rámci urbanistické struktury sídla, které je žádoucí zachovat či rozvíjet v dané lokalitě. </w:t>
      </w:r>
    </w:p>
    <w:p w14:paraId="1C439644" w14:textId="77777777" w:rsidR="006C766E" w:rsidRPr="006070EA" w:rsidRDefault="006C766E" w:rsidP="006C766E">
      <w:pPr>
        <w:pStyle w:val="Atext"/>
        <w:rPr>
          <w:rFonts w:asciiTheme="majorHAnsi" w:hAnsiTheme="majorHAnsi" w:cstheme="majorHAnsi"/>
          <w:szCs w:val="18"/>
        </w:rPr>
      </w:pPr>
      <w:r w:rsidRPr="006070EA">
        <w:rPr>
          <w:rFonts w:asciiTheme="majorHAnsi" w:hAnsiTheme="majorHAnsi" w:cstheme="majorHAnsi"/>
        </w:rPr>
        <w:t xml:space="preserve">Plochy OV </w:t>
      </w:r>
      <w:r w:rsidRPr="006070EA">
        <w:rPr>
          <w:rFonts w:asciiTheme="majorHAnsi" w:hAnsiTheme="majorHAnsi" w:cstheme="majorHAnsi"/>
          <w:szCs w:val="18"/>
        </w:rPr>
        <w:t>zahrnují také objekty zařízení pro veřejné sportovní a rekreační využití (sportoviště). Důvodem pro jejich zahrnutí je zejména ochrana těchto ploch v rámci urbanistické struktury. Sportovní plochy jsou převážně nezastavěné (hrací plochy, dráhy, tréninkové louky apod.), proto je nezbytné tyto plochy chránit před zastavěním a změnou využití jako významné plochy veřejné infrastruktury sloužící rekreaci a sportovnímu vyžití obyvatel.</w:t>
      </w:r>
    </w:p>
    <w:p w14:paraId="79598CDC" w14:textId="5648EF28" w:rsidR="00552020" w:rsidRPr="006070EA" w:rsidRDefault="00552020" w:rsidP="00552020">
      <w:pPr>
        <w:pStyle w:val="Atext"/>
        <w:rPr>
          <w:rFonts w:asciiTheme="majorHAnsi" w:hAnsiTheme="majorHAnsi" w:cstheme="majorHAnsi"/>
        </w:rPr>
      </w:pPr>
      <w:r w:rsidRPr="006070EA">
        <w:rPr>
          <w:rFonts w:asciiTheme="majorHAnsi" w:hAnsiTheme="majorHAnsi" w:cstheme="majorHAnsi"/>
        </w:rPr>
        <w:t xml:space="preserve">Pro plochy občanského vybavení je stanovena areálová struktura zástavby z důvodu zajištění nezbytných funkčních a provozních požadavků na tato specifická zařízení. Maximální výška zástavby je stanovena dle stávající převažující výšky staveb v rámci areálů OV se zohledněním stávajících prostorových parametrů staveb (např. základní škola) a rovněž z důvodu akcentace významu stavby občanského vybavení v rámci zástavby. Koeficient minimálního podílu zeleně na pozemku je stanoven z důvodu zajištění minimálního rozsahu ploch zeleně zejména pro účely hospodaření s dešťovou vodou na pozemku a případně rozvoje prvků modrozelené infrastruktury. </w:t>
      </w:r>
    </w:p>
    <w:p w14:paraId="499DAF03" w14:textId="77777777" w:rsidR="00552020" w:rsidRPr="006070EA" w:rsidRDefault="00552020" w:rsidP="00552020">
      <w:pPr>
        <w:pStyle w:val="Anadpistun"/>
        <w:rPr>
          <w:rFonts w:asciiTheme="majorHAnsi" w:hAnsiTheme="majorHAnsi" w:cstheme="majorHAnsi"/>
        </w:rPr>
      </w:pPr>
      <w:r w:rsidRPr="006070EA">
        <w:rPr>
          <w:rFonts w:asciiTheme="majorHAnsi" w:hAnsiTheme="majorHAnsi" w:cstheme="majorHAnsi"/>
        </w:rPr>
        <w:t>Občanské vybavení – hřbitovy (OH)</w:t>
      </w:r>
    </w:p>
    <w:p w14:paraId="414FF236" w14:textId="3BC086A2" w:rsidR="00552020" w:rsidRPr="006070EA" w:rsidRDefault="00552020" w:rsidP="00552020">
      <w:pPr>
        <w:pStyle w:val="Atext"/>
        <w:rPr>
          <w:rFonts w:asciiTheme="majorHAnsi" w:hAnsiTheme="majorHAnsi" w:cstheme="majorHAnsi"/>
        </w:rPr>
      </w:pPr>
      <w:r w:rsidRPr="006070EA">
        <w:rPr>
          <w:rFonts w:asciiTheme="majorHAnsi" w:hAnsiTheme="majorHAnsi" w:cstheme="majorHAnsi"/>
        </w:rPr>
        <w:t xml:space="preserve">Plochy OH zahrnují veřejná pohřebiště a související stavby, zařízení a pozemky. Ochrana těchto ploch jako součásti veřejné infrastruktury je dána zákonem č. 256/2001 Sb., o pohřebnictví, a ochranou pietních míst dle zákona č. 122/2004 Sb., o válečných hrobech a pietních místech. Do ploch OH je zahrnut stávající areál hřbitova v jádrové části </w:t>
      </w:r>
      <w:r w:rsidR="00632EE2" w:rsidRPr="006070EA">
        <w:rPr>
          <w:rFonts w:asciiTheme="majorHAnsi" w:hAnsiTheme="majorHAnsi" w:cstheme="majorHAnsi"/>
        </w:rPr>
        <w:t>Kostomlat nad Labem</w:t>
      </w:r>
      <w:r w:rsidRPr="006070EA">
        <w:rPr>
          <w:rFonts w:asciiTheme="majorHAnsi" w:hAnsiTheme="majorHAnsi" w:cstheme="majorHAnsi"/>
        </w:rPr>
        <w:t>.</w:t>
      </w:r>
    </w:p>
    <w:p w14:paraId="698D0210" w14:textId="7EAA4AAB" w:rsidR="00552020" w:rsidRPr="006070EA" w:rsidRDefault="00552020" w:rsidP="00632EE2">
      <w:pPr>
        <w:pStyle w:val="Atext"/>
        <w:rPr>
          <w:rFonts w:asciiTheme="majorHAnsi" w:hAnsiTheme="majorHAnsi" w:cstheme="majorHAnsi"/>
        </w:rPr>
      </w:pPr>
      <w:r w:rsidRPr="006070EA">
        <w:rPr>
          <w:rFonts w:asciiTheme="majorHAnsi" w:hAnsiTheme="majorHAnsi" w:cstheme="majorHAnsi"/>
        </w:rPr>
        <w:t xml:space="preserve">Stanovena je areálová struktura zástavby z důvodu zajištění nezbytných funkčních a provozních požadavků potřebných pro provoz areálu, </w:t>
      </w:r>
      <w:r w:rsidR="00632EE2" w:rsidRPr="006070EA">
        <w:rPr>
          <w:rFonts w:asciiTheme="majorHAnsi" w:hAnsiTheme="majorHAnsi" w:cstheme="majorHAnsi"/>
        </w:rPr>
        <w:t>ostatní podmínky prostorového uspořádání nejsou s ohledem na specifický charakter těchto ploch stanoveny.</w:t>
      </w:r>
    </w:p>
    <w:p w14:paraId="242D717D" w14:textId="77777777" w:rsidR="00AC2742" w:rsidRPr="006070EA" w:rsidRDefault="00AC2742" w:rsidP="00AC2742">
      <w:pPr>
        <w:pStyle w:val="ANADPIS4"/>
        <w:shd w:val="clear" w:color="auto" w:fill="auto"/>
        <w:rPr>
          <w:rFonts w:asciiTheme="majorHAnsi" w:hAnsiTheme="majorHAnsi" w:cstheme="majorHAnsi"/>
        </w:rPr>
      </w:pPr>
      <w:r w:rsidRPr="006070EA">
        <w:rPr>
          <w:rFonts w:asciiTheme="majorHAnsi" w:hAnsiTheme="majorHAnsi" w:cstheme="majorHAnsi"/>
        </w:rPr>
        <w:t>PLOCHY VEŘEJNÝCH PROSTRANSTVÍ</w:t>
      </w:r>
    </w:p>
    <w:p w14:paraId="7E6791FC" w14:textId="5A0DF489" w:rsidR="00AC2742" w:rsidRPr="006070EA" w:rsidRDefault="00AC2742" w:rsidP="00AC2742">
      <w:pPr>
        <w:pStyle w:val="Anadpistun"/>
        <w:tabs>
          <w:tab w:val="right" w:pos="9639"/>
        </w:tabs>
        <w:jc w:val="right"/>
        <w:rPr>
          <w:rFonts w:asciiTheme="majorHAnsi" w:hAnsiTheme="majorHAnsi" w:cstheme="majorHAnsi"/>
          <w:b w:val="0"/>
        </w:rPr>
      </w:pPr>
      <w:r w:rsidRPr="006070EA">
        <w:rPr>
          <w:rFonts w:asciiTheme="majorHAnsi" w:hAnsiTheme="majorHAnsi" w:cstheme="majorHAnsi"/>
          <w:b w:val="0"/>
          <w:i/>
          <w:snapToGrid w:val="0"/>
          <w:u w:val="single"/>
        </w:rPr>
        <w:t xml:space="preserve">Odůvodnění odst. </w:t>
      </w:r>
      <w:r w:rsidRPr="006070EA">
        <w:rPr>
          <w:rFonts w:asciiTheme="majorHAnsi" w:hAnsiTheme="majorHAnsi" w:cstheme="majorHAnsi"/>
          <w:i/>
          <w:snapToGrid w:val="0"/>
          <w:u w:val="single"/>
        </w:rPr>
        <w:t>(6</w:t>
      </w:r>
      <w:r w:rsidR="0021590A">
        <w:rPr>
          <w:rFonts w:asciiTheme="majorHAnsi" w:hAnsiTheme="majorHAnsi" w:cstheme="majorHAnsi"/>
          <w:i/>
          <w:snapToGrid w:val="0"/>
          <w:u w:val="single"/>
        </w:rPr>
        <w:t>5</w:t>
      </w:r>
      <w:r w:rsidRPr="006070EA">
        <w:rPr>
          <w:rFonts w:asciiTheme="majorHAnsi" w:hAnsiTheme="majorHAnsi" w:cstheme="majorHAnsi"/>
          <w:i/>
          <w:snapToGrid w:val="0"/>
          <w:u w:val="single"/>
        </w:rPr>
        <w:t xml:space="preserve">) </w:t>
      </w:r>
      <w:r w:rsidRPr="006070EA">
        <w:rPr>
          <w:rFonts w:asciiTheme="majorHAnsi" w:hAnsiTheme="majorHAnsi" w:cstheme="majorHAnsi"/>
          <w:b w:val="0"/>
          <w:i/>
          <w:snapToGrid w:val="0"/>
          <w:u w:val="single"/>
        </w:rPr>
        <w:t>výrokové části</w:t>
      </w:r>
    </w:p>
    <w:p w14:paraId="66587EFC" w14:textId="6C7CD752" w:rsidR="00AC2742" w:rsidRPr="006070EA" w:rsidRDefault="00AC2742" w:rsidP="00AC2742">
      <w:pPr>
        <w:pStyle w:val="Atext"/>
        <w:rPr>
          <w:rFonts w:asciiTheme="majorHAnsi" w:hAnsiTheme="majorHAnsi" w:cstheme="majorHAnsi"/>
        </w:rPr>
      </w:pPr>
      <w:r w:rsidRPr="006070EA">
        <w:rPr>
          <w:rFonts w:asciiTheme="majorHAnsi" w:hAnsiTheme="majorHAnsi" w:cstheme="majorHAnsi"/>
        </w:rPr>
        <w:t xml:space="preserve">V souladu s § 7 vyhlášky č. 501/2006 Sb. jsou vymezeny plochy veřejných prostranství: </w:t>
      </w:r>
    </w:p>
    <w:p w14:paraId="6C0C6EEC" w14:textId="661876A0" w:rsidR="00AC2742" w:rsidRPr="006070EA" w:rsidRDefault="00AC2742" w:rsidP="00AC2742">
      <w:pPr>
        <w:pStyle w:val="Anadpistun"/>
        <w:rPr>
          <w:rFonts w:asciiTheme="majorHAnsi" w:hAnsiTheme="majorHAnsi" w:cstheme="majorHAnsi"/>
          <w:bCs/>
          <w:iCs/>
        </w:rPr>
      </w:pPr>
      <w:r w:rsidRPr="006070EA">
        <w:rPr>
          <w:rFonts w:asciiTheme="majorHAnsi" w:hAnsiTheme="majorHAnsi" w:cstheme="majorHAnsi"/>
          <w:bCs/>
          <w:iCs/>
        </w:rPr>
        <w:t>Veřejná prostranství všeobecná (PU)</w:t>
      </w:r>
    </w:p>
    <w:p w14:paraId="34084AB9" w14:textId="357B7142" w:rsidR="00AC2742" w:rsidRPr="006070EA" w:rsidRDefault="00AC2742" w:rsidP="00AC2742">
      <w:pPr>
        <w:pStyle w:val="Atext"/>
        <w:rPr>
          <w:rFonts w:asciiTheme="majorHAnsi" w:hAnsiTheme="majorHAnsi" w:cstheme="majorHAnsi"/>
        </w:rPr>
      </w:pPr>
      <w:r w:rsidRPr="006070EA">
        <w:rPr>
          <w:rFonts w:asciiTheme="majorHAnsi" w:hAnsiTheme="majorHAnsi" w:cstheme="majorHAnsi"/>
        </w:rPr>
        <w:t xml:space="preserve">Plochy PU zahrnují veškeré stabilizované i návrhové plochy převážně zpevněných veřejně přístupných prostranství s výraznou prostorotvornou funkcí </w:t>
      </w:r>
      <w:r w:rsidRPr="006070EA">
        <w:rPr>
          <w:rFonts w:asciiTheme="majorHAnsi" w:hAnsiTheme="majorHAnsi" w:cstheme="majorHAnsi"/>
          <w:szCs w:val="18"/>
        </w:rPr>
        <w:t>(náves, ulice, samostatné chodníky, veřejná prostranství v sídlech, převážně nemotorové cesty, místní a účelové komunikace v krajině</w:t>
      </w:r>
      <w:r w:rsidRPr="006070EA">
        <w:rPr>
          <w:rFonts w:asciiTheme="majorHAnsi" w:hAnsiTheme="majorHAnsi" w:cstheme="majorHAnsi"/>
        </w:rPr>
        <w:t>. S ohledem na význam ve struktuře ploch veřejných prostranství jsou do těchto ploch zahrnuty také úseky místních komunikací, které mají významnou prostorotvornou, komunikační a sociální funkci, stejně jako významné mimosídelní cesty ve volné krajině zajišťující prostupnost území.</w:t>
      </w:r>
    </w:p>
    <w:p w14:paraId="3D275FC4" w14:textId="77777777" w:rsidR="00AC2742" w:rsidRPr="006070EA" w:rsidRDefault="00AC2742" w:rsidP="00AC2742">
      <w:pPr>
        <w:pStyle w:val="Atext"/>
        <w:rPr>
          <w:rFonts w:asciiTheme="majorHAnsi" w:hAnsiTheme="majorHAnsi" w:cstheme="majorHAnsi"/>
        </w:rPr>
      </w:pPr>
      <w:r w:rsidRPr="006070EA">
        <w:rPr>
          <w:rFonts w:asciiTheme="majorHAnsi" w:hAnsiTheme="majorHAnsi" w:cstheme="majorHAnsi"/>
        </w:rPr>
        <w:t xml:space="preserve">Plochy veřejných prostranství jsou vymezeny z důvodu stanovení podmínek pro základní prostupnost území a dostupnost pozemků v řešeném území. Systém veřejných prostranství vytváří základní strukturu území, je nositelem veřejného života v území a veřejné infrastruktury – plochy veřejných prostranství v sobě integrují veřejnou dopravní a technickou infrastrukturu a v omezené míře také veřejnou zeleň. </w:t>
      </w:r>
    </w:p>
    <w:p w14:paraId="2A91C3C3" w14:textId="77777777" w:rsidR="00AC2742" w:rsidRPr="006070EA" w:rsidRDefault="00AC2742" w:rsidP="00AC2742">
      <w:pPr>
        <w:pStyle w:val="Atext"/>
        <w:rPr>
          <w:rFonts w:asciiTheme="majorHAnsi" w:hAnsiTheme="majorHAnsi" w:cstheme="majorHAnsi"/>
        </w:rPr>
      </w:pPr>
      <w:r w:rsidRPr="006070EA">
        <w:rPr>
          <w:rFonts w:asciiTheme="majorHAnsi" w:hAnsiTheme="majorHAnsi" w:cstheme="majorHAnsi"/>
        </w:rPr>
        <w:t>V podmínkách prostorového uspořádání je stanovena možnost umisťování pouze jednotlivých solitérních objektů ve volném prostoru doplňujících využívání veřejných prostranství. Maximální výška staveb je omezena na 5 m, zároveň je stanovena maximální velikost zastavěné plochy objektu 20 m</w:t>
      </w:r>
      <w:r w:rsidRPr="006070EA">
        <w:rPr>
          <w:rFonts w:asciiTheme="majorHAnsi" w:hAnsiTheme="majorHAnsi" w:cstheme="majorHAnsi"/>
          <w:vertAlign w:val="superscript"/>
        </w:rPr>
        <w:t>2</w:t>
      </w:r>
      <w:r w:rsidRPr="006070EA">
        <w:rPr>
          <w:rFonts w:asciiTheme="majorHAnsi" w:hAnsiTheme="majorHAnsi" w:cstheme="majorHAnsi"/>
        </w:rPr>
        <w:t xml:space="preserve"> – důvodem je ochrana volného nezastavěného prostoru pro volný pohyb lidí, který představuje základní vlastnost a hodnotu veřejného prostranství; případné stavby by volný prostor neměly zásadně narušit, ale pouze vhodně doplňovat. </w:t>
      </w:r>
    </w:p>
    <w:p w14:paraId="3D8DE7AF" w14:textId="646B15CB" w:rsidR="00AC2742" w:rsidRPr="006070EA" w:rsidRDefault="00AC2742" w:rsidP="00AC2742">
      <w:pPr>
        <w:pStyle w:val="ANADPIS4"/>
        <w:shd w:val="clear" w:color="auto" w:fill="auto"/>
        <w:rPr>
          <w:rFonts w:asciiTheme="majorHAnsi" w:hAnsiTheme="majorHAnsi" w:cstheme="majorHAnsi"/>
        </w:rPr>
      </w:pPr>
      <w:r w:rsidRPr="006070EA">
        <w:rPr>
          <w:rFonts w:asciiTheme="majorHAnsi" w:hAnsiTheme="majorHAnsi" w:cstheme="majorHAnsi"/>
        </w:rPr>
        <w:t>PLOCHY ZELENĚ</w:t>
      </w:r>
    </w:p>
    <w:p w14:paraId="07FE0A8E" w14:textId="73F62FEF" w:rsidR="00AC2742" w:rsidRPr="006070EA" w:rsidRDefault="00AC2742" w:rsidP="00AC2742">
      <w:pPr>
        <w:pStyle w:val="Anadpistun"/>
        <w:tabs>
          <w:tab w:val="right" w:pos="9639"/>
        </w:tabs>
        <w:jc w:val="right"/>
        <w:rPr>
          <w:rFonts w:asciiTheme="majorHAnsi" w:hAnsiTheme="majorHAnsi" w:cstheme="majorHAnsi"/>
          <w:b w:val="0"/>
        </w:rPr>
      </w:pPr>
      <w:r w:rsidRPr="006070EA">
        <w:rPr>
          <w:rFonts w:asciiTheme="majorHAnsi" w:hAnsiTheme="majorHAnsi" w:cstheme="majorHAnsi"/>
          <w:b w:val="0"/>
          <w:i/>
          <w:snapToGrid w:val="0"/>
          <w:u w:val="single"/>
        </w:rPr>
        <w:t xml:space="preserve">Odůvodnění odst. </w:t>
      </w:r>
      <w:r w:rsidRPr="006070EA">
        <w:rPr>
          <w:rFonts w:asciiTheme="majorHAnsi" w:hAnsiTheme="majorHAnsi" w:cstheme="majorHAnsi"/>
          <w:i/>
          <w:snapToGrid w:val="0"/>
          <w:u w:val="single"/>
        </w:rPr>
        <w:t>(6</w:t>
      </w:r>
      <w:r w:rsidR="0021590A">
        <w:rPr>
          <w:rFonts w:asciiTheme="majorHAnsi" w:hAnsiTheme="majorHAnsi" w:cstheme="majorHAnsi"/>
          <w:i/>
          <w:snapToGrid w:val="0"/>
          <w:u w:val="single"/>
        </w:rPr>
        <w:t>6</w:t>
      </w:r>
      <w:r w:rsidRPr="006070EA">
        <w:rPr>
          <w:rFonts w:asciiTheme="majorHAnsi" w:hAnsiTheme="majorHAnsi" w:cstheme="majorHAnsi"/>
          <w:i/>
          <w:snapToGrid w:val="0"/>
          <w:u w:val="single"/>
        </w:rPr>
        <w:t xml:space="preserve">) </w:t>
      </w:r>
      <w:r w:rsidR="0021590A">
        <w:rPr>
          <w:rFonts w:asciiTheme="majorHAnsi" w:hAnsiTheme="majorHAnsi" w:cstheme="majorHAnsi"/>
          <w:i/>
          <w:snapToGrid w:val="0"/>
          <w:u w:val="single"/>
        </w:rPr>
        <w:t>a</w:t>
      </w:r>
      <w:r w:rsidRPr="006070EA">
        <w:rPr>
          <w:rFonts w:asciiTheme="majorHAnsi" w:hAnsiTheme="majorHAnsi" w:cstheme="majorHAnsi"/>
          <w:i/>
          <w:snapToGrid w:val="0"/>
          <w:u w:val="single"/>
        </w:rPr>
        <w:t xml:space="preserve"> (6</w:t>
      </w:r>
      <w:r w:rsidR="0021590A">
        <w:rPr>
          <w:rFonts w:asciiTheme="majorHAnsi" w:hAnsiTheme="majorHAnsi" w:cstheme="majorHAnsi"/>
          <w:i/>
          <w:snapToGrid w:val="0"/>
          <w:u w:val="single"/>
        </w:rPr>
        <w:t>7</w:t>
      </w:r>
      <w:r w:rsidRPr="006070EA">
        <w:rPr>
          <w:rFonts w:asciiTheme="majorHAnsi" w:hAnsiTheme="majorHAnsi" w:cstheme="majorHAnsi"/>
          <w:i/>
          <w:snapToGrid w:val="0"/>
          <w:u w:val="single"/>
        </w:rPr>
        <w:t xml:space="preserve">) </w:t>
      </w:r>
      <w:r w:rsidRPr="006070EA">
        <w:rPr>
          <w:rFonts w:asciiTheme="majorHAnsi" w:hAnsiTheme="majorHAnsi" w:cstheme="majorHAnsi"/>
          <w:b w:val="0"/>
          <w:i/>
          <w:snapToGrid w:val="0"/>
          <w:u w:val="single"/>
        </w:rPr>
        <w:t>výrokové části</w:t>
      </w:r>
    </w:p>
    <w:p w14:paraId="4E5ECDEC" w14:textId="562A1C8A" w:rsidR="00AC2742" w:rsidRPr="006070EA" w:rsidRDefault="00AC2742" w:rsidP="00AC2742">
      <w:pPr>
        <w:pStyle w:val="Atext"/>
        <w:rPr>
          <w:rFonts w:asciiTheme="majorHAnsi" w:hAnsiTheme="majorHAnsi" w:cstheme="majorHAnsi"/>
        </w:rPr>
      </w:pPr>
      <w:r w:rsidRPr="006070EA">
        <w:rPr>
          <w:rFonts w:asciiTheme="majorHAnsi" w:hAnsiTheme="majorHAnsi" w:cstheme="majorHAnsi"/>
        </w:rPr>
        <w:t xml:space="preserve">V souladu s § 7a vyhlášky č. 501/2006 Sb. jsou vymezeny plochy zeleně v následujícím členění: </w:t>
      </w:r>
    </w:p>
    <w:p w14:paraId="710E6B1E" w14:textId="4D2BCBCF" w:rsidR="00AC2742" w:rsidRPr="006070EA" w:rsidRDefault="00AC2742" w:rsidP="00AC2742">
      <w:pPr>
        <w:pStyle w:val="Anadpistun"/>
        <w:rPr>
          <w:rFonts w:asciiTheme="majorHAnsi" w:hAnsiTheme="majorHAnsi" w:cstheme="majorHAnsi"/>
          <w:bCs/>
          <w:iCs/>
        </w:rPr>
      </w:pPr>
      <w:r w:rsidRPr="006070EA">
        <w:rPr>
          <w:rFonts w:asciiTheme="majorHAnsi" w:hAnsiTheme="majorHAnsi" w:cstheme="majorHAnsi"/>
          <w:bCs/>
          <w:iCs/>
        </w:rPr>
        <w:t>Zeleň – parky a parkově upravené plochy (ZP)</w:t>
      </w:r>
    </w:p>
    <w:p w14:paraId="5130540F" w14:textId="5DFDBB71" w:rsidR="00AC2742" w:rsidRPr="006070EA" w:rsidRDefault="00AC2742" w:rsidP="00AC2742">
      <w:pPr>
        <w:pStyle w:val="Atext"/>
        <w:rPr>
          <w:rFonts w:asciiTheme="majorHAnsi" w:hAnsiTheme="majorHAnsi" w:cstheme="majorHAnsi"/>
        </w:rPr>
      </w:pPr>
      <w:r w:rsidRPr="006070EA">
        <w:rPr>
          <w:rFonts w:asciiTheme="majorHAnsi" w:hAnsiTheme="majorHAnsi" w:cstheme="majorHAnsi"/>
        </w:rPr>
        <w:t>Plochy ZP zahrnují významné plochy zeleně v sídlech, výjimečně i v nezastavěném území (ve vazbě na urbanizované území), většinou parkově upravené a veřejně přístupné (veřejná zeleň v sídlech, samostatná dětská hřiště, parkově upravené plochy apod.). Jedná se zejména o parky a drobné plochy veřejně přístupné zeleně, kde má zeleň výraznou kompoziční a prostorotvornou funkci, čímž se stává neodmyslitelnou součástí veřejného prostranství a zvyšuje estetický účinek prostředí. Důvodem jejich vymezení je ochrana veřejné zeleně v sídlech a zajištění jejího veřejného užívání.</w:t>
      </w:r>
    </w:p>
    <w:p w14:paraId="4615AE86" w14:textId="77777777" w:rsidR="00AC2742" w:rsidRPr="006070EA" w:rsidRDefault="00AC2742" w:rsidP="00AC2742">
      <w:pPr>
        <w:pStyle w:val="Atext"/>
        <w:rPr>
          <w:rFonts w:asciiTheme="majorHAnsi" w:hAnsiTheme="majorHAnsi" w:cstheme="majorHAnsi"/>
        </w:rPr>
      </w:pPr>
      <w:r w:rsidRPr="006070EA">
        <w:rPr>
          <w:rFonts w:asciiTheme="majorHAnsi" w:hAnsiTheme="majorHAnsi" w:cstheme="majorHAnsi"/>
        </w:rPr>
        <w:t>V podmínkách prostorového uspořádání je stanovena možnost umisťování pouze jednotlivých solitérních objektů ve volném prostoru doplňujících využívání veřejných prostranství. Maximální výška staveb je omezena na 5 m, zároveň je maximální zastavění pozemku omezeno koeficientem 0,1 a maximální velikost zastavěné plochy stavby 20 m</w:t>
      </w:r>
      <w:r w:rsidRPr="006070EA">
        <w:rPr>
          <w:rFonts w:asciiTheme="majorHAnsi" w:hAnsiTheme="majorHAnsi" w:cstheme="majorHAnsi"/>
          <w:vertAlign w:val="superscript"/>
        </w:rPr>
        <w:t>2</w:t>
      </w:r>
      <w:r w:rsidRPr="006070EA">
        <w:rPr>
          <w:rFonts w:asciiTheme="majorHAnsi" w:hAnsiTheme="majorHAnsi" w:cstheme="majorHAnsi"/>
        </w:rPr>
        <w:t xml:space="preserve"> – důvodem je ochrana volného nezastavěného prostoru pro volný pohyb lidí, který představuje základní vlastnost a hodnotu veřejné zeleně; případné stavby by volný prostor neměly zásadně narušit, ale pouze vhodně doplňovat s umožněním větších staveb než v plochách PV, neboť plochy veřejných prostranství s převahou zeleně slouží převážně pobytu lidí a s tím je spojena potřebnost </w:t>
      </w:r>
      <w:r w:rsidRPr="006070EA">
        <w:rPr>
          <w:rFonts w:asciiTheme="majorHAnsi" w:hAnsiTheme="majorHAnsi" w:cstheme="majorHAnsi"/>
        </w:rPr>
        <w:lastRenderedPageBreak/>
        <w:t xml:space="preserve">o něco většího zázemí pro tento pobyt. Stanoven je koeficient minimálního podílu zeleně na pozemku 0,8 pro zajištění dostatečného naplnění dané funkce a zachování volně přístupných ploch upravené zeleně pro každodenní rekreaci obyvatel. </w:t>
      </w:r>
    </w:p>
    <w:p w14:paraId="2C8EC485" w14:textId="7B81EEB0" w:rsidR="00AC2742" w:rsidRPr="006070EA" w:rsidRDefault="00AC2742" w:rsidP="00AC2742">
      <w:pPr>
        <w:pStyle w:val="Anadpistun"/>
        <w:rPr>
          <w:rFonts w:asciiTheme="majorHAnsi" w:hAnsiTheme="majorHAnsi" w:cstheme="majorHAnsi"/>
        </w:rPr>
      </w:pPr>
      <w:r w:rsidRPr="006070EA">
        <w:rPr>
          <w:rFonts w:asciiTheme="majorHAnsi" w:hAnsiTheme="majorHAnsi" w:cstheme="majorHAnsi"/>
        </w:rPr>
        <w:t>Zeleň krajinná (ZK)</w:t>
      </w:r>
    </w:p>
    <w:p w14:paraId="7C15F303" w14:textId="47CD1B3D" w:rsidR="00AC2742" w:rsidRPr="006070EA" w:rsidRDefault="00AC2742" w:rsidP="00AC2742">
      <w:pPr>
        <w:pStyle w:val="Atext"/>
        <w:rPr>
          <w:rFonts w:asciiTheme="majorHAnsi" w:hAnsiTheme="majorHAnsi" w:cstheme="majorHAnsi"/>
          <w:szCs w:val="18"/>
        </w:rPr>
      </w:pPr>
      <w:r w:rsidRPr="006070EA">
        <w:rPr>
          <w:rFonts w:asciiTheme="majorHAnsi" w:hAnsiTheme="majorHAnsi" w:cstheme="majorHAnsi"/>
        </w:rPr>
        <w:t xml:space="preserve">Plochy ZK zahrnují přírodní a krajinnou zeleň udržovanou v přírodě blízkém stavu </w:t>
      </w:r>
      <w:r w:rsidRPr="006070EA">
        <w:rPr>
          <w:rFonts w:asciiTheme="majorHAnsi" w:hAnsiTheme="majorHAnsi" w:cstheme="majorHAnsi"/>
          <w:szCs w:val="18"/>
        </w:rPr>
        <w:t xml:space="preserve">(sukcesní plochy, remízy mimo souvislý les, zeleň v okolí sídel, ekologicky stabilnější plochy v krajině, např. zeleň podél vodních toků), vyloučeno je jejich zemědělské využití, podpořena je jejich ekologicko – stabilizační funkce. V řešeném území zahrnují například pozemky trvalých travních porostů a zeleně v zastavěném území a ve vazbě na zastavěné území, dále pozemky zeleně a dlouhodobě nevyužívaných zahrad v krajině, které mají charakter přírodní zeleně, případně pozemky přírodní zeleně v kontaktu se zastavěným územím, tvořící přechodovou zónu mezi zastavěným územím a volnou krajinou. </w:t>
      </w:r>
    </w:p>
    <w:p w14:paraId="7118ABFA" w14:textId="77777777" w:rsidR="00AC2742" w:rsidRPr="006070EA" w:rsidRDefault="00AC2742" w:rsidP="00AC2742">
      <w:pPr>
        <w:pStyle w:val="Atext"/>
        <w:rPr>
          <w:rFonts w:asciiTheme="majorHAnsi" w:hAnsiTheme="majorHAnsi" w:cstheme="majorHAnsi"/>
        </w:rPr>
      </w:pPr>
      <w:r w:rsidRPr="006070EA">
        <w:rPr>
          <w:rFonts w:asciiTheme="majorHAnsi" w:hAnsiTheme="majorHAnsi" w:cstheme="majorHAnsi"/>
        </w:rPr>
        <w:t xml:space="preserve">V podmínkách prostorového uspořádání je stanovena možnost umisťování pouze jednotlivých solitérních objektů pro zajištění doplňkových objektů zejména pro případné veřejné rekreační a sportovní využití ploch nebo pro vodohospodářské funkce. </w:t>
      </w:r>
    </w:p>
    <w:p w14:paraId="5A8A999E" w14:textId="77777777" w:rsidR="00AC2742" w:rsidRPr="006070EA" w:rsidRDefault="00AC2742" w:rsidP="00AC2742">
      <w:pPr>
        <w:pStyle w:val="Atext"/>
        <w:rPr>
          <w:rFonts w:asciiTheme="majorHAnsi" w:hAnsiTheme="majorHAnsi" w:cstheme="majorHAnsi"/>
        </w:rPr>
      </w:pPr>
      <w:r w:rsidRPr="006070EA">
        <w:rPr>
          <w:rFonts w:asciiTheme="majorHAnsi" w:hAnsiTheme="majorHAnsi" w:cstheme="majorHAnsi"/>
        </w:rPr>
        <w:t>Maximální výška staveb je omezena na 3 m, zároveň je maximální zastavění pozemku omezeno koeficientem 0,1 a maximální velikost zastavěné plochy stavby 20 m</w:t>
      </w:r>
      <w:r w:rsidRPr="006070EA">
        <w:rPr>
          <w:rFonts w:asciiTheme="majorHAnsi" w:hAnsiTheme="majorHAnsi" w:cstheme="majorHAnsi"/>
          <w:vertAlign w:val="superscript"/>
        </w:rPr>
        <w:t>2</w:t>
      </w:r>
      <w:r w:rsidRPr="006070EA">
        <w:rPr>
          <w:rFonts w:asciiTheme="majorHAnsi" w:hAnsiTheme="majorHAnsi" w:cstheme="majorHAnsi"/>
        </w:rPr>
        <w:t xml:space="preserve"> – důvodem je ochrana převážně nezastavěného prostoru a přírodního charakteru ploch. Stanoven je koeficient minimálního podílu zeleně na pozemku 0,9 pro zajištění dostatečného naplnění dané funkce a zachování převážně nezastavěného prostoru přírodní zeleně. </w:t>
      </w:r>
    </w:p>
    <w:p w14:paraId="5907C05E" w14:textId="77777777" w:rsidR="00632EE2" w:rsidRPr="006070EA" w:rsidRDefault="00632EE2" w:rsidP="00632EE2">
      <w:pPr>
        <w:pStyle w:val="ANADPIS4"/>
        <w:shd w:val="clear" w:color="auto" w:fill="auto"/>
        <w:rPr>
          <w:rFonts w:asciiTheme="majorHAnsi" w:hAnsiTheme="majorHAnsi" w:cstheme="majorHAnsi"/>
        </w:rPr>
      </w:pPr>
      <w:r w:rsidRPr="006070EA">
        <w:rPr>
          <w:rFonts w:asciiTheme="majorHAnsi" w:hAnsiTheme="majorHAnsi" w:cstheme="majorHAnsi"/>
        </w:rPr>
        <w:t>PLOCHY SMÍŠENÉ OBYTNÉ</w:t>
      </w:r>
    </w:p>
    <w:p w14:paraId="196BB922" w14:textId="767D1EB8" w:rsidR="00632EE2" w:rsidRPr="006070EA" w:rsidRDefault="00632EE2" w:rsidP="00632EE2">
      <w:pPr>
        <w:pStyle w:val="Anadpistun"/>
        <w:tabs>
          <w:tab w:val="right" w:pos="9639"/>
        </w:tabs>
        <w:jc w:val="right"/>
        <w:rPr>
          <w:rFonts w:asciiTheme="majorHAnsi" w:hAnsiTheme="majorHAnsi" w:cstheme="majorHAnsi"/>
          <w:b w:val="0"/>
        </w:rPr>
      </w:pPr>
      <w:r w:rsidRPr="006070EA">
        <w:rPr>
          <w:rFonts w:asciiTheme="majorHAnsi" w:hAnsiTheme="majorHAnsi" w:cstheme="majorHAnsi"/>
          <w:b w:val="0"/>
          <w:i/>
          <w:snapToGrid w:val="0"/>
          <w:u w:val="single"/>
        </w:rPr>
        <w:t xml:space="preserve">Odůvodnění odst. </w:t>
      </w:r>
      <w:r w:rsidRPr="006070EA">
        <w:rPr>
          <w:rFonts w:asciiTheme="majorHAnsi" w:hAnsiTheme="majorHAnsi" w:cstheme="majorHAnsi"/>
          <w:i/>
          <w:snapToGrid w:val="0"/>
          <w:u w:val="single"/>
        </w:rPr>
        <w:t>(</w:t>
      </w:r>
      <w:r w:rsidR="0021590A">
        <w:rPr>
          <w:rFonts w:asciiTheme="majorHAnsi" w:hAnsiTheme="majorHAnsi" w:cstheme="majorHAnsi"/>
          <w:i/>
          <w:snapToGrid w:val="0"/>
          <w:u w:val="single"/>
        </w:rPr>
        <w:t>68</w:t>
      </w:r>
      <w:r w:rsidRPr="006070EA">
        <w:rPr>
          <w:rFonts w:asciiTheme="majorHAnsi" w:hAnsiTheme="majorHAnsi" w:cstheme="majorHAnsi"/>
          <w:i/>
          <w:snapToGrid w:val="0"/>
          <w:u w:val="single"/>
        </w:rPr>
        <w:t xml:space="preserve">) </w:t>
      </w:r>
      <w:r w:rsidR="0021590A">
        <w:rPr>
          <w:rFonts w:asciiTheme="majorHAnsi" w:hAnsiTheme="majorHAnsi" w:cstheme="majorHAnsi"/>
          <w:i/>
          <w:snapToGrid w:val="0"/>
          <w:u w:val="single"/>
        </w:rPr>
        <w:t>a</w:t>
      </w:r>
      <w:r w:rsidRPr="006070EA">
        <w:rPr>
          <w:rFonts w:asciiTheme="majorHAnsi" w:hAnsiTheme="majorHAnsi" w:cstheme="majorHAnsi"/>
          <w:i/>
          <w:snapToGrid w:val="0"/>
          <w:u w:val="single"/>
        </w:rPr>
        <w:t xml:space="preserve"> (</w:t>
      </w:r>
      <w:r w:rsidR="0021590A">
        <w:rPr>
          <w:rFonts w:asciiTheme="majorHAnsi" w:hAnsiTheme="majorHAnsi" w:cstheme="majorHAnsi"/>
          <w:i/>
          <w:snapToGrid w:val="0"/>
          <w:u w:val="single"/>
        </w:rPr>
        <w:t>69</w:t>
      </w:r>
      <w:r w:rsidRPr="006070EA">
        <w:rPr>
          <w:rFonts w:asciiTheme="majorHAnsi" w:hAnsiTheme="majorHAnsi" w:cstheme="majorHAnsi"/>
          <w:i/>
          <w:snapToGrid w:val="0"/>
          <w:u w:val="single"/>
        </w:rPr>
        <w:t xml:space="preserve">) </w:t>
      </w:r>
      <w:r w:rsidRPr="006070EA">
        <w:rPr>
          <w:rFonts w:asciiTheme="majorHAnsi" w:hAnsiTheme="majorHAnsi" w:cstheme="majorHAnsi"/>
          <w:b w:val="0"/>
          <w:i/>
          <w:snapToGrid w:val="0"/>
          <w:u w:val="single"/>
        </w:rPr>
        <w:t>výrokové části</w:t>
      </w:r>
    </w:p>
    <w:p w14:paraId="54A9FECE" w14:textId="2EBECA79" w:rsidR="00632EE2" w:rsidRPr="006070EA" w:rsidRDefault="00632EE2" w:rsidP="00632EE2">
      <w:pPr>
        <w:pStyle w:val="Atext"/>
        <w:rPr>
          <w:rFonts w:asciiTheme="majorHAnsi" w:hAnsiTheme="majorHAnsi" w:cstheme="majorHAnsi"/>
        </w:rPr>
      </w:pPr>
      <w:r w:rsidRPr="006070EA">
        <w:rPr>
          <w:rFonts w:asciiTheme="majorHAnsi" w:hAnsiTheme="majorHAnsi" w:cstheme="majorHAnsi"/>
        </w:rPr>
        <w:t xml:space="preserve">V souladu s § 8 vyhlášky č. 501/2006 Sb. jsou vymezeny plochy smíšené obytné v následujícím členění: </w:t>
      </w:r>
    </w:p>
    <w:p w14:paraId="04A65C94" w14:textId="32D5EC8E" w:rsidR="00632EE2" w:rsidRPr="006070EA" w:rsidRDefault="00632EE2" w:rsidP="00632EE2">
      <w:pPr>
        <w:pStyle w:val="Anadpistun"/>
        <w:rPr>
          <w:rFonts w:asciiTheme="majorHAnsi" w:hAnsiTheme="majorHAnsi" w:cstheme="majorHAnsi"/>
        </w:rPr>
      </w:pPr>
      <w:r w:rsidRPr="006070EA">
        <w:rPr>
          <w:rFonts w:asciiTheme="majorHAnsi" w:hAnsiTheme="majorHAnsi" w:cstheme="majorHAnsi"/>
        </w:rPr>
        <w:t>Plochy smíšené obytné městské (SM)</w:t>
      </w:r>
    </w:p>
    <w:p w14:paraId="7D3A3ACE" w14:textId="6090305F" w:rsidR="00632EE2" w:rsidRPr="006070EA" w:rsidRDefault="00632EE2" w:rsidP="00632EE2">
      <w:pPr>
        <w:pStyle w:val="Atext"/>
        <w:rPr>
          <w:rFonts w:asciiTheme="majorHAnsi" w:hAnsiTheme="majorHAnsi" w:cstheme="majorHAnsi"/>
        </w:rPr>
      </w:pPr>
      <w:r w:rsidRPr="006070EA">
        <w:rPr>
          <w:rFonts w:asciiTheme="majorHAnsi" w:hAnsiTheme="majorHAnsi" w:cstheme="majorHAnsi"/>
        </w:rPr>
        <w:t xml:space="preserve">Plochy SM představují polyfunkční plochy převážně jádrové zástavby v centrální části Kostomlat nad Labem s přirozeně historicky danou diverzitou (plochy bydlení s vyšším podílem občanského vybavení, obchodu, služeb, zahrnující zařízení veřejné správy, administrativy a nevýrobní ekonomické činnosti). </w:t>
      </w:r>
    </w:p>
    <w:p w14:paraId="3DEEF503" w14:textId="72FF68A4" w:rsidR="00632EE2" w:rsidRPr="006070EA" w:rsidRDefault="00632EE2" w:rsidP="00632EE2">
      <w:pPr>
        <w:pStyle w:val="Atext"/>
        <w:rPr>
          <w:rFonts w:asciiTheme="majorHAnsi" w:hAnsiTheme="majorHAnsi" w:cstheme="majorHAnsi"/>
        </w:rPr>
      </w:pPr>
      <w:r w:rsidRPr="006070EA">
        <w:rPr>
          <w:rFonts w:asciiTheme="majorHAnsi" w:hAnsiTheme="majorHAnsi" w:cstheme="majorHAnsi"/>
        </w:rPr>
        <w:t xml:space="preserve">Z hlediska stanovení prostorové struktury zástavby je umožněna variabilní struktura zástavby odpovídající historicky definované zástavbě jádrové části sídla, která zahrnovala </w:t>
      </w:r>
      <w:r w:rsidR="001246DE" w:rsidRPr="006070EA">
        <w:rPr>
          <w:rFonts w:asciiTheme="majorHAnsi" w:hAnsiTheme="majorHAnsi" w:cstheme="majorHAnsi"/>
        </w:rPr>
        <w:t xml:space="preserve">převážně volnou až kompaktní individuální zástavbu </w:t>
      </w:r>
      <w:r w:rsidRPr="006070EA">
        <w:rPr>
          <w:rFonts w:asciiTheme="majorHAnsi" w:hAnsiTheme="majorHAnsi" w:cstheme="majorHAnsi"/>
        </w:rPr>
        <w:t xml:space="preserve">se zahradami, areály občanského vybavení, solitérní stavby atd. </w:t>
      </w:r>
    </w:p>
    <w:p w14:paraId="133A3774" w14:textId="137AE389" w:rsidR="00632EE2" w:rsidRPr="006070EA" w:rsidRDefault="00632EE2" w:rsidP="00632EE2">
      <w:pPr>
        <w:pStyle w:val="Atext"/>
        <w:rPr>
          <w:rFonts w:asciiTheme="majorHAnsi" w:hAnsiTheme="majorHAnsi" w:cstheme="majorHAnsi"/>
        </w:rPr>
      </w:pPr>
      <w:r w:rsidRPr="006070EA">
        <w:rPr>
          <w:rFonts w:asciiTheme="majorHAnsi" w:hAnsiTheme="majorHAnsi" w:cstheme="majorHAnsi"/>
        </w:rPr>
        <w:t>Maximální výška zástavby je stanovena dle stávající převažující výšky zástavby v sídle pro zachování historicky definované výškové hladiny zástavby. Koeficient maximálního zastavění pozemku vychází ze stávajícího charakteru zástavby a</w:t>
      </w:r>
      <w:r w:rsidR="001246DE" w:rsidRPr="006070EA">
        <w:rPr>
          <w:rFonts w:asciiTheme="majorHAnsi" w:hAnsiTheme="majorHAnsi" w:cstheme="majorHAnsi"/>
        </w:rPr>
        <w:t> </w:t>
      </w:r>
      <w:r w:rsidRPr="006070EA">
        <w:rPr>
          <w:rFonts w:asciiTheme="majorHAnsi" w:hAnsiTheme="majorHAnsi" w:cstheme="majorHAnsi"/>
        </w:rPr>
        <w:t>zajišťuje zachování měřítka a velikosti hmot této zástavby, aby nedošlo k narušení prostorové struktury umístěním výrazně odlišných hmot. Koeficient minimálního podílu zeleně je stanoven z důvodu zajištění kvality převážně obytného prostředí a</w:t>
      </w:r>
      <w:r w:rsidR="001246DE" w:rsidRPr="006070EA">
        <w:rPr>
          <w:rFonts w:asciiTheme="majorHAnsi" w:hAnsiTheme="majorHAnsi" w:cstheme="majorHAnsi"/>
        </w:rPr>
        <w:t> </w:t>
      </w:r>
      <w:r w:rsidRPr="006070EA">
        <w:rPr>
          <w:rFonts w:asciiTheme="majorHAnsi" w:hAnsiTheme="majorHAnsi" w:cstheme="majorHAnsi"/>
        </w:rPr>
        <w:t xml:space="preserve">dostatečného podílu zeleně v rámci městské zástavby jako součásti systému sídelní zeleně. </w:t>
      </w:r>
    </w:p>
    <w:p w14:paraId="4970905E" w14:textId="77777777" w:rsidR="001246DE" w:rsidRPr="006070EA" w:rsidRDefault="001246DE" w:rsidP="001246DE">
      <w:pPr>
        <w:pStyle w:val="Atext"/>
        <w:rPr>
          <w:rFonts w:asciiTheme="majorHAnsi" w:hAnsiTheme="majorHAnsi" w:cstheme="majorHAnsi"/>
        </w:rPr>
      </w:pPr>
      <w:r w:rsidRPr="006070EA">
        <w:rPr>
          <w:rFonts w:asciiTheme="majorHAnsi" w:hAnsiTheme="majorHAnsi" w:cstheme="majorHAnsi"/>
        </w:rPr>
        <w:t>Rozmezí výměry pro vymezování stavebního pozemku je stanoveno z důvodu zajištění efektivního využití ploch a zamezení vzniku plošně rozsáhlých pozemků, které by znemožnily efektivně a hospodárně využívat zastavěné území, zastavitelné plochy a související veřejnou (zejména dopravní a technickou) infrastrukturu, nebo naopak příliš intenzivní zástavby (např. řadové RD s více bytovými jednotkami), která by mohla urbanisticky a provozně narušit obytné prostředí převážně individuální zástavby venkovského charakteru.</w:t>
      </w:r>
    </w:p>
    <w:p w14:paraId="72AA8C47" w14:textId="59883301" w:rsidR="00632EE2" w:rsidRPr="006070EA" w:rsidRDefault="00632EE2" w:rsidP="00632EE2">
      <w:pPr>
        <w:pStyle w:val="Anadpistun"/>
        <w:rPr>
          <w:rFonts w:asciiTheme="majorHAnsi" w:hAnsiTheme="majorHAnsi" w:cstheme="majorHAnsi"/>
        </w:rPr>
      </w:pPr>
      <w:r w:rsidRPr="006070EA">
        <w:rPr>
          <w:rFonts w:asciiTheme="majorHAnsi" w:hAnsiTheme="majorHAnsi" w:cstheme="majorHAnsi"/>
        </w:rPr>
        <w:t>Plochy smíšené obytné venkovské (SV)</w:t>
      </w:r>
    </w:p>
    <w:p w14:paraId="13D46A45" w14:textId="6DE45AD8" w:rsidR="00632EE2" w:rsidRPr="006070EA" w:rsidRDefault="00632EE2" w:rsidP="00632EE2">
      <w:pPr>
        <w:pStyle w:val="Atext"/>
        <w:rPr>
          <w:rFonts w:asciiTheme="majorHAnsi" w:hAnsiTheme="majorHAnsi" w:cstheme="majorHAnsi"/>
        </w:rPr>
      </w:pPr>
      <w:r w:rsidRPr="006070EA">
        <w:rPr>
          <w:rFonts w:asciiTheme="majorHAnsi" w:hAnsiTheme="majorHAnsi" w:cstheme="majorHAnsi"/>
        </w:rPr>
        <w:t>Plochy SV zahrnují kromě hlavního podílu bydlení také objekty individuální rekreace a případné objekty a zařízení občanského vybavení veřejného i komerčního charakteru a tělovýchovných a sportovních zařízení s důrazem na zajišťování základních služeb a drobných ekonomických činností včetně nerušící výroby</w:t>
      </w:r>
      <w:r w:rsidR="001246DE" w:rsidRPr="006070EA">
        <w:rPr>
          <w:rFonts w:asciiTheme="majorHAnsi" w:hAnsiTheme="majorHAnsi" w:cstheme="majorHAnsi"/>
        </w:rPr>
        <w:t xml:space="preserve"> řemeslného a zemědělského charakteru</w:t>
      </w:r>
      <w:r w:rsidRPr="006070EA">
        <w:rPr>
          <w:rFonts w:asciiTheme="majorHAnsi" w:hAnsiTheme="majorHAnsi" w:cstheme="majorHAnsi"/>
        </w:rPr>
        <w:t xml:space="preserve">. Důvodem jejich vymezení je stabilizace a případný rozvoj individuálního bydlení </w:t>
      </w:r>
      <w:r w:rsidRPr="006070EA">
        <w:rPr>
          <w:rFonts w:asciiTheme="majorHAnsi" w:hAnsiTheme="majorHAnsi" w:cstheme="majorHAnsi"/>
          <w:szCs w:val="18"/>
        </w:rPr>
        <w:t xml:space="preserve">v rodinných domech venkovského charakteru, v nichž je funkce bydlení spojena s občanským vybavením, rekreací, hospodařením na přilehlých pozemcích, provozováním nerušících výrobních i nevýrobních služeb nebo chovem hospodářských zvířat a další drobnou převážně zemědělskou a výrobní činností. </w:t>
      </w:r>
    </w:p>
    <w:p w14:paraId="56FD90E3" w14:textId="3C636D7C" w:rsidR="00632EE2" w:rsidRPr="006070EA" w:rsidRDefault="00632EE2" w:rsidP="00632EE2">
      <w:pPr>
        <w:pStyle w:val="Atext"/>
        <w:rPr>
          <w:rFonts w:asciiTheme="majorHAnsi" w:hAnsiTheme="majorHAnsi" w:cstheme="majorHAnsi"/>
        </w:rPr>
      </w:pPr>
      <w:r w:rsidRPr="006070EA">
        <w:rPr>
          <w:rFonts w:asciiTheme="majorHAnsi" w:hAnsiTheme="majorHAnsi" w:cstheme="majorHAnsi"/>
        </w:rPr>
        <w:t xml:space="preserve">Z hlediska stanovení prostorové struktury zástavby je zohledněna stávající a cílová struktura zástavby. </w:t>
      </w:r>
      <w:r w:rsidR="001246DE" w:rsidRPr="006070EA">
        <w:rPr>
          <w:rFonts w:asciiTheme="majorHAnsi" w:hAnsiTheme="majorHAnsi" w:cstheme="majorHAnsi"/>
        </w:rPr>
        <w:t>J</w:t>
      </w:r>
      <w:r w:rsidRPr="006070EA">
        <w:rPr>
          <w:rFonts w:asciiTheme="majorHAnsi" w:hAnsiTheme="majorHAnsi" w:cstheme="majorHAnsi"/>
        </w:rPr>
        <w:t xml:space="preserve">e stanovena volná individuální struktura zástavby bez zásadních urbanistických pravidel pro umisťování staveb. Maximální výška zástavby je stanovena dle stávající převažující výšky zástavby pro zachování historicky definované výškové hladiny sídel. </w:t>
      </w:r>
    </w:p>
    <w:p w14:paraId="58AC3AAA" w14:textId="77777777" w:rsidR="00632EE2" w:rsidRPr="006070EA" w:rsidRDefault="00632EE2" w:rsidP="00632EE2">
      <w:pPr>
        <w:pStyle w:val="Atext"/>
        <w:rPr>
          <w:rFonts w:asciiTheme="majorHAnsi" w:hAnsiTheme="majorHAnsi" w:cstheme="majorHAnsi"/>
        </w:rPr>
      </w:pPr>
      <w:r w:rsidRPr="006070EA">
        <w:rPr>
          <w:rFonts w:asciiTheme="majorHAnsi" w:hAnsiTheme="majorHAnsi" w:cstheme="majorHAnsi"/>
        </w:rPr>
        <w:t>Koeficient maximálního zastavění pozemku vychází ze stávající individuální obytné zástavby a zajišťuje zachování měřítka a velikosti hmot této zástavby, aby nedošlo k narušení prostorové struktury umístěním výrazně odlišných hmot.</w:t>
      </w:r>
    </w:p>
    <w:p w14:paraId="625382AB" w14:textId="77777777" w:rsidR="00632EE2" w:rsidRPr="006070EA" w:rsidRDefault="00632EE2" w:rsidP="00632EE2">
      <w:pPr>
        <w:pStyle w:val="Atext"/>
        <w:rPr>
          <w:rFonts w:asciiTheme="majorHAnsi" w:hAnsiTheme="majorHAnsi" w:cstheme="majorHAnsi"/>
        </w:rPr>
      </w:pPr>
      <w:r w:rsidRPr="006070EA">
        <w:rPr>
          <w:rFonts w:asciiTheme="majorHAnsi" w:hAnsiTheme="majorHAnsi" w:cstheme="majorHAnsi"/>
        </w:rPr>
        <w:t xml:space="preserve">Koeficient minimálního podílu zeleně na pozemku vychází z požadavku § 21 vyhlášky č. 501/2006 Sb. týkající se zajištění části pozemku samostatně stojícího rodinného domu nebo stavby pro rodinnou rekreaci schopné vsakovat dešťovou vodu. Zároveň je stanovením koeficientu zajištěna vysoká kvalita obytného prostředí a dostatečný podíl zeleně v rámci individuální zástavby jako součást systému sídelní zeleně. </w:t>
      </w:r>
    </w:p>
    <w:p w14:paraId="38C8BE14" w14:textId="699EF2AD" w:rsidR="00632EE2" w:rsidRPr="006070EA" w:rsidRDefault="00632EE2" w:rsidP="00632EE2">
      <w:pPr>
        <w:pStyle w:val="Atext"/>
        <w:rPr>
          <w:rFonts w:asciiTheme="majorHAnsi" w:hAnsiTheme="majorHAnsi" w:cstheme="majorHAnsi"/>
        </w:rPr>
      </w:pPr>
      <w:r w:rsidRPr="006070EA">
        <w:rPr>
          <w:rFonts w:asciiTheme="majorHAnsi" w:hAnsiTheme="majorHAnsi" w:cstheme="majorHAnsi"/>
        </w:rPr>
        <w:lastRenderedPageBreak/>
        <w:t>Rozmezí výměry pro vymezování stavebního pozemku je stanoveno z důvodu zajištění efektivního využití ploch a</w:t>
      </w:r>
      <w:r w:rsidR="001246DE" w:rsidRPr="006070EA">
        <w:rPr>
          <w:rFonts w:asciiTheme="majorHAnsi" w:hAnsiTheme="majorHAnsi" w:cstheme="majorHAnsi"/>
        </w:rPr>
        <w:t> </w:t>
      </w:r>
      <w:r w:rsidRPr="006070EA">
        <w:rPr>
          <w:rFonts w:asciiTheme="majorHAnsi" w:hAnsiTheme="majorHAnsi" w:cstheme="majorHAnsi"/>
        </w:rPr>
        <w:t>zamezení vzniku plošně rozsáhlých pozemků, které by znemožnily efektivně a hospodárně využívat zastavěné území, zastavitelné plochy a související veřejnou (zejména dopravní a technickou) infrastrukturu, nebo naopak příliš intenzivní zástavby (např. řadové RD s více bytovými jednotkami), která by mohla urbanisticky a provozně narušit obytné prostředí převážně individuální zástavby venkovského charakteru.</w:t>
      </w:r>
    </w:p>
    <w:p w14:paraId="4A172B34" w14:textId="77777777" w:rsidR="001246DE" w:rsidRPr="006070EA" w:rsidRDefault="001246DE" w:rsidP="001246DE">
      <w:pPr>
        <w:pStyle w:val="ANADPIS4"/>
        <w:shd w:val="clear" w:color="auto" w:fill="auto"/>
        <w:rPr>
          <w:rFonts w:asciiTheme="majorHAnsi" w:hAnsiTheme="majorHAnsi" w:cstheme="majorHAnsi"/>
        </w:rPr>
      </w:pPr>
      <w:r w:rsidRPr="006070EA">
        <w:rPr>
          <w:rFonts w:asciiTheme="majorHAnsi" w:hAnsiTheme="majorHAnsi" w:cstheme="majorHAnsi"/>
        </w:rPr>
        <w:t>PLOCHY DOPRAVNÍ INFRASTRUKTURY</w:t>
      </w:r>
    </w:p>
    <w:p w14:paraId="75E14214" w14:textId="40FC22A6" w:rsidR="001246DE" w:rsidRPr="006070EA" w:rsidRDefault="001246DE" w:rsidP="001246DE">
      <w:pPr>
        <w:pStyle w:val="Anadpistun"/>
        <w:tabs>
          <w:tab w:val="right" w:pos="9639"/>
        </w:tabs>
        <w:jc w:val="right"/>
        <w:rPr>
          <w:rFonts w:asciiTheme="majorHAnsi" w:hAnsiTheme="majorHAnsi" w:cstheme="majorHAnsi"/>
          <w:b w:val="0"/>
        </w:rPr>
      </w:pPr>
      <w:r w:rsidRPr="006070EA">
        <w:rPr>
          <w:rFonts w:asciiTheme="majorHAnsi" w:hAnsiTheme="majorHAnsi" w:cstheme="majorHAnsi"/>
          <w:b w:val="0"/>
          <w:i/>
          <w:snapToGrid w:val="0"/>
          <w:u w:val="single"/>
        </w:rPr>
        <w:t xml:space="preserve">Odůvodnění odst. </w:t>
      </w:r>
      <w:r w:rsidRPr="006070EA">
        <w:rPr>
          <w:rFonts w:asciiTheme="majorHAnsi" w:hAnsiTheme="majorHAnsi" w:cstheme="majorHAnsi"/>
          <w:i/>
          <w:snapToGrid w:val="0"/>
          <w:u w:val="single"/>
        </w:rPr>
        <w:t>(</w:t>
      </w:r>
      <w:r w:rsidR="00AC2742" w:rsidRPr="006070EA">
        <w:rPr>
          <w:rFonts w:asciiTheme="majorHAnsi" w:hAnsiTheme="majorHAnsi" w:cstheme="majorHAnsi"/>
          <w:i/>
          <w:snapToGrid w:val="0"/>
          <w:u w:val="single"/>
        </w:rPr>
        <w:t>7</w:t>
      </w:r>
      <w:r w:rsidR="0021590A">
        <w:rPr>
          <w:rFonts w:asciiTheme="majorHAnsi" w:hAnsiTheme="majorHAnsi" w:cstheme="majorHAnsi"/>
          <w:i/>
          <w:snapToGrid w:val="0"/>
          <w:u w:val="single"/>
        </w:rPr>
        <w:t>0</w:t>
      </w:r>
      <w:r w:rsidRPr="006070EA">
        <w:rPr>
          <w:rFonts w:asciiTheme="majorHAnsi" w:hAnsiTheme="majorHAnsi" w:cstheme="majorHAnsi"/>
          <w:i/>
          <w:snapToGrid w:val="0"/>
          <w:u w:val="single"/>
        </w:rPr>
        <w:t xml:space="preserve">) </w:t>
      </w:r>
      <w:r w:rsidR="0021590A">
        <w:rPr>
          <w:rFonts w:asciiTheme="majorHAnsi" w:hAnsiTheme="majorHAnsi" w:cstheme="majorHAnsi"/>
          <w:i/>
          <w:snapToGrid w:val="0"/>
          <w:u w:val="single"/>
        </w:rPr>
        <w:t>-</w:t>
      </w:r>
      <w:r w:rsidRPr="006070EA">
        <w:rPr>
          <w:rFonts w:asciiTheme="majorHAnsi" w:hAnsiTheme="majorHAnsi" w:cstheme="majorHAnsi"/>
          <w:i/>
          <w:snapToGrid w:val="0"/>
          <w:u w:val="single"/>
        </w:rPr>
        <w:t xml:space="preserve"> (7</w:t>
      </w:r>
      <w:r w:rsidR="0021590A">
        <w:rPr>
          <w:rFonts w:asciiTheme="majorHAnsi" w:hAnsiTheme="majorHAnsi" w:cstheme="majorHAnsi"/>
          <w:i/>
          <w:snapToGrid w:val="0"/>
          <w:u w:val="single"/>
        </w:rPr>
        <w:t>2</w:t>
      </w:r>
      <w:r w:rsidRPr="006070EA">
        <w:rPr>
          <w:rFonts w:asciiTheme="majorHAnsi" w:hAnsiTheme="majorHAnsi" w:cstheme="majorHAnsi"/>
          <w:i/>
          <w:snapToGrid w:val="0"/>
          <w:u w:val="single"/>
        </w:rPr>
        <w:t xml:space="preserve">) </w:t>
      </w:r>
      <w:r w:rsidRPr="006070EA">
        <w:rPr>
          <w:rFonts w:asciiTheme="majorHAnsi" w:hAnsiTheme="majorHAnsi" w:cstheme="majorHAnsi"/>
          <w:b w:val="0"/>
          <w:i/>
          <w:snapToGrid w:val="0"/>
          <w:u w:val="single"/>
        </w:rPr>
        <w:t>výrokové části</w:t>
      </w:r>
    </w:p>
    <w:p w14:paraId="5DB0F173" w14:textId="5568B7AA" w:rsidR="001246DE" w:rsidRPr="006070EA" w:rsidRDefault="001246DE" w:rsidP="001246DE">
      <w:pPr>
        <w:pStyle w:val="Atext"/>
        <w:rPr>
          <w:rFonts w:asciiTheme="majorHAnsi" w:hAnsiTheme="majorHAnsi" w:cstheme="majorHAnsi"/>
        </w:rPr>
      </w:pPr>
      <w:r w:rsidRPr="006070EA">
        <w:rPr>
          <w:rFonts w:asciiTheme="majorHAnsi" w:hAnsiTheme="majorHAnsi" w:cstheme="majorHAnsi"/>
        </w:rPr>
        <w:t xml:space="preserve">V souladu s § 9 vyhlášky č. 501/2006 Sb. jsou vymezeny plochy dopravní infrastruktury v následujícím členění: </w:t>
      </w:r>
    </w:p>
    <w:p w14:paraId="6F0FC1CA" w14:textId="5931BA18" w:rsidR="001246DE" w:rsidRPr="006070EA" w:rsidRDefault="00AC2742" w:rsidP="001246DE">
      <w:pPr>
        <w:pStyle w:val="Anadpistun"/>
        <w:rPr>
          <w:rFonts w:asciiTheme="majorHAnsi" w:hAnsiTheme="majorHAnsi" w:cstheme="majorHAnsi"/>
        </w:rPr>
      </w:pPr>
      <w:r w:rsidRPr="006070EA">
        <w:rPr>
          <w:rFonts w:asciiTheme="majorHAnsi" w:hAnsiTheme="majorHAnsi" w:cstheme="majorHAnsi"/>
        </w:rPr>
        <w:t>Doprava</w:t>
      </w:r>
      <w:r w:rsidR="001E41A7" w:rsidRPr="006070EA">
        <w:rPr>
          <w:rFonts w:asciiTheme="majorHAnsi" w:hAnsiTheme="majorHAnsi" w:cstheme="majorHAnsi"/>
        </w:rPr>
        <w:t xml:space="preserve"> silniční</w:t>
      </w:r>
      <w:r w:rsidR="001246DE" w:rsidRPr="006070EA">
        <w:rPr>
          <w:rFonts w:asciiTheme="majorHAnsi" w:hAnsiTheme="majorHAnsi" w:cstheme="majorHAnsi"/>
        </w:rPr>
        <w:t xml:space="preserve"> (DS)</w:t>
      </w:r>
    </w:p>
    <w:p w14:paraId="4A8A553F" w14:textId="7DD88A5B" w:rsidR="001246DE" w:rsidRPr="006070EA" w:rsidRDefault="001246DE" w:rsidP="001246DE">
      <w:pPr>
        <w:pStyle w:val="Atext"/>
        <w:rPr>
          <w:rFonts w:asciiTheme="majorHAnsi" w:hAnsiTheme="majorHAnsi" w:cstheme="majorHAnsi"/>
        </w:rPr>
      </w:pPr>
      <w:r w:rsidRPr="006070EA">
        <w:rPr>
          <w:rFonts w:asciiTheme="majorHAnsi" w:hAnsiTheme="majorHAnsi" w:cstheme="majorHAnsi"/>
        </w:rPr>
        <w:t>Plochy DS zahrnují stabilizované i zastavitelné plochy komunikační sítě (silnice</w:t>
      </w:r>
      <w:r w:rsidR="001E41A7" w:rsidRPr="006070EA">
        <w:rPr>
          <w:rFonts w:asciiTheme="majorHAnsi" w:hAnsiTheme="majorHAnsi" w:cstheme="majorHAnsi"/>
        </w:rPr>
        <w:t xml:space="preserve"> II. a</w:t>
      </w:r>
      <w:r w:rsidRPr="006070EA">
        <w:rPr>
          <w:rFonts w:asciiTheme="majorHAnsi" w:hAnsiTheme="majorHAnsi" w:cstheme="majorHAnsi"/>
        </w:rPr>
        <w:t xml:space="preserve"> III. třídy, významné místní a</w:t>
      </w:r>
      <w:r w:rsidR="001E41A7" w:rsidRPr="006070EA">
        <w:rPr>
          <w:rFonts w:asciiTheme="majorHAnsi" w:hAnsiTheme="majorHAnsi" w:cstheme="majorHAnsi"/>
        </w:rPr>
        <w:t> </w:t>
      </w:r>
      <w:r w:rsidRPr="006070EA">
        <w:rPr>
          <w:rFonts w:asciiTheme="majorHAnsi" w:hAnsiTheme="majorHAnsi" w:cstheme="majorHAnsi"/>
        </w:rPr>
        <w:t>účelové komunikace, parkovací, manipulační a odstavné plochy). Důvodem vymezení těchto ploch je ochrana a rozvoj veřejné dopravní infrastruktury – zajištění dostatečné kapacitní dopravní obslužnosti území.</w:t>
      </w:r>
    </w:p>
    <w:p w14:paraId="563BF1FB" w14:textId="1E2D0E51" w:rsidR="001246DE" w:rsidRPr="006070EA" w:rsidRDefault="001246DE" w:rsidP="001246DE">
      <w:pPr>
        <w:pStyle w:val="Atext"/>
        <w:rPr>
          <w:rFonts w:asciiTheme="majorHAnsi" w:hAnsiTheme="majorHAnsi" w:cstheme="majorHAnsi"/>
        </w:rPr>
      </w:pPr>
      <w:r w:rsidRPr="006070EA">
        <w:rPr>
          <w:rFonts w:asciiTheme="majorHAnsi" w:hAnsiTheme="majorHAnsi" w:cstheme="majorHAnsi"/>
        </w:rPr>
        <w:t xml:space="preserve">Převážná část ploch DS je vymezena ve formě liniových ploch komunikací. Pro plochy DS je stanovena areálová struktura zástavby </w:t>
      </w:r>
      <w:r w:rsidR="001E41A7" w:rsidRPr="006070EA">
        <w:rPr>
          <w:rFonts w:asciiTheme="majorHAnsi" w:hAnsiTheme="majorHAnsi" w:cstheme="majorHAnsi"/>
        </w:rPr>
        <w:t xml:space="preserve">nebo solitérní stavby </w:t>
      </w:r>
      <w:r w:rsidRPr="006070EA">
        <w:rPr>
          <w:rFonts w:asciiTheme="majorHAnsi" w:hAnsiTheme="majorHAnsi" w:cstheme="majorHAnsi"/>
        </w:rPr>
        <w:t xml:space="preserve">z důvodu zajištění nezbytných funkčních a provozních požadavků na tato specifická zařízení. </w:t>
      </w:r>
    </w:p>
    <w:p w14:paraId="49F673E3" w14:textId="6575A5B2" w:rsidR="001246DE" w:rsidRPr="006070EA" w:rsidRDefault="00AC2742" w:rsidP="001246DE">
      <w:pPr>
        <w:pStyle w:val="Anadpistun"/>
        <w:rPr>
          <w:rFonts w:asciiTheme="majorHAnsi" w:hAnsiTheme="majorHAnsi" w:cstheme="majorHAnsi"/>
        </w:rPr>
      </w:pPr>
      <w:r w:rsidRPr="006070EA">
        <w:rPr>
          <w:rFonts w:asciiTheme="majorHAnsi" w:hAnsiTheme="majorHAnsi" w:cstheme="majorHAnsi"/>
        </w:rPr>
        <w:t>Doprava drážní</w:t>
      </w:r>
      <w:r w:rsidR="001246DE" w:rsidRPr="006070EA">
        <w:rPr>
          <w:rFonts w:asciiTheme="majorHAnsi" w:hAnsiTheme="majorHAnsi" w:cstheme="majorHAnsi"/>
        </w:rPr>
        <w:t xml:space="preserve"> (D</w:t>
      </w:r>
      <w:r w:rsidRPr="006070EA">
        <w:rPr>
          <w:rFonts w:asciiTheme="majorHAnsi" w:hAnsiTheme="majorHAnsi" w:cstheme="majorHAnsi"/>
        </w:rPr>
        <w:t>D</w:t>
      </w:r>
      <w:r w:rsidR="001246DE" w:rsidRPr="006070EA">
        <w:rPr>
          <w:rFonts w:asciiTheme="majorHAnsi" w:hAnsiTheme="majorHAnsi" w:cstheme="majorHAnsi"/>
        </w:rPr>
        <w:t>)</w:t>
      </w:r>
    </w:p>
    <w:p w14:paraId="0EC8AF93" w14:textId="76BA5415" w:rsidR="001246DE" w:rsidRPr="006070EA" w:rsidRDefault="001246DE" w:rsidP="001246DE">
      <w:pPr>
        <w:pStyle w:val="Atext"/>
        <w:rPr>
          <w:rFonts w:asciiTheme="majorHAnsi" w:hAnsiTheme="majorHAnsi" w:cstheme="majorHAnsi"/>
        </w:rPr>
      </w:pPr>
      <w:r w:rsidRPr="006070EA">
        <w:rPr>
          <w:rFonts w:asciiTheme="majorHAnsi" w:hAnsiTheme="majorHAnsi" w:cstheme="majorHAnsi"/>
        </w:rPr>
        <w:t>Plochy D</w:t>
      </w:r>
      <w:r w:rsidR="00AC2742" w:rsidRPr="006070EA">
        <w:rPr>
          <w:rFonts w:asciiTheme="majorHAnsi" w:hAnsiTheme="majorHAnsi" w:cstheme="majorHAnsi"/>
        </w:rPr>
        <w:t>D</w:t>
      </w:r>
      <w:r w:rsidRPr="006070EA">
        <w:rPr>
          <w:rFonts w:asciiTheme="majorHAnsi" w:hAnsiTheme="majorHAnsi" w:cstheme="majorHAnsi"/>
        </w:rPr>
        <w:t xml:space="preserve"> zahrnují stabilizované plochy drážní dopravy (obvod dráhy, železniční tratě včetně náspů, zářezů, opěrných zdí, mostů, kolejišť a doprovodné zeleně mimo tunelové úseky dráhy, dále pozemky zařízení pro drážní dopravu, například stanice, zastávky, nástupiště a přístupové cesty, provozní budovy a pozemky dep, opraven, vozoven, překladišť a</w:t>
      </w:r>
      <w:r w:rsidR="001E41A7" w:rsidRPr="006070EA">
        <w:rPr>
          <w:rFonts w:asciiTheme="majorHAnsi" w:hAnsiTheme="majorHAnsi" w:cstheme="majorHAnsi"/>
        </w:rPr>
        <w:t> </w:t>
      </w:r>
      <w:r w:rsidRPr="006070EA">
        <w:rPr>
          <w:rFonts w:asciiTheme="majorHAnsi" w:hAnsiTheme="majorHAnsi" w:cstheme="majorHAnsi"/>
        </w:rPr>
        <w:t>správních budov.). Důvodem vymezení je ochrana a rozvoj veřejné dopravní infrastruktury – zajištění dostatečné kapacitní dopravní obslužnosti území.</w:t>
      </w:r>
    </w:p>
    <w:p w14:paraId="72499822" w14:textId="4A5F8BFF" w:rsidR="001246DE" w:rsidRPr="006070EA" w:rsidRDefault="001246DE" w:rsidP="001246DE">
      <w:pPr>
        <w:pStyle w:val="Atext"/>
        <w:rPr>
          <w:rFonts w:asciiTheme="majorHAnsi" w:hAnsiTheme="majorHAnsi" w:cstheme="majorHAnsi"/>
        </w:rPr>
      </w:pPr>
      <w:r w:rsidRPr="006070EA">
        <w:rPr>
          <w:rFonts w:asciiTheme="majorHAnsi" w:hAnsiTheme="majorHAnsi" w:cstheme="majorHAnsi"/>
        </w:rPr>
        <w:t>Většina ploch D</w:t>
      </w:r>
      <w:r w:rsidR="00AC2742" w:rsidRPr="006070EA">
        <w:rPr>
          <w:rFonts w:asciiTheme="majorHAnsi" w:hAnsiTheme="majorHAnsi" w:cstheme="majorHAnsi"/>
        </w:rPr>
        <w:t>D</w:t>
      </w:r>
      <w:r w:rsidRPr="006070EA">
        <w:rPr>
          <w:rFonts w:asciiTheme="majorHAnsi" w:hAnsiTheme="majorHAnsi" w:cstheme="majorHAnsi"/>
        </w:rPr>
        <w:t xml:space="preserve"> je vymezena v rozsahu drážních pozemků s umístěním železniční tratě. Pro plochy D</w:t>
      </w:r>
      <w:r w:rsidR="00AC2742" w:rsidRPr="006070EA">
        <w:rPr>
          <w:rFonts w:asciiTheme="majorHAnsi" w:hAnsiTheme="majorHAnsi" w:cstheme="majorHAnsi"/>
        </w:rPr>
        <w:t>D</w:t>
      </w:r>
      <w:r w:rsidRPr="006070EA">
        <w:rPr>
          <w:rFonts w:asciiTheme="majorHAnsi" w:hAnsiTheme="majorHAnsi" w:cstheme="majorHAnsi"/>
        </w:rPr>
        <w:t xml:space="preserve"> je stanovena areálová struktura </w:t>
      </w:r>
      <w:r w:rsidR="001E41A7" w:rsidRPr="006070EA">
        <w:rPr>
          <w:rFonts w:asciiTheme="majorHAnsi" w:hAnsiTheme="majorHAnsi" w:cstheme="majorHAnsi"/>
        </w:rPr>
        <w:t xml:space="preserve">nebo solitérní stavby </w:t>
      </w:r>
      <w:r w:rsidRPr="006070EA">
        <w:rPr>
          <w:rFonts w:asciiTheme="majorHAnsi" w:hAnsiTheme="majorHAnsi" w:cstheme="majorHAnsi"/>
        </w:rPr>
        <w:t xml:space="preserve">zástavby z důvodu zajištění nezbytných funkčních a provozních požadavků na tato specifická zařízení s předpokladem možného rozvoje i jako nástupního místa pro turisty a návštěvníky území se zajištěním potřebné infrastruktury cestovního ruchu. </w:t>
      </w:r>
    </w:p>
    <w:p w14:paraId="77316954" w14:textId="2BFC550E" w:rsidR="003021D0" w:rsidRPr="006070EA" w:rsidRDefault="00AC2742" w:rsidP="003021D0">
      <w:pPr>
        <w:pStyle w:val="Anadpistun"/>
        <w:rPr>
          <w:rFonts w:asciiTheme="majorHAnsi" w:hAnsiTheme="majorHAnsi" w:cstheme="majorHAnsi"/>
        </w:rPr>
      </w:pPr>
      <w:r w:rsidRPr="006070EA">
        <w:rPr>
          <w:rFonts w:asciiTheme="majorHAnsi" w:hAnsiTheme="majorHAnsi" w:cstheme="majorHAnsi"/>
        </w:rPr>
        <w:t xml:space="preserve">Doprava </w:t>
      </w:r>
      <w:r w:rsidR="003021D0" w:rsidRPr="006070EA">
        <w:rPr>
          <w:rFonts w:asciiTheme="majorHAnsi" w:hAnsiTheme="majorHAnsi" w:cstheme="majorHAnsi"/>
        </w:rPr>
        <w:t>vodní (DV)</w:t>
      </w:r>
    </w:p>
    <w:p w14:paraId="3DA2BE1E" w14:textId="39264F72" w:rsidR="003021D0" w:rsidRPr="006070EA" w:rsidRDefault="003021D0" w:rsidP="003021D0">
      <w:pPr>
        <w:pStyle w:val="Atext"/>
        <w:rPr>
          <w:rFonts w:asciiTheme="majorHAnsi" w:hAnsiTheme="majorHAnsi" w:cstheme="majorHAnsi"/>
        </w:rPr>
      </w:pPr>
      <w:r w:rsidRPr="006070EA">
        <w:rPr>
          <w:rFonts w:asciiTheme="majorHAnsi" w:hAnsiTheme="majorHAnsi" w:cstheme="majorHAnsi"/>
        </w:rPr>
        <w:t>Plochy DV jsou vymezeny s přihlédnutím ke skutečnosti, že do řešeného území zasahuje Labská vodní cesta. Plochy DV zahrnují zpravidla pozemky určené pro vodní cesty</w:t>
      </w:r>
      <w:r w:rsidR="00537A18" w:rsidRPr="006070EA">
        <w:rPr>
          <w:rFonts w:asciiTheme="majorHAnsi" w:hAnsiTheme="majorHAnsi" w:cstheme="majorHAnsi"/>
        </w:rPr>
        <w:t xml:space="preserve">, pozemky nábřeží pro voní dopravu, pozemky zdymadel, přístavů a související pozemky dopravní a technické dopravy. </w:t>
      </w:r>
      <w:r w:rsidRPr="006070EA">
        <w:rPr>
          <w:rFonts w:asciiTheme="majorHAnsi" w:hAnsiTheme="majorHAnsi" w:cstheme="majorHAnsi"/>
        </w:rPr>
        <w:t xml:space="preserve">Důvodem vymezení je ochrana a rozvoj </w:t>
      </w:r>
      <w:r w:rsidR="00537A18" w:rsidRPr="006070EA">
        <w:rPr>
          <w:rFonts w:asciiTheme="majorHAnsi" w:hAnsiTheme="majorHAnsi" w:cstheme="majorHAnsi"/>
        </w:rPr>
        <w:t>vodní dopravy na řece Labi</w:t>
      </w:r>
      <w:r w:rsidRPr="006070EA">
        <w:rPr>
          <w:rFonts w:asciiTheme="majorHAnsi" w:hAnsiTheme="majorHAnsi" w:cstheme="majorHAnsi"/>
        </w:rPr>
        <w:t>.</w:t>
      </w:r>
    </w:p>
    <w:p w14:paraId="27644F74" w14:textId="7FFD0103" w:rsidR="003021D0" w:rsidRPr="006070EA" w:rsidRDefault="003021D0" w:rsidP="003021D0">
      <w:pPr>
        <w:pStyle w:val="Atext"/>
        <w:rPr>
          <w:rFonts w:asciiTheme="majorHAnsi" w:hAnsiTheme="majorHAnsi" w:cstheme="majorHAnsi"/>
        </w:rPr>
      </w:pPr>
      <w:r w:rsidRPr="006070EA">
        <w:rPr>
          <w:rFonts w:asciiTheme="majorHAnsi" w:hAnsiTheme="majorHAnsi" w:cstheme="majorHAnsi"/>
        </w:rPr>
        <w:t>Většina ploch D</w:t>
      </w:r>
      <w:r w:rsidR="00537A18" w:rsidRPr="006070EA">
        <w:rPr>
          <w:rFonts w:asciiTheme="majorHAnsi" w:hAnsiTheme="majorHAnsi" w:cstheme="majorHAnsi"/>
        </w:rPr>
        <w:t>V</w:t>
      </w:r>
      <w:r w:rsidRPr="006070EA">
        <w:rPr>
          <w:rFonts w:asciiTheme="majorHAnsi" w:hAnsiTheme="majorHAnsi" w:cstheme="majorHAnsi"/>
        </w:rPr>
        <w:t xml:space="preserve"> je vymezena v rozsahu </w:t>
      </w:r>
      <w:r w:rsidR="00537A18" w:rsidRPr="006070EA">
        <w:rPr>
          <w:rFonts w:asciiTheme="majorHAnsi" w:hAnsiTheme="majorHAnsi" w:cstheme="majorHAnsi"/>
        </w:rPr>
        <w:t xml:space="preserve">staveb a souvisejících pozemků, využívaných v souvislosti s dopravní funkcí řeky Labe (zdymadlo, hráze a okolní související pozemky a stavby). </w:t>
      </w:r>
    </w:p>
    <w:p w14:paraId="4E48E4B7" w14:textId="2902033B" w:rsidR="003021D0" w:rsidRPr="006070EA" w:rsidRDefault="003021D0" w:rsidP="003021D0">
      <w:pPr>
        <w:pStyle w:val="Atext"/>
        <w:rPr>
          <w:rFonts w:asciiTheme="majorHAnsi" w:hAnsiTheme="majorHAnsi" w:cstheme="majorHAnsi"/>
        </w:rPr>
      </w:pPr>
      <w:r w:rsidRPr="006070EA">
        <w:rPr>
          <w:rFonts w:asciiTheme="majorHAnsi" w:hAnsiTheme="majorHAnsi" w:cstheme="majorHAnsi"/>
        </w:rPr>
        <w:t>Pro plochy D</w:t>
      </w:r>
      <w:r w:rsidR="00537A18" w:rsidRPr="006070EA">
        <w:rPr>
          <w:rFonts w:asciiTheme="majorHAnsi" w:hAnsiTheme="majorHAnsi" w:cstheme="majorHAnsi"/>
        </w:rPr>
        <w:t>V</w:t>
      </w:r>
      <w:r w:rsidRPr="006070EA">
        <w:rPr>
          <w:rFonts w:asciiTheme="majorHAnsi" w:hAnsiTheme="majorHAnsi" w:cstheme="majorHAnsi"/>
        </w:rPr>
        <w:t xml:space="preserve"> je stanovena areálová struktura zástavby </w:t>
      </w:r>
      <w:r w:rsidR="001E41A7" w:rsidRPr="006070EA">
        <w:rPr>
          <w:rFonts w:asciiTheme="majorHAnsi" w:hAnsiTheme="majorHAnsi" w:cstheme="majorHAnsi"/>
        </w:rPr>
        <w:t xml:space="preserve">nebo solitérní stavby </w:t>
      </w:r>
      <w:r w:rsidRPr="006070EA">
        <w:rPr>
          <w:rFonts w:asciiTheme="majorHAnsi" w:hAnsiTheme="majorHAnsi" w:cstheme="majorHAnsi"/>
        </w:rPr>
        <w:t xml:space="preserve">z důvodu zajištění nezbytných funkčních a provozních požadavků na tato specifická zařízení s předpokladem možného rozvoje </w:t>
      </w:r>
      <w:r w:rsidR="00537A18" w:rsidRPr="006070EA">
        <w:rPr>
          <w:rFonts w:asciiTheme="majorHAnsi" w:hAnsiTheme="majorHAnsi" w:cstheme="majorHAnsi"/>
        </w:rPr>
        <w:t xml:space="preserve">Labské vodní cesty </w:t>
      </w:r>
      <w:r w:rsidRPr="006070EA">
        <w:rPr>
          <w:rFonts w:asciiTheme="majorHAnsi" w:hAnsiTheme="majorHAnsi" w:cstheme="majorHAnsi"/>
        </w:rPr>
        <w:t>i jako místa pro turisty a</w:t>
      </w:r>
      <w:r w:rsidR="00537A18" w:rsidRPr="006070EA">
        <w:rPr>
          <w:rFonts w:asciiTheme="majorHAnsi" w:hAnsiTheme="majorHAnsi" w:cstheme="majorHAnsi"/>
        </w:rPr>
        <w:t> </w:t>
      </w:r>
      <w:r w:rsidRPr="006070EA">
        <w:rPr>
          <w:rFonts w:asciiTheme="majorHAnsi" w:hAnsiTheme="majorHAnsi" w:cstheme="majorHAnsi"/>
        </w:rPr>
        <w:t xml:space="preserve">návštěvníky území se zajištěním potřebné infrastruktury cestovního ruchu. </w:t>
      </w:r>
    </w:p>
    <w:p w14:paraId="5D1D0813" w14:textId="77777777" w:rsidR="00C16799" w:rsidRPr="006070EA" w:rsidRDefault="00C16799" w:rsidP="00C16799">
      <w:pPr>
        <w:pStyle w:val="ANADPIS4"/>
        <w:shd w:val="clear" w:color="auto" w:fill="auto"/>
        <w:rPr>
          <w:rFonts w:asciiTheme="majorHAnsi" w:hAnsiTheme="majorHAnsi" w:cstheme="majorHAnsi"/>
        </w:rPr>
      </w:pPr>
      <w:r w:rsidRPr="006070EA">
        <w:rPr>
          <w:rFonts w:asciiTheme="majorHAnsi" w:hAnsiTheme="majorHAnsi" w:cstheme="majorHAnsi"/>
        </w:rPr>
        <w:t>PLOCHY TECHNICKÉ INFRASTRUKTURY</w:t>
      </w:r>
    </w:p>
    <w:p w14:paraId="3DCBA2E9" w14:textId="19290FFD" w:rsidR="00C16799" w:rsidRPr="006070EA" w:rsidRDefault="00C16799" w:rsidP="00C16799">
      <w:pPr>
        <w:pStyle w:val="Anadpistun"/>
        <w:tabs>
          <w:tab w:val="right" w:pos="9639"/>
        </w:tabs>
        <w:jc w:val="right"/>
        <w:rPr>
          <w:rFonts w:asciiTheme="majorHAnsi" w:hAnsiTheme="majorHAnsi" w:cstheme="majorHAnsi"/>
          <w:b w:val="0"/>
        </w:rPr>
      </w:pPr>
      <w:r w:rsidRPr="006070EA">
        <w:rPr>
          <w:rFonts w:asciiTheme="majorHAnsi" w:hAnsiTheme="majorHAnsi" w:cstheme="majorHAnsi"/>
          <w:b w:val="0"/>
          <w:i/>
          <w:snapToGrid w:val="0"/>
          <w:u w:val="single"/>
        </w:rPr>
        <w:t xml:space="preserve">Odůvodnění odst. </w:t>
      </w:r>
      <w:r w:rsidRPr="006070EA">
        <w:rPr>
          <w:rFonts w:asciiTheme="majorHAnsi" w:hAnsiTheme="majorHAnsi" w:cstheme="majorHAnsi"/>
          <w:i/>
          <w:snapToGrid w:val="0"/>
          <w:u w:val="single"/>
        </w:rPr>
        <w:t>(7</w:t>
      </w:r>
      <w:r w:rsidR="0021590A">
        <w:rPr>
          <w:rFonts w:asciiTheme="majorHAnsi" w:hAnsiTheme="majorHAnsi" w:cstheme="majorHAnsi"/>
          <w:i/>
          <w:snapToGrid w:val="0"/>
          <w:u w:val="single"/>
        </w:rPr>
        <w:t>3</w:t>
      </w:r>
      <w:r w:rsidRPr="006070EA">
        <w:rPr>
          <w:rFonts w:asciiTheme="majorHAnsi" w:hAnsiTheme="majorHAnsi" w:cstheme="majorHAnsi"/>
          <w:i/>
          <w:snapToGrid w:val="0"/>
          <w:u w:val="single"/>
        </w:rPr>
        <w:t xml:space="preserve">) </w:t>
      </w:r>
      <w:r w:rsidRPr="006070EA">
        <w:rPr>
          <w:rFonts w:asciiTheme="majorHAnsi" w:hAnsiTheme="majorHAnsi" w:cstheme="majorHAnsi"/>
          <w:b w:val="0"/>
          <w:i/>
          <w:snapToGrid w:val="0"/>
          <w:u w:val="single"/>
        </w:rPr>
        <w:t>výrokové části</w:t>
      </w:r>
    </w:p>
    <w:p w14:paraId="48358E99" w14:textId="2C17B17B" w:rsidR="00C16799" w:rsidRPr="006070EA" w:rsidRDefault="00C16799" w:rsidP="00C16799">
      <w:pPr>
        <w:pStyle w:val="Atext"/>
        <w:rPr>
          <w:rFonts w:asciiTheme="majorHAnsi" w:hAnsiTheme="majorHAnsi" w:cstheme="majorHAnsi"/>
        </w:rPr>
      </w:pPr>
      <w:r w:rsidRPr="006070EA">
        <w:rPr>
          <w:rFonts w:asciiTheme="majorHAnsi" w:hAnsiTheme="majorHAnsi" w:cstheme="majorHAnsi"/>
        </w:rPr>
        <w:t xml:space="preserve">V souladu s § 10 vyhlášky č. 501/2006 Sb. je vymezena následující plocha technické infrastruktury: </w:t>
      </w:r>
    </w:p>
    <w:p w14:paraId="7623D769" w14:textId="2F96C9FE" w:rsidR="00C16799" w:rsidRPr="006070EA" w:rsidRDefault="00C16799" w:rsidP="00C16799">
      <w:pPr>
        <w:pStyle w:val="Anadpistun"/>
        <w:rPr>
          <w:rFonts w:asciiTheme="majorHAnsi" w:hAnsiTheme="majorHAnsi" w:cstheme="majorHAnsi"/>
        </w:rPr>
      </w:pPr>
      <w:r w:rsidRPr="006070EA">
        <w:rPr>
          <w:rFonts w:asciiTheme="majorHAnsi" w:hAnsiTheme="majorHAnsi" w:cstheme="majorHAnsi"/>
        </w:rPr>
        <w:t xml:space="preserve">Technická infrastruktura </w:t>
      </w:r>
      <w:r w:rsidR="00AC2742" w:rsidRPr="006070EA">
        <w:rPr>
          <w:rFonts w:asciiTheme="majorHAnsi" w:hAnsiTheme="majorHAnsi" w:cstheme="majorHAnsi"/>
        </w:rPr>
        <w:t>všeobecná</w:t>
      </w:r>
      <w:r w:rsidRPr="006070EA">
        <w:rPr>
          <w:rFonts w:asciiTheme="majorHAnsi" w:hAnsiTheme="majorHAnsi" w:cstheme="majorHAnsi"/>
        </w:rPr>
        <w:t xml:space="preserve"> (T</w:t>
      </w:r>
      <w:r w:rsidR="00AC2742" w:rsidRPr="006070EA">
        <w:rPr>
          <w:rFonts w:asciiTheme="majorHAnsi" w:hAnsiTheme="majorHAnsi" w:cstheme="majorHAnsi"/>
        </w:rPr>
        <w:t>U</w:t>
      </w:r>
      <w:r w:rsidRPr="006070EA">
        <w:rPr>
          <w:rFonts w:asciiTheme="majorHAnsi" w:hAnsiTheme="majorHAnsi" w:cstheme="majorHAnsi"/>
        </w:rPr>
        <w:t>)</w:t>
      </w:r>
    </w:p>
    <w:p w14:paraId="580BC909" w14:textId="25A7B0DF" w:rsidR="00C16799" w:rsidRPr="006070EA" w:rsidRDefault="00C16799" w:rsidP="00C16799">
      <w:pPr>
        <w:pStyle w:val="Atext"/>
        <w:rPr>
          <w:rFonts w:asciiTheme="majorHAnsi" w:hAnsiTheme="majorHAnsi" w:cstheme="majorHAnsi"/>
        </w:rPr>
      </w:pPr>
      <w:r w:rsidRPr="006070EA">
        <w:rPr>
          <w:rFonts w:asciiTheme="majorHAnsi" w:hAnsiTheme="majorHAnsi" w:cstheme="majorHAnsi"/>
        </w:rPr>
        <w:t>Plochy T</w:t>
      </w:r>
      <w:r w:rsidR="00AC2742" w:rsidRPr="006070EA">
        <w:rPr>
          <w:rFonts w:asciiTheme="majorHAnsi" w:hAnsiTheme="majorHAnsi" w:cstheme="majorHAnsi"/>
        </w:rPr>
        <w:t>U</w:t>
      </w:r>
      <w:r w:rsidRPr="006070EA">
        <w:rPr>
          <w:rFonts w:asciiTheme="majorHAnsi" w:hAnsiTheme="majorHAnsi" w:cstheme="majorHAnsi"/>
        </w:rPr>
        <w:t xml:space="preserve"> zahrnují zpravidla zařízení pro </w:t>
      </w:r>
      <w:r w:rsidRPr="006070EA">
        <w:rPr>
          <w:rFonts w:asciiTheme="majorHAnsi" w:hAnsiTheme="majorHAnsi" w:cstheme="majorHAnsi"/>
          <w:szCs w:val="18"/>
        </w:rPr>
        <w:t>zásobování pitnou vodou a odvádění a čištění odpadních vod (vodojem, čistírna odpadních vod), zařízení na energetických sítí a další plochy technické infrastruktury, které nelze zahrnout do jiných ploch s rozdílným způsobem. V daném případě jsou součástí ploch T</w:t>
      </w:r>
      <w:r w:rsidR="00AC2742" w:rsidRPr="006070EA">
        <w:rPr>
          <w:rFonts w:asciiTheme="majorHAnsi" w:hAnsiTheme="majorHAnsi" w:cstheme="majorHAnsi"/>
          <w:szCs w:val="18"/>
        </w:rPr>
        <w:t>U</w:t>
      </w:r>
      <w:r w:rsidRPr="006070EA">
        <w:rPr>
          <w:rFonts w:asciiTheme="majorHAnsi" w:hAnsiTheme="majorHAnsi" w:cstheme="majorHAnsi"/>
          <w:szCs w:val="18"/>
        </w:rPr>
        <w:t xml:space="preserve"> také stavby a zařízení pro nakládání s odpady (plochy skládek, sběrných dvorů ad.), vzhledem ke skutečnosti, že tyto areály není v řešeném území účelné vyčleňovat do samostatné plochy s rozdílným způsobem využití. Důvodem vymezení ploch T</w:t>
      </w:r>
      <w:r w:rsidR="00AC2742" w:rsidRPr="006070EA">
        <w:rPr>
          <w:rFonts w:asciiTheme="majorHAnsi" w:hAnsiTheme="majorHAnsi" w:cstheme="majorHAnsi"/>
          <w:szCs w:val="18"/>
        </w:rPr>
        <w:t>U</w:t>
      </w:r>
      <w:r w:rsidRPr="006070EA">
        <w:rPr>
          <w:rFonts w:asciiTheme="majorHAnsi" w:hAnsiTheme="majorHAnsi" w:cstheme="majorHAnsi"/>
          <w:szCs w:val="18"/>
        </w:rPr>
        <w:t xml:space="preserve"> je stabilizace, ochrana a případný rozvoj systémů veřejné technické infrastruktury. </w:t>
      </w:r>
    </w:p>
    <w:p w14:paraId="572C3BB4" w14:textId="0D5F9C32" w:rsidR="00C16799" w:rsidRPr="006070EA" w:rsidRDefault="00C16799" w:rsidP="00C16799">
      <w:pPr>
        <w:pStyle w:val="Atext"/>
        <w:rPr>
          <w:rFonts w:asciiTheme="majorHAnsi" w:hAnsiTheme="majorHAnsi" w:cstheme="majorHAnsi"/>
        </w:rPr>
      </w:pPr>
      <w:r w:rsidRPr="006070EA">
        <w:rPr>
          <w:rFonts w:asciiTheme="majorHAnsi" w:hAnsiTheme="majorHAnsi" w:cstheme="majorHAnsi"/>
        </w:rPr>
        <w:t xml:space="preserve">Stanovena je areálová struktura zástavby nebo solitérní objekty z důvodu zajištění nezbytných funkčních a provozních požadavků na tato specifická zařízení. </w:t>
      </w:r>
      <w:r w:rsidR="00A40962" w:rsidRPr="006070EA">
        <w:rPr>
          <w:rFonts w:asciiTheme="majorHAnsi" w:hAnsiTheme="majorHAnsi" w:cstheme="majorHAnsi"/>
          <w:szCs w:val="18"/>
        </w:rPr>
        <w:t>Maximální výška zástavby vychází z předpokladu, že případné budovy nebudou převyšovat okolní zástavbu.</w:t>
      </w:r>
      <w:r w:rsidRPr="006070EA">
        <w:rPr>
          <w:rFonts w:asciiTheme="majorHAnsi" w:hAnsiTheme="majorHAnsi" w:cstheme="majorHAnsi"/>
          <w:szCs w:val="18"/>
        </w:rPr>
        <w:t xml:space="preserve"> </w:t>
      </w:r>
    </w:p>
    <w:p w14:paraId="36EB5784" w14:textId="77777777" w:rsidR="00A40962" w:rsidRPr="006070EA" w:rsidRDefault="00A40962" w:rsidP="00A40962">
      <w:pPr>
        <w:pStyle w:val="ANADPIS4"/>
        <w:shd w:val="clear" w:color="auto" w:fill="auto"/>
        <w:rPr>
          <w:rFonts w:asciiTheme="majorHAnsi" w:hAnsiTheme="majorHAnsi" w:cstheme="majorHAnsi"/>
        </w:rPr>
      </w:pPr>
      <w:r w:rsidRPr="006070EA">
        <w:rPr>
          <w:rFonts w:asciiTheme="majorHAnsi" w:hAnsiTheme="majorHAnsi" w:cstheme="majorHAnsi"/>
        </w:rPr>
        <w:lastRenderedPageBreak/>
        <w:t>PLOCHY VÝROBY A SKLADOVÁNÍ</w:t>
      </w:r>
    </w:p>
    <w:p w14:paraId="7D892DF4" w14:textId="6D30916E" w:rsidR="00A40962" w:rsidRPr="006070EA" w:rsidRDefault="00A40962" w:rsidP="00A40962">
      <w:pPr>
        <w:pStyle w:val="Anadpistun"/>
        <w:tabs>
          <w:tab w:val="right" w:pos="9639"/>
        </w:tabs>
        <w:jc w:val="right"/>
        <w:rPr>
          <w:rFonts w:asciiTheme="majorHAnsi" w:hAnsiTheme="majorHAnsi" w:cstheme="majorHAnsi"/>
          <w:b w:val="0"/>
        </w:rPr>
      </w:pPr>
      <w:r w:rsidRPr="006070EA">
        <w:rPr>
          <w:rFonts w:asciiTheme="majorHAnsi" w:hAnsiTheme="majorHAnsi" w:cstheme="majorHAnsi"/>
          <w:b w:val="0"/>
          <w:i/>
          <w:snapToGrid w:val="0"/>
          <w:u w:val="single"/>
        </w:rPr>
        <w:t xml:space="preserve">Odůvodnění odst. </w:t>
      </w:r>
      <w:r w:rsidRPr="006070EA">
        <w:rPr>
          <w:rFonts w:asciiTheme="majorHAnsi" w:hAnsiTheme="majorHAnsi" w:cstheme="majorHAnsi"/>
          <w:i/>
          <w:snapToGrid w:val="0"/>
          <w:u w:val="single"/>
        </w:rPr>
        <w:t>(7</w:t>
      </w:r>
      <w:r w:rsidR="0021590A">
        <w:rPr>
          <w:rFonts w:asciiTheme="majorHAnsi" w:hAnsiTheme="majorHAnsi" w:cstheme="majorHAnsi"/>
          <w:i/>
          <w:snapToGrid w:val="0"/>
          <w:u w:val="single"/>
        </w:rPr>
        <w:t>4</w:t>
      </w:r>
      <w:r w:rsidRPr="006070EA">
        <w:rPr>
          <w:rFonts w:asciiTheme="majorHAnsi" w:hAnsiTheme="majorHAnsi" w:cstheme="majorHAnsi"/>
          <w:i/>
          <w:snapToGrid w:val="0"/>
          <w:u w:val="single"/>
        </w:rPr>
        <w:t xml:space="preserve">) </w:t>
      </w:r>
      <w:r w:rsidR="0021590A">
        <w:rPr>
          <w:rFonts w:asciiTheme="majorHAnsi" w:hAnsiTheme="majorHAnsi" w:cstheme="majorHAnsi"/>
          <w:i/>
          <w:snapToGrid w:val="0"/>
          <w:u w:val="single"/>
        </w:rPr>
        <w:t>a</w:t>
      </w:r>
      <w:r w:rsidRPr="006070EA">
        <w:rPr>
          <w:rFonts w:asciiTheme="majorHAnsi" w:hAnsiTheme="majorHAnsi" w:cstheme="majorHAnsi"/>
          <w:i/>
          <w:snapToGrid w:val="0"/>
          <w:u w:val="single"/>
        </w:rPr>
        <w:t xml:space="preserve"> (7</w:t>
      </w:r>
      <w:r w:rsidR="0021590A">
        <w:rPr>
          <w:rFonts w:asciiTheme="majorHAnsi" w:hAnsiTheme="majorHAnsi" w:cstheme="majorHAnsi"/>
          <w:i/>
          <w:snapToGrid w:val="0"/>
          <w:u w:val="single"/>
        </w:rPr>
        <w:t>5</w:t>
      </w:r>
      <w:r w:rsidRPr="006070EA">
        <w:rPr>
          <w:rFonts w:asciiTheme="majorHAnsi" w:hAnsiTheme="majorHAnsi" w:cstheme="majorHAnsi"/>
          <w:i/>
          <w:snapToGrid w:val="0"/>
          <w:u w:val="single"/>
        </w:rPr>
        <w:t xml:space="preserve">) </w:t>
      </w:r>
      <w:r w:rsidRPr="006070EA">
        <w:rPr>
          <w:rFonts w:asciiTheme="majorHAnsi" w:hAnsiTheme="majorHAnsi" w:cstheme="majorHAnsi"/>
          <w:b w:val="0"/>
          <w:i/>
          <w:snapToGrid w:val="0"/>
          <w:u w:val="single"/>
        </w:rPr>
        <w:t>výrokové části</w:t>
      </w:r>
    </w:p>
    <w:p w14:paraId="12B4E307" w14:textId="1160DB77" w:rsidR="00A40962" w:rsidRPr="006070EA" w:rsidRDefault="00A40962" w:rsidP="00A40962">
      <w:pPr>
        <w:pStyle w:val="Zkladntextodsazen3"/>
        <w:spacing w:before="60" w:after="60" w:line="240" w:lineRule="auto"/>
        <w:ind w:left="0" w:firstLine="709"/>
        <w:jc w:val="both"/>
        <w:rPr>
          <w:rFonts w:asciiTheme="majorHAnsi" w:hAnsiTheme="majorHAnsi" w:cstheme="majorHAnsi"/>
          <w:sz w:val="18"/>
          <w:szCs w:val="20"/>
        </w:rPr>
      </w:pPr>
      <w:r w:rsidRPr="006070EA">
        <w:rPr>
          <w:rFonts w:asciiTheme="majorHAnsi" w:hAnsiTheme="majorHAnsi" w:cstheme="majorHAnsi"/>
          <w:sz w:val="18"/>
          <w:szCs w:val="20"/>
        </w:rPr>
        <w:t>V souladu s § 11 vyhlášky č. 501/2006 Sb. jsou vymezeny ploch</w:t>
      </w:r>
      <w:r w:rsidR="000840B7" w:rsidRPr="006070EA">
        <w:rPr>
          <w:rFonts w:asciiTheme="majorHAnsi" w:hAnsiTheme="majorHAnsi" w:cstheme="majorHAnsi"/>
          <w:sz w:val="18"/>
          <w:szCs w:val="20"/>
        </w:rPr>
        <w:t>y</w:t>
      </w:r>
      <w:r w:rsidRPr="006070EA">
        <w:rPr>
          <w:rFonts w:asciiTheme="majorHAnsi" w:hAnsiTheme="majorHAnsi" w:cstheme="majorHAnsi"/>
          <w:sz w:val="18"/>
          <w:szCs w:val="20"/>
        </w:rPr>
        <w:t xml:space="preserve"> výroby a skladování</w:t>
      </w:r>
      <w:r w:rsidR="000840B7" w:rsidRPr="006070EA">
        <w:rPr>
          <w:rFonts w:asciiTheme="majorHAnsi" w:hAnsiTheme="majorHAnsi" w:cstheme="majorHAnsi"/>
          <w:sz w:val="18"/>
          <w:szCs w:val="20"/>
        </w:rPr>
        <w:t xml:space="preserve"> v následujícím členění</w:t>
      </w:r>
      <w:r w:rsidRPr="006070EA">
        <w:rPr>
          <w:rFonts w:asciiTheme="majorHAnsi" w:hAnsiTheme="majorHAnsi" w:cstheme="majorHAnsi"/>
          <w:sz w:val="18"/>
          <w:szCs w:val="20"/>
        </w:rPr>
        <w:t xml:space="preserve">: </w:t>
      </w:r>
    </w:p>
    <w:p w14:paraId="071E084D" w14:textId="1C0181AE" w:rsidR="00A40962" w:rsidRPr="006070EA" w:rsidRDefault="00A40962" w:rsidP="00A40962">
      <w:pPr>
        <w:pStyle w:val="Nadpis30"/>
        <w:rPr>
          <w:rFonts w:asciiTheme="majorHAnsi" w:hAnsiTheme="majorHAnsi" w:cstheme="majorHAnsi"/>
          <w:lang w:val="cs-CZ"/>
        </w:rPr>
      </w:pPr>
      <w:r w:rsidRPr="006070EA">
        <w:rPr>
          <w:rFonts w:asciiTheme="majorHAnsi" w:hAnsiTheme="majorHAnsi" w:cstheme="majorHAnsi"/>
          <w:lang w:val="cs-CZ"/>
        </w:rPr>
        <w:t xml:space="preserve">Výroba </w:t>
      </w:r>
      <w:r w:rsidR="00AC2742" w:rsidRPr="006070EA">
        <w:rPr>
          <w:rFonts w:asciiTheme="majorHAnsi" w:hAnsiTheme="majorHAnsi" w:cstheme="majorHAnsi"/>
          <w:lang w:val="cs-CZ"/>
        </w:rPr>
        <w:t>lehká</w:t>
      </w:r>
      <w:r w:rsidRPr="006070EA">
        <w:rPr>
          <w:rFonts w:asciiTheme="majorHAnsi" w:hAnsiTheme="majorHAnsi" w:cstheme="majorHAnsi"/>
          <w:lang w:val="cs-CZ"/>
        </w:rPr>
        <w:t xml:space="preserve"> (VL)</w:t>
      </w:r>
    </w:p>
    <w:p w14:paraId="2631332A" w14:textId="6B816435" w:rsidR="00A40962" w:rsidRPr="006070EA" w:rsidRDefault="00A40962" w:rsidP="00A40962">
      <w:pPr>
        <w:pStyle w:val="Atext"/>
        <w:rPr>
          <w:rFonts w:asciiTheme="majorHAnsi" w:hAnsiTheme="majorHAnsi" w:cstheme="majorHAnsi"/>
        </w:rPr>
      </w:pPr>
      <w:r w:rsidRPr="006070EA">
        <w:rPr>
          <w:rFonts w:asciiTheme="majorHAnsi" w:hAnsiTheme="majorHAnsi" w:cstheme="majorHAnsi"/>
          <w:szCs w:val="18"/>
        </w:rPr>
        <w:t xml:space="preserve">Plochy VL jsou primárně určené pro provozování ekonomických aktivit charakteru lehké výroby bez negativního vlivu na okolí </w:t>
      </w:r>
      <w:r w:rsidRPr="006070EA">
        <w:rPr>
          <w:rFonts w:asciiTheme="majorHAnsi" w:hAnsiTheme="majorHAnsi" w:cstheme="majorHAnsi"/>
        </w:rPr>
        <w:t>areálu (zejména plochy podél silnice II/331 na východním okraji Kostomlat nad Labem)</w:t>
      </w:r>
      <w:r w:rsidRPr="006070EA">
        <w:rPr>
          <w:rFonts w:asciiTheme="majorHAnsi" w:hAnsiTheme="majorHAnsi" w:cstheme="majorHAnsi"/>
          <w:szCs w:val="18"/>
        </w:rPr>
        <w:t xml:space="preserve">. Důvod jejich samostatného vymezení spočívá ve vyšších nárocích na dopravní obsluhu a v nezbytnosti vyloučit v těchto plochách z důvodu možných negativních vlivů plošné bydlení. </w:t>
      </w:r>
      <w:r w:rsidRPr="006070EA">
        <w:rPr>
          <w:rFonts w:asciiTheme="majorHAnsi" w:hAnsiTheme="majorHAnsi" w:cstheme="majorHAnsi"/>
        </w:rPr>
        <w:t>Vymezením ploch jsou stabilizovány a případně rozvíjeny stávající výrobní a skladovací areály v řešeném území. Prostorová regulace těchto ploch je volnější a umožňuje vznik kapacitnějších provozů.</w:t>
      </w:r>
    </w:p>
    <w:p w14:paraId="488486C8" w14:textId="1DF539B6" w:rsidR="00A40962" w:rsidRPr="006070EA" w:rsidRDefault="00A40962" w:rsidP="00A40962">
      <w:pPr>
        <w:pStyle w:val="Atext"/>
        <w:rPr>
          <w:rFonts w:asciiTheme="majorHAnsi" w:hAnsiTheme="majorHAnsi" w:cstheme="majorHAnsi"/>
        </w:rPr>
      </w:pPr>
      <w:r w:rsidRPr="006070EA">
        <w:rPr>
          <w:rFonts w:asciiTheme="majorHAnsi" w:hAnsiTheme="majorHAnsi" w:cstheme="majorHAnsi"/>
        </w:rPr>
        <w:t xml:space="preserve">Stanovena je areálová struktura zástavby bez výrazné regulace, a to zejména s ohledem na specifické funkční a provozní požadavky výrobních areálů. Maximální </w:t>
      </w:r>
      <w:r w:rsidR="00263C24" w:rsidRPr="006070EA">
        <w:rPr>
          <w:rFonts w:asciiTheme="majorHAnsi" w:hAnsiTheme="majorHAnsi" w:cstheme="majorHAnsi"/>
        </w:rPr>
        <w:t xml:space="preserve">výška zástavby </w:t>
      </w:r>
      <w:r w:rsidRPr="006070EA">
        <w:rPr>
          <w:rFonts w:asciiTheme="majorHAnsi" w:hAnsiTheme="majorHAnsi" w:cstheme="majorHAnsi"/>
        </w:rPr>
        <w:t xml:space="preserve">je stanovena </w:t>
      </w:r>
      <w:r w:rsidR="00263C24" w:rsidRPr="006070EA">
        <w:rPr>
          <w:rFonts w:asciiTheme="majorHAnsi" w:hAnsiTheme="majorHAnsi" w:cstheme="majorHAnsi"/>
        </w:rPr>
        <w:t xml:space="preserve">s ohledem </w:t>
      </w:r>
      <w:r w:rsidRPr="006070EA">
        <w:rPr>
          <w:rFonts w:asciiTheme="majorHAnsi" w:hAnsiTheme="majorHAnsi" w:cstheme="majorHAnsi"/>
        </w:rPr>
        <w:t>na provozní požadavky charakteru ploch VL a je také odvozena od výškové hladiny stávajících výrobních areálů. Koeficient minimálního podílu zeleně na pozemku je stanoven z důvodu zajištění příznivého zapojení areálů do krajiny a zachování minimální retenční schopnosti území – zejména pro účely hospodaření s dešťovou vodou na pozemku (v souvislosti s obvyklým vyšším podílem zpevněných ploch – typicky kapacitní parkoviště a manipulační plochy) a případně rozvoje prvků modrozelené infrastruktury.</w:t>
      </w:r>
    </w:p>
    <w:p w14:paraId="407640E9" w14:textId="6930BBC7" w:rsidR="00A40962" w:rsidRPr="006070EA" w:rsidRDefault="00A40962" w:rsidP="00A40962">
      <w:pPr>
        <w:pStyle w:val="Nadpis30"/>
        <w:rPr>
          <w:rFonts w:asciiTheme="majorHAnsi" w:hAnsiTheme="majorHAnsi" w:cstheme="majorHAnsi"/>
        </w:rPr>
      </w:pPr>
      <w:r w:rsidRPr="006070EA">
        <w:rPr>
          <w:rFonts w:asciiTheme="majorHAnsi" w:hAnsiTheme="majorHAnsi" w:cstheme="majorHAnsi"/>
        </w:rPr>
        <w:t xml:space="preserve">Výroba zemědělská </w:t>
      </w:r>
      <w:r w:rsidR="00AC2742" w:rsidRPr="006070EA">
        <w:rPr>
          <w:rFonts w:asciiTheme="majorHAnsi" w:hAnsiTheme="majorHAnsi" w:cstheme="majorHAnsi"/>
          <w:lang w:val="cs-CZ"/>
        </w:rPr>
        <w:t xml:space="preserve">a lesnická </w:t>
      </w:r>
      <w:r w:rsidRPr="006070EA">
        <w:rPr>
          <w:rFonts w:asciiTheme="majorHAnsi" w:hAnsiTheme="majorHAnsi" w:cstheme="majorHAnsi"/>
        </w:rPr>
        <w:t>(VZ)</w:t>
      </w:r>
    </w:p>
    <w:p w14:paraId="13A4FB6C" w14:textId="325CB09A" w:rsidR="00A40962" w:rsidRPr="006070EA" w:rsidRDefault="00A40962" w:rsidP="00A40962">
      <w:pPr>
        <w:pStyle w:val="Atext"/>
        <w:rPr>
          <w:rFonts w:asciiTheme="majorHAnsi" w:hAnsiTheme="majorHAnsi" w:cstheme="majorHAnsi"/>
        </w:rPr>
      </w:pPr>
      <w:r w:rsidRPr="006070EA">
        <w:rPr>
          <w:rFonts w:asciiTheme="majorHAnsi" w:hAnsiTheme="majorHAnsi" w:cstheme="majorHAnsi"/>
        </w:rPr>
        <w:t>Jedná se o plochy primárně určené pro provozování ekonomických aktivit zemědělského charakteru. Důvod jejich samostatného vymezení spočívá ve vyšších nárocích na dopravní obsluhu (při větší rozloze) a v nezbytnosti vyloučit v těchto plochách z důvodu možných negativních vlivů plošné bydlení. Plochy zahrnují stabilizované areály zemědělské činnosti ve venkovský</w:t>
      </w:r>
      <w:r w:rsidR="00152F70" w:rsidRPr="006070EA">
        <w:rPr>
          <w:rFonts w:asciiTheme="majorHAnsi" w:hAnsiTheme="majorHAnsi" w:cstheme="majorHAnsi"/>
        </w:rPr>
        <w:t>ch sídlech řešeného území.</w:t>
      </w:r>
    </w:p>
    <w:p w14:paraId="3B4E0A5E" w14:textId="7779FDBA" w:rsidR="00A40962" w:rsidRPr="006070EA" w:rsidRDefault="00A40962" w:rsidP="00A40962">
      <w:pPr>
        <w:pStyle w:val="Atext"/>
        <w:rPr>
          <w:rFonts w:asciiTheme="majorHAnsi" w:hAnsiTheme="majorHAnsi" w:cstheme="majorHAnsi"/>
        </w:rPr>
      </w:pPr>
      <w:r w:rsidRPr="006070EA">
        <w:rPr>
          <w:rFonts w:asciiTheme="majorHAnsi" w:hAnsiTheme="majorHAnsi" w:cstheme="majorHAnsi"/>
        </w:rPr>
        <w:t>Stanovena je areálová struktura zástavby bez výrazné regulace, a to zejména s ohledem na specifické funkční a</w:t>
      </w:r>
      <w:r w:rsidR="00152F70" w:rsidRPr="006070EA">
        <w:rPr>
          <w:rFonts w:asciiTheme="majorHAnsi" w:hAnsiTheme="majorHAnsi" w:cstheme="majorHAnsi"/>
        </w:rPr>
        <w:t> </w:t>
      </w:r>
      <w:r w:rsidRPr="006070EA">
        <w:rPr>
          <w:rFonts w:asciiTheme="majorHAnsi" w:hAnsiTheme="majorHAnsi" w:cstheme="majorHAnsi"/>
        </w:rPr>
        <w:t xml:space="preserve">provozní požadavky výrobních areálů. </w:t>
      </w:r>
      <w:r w:rsidR="00263C24" w:rsidRPr="006070EA">
        <w:rPr>
          <w:rFonts w:asciiTheme="majorHAnsi" w:hAnsiTheme="majorHAnsi" w:cstheme="majorHAnsi"/>
        </w:rPr>
        <w:t>Maximální výška zástavby je stanovena s ohledem na provozní požadavky ploch charakteru VZ a je také odvozena od obvyklých výšek zemědělských výrobních areálů venkovského charakteru. Koeficient minimálního podílu zeleně na pozemku je stanoven z důvodu zajištění příznivého zapojení areálů do krajiny a zachování minimální retenční schopnosti území – zejména pro účely hospodaření s dešťovou vodou na pozemku (v souvislosti s obvyklým vyšším podílem zpevněných ploch – typicky kapacitní parkoviště a manipulační plochy) a případně rozvoje prvků modrozelené infrastruktury.</w:t>
      </w:r>
    </w:p>
    <w:p w14:paraId="5AD4446E" w14:textId="77777777" w:rsidR="00552020" w:rsidRPr="006070EA" w:rsidRDefault="00552020" w:rsidP="00DB1DE7">
      <w:pPr>
        <w:pStyle w:val="ANADPIS4"/>
        <w:shd w:val="clear" w:color="auto" w:fill="auto"/>
        <w:rPr>
          <w:rFonts w:asciiTheme="majorHAnsi" w:hAnsiTheme="majorHAnsi" w:cstheme="majorHAnsi"/>
        </w:rPr>
      </w:pPr>
      <w:r w:rsidRPr="006070EA">
        <w:rPr>
          <w:rFonts w:asciiTheme="majorHAnsi" w:hAnsiTheme="majorHAnsi" w:cstheme="majorHAnsi"/>
        </w:rPr>
        <w:t>PLOCHY VODNÍ A VODOHOSPODÁŘSKÉ</w:t>
      </w:r>
    </w:p>
    <w:p w14:paraId="1C520C6D" w14:textId="1AE71C01" w:rsidR="00552020" w:rsidRPr="006070EA" w:rsidRDefault="00552020" w:rsidP="00552020">
      <w:pPr>
        <w:pStyle w:val="Anadpistun"/>
        <w:tabs>
          <w:tab w:val="right" w:pos="9639"/>
        </w:tabs>
        <w:jc w:val="right"/>
        <w:rPr>
          <w:rFonts w:asciiTheme="majorHAnsi" w:hAnsiTheme="majorHAnsi" w:cstheme="majorHAnsi"/>
          <w:b w:val="0"/>
        </w:rPr>
      </w:pPr>
      <w:r w:rsidRPr="006070EA">
        <w:rPr>
          <w:rFonts w:asciiTheme="majorHAnsi" w:hAnsiTheme="majorHAnsi" w:cstheme="majorHAnsi"/>
          <w:b w:val="0"/>
          <w:i/>
          <w:snapToGrid w:val="0"/>
          <w:u w:val="single"/>
        </w:rPr>
        <w:t xml:space="preserve">Odůvodnění odst. </w:t>
      </w:r>
      <w:r w:rsidRPr="006070EA">
        <w:rPr>
          <w:rFonts w:asciiTheme="majorHAnsi" w:hAnsiTheme="majorHAnsi" w:cstheme="majorHAnsi"/>
          <w:i/>
          <w:snapToGrid w:val="0"/>
          <w:u w:val="single"/>
        </w:rPr>
        <w:t>(</w:t>
      </w:r>
      <w:r w:rsidR="00AC2742" w:rsidRPr="006070EA">
        <w:rPr>
          <w:rFonts w:asciiTheme="majorHAnsi" w:hAnsiTheme="majorHAnsi" w:cstheme="majorHAnsi"/>
          <w:i/>
          <w:snapToGrid w:val="0"/>
          <w:u w:val="single"/>
        </w:rPr>
        <w:t>7</w:t>
      </w:r>
      <w:r w:rsidR="0021590A">
        <w:rPr>
          <w:rFonts w:asciiTheme="majorHAnsi" w:hAnsiTheme="majorHAnsi" w:cstheme="majorHAnsi"/>
          <w:i/>
          <w:snapToGrid w:val="0"/>
          <w:u w:val="single"/>
        </w:rPr>
        <w:t>6</w:t>
      </w:r>
      <w:r w:rsidRPr="006070EA">
        <w:rPr>
          <w:rFonts w:asciiTheme="majorHAnsi" w:hAnsiTheme="majorHAnsi" w:cstheme="majorHAnsi"/>
          <w:i/>
          <w:snapToGrid w:val="0"/>
          <w:u w:val="single"/>
        </w:rPr>
        <w:t xml:space="preserve">) </w:t>
      </w:r>
      <w:r w:rsidRPr="006070EA">
        <w:rPr>
          <w:rFonts w:asciiTheme="majorHAnsi" w:hAnsiTheme="majorHAnsi" w:cstheme="majorHAnsi"/>
          <w:b w:val="0"/>
          <w:i/>
          <w:snapToGrid w:val="0"/>
          <w:u w:val="single"/>
        </w:rPr>
        <w:t>výrokové části</w:t>
      </w:r>
    </w:p>
    <w:p w14:paraId="12B36A9F" w14:textId="156EEEFB" w:rsidR="00552020" w:rsidRPr="006070EA" w:rsidRDefault="00552020" w:rsidP="00552020">
      <w:pPr>
        <w:pStyle w:val="Atext"/>
        <w:rPr>
          <w:rFonts w:asciiTheme="majorHAnsi" w:hAnsiTheme="majorHAnsi" w:cstheme="majorHAnsi"/>
        </w:rPr>
      </w:pPr>
      <w:r w:rsidRPr="006070EA">
        <w:rPr>
          <w:rFonts w:asciiTheme="majorHAnsi" w:hAnsiTheme="majorHAnsi" w:cstheme="majorHAnsi"/>
        </w:rPr>
        <w:t>V souladu s § 13 vyhlášky č. 501/2006 Sb. je vymezen následující typ plochy:</w:t>
      </w:r>
    </w:p>
    <w:p w14:paraId="080E1202" w14:textId="294E474F" w:rsidR="00552020" w:rsidRPr="006070EA" w:rsidRDefault="00AC2742" w:rsidP="00552020">
      <w:pPr>
        <w:pStyle w:val="Anadpistun"/>
        <w:rPr>
          <w:rFonts w:asciiTheme="majorHAnsi" w:hAnsiTheme="majorHAnsi" w:cstheme="majorHAnsi"/>
        </w:rPr>
      </w:pPr>
      <w:r w:rsidRPr="006070EA">
        <w:rPr>
          <w:rFonts w:asciiTheme="majorHAnsi" w:hAnsiTheme="majorHAnsi" w:cstheme="majorHAnsi"/>
        </w:rPr>
        <w:t>V</w:t>
      </w:r>
      <w:r w:rsidR="00552020" w:rsidRPr="006070EA">
        <w:rPr>
          <w:rFonts w:asciiTheme="majorHAnsi" w:hAnsiTheme="majorHAnsi" w:cstheme="majorHAnsi"/>
        </w:rPr>
        <w:t xml:space="preserve">odní a vodohospodářské </w:t>
      </w:r>
      <w:r w:rsidRPr="006070EA">
        <w:rPr>
          <w:rFonts w:asciiTheme="majorHAnsi" w:hAnsiTheme="majorHAnsi" w:cstheme="majorHAnsi"/>
        </w:rPr>
        <w:t xml:space="preserve">všeobecné </w:t>
      </w:r>
      <w:r w:rsidR="00552020" w:rsidRPr="006070EA">
        <w:rPr>
          <w:rFonts w:asciiTheme="majorHAnsi" w:hAnsiTheme="majorHAnsi" w:cstheme="majorHAnsi"/>
        </w:rPr>
        <w:t>(W</w:t>
      </w:r>
      <w:r w:rsidRPr="006070EA">
        <w:rPr>
          <w:rFonts w:asciiTheme="majorHAnsi" w:hAnsiTheme="majorHAnsi" w:cstheme="majorHAnsi"/>
        </w:rPr>
        <w:t>U</w:t>
      </w:r>
      <w:r w:rsidR="00552020" w:rsidRPr="006070EA">
        <w:rPr>
          <w:rFonts w:asciiTheme="majorHAnsi" w:hAnsiTheme="majorHAnsi" w:cstheme="majorHAnsi"/>
        </w:rPr>
        <w:t>)</w:t>
      </w:r>
    </w:p>
    <w:p w14:paraId="1ED58BB4" w14:textId="3B126D4D" w:rsidR="00552020" w:rsidRPr="006070EA" w:rsidRDefault="00552020" w:rsidP="00552020">
      <w:pPr>
        <w:pStyle w:val="Atext"/>
        <w:rPr>
          <w:rFonts w:asciiTheme="majorHAnsi" w:hAnsiTheme="majorHAnsi" w:cstheme="majorHAnsi"/>
        </w:rPr>
      </w:pPr>
      <w:r w:rsidRPr="006070EA">
        <w:rPr>
          <w:rFonts w:asciiTheme="majorHAnsi" w:hAnsiTheme="majorHAnsi" w:cstheme="majorHAnsi"/>
        </w:rPr>
        <w:t xml:space="preserve">Plochy </w:t>
      </w:r>
      <w:r w:rsidR="00DB1DE7" w:rsidRPr="006070EA">
        <w:rPr>
          <w:rFonts w:asciiTheme="majorHAnsi" w:hAnsiTheme="majorHAnsi" w:cstheme="majorHAnsi"/>
        </w:rPr>
        <w:t>W</w:t>
      </w:r>
      <w:r w:rsidR="00AC2742" w:rsidRPr="006070EA">
        <w:rPr>
          <w:rFonts w:asciiTheme="majorHAnsi" w:hAnsiTheme="majorHAnsi" w:cstheme="majorHAnsi"/>
        </w:rPr>
        <w:t>U</w:t>
      </w:r>
      <w:r w:rsidR="00DB1DE7" w:rsidRPr="006070EA">
        <w:rPr>
          <w:rFonts w:asciiTheme="majorHAnsi" w:hAnsiTheme="majorHAnsi" w:cstheme="majorHAnsi"/>
        </w:rPr>
        <w:t xml:space="preserve"> </w:t>
      </w:r>
      <w:r w:rsidRPr="006070EA">
        <w:rPr>
          <w:rFonts w:asciiTheme="majorHAnsi" w:hAnsiTheme="majorHAnsi" w:cstheme="majorHAnsi"/>
        </w:rPr>
        <w:t xml:space="preserve">zahrnují vodní toky a plochy v zastavěném i nezastavěném území (potoky, rybníky a vodní nádrže), pozemky staveb a zařízení vodního hospodářství. Jejich funkce je především ekologicko – stabilizační, ochranná a estetická; vymezením ploch jsou tyto funkce potvrzeny a vytvořeny jsou tak podmínky pro jejich ochranu, obnovu a rozvoj ve vazbě na zákon č. 254/2001 Sb. o vodách a o změně některých zákonů (vodní zákon) a jeho prováděcích předpisů. </w:t>
      </w:r>
    </w:p>
    <w:p w14:paraId="015D3BFB" w14:textId="6F5A8916" w:rsidR="00552020" w:rsidRPr="006070EA" w:rsidRDefault="00552020" w:rsidP="00552020">
      <w:pPr>
        <w:pStyle w:val="Atext"/>
        <w:rPr>
          <w:rFonts w:asciiTheme="majorHAnsi" w:hAnsiTheme="majorHAnsi" w:cstheme="majorHAnsi"/>
          <w:szCs w:val="18"/>
        </w:rPr>
      </w:pPr>
      <w:r w:rsidRPr="006070EA">
        <w:rPr>
          <w:rFonts w:asciiTheme="majorHAnsi" w:hAnsiTheme="majorHAnsi" w:cstheme="majorHAnsi"/>
          <w:szCs w:val="18"/>
        </w:rPr>
        <w:t>Možnosti umisťování staveb dle § 18 odst. 5 stavebního zákona jsou upřesněny, resp. omezeny z důvodu ochrany krajinného rázu a ochrany nezastavěného území. Stavby, zařízení a jiná opatření, které zlepší podmínky využití nezastavěného území pro účely rekreace a cestovního ruchu lze umístit za podmínky, že negativním způsobem neovlivní vodohospodářské a</w:t>
      </w:r>
      <w:r w:rsidR="00521642" w:rsidRPr="006070EA">
        <w:rPr>
          <w:rFonts w:asciiTheme="majorHAnsi" w:hAnsiTheme="majorHAnsi" w:cstheme="majorHAnsi"/>
          <w:szCs w:val="18"/>
        </w:rPr>
        <w:t> </w:t>
      </w:r>
      <w:r w:rsidRPr="006070EA">
        <w:rPr>
          <w:rFonts w:asciiTheme="majorHAnsi" w:hAnsiTheme="majorHAnsi" w:cstheme="majorHAnsi"/>
          <w:szCs w:val="18"/>
        </w:rPr>
        <w:t xml:space="preserve">ekologické funkce vodních prvků, jejichž ochrana je ve veřejném zájmu. Těžba nerostů je zcela vyloučena z důvodu ochrany krajinného rázu ve veřejném zájmu. </w:t>
      </w:r>
    </w:p>
    <w:p w14:paraId="70D2B983" w14:textId="7F49F52B" w:rsidR="00552020" w:rsidRDefault="00552020" w:rsidP="00552020">
      <w:pPr>
        <w:pStyle w:val="Atext"/>
        <w:rPr>
          <w:rFonts w:asciiTheme="majorHAnsi" w:hAnsiTheme="majorHAnsi" w:cstheme="majorHAnsi"/>
        </w:rPr>
      </w:pPr>
      <w:r w:rsidRPr="006070EA">
        <w:rPr>
          <w:rFonts w:asciiTheme="majorHAnsi" w:hAnsiTheme="majorHAnsi" w:cstheme="majorHAnsi"/>
        </w:rPr>
        <w:t xml:space="preserve">V případě povolování staveb dle § 18 odst. 5 stavebního zákona je stanovena maximální výška staveb a maximální velikost zastavěné plochy objektu, která je nižší než v ostatních plochách nezastavěného území z důvodu vyšší ochrany vodních prvků a souvisejících břehových porostů a údolních niv. Důvodem prostorové regulace je zejména ochrana ploch přímo souvisejících s vodními prvky a zajištění jejich převažující ekologické funkce. </w:t>
      </w:r>
    </w:p>
    <w:p w14:paraId="5F23D2AC" w14:textId="77777777" w:rsidR="00552020" w:rsidRPr="006070EA" w:rsidRDefault="00552020" w:rsidP="00DB1DE7">
      <w:pPr>
        <w:pStyle w:val="ANADPIS4"/>
        <w:shd w:val="clear" w:color="auto" w:fill="auto"/>
        <w:rPr>
          <w:rFonts w:asciiTheme="majorHAnsi" w:hAnsiTheme="majorHAnsi" w:cstheme="majorHAnsi"/>
        </w:rPr>
      </w:pPr>
      <w:r w:rsidRPr="006070EA">
        <w:rPr>
          <w:rFonts w:asciiTheme="majorHAnsi" w:hAnsiTheme="majorHAnsi" w:cstheme="majorHAnsi"/>
        </w:rPr>
        <w:t>PLOCHY ZEMĚDĚLSKÉ</w:t>
      </w:r>
    </w:p>
    <w:p w14:paraId="7C55EE11" w14:textId="7BEF4699" w:rsidR="00552020" w:rsidRPr="006070EA" w:rsidRDefault="00552020" w:rsidP="00DB1DE7">
      <w:pPr>
        <w:pStyle w:val="Anadpistun"/>
        <w:tabs>
          <w:tab w:val="right" w:pos="9639"/>
        </w:tabs>
        <w:jc w:val="right"/>
        <w:rPr>
          <w:rFonts w:asciiTheme="majorHAnsi" w:hAnsiTheme="majorHAnsi" w:cstheme="majorHAnsi"/>
          <w:b w:val="0"/>
        </w:rPr>
      </w:pPr>
      <w:r w:rsidRPr="006070EA">
        <w:rPr>
          <w:rFonts w:asciiTheme="majorHAnsi" w:hAnsiTheme="majorHAnsi" w:cstheme="majorHAnsi"/>
          <w:b w:val="0"/>
          <w:i/>
          <w:snapToGrid w:val="0"/>
          <w:u w:val="single"/>
        </w:rPr>
        <w:t xml:space="preserve">Odůvodnění odst. </w:t>
      </w:r>
      <w:r w:rsidRPr="006070EA">
        <w:rPr>
          <w:rFonts w:asciiTheme="majorHAnsi" w:hAnsiTheme="majorHAnsi" w:cstheme="majorHAnsi"/>
          <w:i/>
          <w:snapToGrid w:val="0"/>
          <w:u w:val="single"/>
        </w:rPr>
        <w:t>(</w:t>
      </w:r>
      <w:r w:rsidR="00AC2742" w:rsidRPr="006070EA">
        <w:rPr>
          <w:rFonts w:asciiTheme="majorHAnsi" w:hAnsiTheme="majorHAnsi" w:cstheme="majorHAnsi"/>
          <w:i/>
          <w:snapToGrid w:val="0"/>
          <w:u w:val="single"/>
        </w:rPr>
        <w:t>7</w:t>
      </w:r>
      <w:r w:rsidR="0021590A">
        <w:rPr>
          <w:rFonts w:asciiTheme="majorHAnsi" w:hAnsiTheme="majorHAnsi" w:cstheme="majorHAnsi"/>
          <w:i/>
          <w:snapToGrid w:val="0"/>
          <w:u w:val="single"/>
        </w:rPr>
        <w:t>7</w:t>
      </w:r>
      <w:r w:rsidRPr="006070EA">
        <w:rPr>
          <w:rFonts w:asciiTheme="majorHAnsi" w:hAnsiTheme="majorHAnsi" w:cstheme="majorHAnsi"/>
          <w:i/>
          <w:snapToGrid w:val="0"/>
          <w:u w:val="single"/>
        </w:rPr>
        <w:t xml:space="preserve">) </w:t>
      </w:r>
      <w:r w:rsidRPr="006070EA">
        <w:rPr>
          <w:rFonts w:asciiTheme="majorHAnsi" w:hAnsiTheme="majorHAnsi" w:cstheme="majorHAnsi"/>
          <w:b w:val="0"/>
          <w:i/>
          <w:snapToGrid w:val="0"/>
          <w:u w:val="single"/>
        </w:rPr>
        <w:t>výrokové části</w:t>
      </w:r>
    </w:p>
    <w:p w14:paraId="079AFD5D" w14:textId="534F6D47" w:rsidR="00552020" w:rsidRPr="006070EA" w:rsidRDefault="00552020" w:rsidP="00552020">
      <w:pPr>
        <w:pStyle w:val="Atext"/>
        <w:rPr>
          <w:rFonts w:asciiTheme="majorHAnsi" w:hAnsiTheme="majorHAnsi" w:cstheme="majorHAnsi"/>
        </w:rPr>
      </w:pPr>
      <w:r w:rsidRPr="006070EA">
        <w:rPr>
          <w:rFonts w:asciiTheme="majorHAnsi" w:hAnsiTheme="majorHAnsi" w:cstheme="majorHAnsi"/>
        </w:rPr>
        <w:t>V souladu s § 14 vyhlášky č. 501/2006 Sb. je vymezen následující typ plochy:</w:t>
      </w:r>
    </w:p>
    <w:p w14:paraId="5FF67D93" w14:textId="082FD4EB" w:rsidR="00552020" w:rsidRPr="006070EA" w:rsidRDefault="00AC2742" w:rsidP="00552020">
      <w:pPr>
        <w:pStyle w:val="Anadpistun"/>
        <w:rPr>
          <w:rFonts w:asciiTheme="majorHAnsi" w:hAnsiTheme="majorHAnsi" w:cstheme="majorHAnsi"/>
        </w:rPr>
      </w:pPr>
      <w:r w:rsidRPr="006070EA">
        <w:rPr>
          <w:rFonts w:asciiTheme="majorHAnsi" w:hAnsiTheme="majorHAnsi" w:cstheme="majorHAnsi"/>
        </w:rPr>
        <w:t>Z</w:t>
      </w:r>
      <w:r w:rsidR="00552020" w:rsidRPr="006070EA">
        <w:rPr>
          <w:rFonts w:asciiTheme="majorHAnsi" w:hAnsiTheme="majorHAnsi" w:cstheme="majorHAnsi"/>
        </w:rPr>
        <w:t xml:space="preserve">emědělské </w:t>
      </w:r>
      <w:r w:rsidRPr="006070EA">
        <w:rPr>
          <w:rFonts w:asciiTheme="majorHAnsi" w:hAnsiTheme="majorHAnsi" w:cstheme="majorHAnsi"/>
        </w:rPr>
        <w:t xml:space="preserve">všeobecné </w:t>
      </w:r>
      <w:r w:rsidR="00552020" w:rsidRPr="006070EA">
        <w:rPr>
          <w:rFonts w:asciiTheme="majorHAnsi" w:hAnsiTheme="majorHAnsi" w:cstheme="majorHAnsi"/>
        </w:rPr>
        <w:t>(</w:t>
      </w:r>
      <w:r w:rsidRPr="006070EA">
        <w:rPr>
          <w:rFonts w:asciiTheme="majorHAnsi" w:hAnsiTheme="majorHAnsi" w:cstheme="majorHAnsi"/>
        </w:rPr>
        <w:t>AU</w:t>
      </w:r>
      <w:r w:rsidR="00552020" w:rsidRPr="006070EA">
        <w:rPr>
          <w:rFonts w:asciiTheme="majorHAnsi" w:hAnsiTheme="majorHAnsi" w:cstheme="majorHAnsi"/>
        </w:rPr>
        <w:t>)</w:t>
      </w:r>
    </w:p>
    <w:p w14:paraId="0E3C515D" w14:textId="5418FB20" w:rsidR="00552020" w:rsidRPr="006070EA" w:rsidRDefault="00552020" w:rsidP="00552020">
      <w:pPr>
        <w:pStyle w:val="Atext"/>
        <w:rPr>
          <w:rFonts w:asciiTheme="majorHAnsi" w:hAnsiTheme="majorHAnsi" w:cstheme="majorHAnsi"/>
        </w:rPr>
      </w:pPr>
      <w:r w:rsidRPr="006070EA">
        <w:rPr>
          <w:rFonts w:asciiTheme="majorHAnsi" w:hAnsiTheme="majorHAnsi" w:cstheme="majorHAnsi"/>
        </w:rPr>
        <w:t xml:space="preserve">Plochy </w:t>
      </w:r>
      <w:r w:rsidR="00AC2742" w:rsidRPr="006070EA">
        <w:rPr>
          <w:rFonts w:asciiTheme="majorHAnsi" w:hAnsiTheme="majorHAnsi" w:cstheme="majorHAnsi"/>
        </w:rPr>
        <w:t>AU</w:t>
      </w:r>
      <w:r w:rsidRPr="006070EA">
        <w:rPr>
          <w:rFonts w:asciiTheme="majorHAnsi" w:hAnsiTheme="majorHAnsi" w:cstheme="majorHAnsi"/>
        </w:rPr>
        <w:t xml:space="preserve"> představují plochy s převažujícím využitím pro zemědělskou produkci, zahrnují zejména pozemky zemědělského půdního fondu (ZPF) v rozsahu intenzivně využívaných pozemků pro zemědělskou produkci - zejména je tvoří orná půda, trvalé travní porosty a související pozemky včetně zemědělských účelových komunikací, pozemky staveb a zařízení </w:t>
      </w:r>
      <w:r w:rsidRPr="006070EA">
        <w:rPr>
          <w:rFonts w:asciiTheme="majorHAnsi" w:hAnsiTheme="majorHAnsi" w:cstheme="majorHAnsi"/>
        </w:rPr>
        <w:lastRenderedPageBreak/>
        <w:t xml:space="preserve">zemědělského hospodářství účelové komunikace, drobná krajinná zeleň, vodní prvky atd. Ochrana zemědělské půdy je stanovena na podkladě zákona o ochraně zemědělského půdního fondu č. 334/1992 Sb. včetně prováděcích předpisů. </w:t>
      </w:r>
    </w:p>
    <w:p w14:paraId="3B0A11E9" w14:textId="0DB7B6A4" w:rsidR="00552020" w:rsidRPr="006070EA" w:rsidRDefault="00552020" w:rsidP="00552020">
      <w:pPr>
        <w:pStyle w:val="Atext"/>
        <w:rPr>
          <w:rFonts w:asciiTheme="majorHAnsi" w:hAnsiTheme="majorHAnsi" w:cstheme="majorHAnsi"/>
          <w:szCs w:val="18"/>
        </w:rPr>
      </w:pPr>
      <w:r w:rsidRPr="006070EA">
        <w:rPr>
          <w:rFonts w:asciiTheme="majorHAnsi" w:hAnsiTheme="majorHAnsi" w:cstheme="majorHAnsi"/>
          <w:szCs w:val="18"/>
        </w:rPr>
        <w:t>Možnosti umisťování staveb dle § 18 odst. 5 stavebního zákona jsou upřesněny</w:t>
      </w:r>
      <w:r w:rsidR="00521642" w:rsidRPr="006070EA">
        <w:rPr>
          <w:rFonts w:asciiTheme="majorHAnsi" w:hAnsiTheme="majorHAnsi" w:cstheme="majorHAnsi"/>
          <w:szCs w:val="18"/>
        </w:rPr>
        <w:t>,</w:t>
      </w:r>
      <w:r w:rsidRPr="006070EA">
        <w:rPr>
          <w:rFonts w:asciiTheme="majorHAnsi" w:hAnsiTheme="majorHAnsi" w:cstheme="majorHAnsi"/>
          <w:szCs w:val="18"/>
        </w:rPr>
        <w:t xml:space="preserve"> resp. omezeny z důvodu ochrany krajinného rázu a ochrany nezastavěného území. Stavby, zařízení a jiná opatření pro zemědělství a lesnictví lze v nezastavěném území umístit za podmínek, že nebudou vytvářet nároky na dopravní a technickou infrastrukturu a bude prokázána jejich vazba na přilehlé pozemky, tedy potvrzena nezbytnost umístění stavby pro konkrétní hospodaření. Těžba nerostů je zcela vyloučena z důvodu ochrany krajinného rázu ve veřejném zájmu. </w:t>
      </w:r>
    </w:p>
    <w:p w14:paraId="0C5DE92C" w14:textId="5BE66654" w:rsidR="00552020" w:rsidRDefault="00552020" w:rsidP="00552020">
      <w:pPr>
        <w:pStyle w:val="Atext"/>
        <w:rPr>
          <w:rFonts w:asciiTheme="majorHAnsi" w:hAnsiTheme="majorHAnsi" w:cstheme="majorHAnsi"/>
          <w:szCs w:val="18"/>
        </w:rPr>
      </w:pPr>
      <w:r w:rsidRPr="006070EA">
        <w:rPr>
          <w:rFonts w:asciiTheme="majorHAnsi" w:hAnsiTheme="majorHAnsi" w:cstheme="majorHAnsi"/>
        </w:rPr>
        <w:t>V případě povolování staveb dle § 18 odst. 5 stavebního zákona je stanovena maximální výška staveb a maximální velikost zastavěné plochy stavby zejména z důvodů zachování a rozvoje zemědělského využívání krajiny a umožnění nezbytných staveb pro hospodaření v krajině (např. seníky, přístřešky pro dobytek, sušárny apod.). Důvodem prostorové regulace je zejména ochrana krajinného rázu a omezení prostorových parametrů staveb, aby nedošlo k narušení volné krajiny umístěním nevhodné, pohledově exponované stavby, ale zároveň jsou podmínky nastaveny v dostatečném rozsahu pro zajišťování zemědělské produkce. P</w:t>
      </w:r>
      <w:r w:rsidRPr="006070EA">
        <w:rPr>
          <w:rFonts w:asciiTheme="majorHAnsi" w:hAnsiTheme="majorHAnsi" w:cstheme="majorHAnsi"/>
          <w:szCs w:val="18"/>
        </w:rPr>
        <w:t xml:space="preserve">řípadné stavby by neměly převyšovat vzrostlou vegetaci krajinné zeleně a z hlediska měřítka a hmoty nenarušovat měřítko volné krajiny a krajinné horizonty v dálkových pohledech. </w:t>
      </w:r>
    </w:p>
    <w:p w14:paraId="6F480C18" w14:textId="4242ED10" w:rsidR="00D04899" w:rsidRPr="006070EA" w:rsidRDefault="00D04899" w:rsidP="00D04899">
      <w:pPr>
        <w:pStyle w:val="Atext"/>
        <w:rPr>
          <w:rFonts w:asciiTheme="majorHAnsi" w:hAnsiTheme="majorHAnsi" w:cstheme="majorHAnsi"/>
        </w:rPr>
      </w:pPr>
      <w:r w:rsidRPr="00A76411">
        <w:rPr>
          <w:rFonts w:asciiTheme="majorHAnsi" w:hAnsiTheme="majorHAnsi" w:cstheme="majorHAnsi"/>
        </w:rPr>
        <w:t xml:space="preserve">V rámci ploch AU je obdobně jako </w:t>
      </w:r>
      <w:r w:rsidR="00831223" w:rsidRPr="00A76411">
        <w:rPr>
          <w:rFonts w:asciiTheme="majorHAnsi" w:hAnsiTheme="majorHAnsi" w:cstheme="majorHAnsi"/>
        </w:rPr>
        <w:t xml:space="preserve">v plochách MU.zp, které spolu s plochami AU spoluutváří převážnou část </w:t>
      </w:r>
      <w:r w:rsidRPr="00A76411">
        <w:rPr>
          <w:rFonts w:asciiTheme="majorHAnsi" w:hAnsiTheme="majorHAnsi" w:cstheme="majorHAnsi"/>
        </w:rPr>
        <w:t xml:space="preserve">volné </w:t>
      </w:r>
      <w:r w:rsidR="00831223" w:rsidRPr="00A76411">
        <w:rPr>
          <w:rFonts w:asciiTheme="majorHAnsi" w:hAnsiTheme="majorHAnsi" w:cstheme="majorHAnsi"/>
        </w:rPr>
        <w:t>krajiny</w:t>
      </w:r>
      <w:r w:rsidRPr="00A76411">
        <w:rPr>
          <w:rFonts w:asciiTheme="majorHAnsi" w:hAnsiTheme="majorHAnsi" w:cstheme="majorHAnsi"/>
        </w:rPr>
        <w:t>, vyloučeno umisťovat výrobny energie z</w:t>
      </w:r>
      <w:r w:rsidR="00831223" w:rsidRPr="00A76411">
        <w:rPr>
          <w:rFonts w:asciiTheme="majorHAnsi" w:hAnsiTheme="majorHAnsi" w:cstheme="majorHAnsi"/>
        </w:rPr>
        <w:t>e slunečního záření (fotovoltaické elektrárny, FVE)</w:t>
      </w:r>
      <w:r w:rsidRPr="00A76411">
        <w:rPr>
          <w:rFonts w:asciiTheme="majorHAnsi" w:hAnsiTheme="majorHAnsi" w:cstheme="majorHAnsi"/>
        </w:rPr>
        <w:t xml:space="preserve"> z důvodu veřejného zájmu na ochraně přírodních a krajinných hodnot území, které jsou klíčové pro zachování kvalitního životního prostředí, posílení krajinného rázu a přírodních hodnot (zejména krajinářsky cenné lokality, volné zemědělské pozemky) a rovněž pro možný rozvoj cestovního ruchu a rekreace. S ohledem na charakter celého území je umisťování výroben energie z</w:t>
      </w:r>
      <w:r w:rsidR="00831223" w:rsidRPr="00A76411">
        <w:rPr>
          <w:rFonts w:asciiTheme="majorHAnsi" w:hAnsiTheme="majorHAnsi" w:cstheme="majorHAnsi"/>
        </w:rPr>
        <w:t xml:space="preserve"> FVE </w:t>
      </w:r>
      <w:r w:rsidRPr="00A76411">
        <w:rPr>
          <w:rFonts w:asciiTheme="majorHAnsi" w:hAnsiTheme="majorHAnsi" w:cstheme="majorHAnsi"/>
        </w:rPr>
        <w:t xml:space="preserve">vyloučeno ve volné krajině bez předchozího prověření (např. v rámci změny územního plánu), a to přesto, že výroba energie z obnovitelných zdrojů je rovněž ve veřejném zájmu. Ochrana krajinného rázu, přírodních hodnot a s tím související možnost využití rekreačního potenciálu území jsou rovněž ve veřejném zájmu, který je spatřován zejména v rámci zajištění ochrany přírodně a krajinářsky významných území. Případný rozvoj výroben energie z obnovitelných zdrojů je tedy nutné směřovat především do ploch urbanizovaného území (zastavěné území a zastavitelné plochy), v rámci kterých jsou jejich realizace a provoz umožněny za podmínky, že se jedná o technická zařízení staveb. </w:t>
      </w:r>
      <w:r w:rsidR="00831223" w:rsidRPr="00A76411">
        <w:rPr>
          <w:rFonts w:asciiTheme="majorHAnsi" w:hAnsiTheme="majorHAnsi" w:cstheme="majorHAnsi"/>
        </w:rPr>
        <w:t>Na plochách pro zemědělství se omezuje velikost výrobny elektřiny s instalovaným výkonem nad 50 kW z důvodu zamezení vzniku velkých FVE parků, které by narušily krajinný ráz a ovlivnily hlavní způsob využití, kterým je zemědělská výroba a pozemky ZPF. Splnění požadavků § 19 odst. 1 písm. j) zákona č. 183/2006 Sb., tj. požadavek na vymezování ploch pro výrobny z obnovitelných zdrojů, je zajištěno tak, že umístění těchto staveb umožňují ostatní plochy s rozdílným způsobem využití.</w:t>
      </w:r>
    </w:p>
    <w:p w14:paraId="09C6E214" w14:textId="77777777" w:rsidR="00552020" w:rsidRPr="006070EA" w:rsidRDefault="00552020" w:rsidP="00521642">
      <w:pPr>
        <w:pStyle w:val="ANADPIS4"/>
        <w:shd w:val="clear" w:color="auto" w:fill="auto"/>
        <w:rPr>
          <w:rFonts w:asciiTheme="majorHAnsi" w:hAnsiTheme="majorHAnsi" w:cstheme="majorHAnsi"/>
        </w:rPr>
      </w:pPr>
      <w:r w:rsidRPr="006070EA">
        <w:rPr>
          <w:rFonts w:asciiTheme="majorHAnsi" w:hAnsiTheme="majorHAnsi" w:cstheme="majorHAnsi"/>
        </w:rPr>
        <w:t>PLOCHY LESNÍ</w:t>
      </w:r>
    </w:p>
    <w:p w14:paraId="2DDBC95F" w14:textId="7D453081" w:rsidR="00552020" w:rsidRPr="006070EA" w:rsidRDefault="00552020" w:rsidP="00552020">
      <w:pPr>
        <w:pStyle w:val="Anadpistun"/>
        <w:tabs>
          <w:tab w:val="right" w:pos="9639"/>
        </w:tabs>
        <w:jc w:val="right"/>
        <w:rPr>
          <w:rFonts w:asciiTheme="majorHAnsi" w:hAnsiTheme="majorHAnsi" w:cstheme="majorHAnsi"/>
          <w:b w:val="0"/>
        </w:rPr>
      </w:pPr>
      <w:r w:rsidRPr="006070EA">
        <w:rPr>
          <w:rFonts w:asciiTheme="majorHAnsi" w:hAnsiTheme="majorHAnsi" w:cstheme="majorHAnsi"/>
          <w:b w:val="0"/>
          <w:i/>
          <w:snapToGrid w:val="0"/>
          <w:u w:val="single"/>
        </w:rPr>
        <w:t xml:space="preserve">Odůvodnění odst. </w:t>
      </w:r>
      <w:r w:rsidRPr="006070EA">
        <w:rPr>
          <w:rFonts w:asciiTheme="majorHAnsi" w:hAnsiTheme="majorHAnsi" w:cstheme="majorHAnsi"/>
          <w:i/>
          <w:snapToGrid w:val="0"/>
          <w:u w:val="single"/>
        </w:rPr>
        <w:t>(</w:t>
      </w:r>
      <w:r w:rsidR="0021590A">
        <w:rPr>
          <w:rFonts w:asciiTheme="majorHAnsi" w:hAnsiTheme="majorHAnsi" w:cstheme="majorHAnsi"/>
          <w:i/>
          <w:snapToGrid w:val="0"/>
          <w:u w:val="single"/>
        </w:rPr>
        <w:t>7</w:t>
      </w:r>
      <w:r w:rsidR="00AC2742" w:rsidRPr="006070EA">
        <w:rPr>
          <w:rFonts w:asciiTheme="majorHAnsi" w:hAnsiTheme="majorHAnsi" w:cstheme="majorHAnsi"/>
          <w:i/>
          <w:snapToGrid w:val="0"/>
          <w:u w:val="single"/>
        </w:rPr>
        <w:t>8</w:t>
      </w:r>
      <w:r w:rsidRPr="006070EA">
        <w:rPr>
          <w:rFonts w:asciiTheme="majorHAnsi" w:hAnsiTheme="majorHAnsi" w:cstheme="majorHAnsi"/>
          <w:i/>
          <w:snapToGrid w:val="0"/>
          <w:u w:val="single"/>
        </w:rPr>
        <w:t xml:space="preserve">) </w:t>
      </w:r>
      <w:r w:rsidRPr="006070EA">
        <w:rPr>
          <w:rFonts w:asciiTheme="majorHAnsi" w:hAnsiTheme="majorHAnsi" w:cstheme="majorHAnsi"/>
          <w:b w:val="0"/>
          <w:i/>
          <w:snapToGrid w:val="0"/>
          <w:u w:val="single"/>
        </w:rPr>
        <w:t>výrokové části</w:t>
      </w:r>
    </w:p>
    <w:p w14:paraId="63C90C83" w14:textId="30F0798F" w:rsidR="00552020" w:rsidRPr="006070EA" w:rsidRDefault="00552020" w:rsidP="00552020">
      <w:pPr>
        <w:pStyle w:val="Atext"/>
        <w:rPr>
          <w:rFonts w:asciiTheme="majorHAnsi" w:hAnsiTheme="majorHAnsi" w:cstheme="majorHAnsi"/>
        </w:rPr>
      </w:pPr>
      <w:r w:rsidRPr="006070EA">
        <w:rPr>
          <w:rFonts w:asciiTheme="majorHAnsi" w:hAnsiTheme="majorHAnsi" w:cstheme="majorHAnsi"/>
        </w:rPr>
        <w:t>V souladu s § 15 vyhlášky č. 501/2006 Sb. je vymezen následující typ plochy:</w:t>
      </w:r>
    </w:p>
    <w:p w14:paraId="32F1F6FA" w14:textId="509771F3" w:rsidR="00552020" w:rsidRPr="006070EA" w:rsidRDefault="00AC2742" w:rsidP="00552020">
      <w:pPr>
        <w:pStyle w:val="Anadpistun"/>
        <w:rPr>
          <w:rFonts w:asciiTheme="majorHAnsi" w:hAnsiTheme="majorHAnsi" w:cstheme="majorHAnsi"/>
        </w:rPr>
      </w:pPr>
      <w:r w:rsidRPr="006070EA">
        <w:rPr>
          <w:rFonts w:asciiTheme="majorHAnsi" w:hAnsiTheme="majorHAnsi" w:cstheme="majorHAnsi"/>
        </w:rPr>
        <w:t>L</w:t>
      </w:r>
      <w:r w:rsidR="00552020" w:rsidRPr="006070EA">
        <w:rPr>
          <w:rFonts w:asciiTheme="majorHAnsi" w:hAnsiTheme="majorHAnsi" w:cstheme="majorHAnsi"/>
        </w:rPr>
        <w:t xml:space="preserve">esní </w:t>
      </w:r>
      <w:r w:rsidRPr="006070EA">
        <w:rPr>
          <w:rFonts w:asciiTheme="majorHAnsi" w:hAnsiTheme="majorHAnsi" w:cstheme="majorHAnsi"/>
        </w:rPr>
        <w:t xml:space="preserve">všeobecné </w:t>
      </w:r>
      <w:r w:rsidR="00552020" w:rsidRPr="006070EA">
        <w:rPr>
          <w:rFonts w:asciiTheme="majorHAnsi" w:hAnsiTheme="majorHAnsi" w:cstheme="majorHAnsi"/>
        </w:rPr>
        <w:t>(</w:t>
      </w:r>
      <w:r w:rsidRPr="006070EA">
        <w:rPr>
          <w:rFonts w:asciiTheme="majorHAnsi" w:hAnsiTheme="majorHAnsi" w:cstheme="majorHAnsi"/>
        </w:rPr>
        <w:t>LU</w:t>
      </w:r>
      <w:r w:rsidR="00552020" w:rsidRPr="006070EA">
        <w:rPr>
          <w:rFonts w:asciiTheme="majorHAnsi" w:hAnsiTheme="majorHAnsi" w:cstheme="majorHAnsi"/>
        </w:rPr>
        <w:t>)</w:t>
      </w:r>
    </w:p>
    <w:p w14:paraId="1CA10C36" w14:textId="499F92F0" w:rsidR="00552020" w:rsidRPr="006070EA" w:rsidRDefault="00552020" w:rsidP="00552020">
      <w:pPr>
        <w:pStyle w:val="Atext"/>
        <w:rPr>
          <w:rFonts w:asciiTheme="majorHAnsi" w:hAnsiTheme="majorHAnsi" w:cstheme="majorHAnsi"/>
          <w:szCs w:val="18"/>
        </w:rPr>
      </w:pPr>
      <w:r w:rsidRPr="006070EA">
        <w:rPr>
          <w:rFonts w:asciiTheme="majorHAnsi" w:hAnsiTheme="majorHAnsi" w:cstheme="majorHAnsi"/>
        </w:rPr>
        <w:t xml:space="preserve">Jedná se o </w:t>
      </w:r>
      <w:r w:rsidRPr="006070EA">
        <w:rPr>
          <w:rFonts w:asciiTheme="majorHAnsi" w:hAnsiTheme="majorHAnsi" w:cstheme="majorHAnsi"/>
          <w:szCs w:val="18"/>
        </w:rPr>
        <w:t>plochy s převažujícím využitím pro lesní produkci, zahrnují zejména pozemky určené k plnění funkcí lesa (PUPFL), ale i další zpravidla navazující plochy vzrostlé zeleně charakteru lesního porostu, pozemky staveb a zařízení lesního hospodářství a pozemky související dopravní a technické infrastruktury (plochy lesa včetně mýtin, okrajové zeleně, lesních cest apod.).</w:t>
      </w:r>
      <w:r w:rsidR="00521642" w:rsidRPr="006070EA">
        <w:rPr>
          <w:rFonts w:asciiTheme="majorHAnsi" w:hAnsiTheme="majorHAnsi" w:cstheme="majorHAnsi"/>
          <w:szCs w:val="18"/>
        </w:rPr>
        <w:t xml:space="preserve"> </w:t>
      </w:r>
      <w:r w:rsidRPr="006070EA">
        <w:rPr>
          <w:rFonts w:asciiTheme="majorHAnsi" w:hAnsiTheme="majorHAnsi" w:cstheme="majorHAnsi"/>
          <w:szCs w:val="18"/>
        </w:rPr>
        <w:t>Důvodem pro jejich vymezení je ochrana lesů</w:t>
      </w:r>
      <w:r w:rsidR="00521642" w:rsidRPr="006070EA">
        <w:rPr>
          <w:rFonts w:asciiTheme="majorHAnsi" w:hAnsiTheme="majorHAnsi" w:cstheme="majorHAnsi"/>
          <w:szCs w:val="18"/>
        </w:rPr>
        <w:t>.</w:t>
      </w:r>
    </w:p>
    <w:p w14:paraId="60B49FD9" w14:textId="2BBEA830" w:rsidR="00552020" w:rsidRPr="006070EA" w:rsidRDefault="00552020" w:rsidP="00552020">
      <w:pPr>
        <w:pStyle w:val="Atext"/>
        <w:rPr>
          <w:rFonts w:asciiTheme="majorHAnsi" w:hAnsiTheme="majorHAnsi" w:cstheme="majorHAnsi"/>
          <w:szCs w:val="18"/>
        </w:rPr>
      </w:pPr>
      <w:r w:rsidRPr="006070EA">
        <w:rPr>
          <w:rFonts w:asciiTheme="majorHAnsi" w:hAnsiTheme="majorHAnsi" w:cstheme="majorHAnsi"/>
          <w:szCs w:val="18"/>
        </w:rPr>
        <w:t>Možnosti umisťování staveb dle § 18 odst. 5 stavebního zákona jsou upřesněny</w:t>
      </w:r>
      <w:r w:rsidR="00521642" w:rsidRPr="006070EA">
        <w:rPr>
          <w:rFonts w:asciiTheme="majorHAnsi" w:hAnsiTheme="majorHAnsi" w:cstheme="majorHAnsi"/>
          <w:szCs w:val="18"/>
        </w:rPr>
        <w:t>,</w:t>
      </w:r>
      <w:r w:rsidRPr="006070EA">
        <w:rPr>
          <w:rFonts w:asciiTheme="majorHAnsi" w:hAnsiTheme="majorHAnsi" w:cstheme="majorHAnsi"/>
          <w:szCs w:val="18"/>
        </w:rPr>
        <w:t xml:space="preserve"> resp. omezeny z důvodu ochrany krajinného rázu a ochrany nezastavěného území. Stavby, zařízení a jiná opatření pro zemědělství a lesnictví lze v nezastavěném území umístit za podmínek, že nebudou vytvářet nároky na dopravní a technickou infrastrukturu a bude prokázána jejich vazba na přilehlé pozemky, tedy potvrzena nezbytnost umístění stavby pro konkrétní hospodaření. Stavby, zařízení a jiná opatření, které zlepší podmínky využití nezastavěného území pro účely rekreace a cestovního ruchu lze v nezastavěném území umístit za</w:t>
      </w:r>
      <w:r w:rsidR="005C2834" w:rsidRPr="006070EA">
        <w:rPr>
          <w:rFonts w:asciiTheme="majorHAnsi" w:hAnsiTheme="majorHAnsi" w:cstheme="majorHAnsi"/>
          <w:szCs w:val="18"/>
        </w:rPr>
        <w:t xml:space="preserve"> stanovených</w:t>
      </w:r>
      <w:r w:rsidRPr="006070EA">
        <w:rPr>
          <w:rFonts w:asciiTheme="majorHAnsi" w:hAnsiTheme="majorHAnsi" w:cstheme="majorHAnsi"/>
          <w:szCs w:val="18"/>
        </w:rPr>
        <w:t xml:space="preserve"> podmínek</w:t>
      </w:r>
      <w:r w:rsidR="005C2834" w:rsidRPr="006070EA">
        <w:rPr>
          <w:rFonts w:asciiTheme="majorHAnsi" w:hAnsiTheme="majorHAnsi" w:cstheme="majorHAnsi"/>
          <w:szCs w:val="18"/>
        </w:rPr>
        <w:t xml:space="preserve">, a to </w:t>
      </w:r>
      <w:r w:rsidRPr="006070EA">
        <w:rPr>
          <w:rFonts w:asciiTheme="majorHAnsi" w:hAnsiTheme="majorHAnsi" w:cstheme="majorHAnsi"/>
          <w:szCs w:val="18"/>
        </w:rPr>
        <w:t xml:space="preserve">z důvodu ochrany nezastavěného území a volné krajiny ve veřejném zájmu. Těžba nerostů je zcela vyloučena z důvodu ochrany krajinného rázu ve veřejném zájmu. </w:t>
      </w:r>
    </w:p>
    <w:p w14:paraId="0C653575" w14:textId="280A273B" w:rsidR="00552020" w:rsidRDefault="00552020" w:rsidP="00552020">
      <w:pPr>
        <w:pStyle w:val="Atext"/>
        <w:rPr>
          <w:rFonts w:asciiTheme="majorHAnsi" w:hAnsiTheme="majorHAnsi" w:cstheme="majorHAnsi"/>
          <w:szCs w:val="18"/>
        </w:rPr>
      </w:pPr>
      <w:r w:rsidRPr="006070EA">
        <w:rPr>
          <w:rFonts w:asciiTheme="majorHAnsi" w:hAnsiTheme="majorHAnsi" w:cstheme="majorHAnsi"/>
        </w:rPr>
        <w:t xml:space="preserve">V případě povolování staveb dle § 18 odst. 5 stavebního zákona je stanovena maximální výška staveb a maximální velikost zastavěné plochy stavby. Důvodem prostorové regulace je zejména ochrana krajinného rázu a omezení prostorových parametrů staveb, aby nedošlo k narušení volné krajiny umístěním nevhodné, případně také pohledově exponované stavby - </w:t>
      </w:r>
      <w:r w:rsidRPr="006070EA">
        <w:rPr>
          <w:rFonts w:asciiTheme="majorHAnsi" w:hAnsiTheme="majorHAnsi" w:cstheme="majorHAnsi"/>
          <w:szCs w:val="18"/>
        </w:rPr>
        <w:t xml:space="preserve">– případné stavby by neměly převyšovat vzrostlou vegetaci krajinné zeleně a z hlediska měřítka a hmoty nenarušovat měřítko volné krajiny a krajinné horizonty v dálkových pohledech. Zároveň jsou prostorové regulace stanoveny tak, aby v rámci nich bylo možné umístit doplňkovou stavbu pro lesní hospodaření, stavby pro rozvoj veřejné rekreace a cestovního ruchu a další stavby vodohospodářské, protipovodňové atd. </w:t>
      </w:r>
    </w:p>
    <w:p w14:paraId="68DAC03E" w14:textId="3A0922A6" w:rsidR="006D146A" w:rsidRPr="006070EA" w:rsidRDefault="006D146A" w:rsidP="006D146A">
      <w:pPr>
        <w:pStyle w:val="ANADPIS4"/>
        <w:shd w:val="clear" w:color="auto" w:fill="auto"/>
        <w:rPr>
          <w:rFonts w:asciiTheme="majorHAnsi" w:hAnsiTheme="majorHAnsi" w:cstheme="majorHAnsi"/>
        </w:rPr>
      </w:pPr>
      <w:r w:rsidRPr="006070EA">
        <w:rPr>
          <w:rFonts w:asciiTheme="majorHAnsi" w:hAnsiTheme="majorHAnsi" w:cstheme="majorHAnsi"/>
        </w:rPr>
        <w:t>PLOCHY PŘÍRODNÍ</w:t>
      </w:r>
    </w:p>
    <w:p w14:paraId="2B0E034F" w14:textId="4C50B28A" w:rsidR="006D146A" w:rsidRPr="006070EA" w:rsidRDefault="006D146A" w:rsidP="006D146A">
      <w:pPr>
        <w:pStyle w:val="Anadpistun"/>
        <w:tabs>
          <w:tab w:val="right" w:pos="9639"/>
        </w:tabs>
        <w:jc w:val="right"/>
        <w:rPr>
          <w:rFonts w:asciiTheme="majorHAnsi" w:hAnsiTheme="majorHAnsi" w:cstheme="majorHAnsi"/>
          <w:b w:val="0"/>
        </w:rPr>
      </w:pPr>
      <w:r w:rsidRPr="006070EA">
        <w:rPr>
          <w:rFonts w:asciiTheme="majorHAnsi" w:hAnsiTheme="majorHAnsi" w:cstheme="majorHAnsi"/>
          <w:b w:val="0"/>
          <w:i/>
          <w:snapToGrid w:val="0"/>
          <w:u w:val="single"/>
        </w:rPr>
        <w:t xml:space="preserve">Odůvodnění odst. </w:t>
      </w:r>
      <w:r w:rsidRPr="006070EA">
        <w:rPr>
          <w:rFonts w:asciiTheme="majorHAnsi" w:hAnsiTheme="majorHAnsi" w:cstheme="majorHAnsi"/>
          <w:i/>
          <w:snapToGrid w:val="0"/>
          <w:u w:val="single"/>
        </w:rPr>
        <w:t>(</w:t>
      </w:r>
      <w:r w:rsidR="0021590A">
        <w:rPr>
          <w:rFonts w:asciiTheme="majorHAnsi" w:hAnsiTheme="majorHAnsi" w:cstheme="majorHAnsi"/>
          <w:i/>
          <w:snapToGrid w:val="0"/>
          <w:u w:val="single"/>
        </w:rPr>
        <w:t>79</w:t>
      </w:r>
      <w:r w:rsidRPr="006070EA">
        <w:rPr>
          <w:rFonts w:asciiTheme="majorHAnsi" w:hAnsiTheme="majorHAnsi" w:cstheme="majorHAnsi"/>
          <w:i/>
          <w:snapToGrid w:val="0"/>
          <w:u w:val="single"/>
        </w:rPr>
        <w:t xml:space="preserve">) </w:t>
      </w:r>
      <w:r w:rsidRPr="006070EA">
        <w:rPr>
          <w:rFonts w:asciiTheme="majorHAnsi" w:hAnsiTheme="majorHAnsi" w:cstheme="majorHAnsi"/>
          <w:b w:val="0"/>
          <w:i/>
          <w:snapToGrid w:val="0"/>
          <w:u w:val="single"/>
        </w:rPr>
        <w:t>výrokové části</w:t>
      </w:r>
    </w:p>
    <w:p w14:paraId="53A1C00B" w14:textId="422F6AF2" w:rsidR="006D146A" w:rsidRPr="006070EA" w:rsidRDefault="006D146A" w:rsidP="006D146A">
      <w:pPr>
        <w:pStyle w:val="Atext"/>
        <w:rPr>
          <w:rFonts w:asciiTheme="majorHAnsi" w:hAnsiTheme="majorHAnsi" w:cstheme="majorHAnsi"/>
        </w:rPr>
      </w:pPr>
      <w:r w:rsidRPr="006070EA">
        <w:rPr>
          <w:rFonts w:asciiTheme="majorHAnsi" w:hAnsiTheme="majorHAnsi" w:cstheme="majorHAnsi"/>
        </w:rPr>
        <w:t>V souladu s § 1</w:t>
      </w:r>
      <w:r w:rsidR="00C267B7" w:rsidRPr="006070EA">
        <w:rPr>
          <w:rFonts w:asciiTheme="majorHAnsi" w:hAnsiTheme="majorHAnsi" w:cstheme="majorHAnsi"/>
        </w:rPr>
        <w:t>6</w:t>
      </w:r>
      <w:r w:rsidRPr="006070EA">
        <w:rPr>
          <w:rFonts w:asciiTheme="majorHAnsi" w:hAnsiTheme="majorHAnsi" w:cstheme="majorHAnsi"/>
        </w:rPr>
        <w:t xml:space="preserve"> vyhlášky č. 501/2006 Sb. je vymezen následující typ plochy:</w:t>
      </w:r>
    </w:p>
    <w:p w14:paraId="07C3B467" w14:textId="11C5403C" w:rsidR="006D146A" w:rsidRPr="006070EA" w:rsidRDefault="00AC2742" w:rsidP="006D146A">
      <w:pPr>
        <w:pStyle w:val="Anadpistun"/>
        <w:rPr>
          <w:rFonts w:asciiTheme="majorHAnsi" w:hAnsiTheme="majorHAnsi" w:cstheme="majorHAnsi"/>
        </w:rPr>
      </w:pPr>
      <w:r w:rsidRPr="006070EA">
        <w:rPr>
          <w:rFonts w:asciiTheme="majorHAnsi" w:hAnsiTheme="majorHAnsi" w:cstheme="majorHAnsi"/>
        </w:rPr>
        <w:lastRenderedPageBreak/>
        <w:t>P</w:t>
      </w:r>
      <w:r w:rsidR="00C267B7" w:rsidRPr="006070EA">
        <w:rPr>
          <w:rFonts w:asciiTheme="majorHAnsi" w:hAnsiTheme="majorHAnsi" w:cstheme="majorHAnsi"/>
        </w:rPr>
        <w:t xml:space="preserve">řírodní </w:t>
      </w:r>
      <w:r w:rsidRPr="006070EA">
        <w:rPr>
          <w:rFonts w:asciiTheme="majorHAnsi" w:hAnsiTheme="majorHAnsi" w:cstheme="majorHAnsi"/>
        </w:rPr>
        <w:t xml:space="preserve">všeobecné </w:t>
      </w:r>
      <w:r w:rsidR="00C267B7" w:rsidRPr="006070EA">
        <w:rPr>
          <w:rFonts w:asciiTheme="majorHAnsi" w:hAnsiTheme="majorHAnsi" w:cstheme="majorHAnsi"/>
        </w:rPr>
        <w:t>(</w:t>
      </w:r>
      <w:r w:rsidRPr="006070EA">
        <w:rPr>
          <w:rFonts w:asciiTheme="majorHAnsi" w:hAnsiTheme="majorHAnsi" w:cstheme="majorHAnsi"/>
        </w:rPr>
        <w:t>NU</w:t>
      </w:r>
      <w:r w:rsidR="00C267B7" w:rsidRPr="006070EA">
        <w:rPr>
          <w:rFonts w:asciiTheme="majorHAnsi" w:hAnsiTheme="majorHAnsi" w:cstheme="majorHAnsi"/>
        </w:rPr>
        <w:t>)</w:t>
      </w:r>
    </w:p>
    <w:p w14:paraId="79EC79C7" w14:textId="0B26D134" w:rsidR="006D146A" w:rsidRPr="006070EA" w:rsidRDefault="006D146A" w:rsidP="006D146A">
      <w:pPr>
        <w:pStyle w:val="Atext"/>
        <w:rPr>
          <w:rFonts w:asciiTheme="majorHAnsi" w:hAnsiTheme="majorHAnsi" w:cstheme="majorHAnsi"/>
        </w:rPr>
      </w:pPr>
      <w:r w:rsidRPr="006070EA">
        <w:rPr>
          <w:rFonts w:asciiTheme="majorHAnsi" w:hAnsiTheme="majorHAnsi" w:cstheme="majorHAnsi"/>
        </w:rPr>
        <w:t xml:space="preserve">Plochy </w:t>
      </w:r>
      <w:r w:rsidR="00AC2742" w:rsidRPr="006070EA">
        <w:rPr>
          <w:rFonts w:asciiTheme="majorHAnsi" w:hAnsiTheme="majorHAnsi" w:cstheme="majorHAnsi"/>
        </w:rPr>
        <w:t>NU</w:t>
      </w:r>
      <w:r w:rsidR="00C267B7" w:rsidRPr="006070EA">
        <w:rPr>
          <w:rFonts w:asciiTheme="majorHAnsi" w:hAnsiTheme="majorHAnsi" w:cstheme="majorHAnsi"/>
        </w:rPr>
        <w:t xml:space="preserve"> jsou plochy s převažující přírodní funkcí zahrnující mimo jiné zvláště chráněné plochy, plochy evropsky významných lokalit, pozemky smluvně chráněné, prvky ÚSES apod. Obvykle se vymezují za účelem zajištění podmínek pro ochrany přírody a krajiny. V ÚP Kostomlaty nad Labem jsou vymezeny pro skladebné části ÚSES – biocentra.</w:t>
      </w:r>
      <w:r w:rsidRPr="006070EA">
        <w:rPr>
          <w:rFonts w:asciiTheme="majorHAnsi" w:hAnsiTheme="majorHAnsi" w:cstheme="majorHAnsi"/>
        </w:rPr>
        <w:t xml:space="preserve"> </w:t>
      </w:r>
    </w:p>
    <w:p w14:paraId="2AC5D276" w14:textId="528D7A6E" w:rsidR="006D146A" w:rsidRPr="006070EA" w:rsidRDefault="006D146A" w:rsidP="006D146A">
      <w:pPr>
        <w:pStyle w:val="Atext"/>
        <w:rPr>
          <w:rFonts w:asciiTheme="majorHAnsi" w:hAnsiTheme="majorHAnsi" w:cstheme="majorHAnsi"/>
          <w:szCs w:val="18"/>
        </w:rPr>
      </w:pPr>
      <w:r w:rsidRPr="006070EA">
        <w:rPr>
          <w:rFonts w:asciiTheme="majorHAnsi" w:hAnsiTheme="majorHAnsi" w:cstheme="majorHAnsi"/>
          <w:szCs w:val="18"/>
        </w:rPr>
        <w:t xml:space="preserve">Možnosti umisťování staveb dle § 18 odst. 5 stavebního zákona jsou upřesněny, resp. omezeny z důvodu ochrany krajinného rázu a ochrany </w:t>
      </w:r>
      <w:r w:rsidR="00C267B7" w:rsidRPr="006070EA">
        <w:rPr>
          <w:rFonts w:asciiTheme="majorHAnsi" w:hAnsiTheme="majorHAnsi" w:cstheme="majorHAnsi"/>
          <w:szCs w:val="18"/>
        </w:rPr>
        <w:t>přírodních hodnot a ÚSES</w:t>
      </w:r>
      <w:r w:rsidRPr="006070EA">
        <w:rPr>
          <w:rFonts w:asciiTheme="majorHAnsi" w:hAnsiTheme="majorHAnsi" w:cstheme="majorHAnsi"/>
          <w:szCs w:val="18"/>
        </w:rPr>
        <w:t xml:space="preserve">. Stavby, zařízení a jiná opatření pro zemědělství a lesnictví </w:t>
      </w:r>
      <w:r w:rsidR="00C267B7" w:rsidRPr="006070EA">
        <w:rPr>
          <w:rFonts w:asciiTheme="majorHAnsi" w:hAnsiTheme="majorHAnsi" w:cstheme="majorHAnsi"/>
          <w:szCs w:val="18"/>
        </w:rPr>
        <w:t>a s</w:t>
      </w:r>
      <w:r w:rsidRPr="006070EA">
        <w:rPr>
          <w:rFonts w:asciiTheme="majorHAnsi" w:hAnsiTheme="majorHAnsi" w:cstheme="majorHAnsi"/>
          <w:szCs w:val="18"/>
        </w:rPr>
        <w:t xml:space="preserve">tavby, zařízení a jiná opatření, které zlepší podmínky využití nezastavěného území pro účely rekreace a cestovního ruchu </w:t>
      </w:r>
      <w:r w:rsidR="00C267B7" w:rsidRPr="006070EA">
        <w:rPr>
          <w:rFonts w:asciiTheme="majorHAnsi" w:hAnsiTheme="majorHAnsi" w:cstheme="majorHAnsi"/>
          <w:szCs w:val="18"/>
        </w:rPr>
        <w:t>jsou vyloučeny.</w:t>
      </w:r>
      <w:r w:rsidRPr="006070EA">
        <w:rPr>
          <w:rFonts w:asciiTheme="majorHAnsi" w:hAnsiTheme="majorHAnsi" w:cstheme="majorHAnsi"/>
          <w:szCs w:val="18"/>
        </w:rPr>
        <w:t xml:space="preserve"> Těžba nerostů je zcela vyloučena z důvodu ochrany krajinného rázu ve veřejném zájmu. </w:t>
      </w:r>
    </w:p>
    <w:p w14:paraId="0227D0C3" w14:textId="0D658EF2" w:rsidR="006D146A" w:rsidRDefault="006D146A" w:rsidP="006D146A">
      <w:pPr>
        <w:pStyle w:val="Atext"/>
        <w:rPr>
          <w:rFonts w:asciiTheme="majorHAnsi" w:hAnsiTheme="majorHAnsi" w:cstheme="majorHAnsi"/>
          <w:szCs w:val="18"/>
        </w:rPr>
      </w:pPr>
      <w:r w:rsidRPr="006070EA">
        <w:rPr>
          <w:rFonts w:asciiTheme="majorHAnsi" w:hAnsiTheme="majorHAnsi" w:cstheme="majorHAnsi"/>
          <w:szCs w:val="18"/>
        </w:rPr>
        <w:t xml:space="preserve">Z hlediska možnosti umisťování staveb dle § 18 odst. 5 stavebního zákona </w:t>
      </w:r>
      <w:r w:rsidR="00C267B7" w:rsidRPr="006070EA">
        <w:rPr>
          <w:rFonts w:asciiTheme="majorHAnsi" w:hAnsiTheme="majorHAnsi" w:cstheme="majorHAnsi"/>
          <w:szCs w:val="18"/>
        </w:rPr>
        <w:t xml:space="preserve">není umožněno umožňovat stavby, resp. </w:t>
      </w:r>
      <w:r w:rsidRPr="006070EA">
        <w:rPr>
          <w:rFonts w:asciiTheme="majorHAnsi" w:hAnsiTheme="majorHAnsi" w:cstheme="majorHAnsi"/>
          <w:szCs w:val="18"/>
        </w:rPr>
        <w:t xml:space="preserve">je stanovena maximální výška </w:t>
      </w:r>
      <w:r w:rsidR="00C267B7" w:rsidRPr="006070EA">
        <w:rPr>
          <w:rFonts w:asciiTheme="majorHAnsi" w:hAnsiTheme="majorHAnsi" w:cstheme="majorHAnsi"/>
          <w:szCs w:val="18"/>
        </w:rPr>
        <w:t xml:space="preserve">stavby 0 m a </w:t>
      </w:r>
      <w:r w:rsidRPr="006070EA">
        <w:rPr>
          <w:rFonts w:asciiTheme="majorHAnsi" w:hAnsiTheme="majorHAnsi" w:cstheme="majorHAnsi"/>
          <w:szCs w:val="18"/>
        </w:rPr>
        <w:t xml:space="preserve">maximální velikost zastavěné plochy stavby </w:t>
      </w:r>
      <w:r w:rsidR="00C267B7" w:rsidRPr="006070EA">
        <w:rPr>
          <w:rFonts w:asciiTheme="majorHAnsi" w:hAnsiTheme="majorHAnsi" w:cstheme="majorHAnsi"/>
          <w:szCs w:val="18"/>
        </w:rPr>
        <w:t>0 m</w:t>
      </w:r>
      <w:r w:rsidR="00C267B7" w:rsidRPr="006070EA">
        <w:rPr>
          <w:rFonts w:asciiTheme="majorHAnsi" w:hAnsiTheme="majorHAnsi" w:cstheme="majorHAnsi"/>
          <w:szCs w:val="18"/>
          <w:vertAlign w:val="superscript"/>
        </w:rPr>
        <w:t>2</w:t>
      </w:r>
      <w:r w:rsidR="00C267B7" w:rsidRPr="006070EA">
        <w:rPr>
          <w:rFonts w:asciiTheme="majorHAnsi" w:hAnsiTheme="majorHAnsi" w:cstheme="majorHAnsi"/>
          <w:szCs w:val="18"/>
        </w:rPr>
        <w:t xml:space="preserve">, a to z důvodu potřeby zajištění </w:t>
      </w:r>
      <w:r w:rsidRPr="006070EA">
        <w:rPr>
          <w:rFonts w:asciiTheme="majorHAnsi" w:hAnsiTheme="majorHAnsi" w:cstheme="majorHAnsi"/>
          <w:szCs w:val="18"/>
        </w:rPr>
        <w:t>ochran</w:t>
      </w:r>
      <w:r w:rsidR="00C267B7" w:rsidRPr="006070EA">
        <w:rPr>
          <w:rFonts w:asciiTheme="majorHAnsi" w:hAnsiTheme="majorHAnsi" w:cstheme="majorHAnsi"/>
          <w:szCs w:val="18"/>
        </w:rPr>
        <w:t>y přírodní funkce ploch N</w:t>
      </w:r>
      <w:r w:rsidR="00AC2742" w:rsidRPr="006070EA">
        <w:rPr>
          <w:rFonts w:asciiTheme="majorHAnsi" w:hAnsiTheme="majorHAnsi" w:cstheme="majorHAnsi"/>
          <w:szCs w:val="18"/>
        </w:rPr>
        <w:t>U</w:t>
      </w:r>
      <w:r w:rsidR="00C267B7" w:rsidRPr="006070EA">
        <w:rPr>
          <w:rFonts w:asciiTheme="majorHAnsi" w:hAnsiTheme="majorHAnsi" w:cstheme="majorHAnsi"/>
          <w:szCs w:val="18"/>
        </w:rPr>
        <w:t>.</w:t>
      </w:r>
    </w:p>
    <w:p w14:paraId="21C07304" w14:textId="77777777" w:rsidR="00552020" w:rsidRPr="006070EA" w:rsidRDefault="00552020" w:rsidP="006D146A">
      <w:pPr>
        <w:pStyle w:val="ANADPIS4"/>
        <w:shd w:val="clear" w:color="auto" w:fill="auto"/>
        <w:rPr>
          <w:rFonts w:asciiTheme="majorHAnsi" w:hAnsiTheme="majorHAnsi" w:cstheme="majorHAnsi"/>
        </w:rPr>
      </w:pPr>
      <w:r w:rsidRPr="006070EA">
        <w:rPr>
          <w:rFonts w:asciiTheme="majorHAnsi" w:hAnsiTheme="majorHAnsi" w:cstheme="majorHAnsi"/>
        </w:rPr>
        <w:t>PLOCHY SMÍŠENÉ NEZASTAVĚNÉHO ÚZEMÍ</w:t>
      </w:r>
    </w:p>
    <w:p w14:paraId="6F092C0E" w14:textId="2128145E" w:rsidR="00552020" w:rsidRPr="006070EA" w:rsidRDefault="00552020" w:rsidP="00552020">
      <w:pPr>
        <w:pStyle w:val="Anadpistun"/>
        <w:tabs>
          <w:tab w:val="right" w:pos="9639"/>
        </w:tabs>
        <w:jc w:val="right"/>
        <w:rPr>
          <w:rFonts w:asciiTheme="majorHAnsi" w:hAnsiTheme="majorHAnsi" w:cstheme="majorHAnsi"/>
          <w:b w:val="0"/>
        </w:rPr>
      </w:pPr>
      <w:r w:rsidRPr="006070EA">
        <w:rPr>
          <w:rFonts w:asciiTheme="majorHAnsi" w:hAnsiTheme="majorHAnsi" w:cstheme="majorHAnsi"/>
          <w:b w:val="0"/>
          <w:i/>
          <w:snapToGrid w:val="0"/>
          <w:u w:val="single"/>
        </w:rPr>
        <w:t xml:space="preserve">Odůvodnění odst. </w:t>
      </w:r>
      <w:r w:rsidRPr="006070EA">
        <w:rPr>
          <w:rFonts w:asciiTheme="majorHAnsi" w:hAnsiTheme="majorHAnsi" w:cstheme="majorHAnsi"/>
          <w:i/>
          <w:snapToGrid w:val="0"/>
          <w:u w:val="single"/>
        </w:rPr>
        <w:t>(8</w:t>
      </w:r>
      <w:r w:rsidR="0021590A">
        <w:rPr>
          <w:rFonts w:asciiTheme="majorHAnsi" w:hAnsiTheme="majorHAnsi" w:cstheme="majorHAnsi"/>
          <w:i/>
          <w:snapToGrid w:val="0"/>
          <w:u w:val="single"/>
        </w:rPr>
        <w:t>0</w:t>
      </w:r>
      <w:r w:rsidRPr="006070EA">
        <w:rPr>
          <w:rFonts w:asciiTheme="majorHAnsi" w:hAnsiTheme="majorHAnsi" w:cstheme="majorHAnsi"/>
          <w:i/>
          <w:snapToGrid w:val="0"/>
          <w:u w:val="single"/>
        </w:rPr>
        <w:t>)</w:t>
      </w:r>
      <w:r w:rsidR="006D146A" w:rsidRPr="006070EA">
        <w:rPr>
          <w:rFonts w:asciiTheme="majorHAnsi" w:hAnsiTheme="majorHAnsi" w:cstheme="majorHAnsi"/>
          <w:i/>
          <w:snapToGrid w:val="0"/>
          <w:u w:val="single"/>
        </w:rPr>
        <w:t xml:space="preserve"> – (8</w:t>
      </w:r>
      <w:r w:rsidR="0021590A">
        <w:rPr>
          <w:rFonts w:asciiTheme="majorHAnsi" w:hAnsiTheme="majorHAnsi" w:cstheme="majorHAnsi"/>
          <w:i/>
          <w:snapToGrid w:val="0"/>
          <w:u w:val="single"/>
        </w:rPr>
        <w:t>2</w:t>
      </w:r>
      <w:r w:rsidR="006D146A" w:rsidRPr="006070EA">
        <w:rPr>
          <w:rFonts w:asciiTheme="majorHAnsi" w:hAnsiTheme="majorHAnsi" w:cstheme="majorHAnsi"/>
          <w:i/>
          <w:snapToGrid w:val="0"/>
          <w:u w:val="single"/>
        </w:rPr>
        <w:t xml:space="preserve">) </w:t>
      </w:r>
      <w:r w:rsidRPr="006070EA">
        <w:rPr>
          <w:rFonts w:asciiTheme="majorHAnsi" w:hAnsiTheme="majorHAnsi" w:cstheme="majorHAnsi"/>
          <w:b w:val="0"/>
          <w:i/>
          <w:snapToGrid w:val="0"/>
          <w:u w:val="single"/>
        </w:rPr>
        <w:t>výrokové části</w:t>
      </w:r>
    </w:p>
    <w:p w14:paraId="4DEBF97D" w14:textId="70367C72" w:rsidR="00552020" w:rsidRPr="006070EA" w:rsidRDefault="00552020" w:rsidP="00552020">
      <w:pPr>
        <w:pStyle w:val="Atext"/>
        <w:rPr>
          <w:rFonts w:asciiTheme="majorHAnsi" w:hAnsiTheme="majorHAnsi" w:cstheme="majorHAnsi"/>
        </w:rPr>
      </w:pPr>
      <w:r w:rsidRPr="006070EA">
        <w:rPr>
          <w:rFonts w:asciiTheme="majorHAnsi" w:hAnsiTheme="majorHAnsi" w:cstheme="majorHAnsi"/>
        </w:rPr>
        <w:t>V souladu s § 17 vyhlášky č. 501/2006 Sb. j</w:t>
      </w:r>
      <w:r w:rsidR="005C2834" w:rsidRPr="006070EA">
        <w:rPr>
          <w:rFonts w:asciiTheme="majorHAnsi" w:hAnsiTheme="majorHAnsi" w:cstheme="majorHAnsi"/>
        </w:rPr>
        <w:t>sou</w:t>
      </w:r>
      <w:r w:rsidRPr="006070EA">
        <w:rPr>
          <w:rFonts w:asciiTheme="majorHAnsi" w:hAnsiTheme="majorHAnsi" w:cstheme="majorHAnsi"/>
        </w:rPr>
        <w:t xml:space="preserve"> vymezen</w:t>
      </w:r>
      <w:r w:rsidR="005C2834" w:rsidRPr="006070EA">
        <w:rPr>
          <w:rFonts w:asciiTheme="majorHAnsi" w:hAnsiTheme="majorHAnsi" w:cstheme="majorHAnsi"/>
        </w:rPr>
        <w:t>y</w:t>
      </w:r>
      <w:r w:rsidRPr="006070EA">
        <w:rPr>
          <w:rFonts w:asciiTheme="majorHAnsi" w:hAnsiTheme="majorHAnsi" w:cstheme="majorHAnsi"/>
        </w:rPr>
        <w:t xml:space="preserve"> následující typ plochy</w:t>
      </w:r>
      <w:r w:rsidR="005C2834" w:rsidRPr="006070EA">
        <w:rPr>
          <w:rFonts w:asciiTheme="majorHAnsi" w:hAnsiTheme="majorHAnsi" w:cstheme="majorHAnsi"/>
        </w:rPr>
        <w:t xml:space="preserve"> smíšené nezastavěného území</w:t>
      </w:r>
      <w:r w:rsidRPr="006070EA">
        <w:rPr>
          <w:rFonts w:asciiTheme="majorHAnsi" w:hAnsiTheme="majorHAnsi" w:cstheme="majorHAnsi"/>
        </w:rPr>
        <w:t>:</w:t>
      </w:r>
    </w:p>
    <w:p w14:paraId="70CF1988" w14:textId="47A078A9" w:rsidR="00552020" w:rsidRPr="006070EA" w:rsidRDefault="00463154" w:rsidP="00552020">
      <w:pPr>
        <w:pStyle w:val="Anadpistun"/>
        <w:rPr>
          <w:rFonts w:asciiTheme="majorHAnsi" w:hAnsiTheme="majorHAnsi" w:cstheme="majorHAnsi"/>
        </w:rPr>
      </w:pPr>
      <w:r w:rsidRPr="006070EA">
        <w:rPr>
          <w:rFonts w:asciiTheme="majorHAnsi" w:hAnsiTheme="majorHAnsi" w:cstheme="majorHAnsi"/>
        </w:rPr>
        <w:t>S</w:t>
      </w:r>
      <w:r w:rsidR="00552020" w:rsidRPr="006070EA">
        <w:rPr>
          <w:rFonts w:asciiTheme="majorHAnsi" w:hAnsiTheme="majorHAnsi" w:cstheme="majorHAnsi"/>
        </w:rPr>
        <w:t xml:space="preserve">míšené nezastavěného území </w:t>
      </w:r>
      <w:r w:rsidR="005C2834" w:rsidRPr="006070EA">
        <w:rPr>
          <w:rFonts w:asciiTheme="majorHAnsi" w:hAnsiTheme="majorHAnsi" w:cstheme="majorHAnsi"/>
        </w:rPr>
        <w:t>– zeměděls</w:t>
      </w:r>
      <w:r w:rsidRPr="006070EA">
        <w:rPr>
          <w:rFonts w:asciiTheme="majorHAnsi" w:hAnsiTheme="majorHAnsi" w:cstheme="majorHAnsi"/>
        </w:rPr>
        <w:t>tví extenzivní</w:t>
      </w:r>
      <w:r w:rsidR="005C2834" w:rsidRPr="006070EA">
        <w:rPr>
          <w:rFonts w:asciiTheme="majorHAnsi" w:hAnsiTheme="majorHAnsi" w:cstheme="majorHAnsi"/>
        </w:rPr>
        <w:t xml:space="preserve">, přírodní </w:t>
      </w:r>
      <w:r w:rsidRPr="006070EA">
        <w:rPr>
          <w:rFonts w:asciiTheme="majorHAnsi" w:hAnsiTheme="majorHAnsi" w:cstheme="majorHAnsi"/>
        </w:rPr>
        <w:t xml:space="preserve">priority </w:t>
      </w:r>
      <w:r w:rsidR="00552020" w:rsidRPr="006070EA">
        <w:rPr>
          <w:rFonts w:asciiTheme="majorHAnsi" w:hAnsiTheme="majorHAnsi" w:cstheme="majorHAnsi"/>
        </w:rPr>
        <w:t>(</w:t>
      </w:r>
      <w:r w:rsidRPr="006070EA">
        <w:rPr>
          <w:rFonts w:asciiTheme="majorHAnsi" w:hAnsiTheme="majorHAnsi" w:cstheme="majorHAnsi"/>
        </w:rPr>
        <w:t>MU.zp</w:t>
      </w:r>
      <w:r w:rsidR="00552020" w:rsidRPr="006070EA">
        <w:rPr>
          <w:rFonts w:asciiTheme="majorHAnsi" w:hAnsiTheme="majorHAnsi" w:cstheme="majorHAnsi"/>
        </w:rPr>
        <w:t>)</w:t>
      </w:r>
    </w:p>
    <w:p w14:paraId="57E5DAE0" w14:textId="7DA75476" w:rsidR="005C2834" w:rsidRPr="006070EA" w:rsidRDefault="00463154" w:rsidP="005C2834">
      <w:pPr>
        <w:pStyle w:val="Anadpistun"/>
        <w:rPr>
          <w:rFonts w:asciiTheme="majorHAnsi" w:hAnsiTheme="majorHAnsi" w:cstheme="majorHAnsi"/>
        </w:rPr>
      </w:pPr>
      <w:r w:rsidRPr="006070EA">
        <w:rPr>
          <w:rFonts w:asciiTheme="majorHAnsi" w:hAnsiTheme="majorHAnsi" w:cstheme="majorHAnsi"/>
        </w:rPr>
        <w:t>S</w:t>
      </w:r>
      <w:r w:rsidR="005C2834" w:rsidRPr="006070EA">
        <w:rPr>
          <w:rFonts w:asciiTheme="majorHAnsi" w:hAnsiTheme="majorHAnsi" w:cstheme="majorHAnsi"/>
        </w:rPr>
        <w:t xml:space="preserve">míšené nezastavěného území – sportovní </w:t>
      </w:r>
      <w:r w:rsidRPr="006070EA">
        <w:rPr>
          <w:rFonts w:asciiTheme="majorHAnsi" w:hAnsiTheme="majorHAnsi" w:cstheme="majorHAnsi"/>
        </w:rPr>
        <w:t xml:space="preserve">využití </w:t>
      </w:r>
      <w:r w:rsidR="005C2834" w:rsidRPr="006070EA">
        <w:rPr>
          <w:rFonts w:asciiTheme="majorHAnsi" w:hAnsiTheme="majorHAnsi" w:cstheme="majorHAnsi"/>
        </w:rPr>
        <w:t>(</w:t>
      </w:r>
      <w:r w:rsidRPr="006070EA">
        <w:rPr>
          <w:rFonts w:asciiTheme="majorHAnsi" w:hAnsiTheme="majorHAnsi" w:cstheme="majorHAnsi"/>
        </w:rPr>
        <w:t>MU.s</w:t>
      </w:r>
      <w:r w:rsidR="005C2834" w:rsidRPr="006070EA">
        <w:rPr>
          <w:rFonts w:asciiTheme="majorHAnsi" w:hAnsiTheme="majorHAnsi" w:cstheme="majorHAnsi"/>
        </w:rPr>
        <w:t>)</w:t>
      </w:r>
    </w:p>
    <w:p w14:paraId="3B3649DF" w14:textId="6A8B06D6" w:rsidR="005C2834" w:rsidRPr="006070EA" w:rsidRDefault="00463154" w:rsidP="005C2834">
      <w:pPr>
        <w:pStyle w:val="Anadpistun"/>
        <w:rPr>
          <w:rFonts w:asciiTheme="majorHAnsi" w:hAnsiTheme="majorHAnsi" w:cstheme="majorHAnsi"/>
        </w:rPr>
      </w:pPr>
      <w:r w:rsidRPr="006070EA">
        <w:rPr>
          <w:rFonts w:asciiTheme="majorHAnsi" w:hAnsiTheme="majorHAnsi" w:cstheme="majorHAnsi"/>
        </w:rPr>
        <w:t>S</w:t>
      </w:r>
      <w:r w:rsidR="005C2834" w:rsidRPr="006070EA">
        <w:rPr>
          <w:rFonts w:asciiTheme="majorHAnsi" w:hAnsiTheme="majorHAnsi" w:cstheme="majorHAnsi"/>
        </w:rPr>
        <w:t>míšené nezastavěného území – rekrea</w:t>
      </w:r>
      <w:r w:rsidRPr="006070EA">
        <w:rPr>
          <w:rFonts w:asciiTheme="majorHAnsi" w:hAnsiTheme="majorHAnsi" w:cstheme="majorHAnsi"/>
        </w:rPr>
        <w:t>ce</w:t>
      </w:r>
      <w:r w:rsidR="005C2834" w:rsidRPr="006070EA">
        <w:rPr>
          <w:rFonts w:asciiTheme="majorHAnsi" w:hAnsiTheme="majorHAnsi" w:cstheme="majorHAnsi"/>
        </w:rPr>
        <w:t xml:space="preserve"> </w:t>
      </w:r>
      <w:r w:rsidR="00031360" w:rsidRPr="006070EA">
        <w:rPr>
          <w:rFonts w:asciiTheme="majorHAnsi" w:hAnsiTheme="majorHAnsi" w:cstheme="majorHAnsi"/>
        </w:rPr>
        <w:t>nepobytov</w:t>
      </w:r>
      <w:r w:rsidRPr="006070EA">
        <w:rPr>
          <w:rFonts w:asciiTheme="majorHAnsi" w:hAnsiTheme="majorHAnsi" w:cstheme="majorHAnsi"/>
        </w:rPr>
        <w:t>á</w:t>
      </w:r>
      <w:r w:rsidR="00031360" w:rsidRPr="006070EA">
        <w:rPr>
          <w:rFonts w:asciiTheme="majorHAnsi" w:hAnsiTheme="majorHAnsi" w:cstheme="majorHAnsi"/>
        </w:rPr>
        <w:t xml:space="preserve"> </w:t>
      </w:r>
      <w:r w:rsidR="005C2834" w:rsidRPr="006070EA">
        <w:rPr>
          <w:rFonts w:asciiTheme="majorHAnsi" w:hAnsiTheme="majorHAnsi" w:cstheme="majorHAnsi"/>
        </w:rPr>
        <w:t>(</w:t>
      </w:r>
      <w:r w:rsidRPr="006070EA">
        <w:rPr>
          <w:rFonts w:asciiTheme="majorHAnsi" w:hAnsiTheme="majorHAnsi" w:cstheme="majorHAnsi"/>
        </w:rPr>
        <w:t>MU.r</w:t>
      </w:r>
      <w:r w:rsidR="005C2834" w:rsidRPr="006070EA">
        <w:rPr>
          <w:rFonts w:asciiTheme="majorHAnsi" w:hAnsiTheme="majorHAnsi" w:cstheme="majorHAnsi"/>
        </w:rPr>
        <w:t>)</w:t>
      </w:r>
    </w:p>
    <w:p w14:paraId="36E0372B" w14:textId="59759403" w:rsidR="005C2834" w:rsidRPr="006070EA" w:rsidRDefault="00552020" w:rsidP="00552020">
      <w:pPr>
        <w:pStyle w:val="Atext"/>
        <w:rPr>
          <w:rFonts w:asciiTheme="majorHAnsi" w:hAnsiTheme="majorHAnsi" w:cstheme="majorHAnsi"/>
        </w:rPr>
      </w:pPr>
      <w:r w:rsidRPr="006070EA">
        <w:rPr>
          <w:rFonts w:asciiTheme="majorHAnsi" w:hAnsiTheme="majorHAnsi" w:cstheme="majorHAnsi"/>
        </w:rPr>
        <w:t xml:space="preserve">Plochy </w:t>
      </w:r>
      <w:r w:rsidR="00463154" w:rsidRPr="006070EA">
        <w:rPr>
          <w:rFonts w:asciiTheme="majorHAnsi" w:hAnsiTheme="majorHAnsi" w:cstheme="majorHAnsi"/>
        </w:rPr>
        <w:t>MU</w:t>
      </w:r>
      <w:r w:rsidRPr="006070EA">
        <w:rPr>
          <w:rFonts w:asciiTheme="majorHAnsi" w:hAnsiTheme="majorHAnsi" w:cstheme="majorHAnsi"/>
        </w:rPr>
        <w:t xml:space="preserve"> jsou plochy funkčně nejednoznačné, převážně </w:t>
      </w:r>
      <w:r w:rsidRPr="006070EA">
        <w:rPr>
          <w:rFonts w:asciiTheme="majorHAnsi" w:hAnsiTheme="majorHAnsi" w:cstheme="majorHAnsi"/>
          <w:szCs w:val="18"/>
        </w:rPr>
        <w:t xml:space="preserve">pozemky zemědělského půdního fondu (zejména extenzivně využívané) </w:t>
      </w:r>
      <w:r w:rsidRPr="006070EA">
        <w:rPr>
          <w:rFonts w:asciiTheme="majorHAnsi" w:hAnsiTheme="majorHAnsi" w:cstheme="majorHAnsi"/>
        </w:rPr>
        <w:t>plnící také mimoprodukční funkci</w:t>
      </w:r>
      <w:r w:rsidRPr="006070EA">
        <w:rPr>
          <w:rFonts w:asciiTheme="majorHAnsi" w:hAnsiTheme="majorHAnsi" w:cstheme="majorHAnsi"/>
          <w:szCs w:val="18"/>
        </w:rPr>
        <w:t>, přechodové plochy mezi lesními, přírodními a zemědělskými plochami, doprovodné porosty vodních ploch a toků.</w:t>
      </w:r>
      <w:r w:rsidRPr="006070EA">
        <w:rPr>
          <w:rFonts w:asciiTheme="majorHAnsi" w:hAnsiTheme="majorHAnsi" w:cstheme="majorHAnsi"/>
        </w:rPr>
        <w:t xml:space="preserve"> Za</w:t>
      </w:r>
      <w:r w:rsidRPr="006070EA">
        <w:rPr>
          <w:rFonts w:asciiTheme="majorHAnsi" w:hAnsiTheme="majorHAnsi" w:cstheme="majorHAnsi"/>
          <w:szCs w:val="18"/>
        </w:rPr>
        <w:t>hrnují krajinnou zeleň (zejména zeleň plošná, skupinová, liniová, solitérní, ochranná, izolační, břehové porosty a ostatní zeleň) a extenzivně zemědělsky využívané plochy nebo intenzivně zemědělsky užívané plochy s vysokým podílem krajinné zeleně</w:t>
      </w:r>
      <w:r w:rsidRPr="006070EA">
        <w:rPr>
          <w:rFonts w:asciiTheme="majorHAnsi" w:hAnsiTheme="majorHAnsi" w:cstheme="majorHAnsi"/>
        </w:rPr>
        <w:t xml:space="preserve">. Rozdílem ve vymezení ploch zemědělských </w:t>
      </w:r>
      <w:r w:rsidR="00463154" w:rsidRPr="006070EA">
        <w:rPr>
          <w:rFonts w:asciiTheme="majorHAnsi" w:hAnsiTheme="majorHAnsi" w:cstheme="majorHAnsi"/>
        </w:rPr>
        <w:t xml:space="preserve">všeobecných </w:t>
      </w:r>
      <w:r w:rsidRPr="006070EA">
        <w:rPr>
          <w:rFonts w:asciiTheme="majorHAnsi" w:hAnsiTheme="majorHAnsi" w:cstheme="majorHAnsi"/>
        </w:rPr>
        <w:t>(</w:t>
      </w:r>
      <w:r w:rsidR="00463154" w:rsidRPr="006070EA">
        <w:rPr>
          <w:rFonts w:asciiTheme="majorHAnsi" w:hAnsiTheme="majorHAnsi" w:cstheme="majorHAnsi"/>
        </w:rPr>
        <w:t>AU</w:t>
      </w:r>
      <w:r w:rsidRPr="006070EA">
        <w:rPr>
          <w:rFonts w:asciiTheme="majorHAnsi" w:hAnsiTheme="majorHAnsi" w:cstheme="majorHAnsi"/>
        </w:rPr>
        <w:t>) a smíšených nezastavěného území (</w:t>
      </w:r>
      <w:r w:rsidR="00463154" w:rsidRPr="006070EA">
        <w:rPr>
          <w:rFonts w:asciiTheme="majorHAnsi" w:hAnsiTheme="majorHAnsi" w:cstheme="majorHAnsi"/>
        </w:rPr>
        <w:t>MU</w:t>
      </w:r>
      <w:r w:rsidRPr="006070EA">
        <w:rPr>
          <w:rFonts w:asciiTheme="majorHAnsi" w:hAnsiTheme="majorHAnsi" w:cstheme="majorHAnsi"/>
        </w:rPr>
        <w:t xml:space="preserve">) je podíl krajinné zeleně, který je výrazně vyšší v plochách </w:t>
      </w:r>
      <w:r w:rsidR="005C2834" w:rsidRPr="006070EA">
        <w:rPr>
          <w:rFonts w:asciiTheme="majorHAnsi" w:hAnsiTheme="majorHAnsi" w:cstheme="majorHAnsi"/>
        </w:rPr>
        <w:t>NS</w:t>
      </w:r>
      <w:r w:rsidRPr="006070EA">
        <w:rPr>
          <w:rFonts w:asciiTheme="majorHAnsi" w:hAnsiTheme="majorHAnsi" w:cstheme="majorHAnsi"/>
        </w:rPr>
        <w:t>.</w:t>
      </w:r>
    </w:p>
    <w:p w14:paraId="5413708A" w14:textId="42760A87" w:rsidR="00552020" w:rsidRPr="006070EA" w:rsidRDefault="005C2834" w:rsidP="00552020">
      <w:pPr>
        <w:pStyle w:val="Atext"/>
        <w:rPr>
          <w:rFonts w:asciiTheme="majorHAnsi" w:hAnsiTheme="majorHAnsi" w:cstheme="majorHAnsi"/>
          <w:szCs w:val="18"/>
        </w:rPr>
      </w:pPr>
      <w:r w:rsidRPr="006070EA">
        <w:rPr>
          <w:rFonts w:asciiTheme="majorHAnsi" w:hAnsiTheme="majorHAnsi" w:cstheme="majorHAnsi"/>
        </w:rPr>
        <w:t xml:space="preserve">Pro akcentaci potřeby rozvoje různých funkcí v krajině jsou vymezeny různé kategorie dle převažujícího účelu jejich vymezení. Plochy </w:t>
      </w:r>
      <w:r w:rsidRPr="006070EA">
        <w:rPr>
          <w:rFonts w:asciiTheme="majorHAnsi" w:hAnsiTheme="majorHAnsi" w:cstheme="majorHAnsi"/>
          <w:i/>
          <w:iCs w:val="0"/>
        </w:rPr>
        <w:t>smíšené nezastavěného území – zeměděls</w:t>
      </w:r>
      <w:r w:rsidR="00463154" w:rsidRPr="006070EA">
        <w:rPr>
          <w:rFonts w:asciiTheme="majorHAnsi" w:hAnsiTheme="majorHAnsi" w:cstheme="majorHAnsi"/>
          <w:i/>
          <w:iCs w:val="0"/>
        </w:rPr>
        <w:t>tví extenzivní</w:t>
      </w:r>
      <w:r w:rsidRPr="006070EA">
        <w:rPr>
          <w:rFonts w:asciiTheme="majorHAnsi" w:hAnsiTheme="majorHAnsi" w:cstheme="majorHAnsi"/>
          <w:i/>
          <w:iCs w:val="0"/>
        </w:rPr>
        <w:t>, přírodní</w:t>
      </w:r>
      <w:r w:rsidR="00044350" w:rsidRPr="006070EA">
        <w:rPr>
          <w:rFonts w:asciiTheme="majorHAnsi" w:hAnsiTheme="majorHAnsi" w:cstheme="majorHAnsi"/>
        </w:rPr>
        <w:t xml:space="preserve"> </w:t>
      </w:r>
      <w:r w:rsidR="00463154" w:rsidRPr="006070EA">
        <w:rPr>
          <w:rFonts w:asciiTheme="majorHAnsi" w:hAnsiTheme="majorHAnsi" w:cstheme="majorHAnsi"/>
        </w:rPr>
        <w:t xml:space="preserve">priority </w:t>
      </w:r>
      <w:r w:rsidR="00044350" w:rsidRPr="006070EA">
        <w:rPr>
          <w:rFonts w:asciiTheme="majorHAnsi" w:hAnsiTheme="majorHAnsi" w:cstheme="majorHAnsi"/>
        </w:rPr>
        <w:t>(</w:t>
      </w:r>
      <w:r w:rsidR="00463154" w:rsidRPr="006070EA">
        <w:rPr>
          <w:rFonts w:asciiTheme="majorHAnsi" w:hAnsiTheme="majorHAnsi" w:cstheme="majorHAnsi"/>
        </w:rPr>
        <w:t>MU.zp</w:t>
      </w:r>
      <w:r w:rsidR="00044350" w:rsidRPr="006070EA">
        <w:rPr>
          <w:rFonts w:asciiTheme="majorHAnsi" w:hAnsiTheme="majorHAnsi" w:cstheme="majorHAnsi"/>
        </w:rPr>
        <w:t xml:space="preserve">) jsou vymezeny především pro podporu ekologicko-stabilizační funkce, zahrnují významný podíl krajinné zeleně a s jejich vymezením souvisí také vymezení skladebných částí ÚSES (biokoridorů). Plochy </w:t>
      </w:r>
      <w:r w:rsidR="00044350" w:rsidRPr="006070EA">
        <w:rPr>
          <w:rFonts w:asciiTheme="majorHAnsi" w:hAnsiTheme="majorHAnsi" w:cstheme="majorHAnsi"/>
          <w:i/>
          <w:iCs w:val="0"/>
        </w:rPr>
        <w:t>smíšené nezastavěného území – sportovní</w:t>
      </w:r>
      <w:r w:rsidR="00463154" w:rsidRPr="006070EA">
        <w:rPr>
          <w:rFonts w:asciiTheme="majorHAnsi" w:hAnsiTheme="majorHAnsi" w:cstheme="majorHAnsi"/>
          <w:i/>
          <w:iCs w:val="0"/>
        </w:rPr>
        <w:t xml:space="preserve"> využití</w:t>
      </w:r>
      <w:r w:rsidR="00044350" w:rsidRPr="006070EA">
        <w:rPr>
          <w:rFonts w:asciiTheme="majorHAnsi" w:hAnsiTheme="majorHAnsi" w:cstheme="majorHAnsi"/>
        </w:rPr>
        <w:t xml:space="preserve"> (</w:t>
      </w:r>
      <w:r w:rsidR="00463154" w:rsidRPr="006070EA">
        <w:rPr>
          <w:rFonts w:asciiTheme="majorHAnsi" w:hAnsiTheme="majorHAnsi" w:cstheme="majorHAnsi"/>
        </w:rPr>
        <w:t>MU.s</w:t>
      </w:r>
      <w:r w:rsidR="00044350" w:rsidRPr="006070EA">
        <w:rPr>
          <w:rFonts w:asciiTheme="majorHAnsi" w:hAnsiTheme="majorHAnsi" w:cstheme="majorHAnsi"/>
        </w:rPr>
        <w:t>) souvisí se sportovním využitím části řešeného území (areál u Rozkoše) a konkrétními záměry na využití částí krajiny (letiště sportovních modelů mezi Hroněticemi a Vápenskem). Územní plán zohledňuje intenzivní využití krajiny řešeného území a ve snaze o</w:t>
      </w:r>
      <w:r w:rsidR="00031360" w:rsidRPr="006070EA">
        <w:rPr>
          <w:rFonts w:asciiTheme="majorHAnsi" w:hAnsiTheme="majorHAnsi" w:cstheme="majorHAnsi"/>
        </w:rPr>
        <w:t xml:space="preserve"> </w:t>
      </w:r>
      <w:r w:rsidR="00044350" w:rsidRPr="006070EA">
        <w:rPr>
          <w:rFonts w:asciiTheme="majorHAnsi" w:hAnsiTheme="majorHAnsi" w:cstheme="majorHAnsi"/>
        </w:rPr>
        <w:t xml:space="preserve">zvýšení </w:t>
      </w:r>
      <w:r w:rsidR="00031360" w:rsidRPr="006070EA">
        <w:rPr>
          <w:rFonts w:asciiTheme="majorHAnsi" w:hAnsiTheme="majorHAnsi" w:cstheme="majorHAnsi"/>
        </w:rPr>
        <w:t xml:space="preserve">jejího </w:t>
      </w:r>
      <w:r w:rsidR="00044350" w:rsidRPr="006070EA">
        <w:rPr>
          <w:rFonts w:asciiTheme="majorHAnsi" w:hAnsiTheme="majorHAnsi" w:cstheme="majorHAnsi"/>
        </w:rPr>
        <w:t xml:space="preserve">rekreačního využití a </w:t>
      </w:r>
      <w:r w:rsidR="00031360" w:rsidRPr="006070EA">
        <w:rPr>
          <w:rFonts w:asciiTheme="majorHAnsi" w:hAnsiTheme="majorHAnsi" w:cstheme="majorHAnsi"/>
        </w:rPr>
        <w:t xml:space="preserve">za účelem </w:t>
      </w:r>
      <w:r w:rsidR="00044350" w:rsidRPr="006070EA">
        <w:rPr>
          <w:rFonts w:asciiTheme="majorHAnsi" w:hAnsiTheme="majorHAnsi" w:cstheme="majorHAnsi"/>
        </w:rPr>
        <w:t>vytvoření přechodové zóny mezi zastavěným územím hlavního sídla Kostomlat nad Labem a</w:t>
      </w:r>
      <w:r w:rsidR="00031360" w:rsidRPr="006070EA">
        <w:rPr>
          <w:rFonts w:asciiTheme="majorHAnsi" w:hAnsiTheme="majorHAnsi" w:cstheme="majorHAnsi"/>
        </w:rPr>
        <w:t> </w:t>
      </w:r>
      <w:r w:rsidR="00044350" w:rsidRPr="006070EA">
        <w:rPr>
          <w:rFonts w:asciiTheme="majorHAnsi" w:hAnsiTheme="majorHAnsi" w:cstheme="majorHAnsi"/>
        </w:rPr>
        <w:t xml:space="preserve">volné </w:t>
      </w:r>
      <w:r w:rsidR="00031360" w:rsidRPr="006070EA">
        <w:rPr>
          <w:rFonts w:asciiTheme="majorHAnsi" w:hAnsiTheme="majorHAnsi" w:cstheme="majorHAnsi"/>
        </w:rPr>
        <w:t xml:space="preserve">intenzivně </w:t>
      </w:r>
      <w:r w:rsidR="00044350" w:rsidRPr="006070EA">
        <w:rPr>
          <w:rFonts w:asciiTheme="majorHAnsi" w:hAnsiTheme="majorHAnsi" w:cstheme="majorHAnsi"/>
        </w:rPr>
        <w:t xml:space="preserve">zemědělsky využívané krajiny </w:t>
      </w:r>
      <w:r w:rsidR="00031360" w:rsidRPr="006070EA">
        <w:rPr>
          <w:rFonts w:asciiTheme="majorHAnsi" w:hAnsiTheme="majorHAnsi" w:cstheme="majorHAnsi"/>
        </w:rPr>
        <w:t xml:space="preserve">vymezuje plochy </w:t>
      </w:r>
      <w:r w:rsidR="00031360" w:rsidRPr="006070EA">
        <w:rPr>
          <w:rFonts w:asciiTheme="majorHAnsi" w:hAnsiTheme="majorHAnsi" w:cstheme="majorHAnsi"/>
          <w:i/>
          <w:iCs w:val="0"/>
        </w:rPr>
        <w:t>smíšené nezastavěného území – rekrea</w:t>
      </w:r>
      <w:r w:rsidR="00463154" w:rsidRPr="006070EA">
        <w:rPr>
          <w:rFonts w:asciiTheme="majorHAnsi" w:hAnsiTheme="majorHAnsi" w:cstheme="majorHAnsi"/>
          <w:i/>
          <w:iCs w:val="0"/>
        </w:rPr>
        <w:t>ce</w:t>
      </w:r>
      <w:r w:rsidR="00031360" w:rsidRPr="006070EA">
        <w:rPr>
          <w:rFonts w:asciiTheme="majorHAnsi" w:hAnsiTheme="majorHAnsi" w:cstheme="majorHAnsi"/>
          <w:i/>
          <w:iCs w:val="0"/>
        </w:rPr>
        <w:t xml:space="preserve"> nepobytov</w:t>
      </w:r>
      <w:r w:rsidR="00463154" w:rsidRPr="006070EA">
        <w:rPr>
          <w:rFonts w:asciiTheme="majorHAnsi" w:hAnsiTheme="majorHAnsi" w:cstheme="majorHAnsi"/>
          <w:i/>
          <w:iCs w:val="0"/>
        </w:rPr>
        <w:t>á</w:t>
      </w:r>
      <w:r w:rsidR="00031360" w:rsidRPr="006070EA">
        <w:rPr>
          <w:rFonts w:asciiTheme="majorHAnsi" w:hAnsiTheme="majorHAnsi" w:cstheme="majorHAnsi"/>
        </w:rPr>
        <w:t xml:space="preserve"> (</w:t>
      </w:r>
      <w:r w:rsidR="00463154" w:rsidRPr="006070EA">
        <w:rPr>
          <w:rFonts w:asciiTheme="majorHAnsi" w:hAnsiTheme="majorHAnsi" w:cstheme="majorHAnsi"/>
        </w:rPr>
        <w:t>MU.r</w:t>
      </w:r>
      <w:r w:rsidR="00031360" w:rsidRPr="006070EA">
        <w:rPr>
          <w:rFonts w:asciiTheme="majorHAnsi" w:hAnsiTheme="majorHAnsi" w:cstheme="majorHAnsi"/>
        </w:rPr>
        <w:t>).</w:t>
      </w:r>
    </w:p>
    <w:p w14:paraId="08D13AF9" w14:textId="2AF8455C" w:rsidR="00552020" w:rsidRPr="006070EA" w:rsidRDefault="00552020" w:rsidP="00552020">
      <w:pPr>
        <w:pStyle w:val="Atext"/>
        <w:rPr>
          <w:rFonts w:asciiTheme="majorHAnsi" w:hAnsiTheme="majorHAnsi" w:cstheme="majorHAnsi"/>
          <w:szCs w:val="18"/>
        </w:rPr>
      </w:pPr>
      <w:r w:rsidRPr="006070EA">
        <w:rPr>
          <w:rFonts w:asciiTheme="majorHAnsi" w:hAnsiTheme="majorHAnsi" w:cstheme="majorHAnsi"/>
          <w:szCs w:val="18"/>
        </w:rPr>
        <w:t>Důvodem pro</w:t>
      </w:r>
      <w:r w:rsidR="00031360" w:rsidRPr="006070EA">
        <w:rPr>
          <w:rFonts w:asciiTheme="majorHAnsi" w:hAnsiTheme="majorHAnsi" w:cstheme="majorHAnsi"/>
          <w:szCs w:val="18"/>
        </w:rPr>
        <w:t xml:space="preserve"> vymezení ploch smíšených nezastavěného území (</w:t>
      </w:r>
      <w:r w:rsidR="00463154" w:rsidRPr="006070EA">
        <w:rPr>
          <w:rFonts w:asciiTheme="majorHAnsi" w:hAnsiTheme="majorHAnsi" w:cstheme="majorHAnsi"/>
          <w:szCs w:val="18"/>
        </w:rPr>
        <w:t>MU</w:t>
      </w:r>
      <w:r w:rsidR="00031360" w:rsidRPr="006070EA">
        <w:rPr>
          <w:rFonts w:asciiTheme="majorHAnsi" w:hAnsiTheme="majorHAnsi" w:cstheme="majorHAnsi"/>
          <w:szCs w:val="18"/>
        </w:rPr>
        <w:t>)</w:t>
      </w:r>
      <w:r w:rsidRPr="006070EA">
        <w:rPr>
          <w:rFonts w:asciiTheme="majorHAnsi" w:hAnsiTheme="majorHAnsi" w:cstheme="majorHAnsi"/>
          <w:szCs w:val="18"/>
        </w:rPr>
        <w:t xml:space="preserve"> je zajištění vhodného způsobu zemědělského využití s vysokým podílem krajinné zeleně, která je součástí hlavního využití ploch, podpora ekologických funkcí krajiny mimo jiné v dílčích úsecích biokoridorů ÚSES. </w:t>
      </w:r>
    </w:p>
    <w:p w14:paraId="5DD017F4" w14:textId="2E1B62A8" w:rsidR="00552020" w:rsidRPr="006070EA" w:rsidRDefault="00552020" w:rsidP="00552020">
      <w:pPr>
        <w:pStyle w:val="Atext"/>
        <w:rPr>
          <w:rFonts w:asciiTheme="majorHAnsi" w:hAnsiTheme="majorHAnsi" w:cstheme="majorHAnsi"/>
          <w:szCs w:val="18"/>
        </w:rPr>
      </w:pPr>
      <w:r w:rsidRPr="006070EA">
        <w:rPr>
          <w:rFonts w:asciiTheme="majorHAnsi" w:hAnsiTheme="majorHAnsi" w:cstheme="majorHAnsi"/>
          <w:szCs w:val="18"/>
        </w:rPr>
        <w:t>Možnosti umisťování staveb dle § 18 odst. 5 stavebního zákona jsou upřesněny</w:t>
      </w:r>
      <w:r w:rsidR="00031360" w:rsidRPr="006070EA">
        <w:rPr>
          <w:rFonts w:asciiTheme="majorHAnsi" w:hAnsiTheme="majorHAnsi" w:cstheme="majorHAnsi"/>
          <w:szCs w:val="18"/>
        </w:rPr>
        <w:t>,</w:t>
      </w:r>
      <w:r w:rsidRPr="006070EA">
        <w:rPr>
          <w:rFonts w:asciiTheme="majorHAnsi" w:hAnsiTheme="majorHAnsi" w:cstheme="majorHAnsi"/>
          <w:szCs w:val="18"/>
        </w:rPr>
        <w:t xml:space="preserve"> resp. omezeny z důvodu ochrany krajinného rázu a ochrany nezastavěného území. Stavby, zařízení a jiná opatření pro zemědělství a lesnictví a stavby, zařízení a</w:t>
      </w:r>
      <w:r w:rsidR="00463154" w:rsidRPr="006070EA">
        <w:rPr>
          <w:rFonts w:asciiTheme="majorHAnsi" w:hAnsiTheme="majorHAnsi" w:cstheme="majorHAnsi"/>
          <w:szCs w:val="18"/>
        </w:rPr>
        <w:t> </w:t>
      </w:r>
      <w:r w:rsidRPr="006070EA">
        <w:rPr>
          <w:rFonts w:asciiTheme="majorHAnsi" w:hAnsiTheme="majorHAnsi" w:cstheme="majorHAnsi"/>
          <w:szCs w:val="18"/>
        </w:rPr>
        <w:t xml:space="preserve">jiná opatření, které zlepší podmínky využití nezastavěného území pro účely rekreace a cestovního ruchu lze v nezastavěném území umístit za </w:t>
      </w:r>
      <w:r w:rsidR="00031360" w:rsidRPr="006070EA">
        <w:rPr>
          <w:rFonts w:asciiTheme="majorHAnsi" w:hAnsiTheme="majorHAnsi" w:cstheme="majorHAnsi"/>
          <w:szCs w:val="18"/>
        </w:rPr>
        <w:t xml:space="preserve">stanovených </w:t>
      </w:r>
      <w:r w:rsidRPr="006070EA">
        <w:rPr>
          <w:rFonts w:asciiTheme="majorHAnsi" w:hAnsiTheme="majorHAnsi" w:cstheme="majorHAnsi"/>
          <w:szCs w:val="18"/>
        </w:rPr>
        <w:t>podmínek</w:t>
      </w:r>
      <w:r w:rsidR="00031360" w:rsidRPr="006070EA">
        <w:rPr>
          <w:rFonts w:asciiTheme="majorHAnsi" w:hAnsiTheme="majorHAnsi" w:cstheme="majorHAnsi"/>
          <w:szCs w:val="18"/>
        </w:rPr>
        <w:t>, a to</w:t>
      </w:r>
      <w:r w:rsidR="00463154" w:rsidRPr="006070EA">
        <w:rPr>
          <w:rFonts w:asciiTheme="majorHAnsi" w:hAnsiTheme="majorHAnsi" w:cstheme="majorHAnsi"/>
          <w:szCs w:val="18"/>
        </w:rPr>
        <w:t xml:space="preserve"> </w:t>
      </w:r>
      <w:r w:rsidRPr="006070EA">
        <w:rPr>
          <w:rFonts w:asciiTheme="majorHAnsi" w:hAnsiTheme="majorHAnsi" w:cstheme="majorHAnsi"/>
          <w:szCs w:val="18"/>
        </w:rPr>
        <w:t xml:space="preserve">z důvodu ochrany nezastavěného území a volné krajiny ve veřejném zájmu. Těžba nerostů je zcela vyloučena z důvodu ochrany krajinného rázu ve veřejném zájmu. </w:t>
      </w:r>
    </w:p>
    <w:p w14:paraId="5434DF32" w14:textId="6B639703" w:rsidR="003B36CA" w:rsidRDefault="00552020" w:rsidP="00552020">
      <w:pPr>
        <w:pStyle w:val="Atext"/>
        <w:rPr>
          <w:rFonts w:asciiTheme="majorHAnsi" w:hAnsiTheme="majorHAnsi" w:cstheme="majorHAnsi"/>
          <w:szCs w:val="18"/>
        </w:rPr>
      </w:pPr>
      <w:r w:rsidRPr="006070EA">
        <w:rPr>
          <w:rFonts w:asciiTheme="majorHAnsi" w:hAnsiTheme="majorHAnsi" w:cstheme="majorHAnsi"/>
          <w:szCs w:val="18"/>
        </w:rPr>
        <w:t>Z hlediska možnosti umisťování staveb dle § 18 odst. 5 stavebního zákona je stanovena maximální výška a</w:t>
      </w:r>
      <w:r w:rsidR="00BE2477" w:rsidRPr="006070EA">
        <w:rPr>
          <w:rFonts w:asciiTheme="majorHAnsi" w:hAnsiTheme="majorHAnsi" w:cstheme="majorHAnsi"/>
          <w:szCs w:val="18"/>
        </w:rPr>
        <w:t> </w:t>
      </w:r>
      <w:r w:rsidRPr="006070EA">
        <w:rPr>
          <w:rFonts w:asciiTheme="majorHAnsi" w:hAnsiTheme="majorHAnsi" w:cstheme="majorHAnsi"/>
          <w:szCs w:val="18"/>
        </w:rPr>
        <w:t xml:space="preserve">maximální velikost zastavěné plochy stavby zajišťující ochranu krajinného rázu – případné stavby by neměly převyšovat vzrostlou vegetaci krajinné zeleně a z hlediska měřítka a hmoty nenarušovat měřítko volné krajiny a krajinné horizonty v dálkových pohledech. Zároveň jsou prostorové regulace stanoveny tak, aby v rámci nich bylo možné umístit doplňkovou stavbu pro zemědělské nebo lesní hospodaření, stavby pro rozvoj veřejné rekreace a cestovního ruchu a další stavby vodohospodářské, protipovodňové atd. </w:t>
      </w:r>
      <w:r w:rsidR="00BE2477" w:rsidRPr="006070EA">
        <w:rPr>
          <w:rFonts w:asciiTheme="majorHAnsi" w:hAnsiTheme="majorHAnsi" w:cstheme="majorHAnsi"/>
          <w:szCs w:val="18"/>
        </w:rPr>
        <w:t xml:space="preserve">Tyto podmínky jsou stanoveny pro plochy </w:t>
      </w:r>
      <w:r w:rsidR="00463154" w:rsidRPr="006070EA">
        <w:rPr>
          <w:rFonts w:asciiTheme="majorHAnsi" w:hAnsiTheme="majorHAnsi" w:cstheme="majorHAnsi"/>
          <w:szCs w:val="18"/>
        </w:rPr>
        <w:t>MU.zp</w:t>
      </w:r>
      <w:r w:rsidR="00BE2477" w:rsidRPr="006070EA">
        <w:rPr>
          <w:rFonts w:asciiTheme="majorHAnsi" w:hAnsiTheme="majorHAnsi" w:cstheme="majorHAnsi"/>
          <w:szCs w:val="18"/>
        </w:rPr>
        <w:t xml:space="preserve"> a </w:t>
      </w:r>
      <w:r w:rsidR="00463154" w:rsidRPr="006070EA">
        <w:rPr>
          <w:rFonts w:asciiTheme="majorHAnsi" w:hAnsiTheme="majorHAnsi" w:cstheme="majorHAnsi"/>
          <w:szCs w:val="18"/>
        </w:rPr>
        <w:t>MU.r</w:t>
      </w:r>
      <w:r w:rsidR="006D146A" w:rsidRPr="006070EA">
        <w:rPr>
          <w:rFonts w:asciiTheme="majorHAnsi" w:hAnsiTheme="majorHAnsi" w:cstheme="majorHAnsi"/>
          <w:szCs w:val="18"/>
        </w:rPr>
        <w:t>;</w:t>
      </w:r>
      <w:r w:rsidR="00BE2477" w:rsidRPr="006070EA">
        <w:rPr>
          <w:rFonts w:asciiTheme="majorHAnsi" w:hAnsiTheme="majorHAnsi" w:cstheme="majorHAnsi"/>
          <w:szCs w:val="18"/>
        </w:rPr>
        <w:t xml:space="preserve"> pro plochy </w:t>
      </w:r>
      <w:r w:rsidR="00463154" w:rsidRPr="006070EA">
        <w:rPr>
          <w:rFonts w:asciiTheme="majorHAnsi" w:hAnsiTheme="majorHAnsi" w:cstheme="majorHAnsi"/>
          <w:szCs w:val="18"/>
        </w:rPr>
        <w:t xml:space="preserve">MU.s </w:t>
      </w:r>
      <w:r w:rsidR="00BE2477" w:rsidRPr="006070EA">
        <w:rPr>
          <w:rFonts w:asciiTheme="majorHAnsi" w:hAnsiTheme="majorHAnsi" w:cstheme="majorHAnsi"/>
          <w:szCs w:val="18"/>
        </w:rPr>
        <w:t>s ohledem k záměrům v těchto plochách, jejich lokalizaci a specifikům stanoveny nejsou.</w:t>
      </w:r>
    </w:p>
    <w:p w14:paraId="3441D635" w14:textId="5F80B6E8" w:rsidR="00831223" w:rsidRPr="006070EA" w:rsidRDefault="00831223" w:rsidP="00831223">
      <w:pPr>
        <w:pStyle w:val="Atext"/>
        <w:rPr>
          <w:rFonts w:asciiTheme="majorHAnsi" w:hAnsiTheme="majorHAnsi" w:cstheme="majorHAnsi"/>
        </w:rPr>
      </w:pPr>
      <w:r w:rsidRPr="00A76411">
        <w:rPr>
          <w:rFonts w:asciiTheme="majorHAnsi" w:hAnsiTheme="majorHAnsi" w:cstheme="majorHAnsi"/>
        </w:rPr>
        <w:t xml:space="preserve">V rámci ploch MU.zp je obdobně jako v plochách AU, které spolu s plochami MU.zp spoluutváří převážnou část volné krajiny, vyloučeno umisťovat výrobny energie ze slunečního záření (fotovoltaické elektrárny, FVE) z důvodu veřejného zájmu na ochraně přírodních a krajinných hodnot území, které jsou klíčové pro zachování kvalitního životního prostředí, posílení krajinného rázu a přírodních hodnot (zejména krajinářsky cenné lokality, volné zemědělské pozemky) a rovněž pro možný rozvoj cestovního ruchu a rekreace. S ohledem na charakter celého území je umisťování výroben energie z FVE vyloučeno ve volné krajině bez předchozího prověření (např. v rámci změny územního plánu), a to přesto, že výroba energie z obnovitelných zdrojů je rovněž ve veřejném zájmu. Ochrana krajinného rázu, přírodních hodnot a s tím související možnost využití rekreačního potenciálu území jsou rovněž ve veřejném zájmu, který je spatřován zejména v rámci zajištění ochrany přírodně a krajinářsky </w:t>
      </w:r>
      <w:r w:rsidRPr="00A76411">
        <w:rPr>
          <w:rFonts w:asciiTheme="majorHAnsi" w:hAnsiTheme="majorHAnsi" w:cstheme="majorHAnsi"/>
        </w:rPr>
        <w:lastRenderedPageBreak/>
        <w:t>významných území. Případný rozvoj výroben energie z obnovitelných zdrojů je tedy nutné směřovat především do ploch urbanizovaného území (zastavěné území a zastavitelné plochy), v rámci kterých jsou jejich realizace a provoz umožněny za podmínky, že se jedná o technická zařízení staveb. Na plochách pro zemědělství se omezuje velikost výrobny elektřiny s instalovaným výkonem nad 50 kW z důvodu zamezení vzniku velkých FVE parků, které by narušily krajinný ráz a ovlivnily hlavní způsob využití, kterým je zemědělská výroba a pozemky ZPF. Splnění požadavků § 19 odst. 1 písm. j) zákona č. 183/2006 Sb., tj. požadavek na vymezování ploch pro výrobny z obnovitelných zdrojů, je zajištěno tak, že umístění těchto staveb umožňují ostatní plochy s rozdílným způsobem využití.</w:t>
      </w:r>
    </w:p>
    <w:p w14:paraId="368425F8" w14:textId="77777777" w:rsidR="00082327" w:rsidRPr="006070EA" w:rsidRDefault="00082327" w:rsidP="00155D25">
      <w:pPr>
        <w:pStyle w:val="Mra2-reakceern"/>
        <w:keepNext/>
        <w:pBdr>
          <w:left w:val="none" w:sz="0" w:space="0" w:color="auto"/>
        </w:pBdr>
        <w:shd w:val="clear" w:color="auto" w:fill="DEEAF6" w:themeFill="accent1" w:themeFillTint="33"/>
        <w:spacing w:before="240" w:after="120"/>
        <w:ind w:left="705" w:hanging="705"/>
        <w:rPr>
          <w:rFonts w:asciiTheme="majorHAnsi" w:hAnsiTheme="majorHAnsi" w:cstheme="majorHAnsi"/>
          <w:b/>
          <w:i/>
          <w:color w:val="auto"/>
          <w:sz w:val="22"/>
        </w:rPr>
      </w:pPr>
      <w:r w:rsidRPr="006070EA">
        <w:rPr>
          <w:rFonts w:asciiTheme="majorHAnsi" w:hAnsiTheme="majorHAnsi" w:cstheme="majorHAnsi"/>
          <w:b/>
          <w:i/>
          <w:color w:val="auto"/>
          <w:sz w:val="22"/>
        </w:rPr>
        <w:t>AD 7</w:t>
      </w:r>
      <w:r w:rsidRPr="006070EA">
        <w:rPr>
          <w:rFonts w:asciiTheme="majorHAnsi" w:hAnsiTheme="majorHAnsi" w:cstheme="majorHAnsi"/>
          <w:b/>
          <w:i/>
          <w:color w:val="auto"/>
          <w:sz w:val="22"/>
        </w:rPr>
        <w:tab/>
        <w:t>Vymezení veřejně prospěšných staveb, veřejně prospěšných opatření, staveb a opatření k zajišťování obrany a bezpečnosti státu</w:t>
      </w:r>
      <w:r w:rsidR="003367DF" w:rsidRPr="006070EA">
        <w:rPr>
          <w:rFonts w:asciiTheme="majorHAnsi" w:hAnsiTheme="majorHAnsi" w:cstheme="majorHAnsi"/>
          <w:b/>
          <w:i/>
          <w:color w:val="auto"/>
          <w:sz w:val="22"/>
        </w:rPr>
        <w:t xml:space="preserve"> a</w:t>
      </w:r>
      <w:r w:rsidRPr="006070EA">
        <w:rPr>
          <w:rFonts w:asciiTheme="majorHAnsi" w:hAnsiTheme="majorHAnsi" w:cstheme="majorHAnsi"/>
          <w:b/>
          <w:i/>
          <w:color w:val="auto"/>
          <w:sz w:val="22"/>
        </w:rPr>
        <w:t xml:space="preserve"> plochy pro asanaci, pro které lze práva k pozemkům a stavbám vyvlastnit</w:t>
      </w:r>
    </w:p>
    <w:p w14:paraId="06B16D4B" w14:textId="77777777" w:rsidR="00082327" w:rsidRPr="006070EA" w:rsidRDefault="00082327" w:rsidP="00BC15CD">
      <w:pPr>
        <w:pStyle w:val="Odstavecseseznamem"/>
        <w:keepNext/>
        <w:numPr>
          <w:ilvl w:val="1"/>
          <w:numId w:val="30"/>
        </w:numPr>
        <w:spacing w:before="160" w:after="120" w:line="240" w:lineRule="auto"/>
        <w:ind w:left="709" w:hanging="709"/>
        <w:contextualSpacing w:val="0"/>
        <w:jc w:val="both"/>
        <w:outlineLvl w:val="1"/>
        <w:rPr>
          <w:rFonts w:asciiTheme="majorHAnsi" w:hAnsiTheme="majorHAnsi" w:cstheme="majorHAnsi"/>
          <w:b/>
          <w:sz w:val="24"/>
          <w:szCs w:val="20"/>
        </w:rPr>
      </w:pPr>
      <w:bookmarkStart w:id="406" w:name="_Toc424119860"/>
      <w:bookmarkStart w:id="407" w:name="_Toc204678216"/>
      <w:r w:rsidRPr="006070EA">
        <w:rPr>
          <w:rFonts w:asciiTheme="majorHAnsi" w:hAnsiTheme="majorHAnsi" w:cstheme="majorHAnsi"/>
          <w:b/>
          <w:sz w:val="24"/>
          <w:szCs w:val="20"/>
        </w:rPr>
        <w:t>Odůvodnění vymezení veřejně prospěšných staveb, veřejně prospěšných opatření</w:t>
      </w:r>
      <w:bookmarkEnd w:id="406"/>
      <w:r w:rsidRPr="006070EA">
        <w:rPr>
          <w:rFonts w:asciiTheme="majorHAnsi" w:hAnsiTheme="majorHAnsi" w:cstheme="majorHAnsi"/>
          <w:b/>
          <w:sz w:val="24"/>
          <w:szCs w:val="20"/>
        </w:rPr>
        <w:t>, staveb a opatření k zajišťování obrany a bezpečnosti státu, ploch pro asanaci, pro které lze práva k pozemkům a stavbám vyvlastnit</w:t>
      </w:r>
      <w:bookmarkEnd w:id="407"/>
    </w:p>
    <w:p w14:paraId="126AF1F1" w14:textId="7CBFF8F4" w:rsidR="007F0B57" w:rsidRPr="006070EA" w:rsidRDefault="007F0B57" w:rsidP="007F0B57">
      <w:pPr>
        <w:pStyle w:val="Atext"/>
        <w:keepNext/>
        <w:ind w:left="1429" w:firstLine="0"/>
        <w:jc w:val="right"/>
        <w:rPr>
          <w:rFonts w:asciiTheme="majorHAnsi" w:hAnsiTheme="majorHAnsi" w:cstheme="majorHAnsi"/>
          <w:i/>
          <w:snapToGrid w:val="0"/>
          <w:u w:val="single"/>
        </w:rPr>
      </w:pPr>
      <w:r w:rsidRPr="006070EA">
        <w:rPr>
          <w:rFonts w:asciiTheme="majorHAnsi" w:hAnsiTheme="majorHAnsi" w:cstheme="majorHAnsi"/>
          <w:i/>
          <w:snapToGrid w:val="0"/>
          <w:u w:val="single"/>
        </w:rPr>
        <w:t>Odůvodnění odst.</w:t>
      </w:r>
      <w:r w:rsidRPr="006070EA">
        <w:rPr>
          <w:rFonts w:asciiTheme="majorHAnsi" w:hAnsiTheme="majorHAnsi" w:cstheme="majorHAnsi"/>
          <w:b/>
          <w:i/>
          <w:snapToGrid w:val="0"/>
          <w:u w:val="single"/>
        </w:rPr>
        <w:t xml:space="preserve"> (</w:t>
      </w:r>
      <w:r w:rsidR="00463154" w:rsidRPr="006070EA">
        <w:rPr>
          <w:rFonts w:asciiTheme="majorHAnsi" w:hAnsiTheme="majorHAnsi" w:cstheme="majorHAnsi"/>
          <w:b/>
          <w:i/>
          <w:snapToGrid w:val="0"/>
          <w:u w:val="single"/>
        </w:rPr>
        <w:t>8</w:t>
      </w:r>
      <w:r w:rsidR="0021590A">
        <w:rPr>
          <w:rFonts w:asciiTheme="majorHAnsi" w:hAnsiTheme="majorHAnsi" w:cstheme="majorHAnsi"/>
          <w:b/>
          <w:i/>
          <w:snapToGrid w:val="0"/>
          <w:u w:val="single"/>
        </w:rPr>
        <w:t>3</w:t>
      </w:r>
      <w:r w:rsidRPr="006070EA">
        <w:rPr>
          <w:rFonts w:asciiTheme="majorHAnsi" w:hAnsiTheme="majorHAnsi" w:cstheme="majorHAnsi"/>
          <w:b/>
          <w:i/>
          <w:snapToGrid w:val="0"/>
          <w:u w:val="single"/>
        </w:rPr>
        <w:t xml:space="preserve">) </w:t>
      </w:r>
      <w:r w:rsidRPr="006070EA">
        <w:rPr>
          <w:rFonts w:asciiTheme="majorHAnsi" w:hAnsiTheme="majorHAnsi" w:cstheme="majorHAnsi"/>
          <w:i/>
          <w:snapToGrid w:val="0"/>
          <w:u w:val="single"/>
        </w:rPr>
        <w:t>výrokové části</w:t>
      </w:r>
    </w:p>
    <w:p w14:paraId="2BD06838" w14:textId="25A2CA5F" w:rsidR="007F0B57" w:rsidRPr="006070EA" w:rsidRDefault="007F0B57" w:rsidP="007F0B57">
      <w:pPr>
        <w:pStyle w:val="Atext"/>
        <w:rPr>
          <w:rFonts w:asciiTheme="majorHAnsi" w:hAnsiTheme="majorHAnsi" w:cstheme="majorHAnsi"/>
        </w:rPr>
      </w:pPr>
      <w:r w:rsidRPr="006070EA">
        <w:rPr>
          <w:rFonts w:asciiTheme="majorHAnsi" w:hAnsiTheme="majorHAnsi" w:cstheme="majorHAnsi"/>
        </w:rPr>
        <w:t xml:space="preserve">V souladu s § 2 odst. 1 písm. n) a o) zákona č. 183/2006 Sb. ÚP vymezuje veřejně prospěšné stavby a veřejně prospěšná opatření. Jako veřejně prospěšné stavby, pro které lze práva k pozemkům a stavbám vyvlastnit, jsou vymezeny </w:t>
      </w:r>
      <w:r w:rsidR="00BC15CD" w:rsidRPr="006070EA">
        <w:rPr>
          <w:rFonts w:asciiTheme="majorHAnsi" w:hAnsiTheme="majorHAnsi" w:cstheme="majorHAnsi"/>
        </w:rPr>
        <w:t>koridory pro umístění veřejně prospěšných staveb</w:t>
      </w:r>
      <w:r w:rsidRPr="006070EA">
        <w:rPr>
          <w:rFonts w:asciiTheme="majorHAnsi" w:hAnsiTheme="majorHAnsi" w:cstheme="majorHAnsi"/>
        </w:rPr>
        <w:t xml:space="preserve"> určené pro veřejnou infrastrukturu dle § 2 odst. 1 písm. m) číslo 1 a 2. stavebního zákona (dopravní a technická infrastruktura), které naplňují účely vyvlastnění dle § 170 odst. 1 písm. a) stavebního zákona. Jako veřejně prospěšná opatření v souladu s § 2 odst. 1 písm. o) stavebního zákona jsou vymezena </w:t>
      </w:r>
      <w:r w:rsidR="00BC15CD" w:rsidRPr="006070EA">
        <w:rPr>
          <w:rFonts w:asciiTheme="majorHAnsi" w:hAnsiTheme="majorHAnsi" w:cstheme="majorHAnsi"/>
        </w:rPr>
        <w:t xml:space="preserve">v daném případě plochy </w:t>
      </w:r>
      <w:r w:rsidRPr="006070EA">
        <w:rPr>
          <w:rFonts w:asciiTheme="majorHAnsi" w:hAnsiTheme="majorHAnsi" w:cstheme="majorHAnsi"/>
        </w:rPr>
        <w:t xml:space="preserve">pro založení </w:t>
      </w:r>
      <w:r w:rsidR="00BC15CD" w:rsidRPr="006070EA">
        <w:rPr>
          <w:rFonts w:asciiTheme="majorHAnsi" w:hAnsiTheme="majorHAnsi" w:cstheme="majorHAnsi"/>
        </w:rPr>
        <w:t>skladebných částí</w:t>
      </w:r>
      <w:r w:rsidRPr="006070EA">
        <w:rPr>
          <w:rFonts w:asciiTheme="majorHAnsi" w:hAnsiTheme="majorHAnsi" w:cstheme="majorHAnsi"/>
        </w:rPr>
        <w:t xml:space="preserve"> územního systému ekologické stability</w:t>
      </w:r>
      <w:r w:rsidR="00BC15CD" w:rsidRPr="006070EA">
        <w:rPr>
          <w:rFonts w:asciiTheme="majorHAnsi" w:hAnsiTheme="majorHAnsi" w:cstheme="majorHAnsi"/>
        </w:rPr>
        <w:t xml:space="preserve"> (plochy nestabilních částí ÚSES)</w:t>
      </w:r>
      <w:r w:rsidRPr="006070EA">
        <w:rPr>
          <w:rFonts w:asciiTheme="majorHAnsi" w:hAnsiTheme="majorHAnsi" w:cstheme="majorHAnsi"/>
        </w:rPr>
        <w:t>, která naplňují účely vyvlastnění dle § 170 odst. 1 písm. b) stavebního zákona.</w:t>
      </w:r>
    </w:p>
    <w:p w14:paraId="753AF2A0" w14:textId="77777777" w:rsidR="007F0B57" w:rsidRPr="006070EA" w:rsidRDefault="007F0B57" w:rsidP="007F0B57">
      <w:pPr>
        <w:pStyle w:val="ANADPIS4"/>
        <w:rPr>
          <w:rFonts w:asciiTheme="majorHAnsi" w:hAnsiTheme="majorHAnsi" w:cstheme="majorHAnsi"/>
        </w:rPr>
      </w:pPr>
      <w:r w:rsidRPr="006070EA">
        <w:rPr>
          <w:rFonts w:asciiTheme="majorHAnsi" w:hAnsiTheme="majorHAnsi" w:cstheme="majorHAnsi"/>
        </w:rPr>
        <w:t>veřejně prospěšné stavby dopravní infrastruktury</w:t>
      </w:r>
    </w:p>
    <w:p w14:paraId="717ACC7F" w14:textId="0C1A007E" w:rsidR="007F0B57" w:rsidRPr="006070EA" w:rsidRDefault="007F0B57" w:rsidP="007F0B57">
      <w:pPr>
        <w:pStyle w:val="Mra2-reakceern"/>
        <w:keepNext/>
        <w:pBdr>
          <w:left w:val="none" w:sz="0" w:space="0" w:color="auto"/>
        </w:pBdr>
        <w:spacing w:before="120" w:after="60"/>
        <w:ind w:left="0"/>
        <w:jc w:val="right"/>
        <w:rPr>
          <w:rFonts w:asciiTheme="majorHAnsi" w:hAnsiTheme="majorHAnsi" w:cstheme="majorHAnsi"/>
          <w:i/>
          <w:color w:val="auto"/>
          <w:u w:val="single"/>
        </w:rPr>
      </w:pPr>
      <w:r w:rsidRPr="006070EA">
        <w:rPr>
          <w:rFonts w:asciiTheme="majorHAnsi" w:hAnsiTheme="majorHAnsi" w:cstheme="majorHAnsi"/>
          <w:i/>
          <w:color w:val="auto"/>
          <w:u w:val="single"/>
        </w:rPr>
        <w:t xml:space="preserve">Odůvodnění odst. </w:t>
      </w:r>
      <w:r w:rsidRPr="006070EA">
        <w:rPr>
          <w:rFonts w:asciiTheme="majorHAnsi" w:hAnsiTheme="majorHAnsi" w:cstheme="majorHAnsi"/>
          <w:b/>
          <w:i/>
          <w:color w:val="auto"/>
          <w:u w:val="single"/>
        </w:rPr>
        <w:t>(</w:t>
      </w:r>
      <w:r w:rsidR="00463154" w:rsidRPr="006070EA">
        <w:rPr>
          <w:rFonts w:asciiTheme="majorHAnsi" w:hAnsiTheme="majorHAnsi" w:cstheme="majorHAnsi"/>
          <w:b/>
          <w:i/>
          <w:color w:val="auto"/>
          <w:u w:val="single"/>
        </w:rPr>
        <w:t>8</w:t>
      </w:r>
      <w:r w:rsidR="0021590A">
        <w:rPr>
          <w:rFonts w:asciiTheme="majorHAnsi" w:hAnsiTheme="majorHAnsi" w:cstheme="majorHAnsi"/>
          <w:b/>
          <w:i/>
          <w:color w:val="auto"/>
          <w:u w:val="single"/>
        </w:rPr>
        <w:t>3</w:t>
      </w:r>
      <w:r w:rsidRPr="006070EA">
        <w:rPr>
          <w:rFonts w:asciiTheme="majorHAnsi" w:hAnsiTheme="majorHAnsi" w:cstheme="majorHAnsi"/>
          <w:b/>
          <w:i/>
          <w:color w:val="auto"/>
          <w:u w:val="single"/>
        </w:rPr>
        <w:t>)</w:t>
      </w:r>
      <w:r w:rsidRPr="006070EA">
        <w:rPr>
          <w:rFonts w:asciiTheme="majorHAnsi" w:hAnsiTheme="majorHAnsi" w:cstheme="majorHAnsi"/>
          <w:i/>
          <w:color w:val="auto"/>
          <w:u w:val="single"/>
        </w:rPr>
        <w:t xml:space="preserve"> písm. a) výrokové části</w:t>
      </w:r>
    </w:p>
    <w:p w14:paraId="0F042564" w14:textId="6F046F0B" w:rsidR="007F0B57" w:rsidRPr="006070EA" w:rsidRDefault="007F0B57" w:rsidP="007F0B57">
      <w:pPr>
        <w:pStyle w:val="Atext"/>
        <w:rPr>
          <w:rFonts w:asciiTheme="majorHAnsi" w:hAnsiTheme="majorHAnsi" w:cstheme="majorHAnsi"/>
        </w:rPr>
      </w:pPr>
      <w:r w:rsidRPr="006070EA">
        <w:rPr>
          <w:rFonts w:asciiTheme="majorHAnsi" w:hAnsiTheme="majorHAnsi" w:cstheme="majorHAnsi"/>
        </w:rPr>
        <w:t>V souladu s § 170 odst. 1 písm. a) stavebního zákona jsou pro účely vyvlastnění vymezeny</w:t>
      </w:r>
      <w:r w:rsidR="00BC15CD" w:rsidRPr="006070EA">
        <w:rPr>
          <w:rFonts w:asciiTheme="majorHAnsi" w:hAnsiTheme="majorHAnsi" w:cstheme="majorHAnsi"/>
        </w:rPr>
        <w:t xml:space="preserve"> koridory pro umístění</w:t>
      </w:r>
      <w:r w:rsidRPr="006070EA">
        <w:rPr>
          <w:rFonts w:asciiTheme="majorHAnsi" w:hAnsiTheme="majorHAnsi" w:cstheme="majorHAnsi"/>
        </w:rPr>
        <w:t xml:space="preserve"> veřejně prospěšn</w:t>
      </w:r>
      <w:r w:rsidR="00BC15CD" w:rsidRPr="006070EA">
        <w:rPr>
          <w:rFonts w:asciiTheme="majorHAnsi" w:hAnsiTheme="majorHAnsi" w:cstheme="majorHAnsi"/>
        </w:rPr>
        <w:t>ých</w:t>
      </w:r>
      <w:r w:rsidRPr="006070EA">
        <w:rPr>
          <w:rFonts w:asciiTheme="majorHAnsi" w:hAnsiTheme="majorHAnsi" w:cstheme="majorHAnsi"/>
        </w:rPr>
        <w:t xml:space="preserve"> stav</w:t>
      </w:r>
      <w:r w:rsidR="00BC15CD" w:rsidRPr="006070EA">
        <w:rPr>
          <w:rFonts w:asciiTheme="majorHAnsi" w:hAnsiTheme="majorHAnsi" w:cstheme="majorHAnsi"/>
        </w:rPr>
        <w:t>eb</w:t>
      </w:r>
      <w:r w:rsidRPr="006070EA">
        <w:rPr>
          <w:rFonts w:asciiTheme="majorHAnsi" w:hAnsiTheme="majorHAnsi" w:cstheme="majorHAnsi"/>
        </w:rPr>
        <w:t xml:space="preserve"> dopravní infrastruktury v rozsahu koridorů zahrnujících pozemky nezbytné k zajištění její výstavby a řádného užívání pro stanovený účel. Jako veřejně prospěšné stavby dopravní infrastruktury jsou vymezeny koridory dopravní infrastruktury (</w:t>
      </w:r>
      <w:r w:rsidR="00463154" w:rsidRPr="006070EA">
        <w:rPr>
          <w:rFonts w:asciiTheme="majorHAnsi" w:hAnsiTheme="majorHAnsi" w:cstheme="majorHAnsi"/>
        </w:rPr>
        <w:t>CN</w:t>
      </w:r>
      <w:r w:rsidR="0021590A">
        <w:rPr>
          <w:rFonts w:asciiTheme="majorHAnsi" w:hAnsiTheme="majorHAnsi" w:cstheme="majorHAnsi"/>
        </w:rPr>
        <w:t>Z</w:t>
      </w:r>
      <w:r w:rsidR="00463154" w:rsidRPr="006070EA">
        <w:rPr>
          <w:rFonts w:asciiTheme="majorHAnsi" w:hAnsiTheme="majorHAnsi" w:cstheme="majorHAnsi"/>
        </w:rPr>
        <w:t>.</w:t>
      </w:r>
      <w:r w:rsidR="0021590A">
        <w:rPr>
          <w:rFonts w:asciiTheme="majorHAnsi" w:hAnsiTheme="majorHAnsi" w:cstheme="majorHAnsi"/>
        </w:rPr>
        <w:t>D322</w:t>
      </w:r>
      <w:r w:rsidRPr="006070EA">
        <w:rPr>
          <w:rFonts w:asciiTheme="majorHAnsi" w:hAnsiTheme="majorHAnsi" w:cstheme="majorHAnsi"/>
        </w:rPr>
        <w:t xml:space="preserve">, </w:t>
      </w:r>
      <w:r w:rsidR="00463154" w:rsidRPr="006070EA">
        <w:rPr>
          <w:rFonts w:asciiTheme="majorHAnsi" w:hAnsiTheme="majorHAnsi" w:cstheme="majorHAnsi"/>
        </w:rPr>
        <w:t>CNU.</w:t>
      </w:r>
      <w:r w:rsidRPr="006070EA">
        <w:rPr>
          <w:rFonts w:asciiTheme="majorHAnsi" w:hAnsiTheme="majorHAnsi" w:cstheme="majorHAnsi"/>
        </w:rPr>
        <w:t>K</w:t>
      </w:r>
      <w:r w:rsidR="00BC15CD" w:rsidRPr="006070EA">
        <w:rPr>
          <w:rFonts w:asciiTheme="majorHAnsi" w:hAnsiTheme="majorHAnsi" w:cstheme="majorHAnsi"/>
        </w:rPr>
        <w:t>D</w:t>
      </w:r>
      <w:r w:rsidR="0021590A">
        <w:rPr>
          <w:rFonts w:asciiTheme="majorHAnsi" w:hAnsiTheme="majorHAnsi" w:cstheme="majorHAnsi"/>
        </w:rPr>
        <w:t>1, CNU.KD2</w:t>
      </w:r>
      <w:r w:rsidR="00C208DE">
        <w:rPr>
          <w:rFonts w:asciiTheme="majorHAnsi" w:hAnsiTheme="majorHAnsi" w:cstheme="majorHAnsi"/>
        </w:rPr>
        <w:t>, CNU.KD3</w:t>
      </w:r>
      <w:r w:rsidRPr="006070EA">
        <w:rPr>
          <w:rFonts w:asciiTheme="majorHAnsi" w:hAnsiTheme="majorHAnsi" w:cstheme="majorHAnsi"/>
        </w:rPr>
        <w:t>)</w:t>
      </w:r>
      <w:r w:rsidR="0021590A">
        <w:rPr>
          <w:rFonts w:asciiTheme="majorHAnsi" w:hAnsiTheme="majorHAnsi" w:cstheme="majorHAnsi"/>
        </w:rPr>
        <w:t xml:space="preserve"> a zastavitelná plocha dopravy silniční (Z.24), určené pro dopravu</w:t>
      </w:r>
      <w:r w:rsidR="00BC15CD" w:rsidRPr="006070EA">
        <w:rPr>
          <w:rFonts w:asciiTheme="majorHAnsi" w:hAnsiTheme="majorHAnsi" w:cstheme="majorHAnsi"/>
        </w:rPr>
        <w:t>,</w:t>
      </w:r>
      <w:r w:rsidRPr="006070EA">
        <w:rPr>
          <w:rFonts w:asciiTheme="majorHAnsi" w:hAnsiTheme="majorHAnsi" w:cstheme="majorHAnsi"/>
        </w:rPr>
        <w:t xml:space="preserve"> které jsou součástí veřejné infrastruktury dle § 2 odst. 1 písm. m) č. 1 stavebního zákona a které explicitně naplňují účely vyvlastnění dle § 170 odst. 1 písm. a) stavebního zákona.</w:t>
      </w:r>
    </w:p>
    <w:p w14:paraId="2D1B2D8B" w14:textId="162637D0" w:rsidR="007F0B57" w:rsidRPr="006070EA" w:rsidRDefault="007F0B57" w:rsidP="007F0B57">
      <w:pPr>
        <w:pStyle w:val="Atext"/>
        <w:spacing w:before="60" w:after="60"/>
        <w:rPr>
          <w:rFonts w:asciiTheme="majorHAnsi" w:hAnsiTheme="majorHAnsi" w:cstheme="majorHAnsi"/>
        </w:rPr>
      </w:pPr>
      <w:r w:rsidRPr="006070EA">
        <w:rPr>
          <w:rFonts w:asciiTheme="majorHAnsi" w:hAnsiTheme="majorHAnsi" w:cstheme="majorHAnsi"/>
        </w:rPr>
        <w:t xml:space="preserve">Odůvodnění jednotlivých </w:t>
      </w:r>
      <w:r w:rsidR="00BC15CD" w:rsidRPr="006070EA">
        <w:rPr>
          <w:rFonts w:asciiTheme="majorHAnsi" w:hAnsiTheme="majorHAnsi" w:cstheme="majorHAnsi"/>
        </w:rPr>
        <w:t>koridorů</w:t>
      </w:r>
      <w:r w:rsidR="0021590A">
        <w:rPr>
          <w:rFonts w:asciiTheme="majorHAnsi" w:hAnsiTheme="majorHAnsi" w:cstheme="majorHAnsi"/>
        </w:rPr>
        <w:t xml:space="preserve"> a plochy</w:t>
      </w:r>
      <w:r w:rsidR="00BC15CD" w:rsidRPr="006070EA">
        <w:rPr>
          <w:rFonts w:asciiTheme="majorHAnsi" w:hAnsiTheme="majorHAnsi" w:cstheme="majorHAnsi"/>
        </w:rPr>
        <w:t xml:space="preserve">, které jsou zároveň vymezeny jako koridory pro umístění </w:t>
      </w:r>
      <w:r w:rsidRPr="006070EA">
        <w:rPr>
          <w:rFonts w:asciiTheme="majorHAnsi" w:hAnsiTheme="majorHAnsi" w:cstheme="majorHAnsi"/>
        </w:rPr>
        <w:t>VPS</w:t>
      </w:r>
      <w:r w:rsidR="0021590A">
        <w:rPr>
          <w:rFonts w:asciiTheme="majorHAnsi" w:hAnsiTheme="majorHAnsi" w:cstheme="majorHAnsi"/>
        </w:rPr>
        <w:t xml:space="preserve"> a plocha pro umístění VPS</w:t>
      </w:r>
      <w:r w:rsidRPr="006070EA">
        <w:rPr>
          <w:rFonts w:asciiTheme="majorHAnsi" w:hAnsiTheme="majorHAnsi" w:cstheme="majorHAnsi"/>
        </w:rPr>
        <w:t xml:space="preserve">, je součástí komplexního zdůvodnění přijatého řešení a podrobně je uvedeno v tematických podkapitolách: </w:t>
      </w:r>
    </w:p>
    <w:p w14:paraId="01CDB608" w14:textId="356F9AFE" w:rsidR="007F0B57" w:rsidRPr="006070EA" w:rsidRDefault="007F0B57" w:rsidP="007F0B57">
      <w:pPr>
        <w:pStyle w:val="Atext"/>
        <w:numPr>
          <w:ilvl w:val="0"/>
          <w:numId w:val="43"/>
        </w:numPr>
        <w:spacing w:before="60" w:after="60"/>
        <w:ind w:left="1134"/>
        <w:rPr>
          <w:rFonts w:asciiTheme="majorHAnsi" w:hAnsiTheme="majorHAnsi" w:cstheme="majorHAnsi"/>
        </w:rPr>
      </w:pPr>
      <w:r w:rsidRPr="006070EA">
        <w:rPr>
          <w:rFonts w:asciiTheme="majorHAnsi" w:hAnsiTheme="majorHAnsi" w:cstheme="majorHAnsi"/>
        </w:rPr>
        <w:t>pro koridory dopravní infrastruktur</w:t>
      </w:r>
      <w:r w:rsidR="00AE0B21">
        <w:rPr>
          <w:rFonts w:asciiTheme="majorHAnsi" w:hAnsiTheme="majorHAnsi" w:cstheme="majorHAnsi"/>
        </w:rPr>
        <w:t>y</w:t>
      </w:r>
      <w:r w:rsidRPr="006070EA">
        <w:rPr>
          <w:rFonts w:asciiTheme="majorHAnsi" w:hAnsiTheme="majorHAnsi" w:cstheme="majorHAnsi"/>
        </w:rPr>
        <w:t xml:space="preserve"> v</w:t>
      </w:r>
      <w:r w:rsidR="00463154" w:rsidRPr="006070EA">
        <w:rPr>
          <w:rFonts w:asciiTheme="majorHAnsi" w:hAnsiTheme="majorHAnsi" w:cstheme="majorHAnsi"/>
        </w:rPr>
        <w:t> </w:t>
      </w:r>
      <w:r w:rsidRPr="006070EA">
        <w:rPr>
          <w:rFonts w:asciiTheme="majorHAnsi" w:hAnsiTheme="majorHAnsi" w:cstheme="majorHAnsi"/>
        </w:rPr>
        <w:t>kapitole</w:t>
      </w:r>
      <w:r w:rsidR="00463154" w:rsidRPr="006070EA">
        <w:rPr>
          <w:rFonts w:asciiTheme="majorHAnsi" w:hAnsiTheme="majorHAnsi" w:cstheme="majorHAnsi"/>
        </w:rPr>
        <w:t> </w:t>
      </w:r>
      <w:r w:rsidRPr="006070EA">
        <w:rPr>
          <w:rFonts w:asciiTheme="majorHAnsi" w:hAnsiTheme="majorHAnsi" w:cstheme="majorHAnsi"/>
        </w:rPr>
        <w:t>11.4</w:t>
      </w:r>
    </w:p>
    <w:p w14:paraId="4AFEC361" w14:textId="6CA1A18E" w:rsidR="00AE0B21" w:rsidRPr="006070EA" w:rsidRDefault="00AE0B21" w:rsidP="00AE0B21">
      <w:pPr>
        <w:pStyle w:val="Atext"/>
        <w:numPr>
          <w:ilvl w:val="1"/>
          <w:numId w:val="43"/>
        </w:numPr>
        <w:spacing w:before="60" w:after="60"/>
        <w:rPr>
          <w:rFonts w:asciiTheme="majorHAnsi" w:hAnsiTheme="majorHAnsi" w:cstheme="majorHAnsi"/>
        </w:rPr>
      </w:pPr>
      <w:r w:rsidRPr="006070EA">
        <w:rPr>
          <w:rFonts w:asciiTheme="majorHAnsi" w:hAnsiTheme="majorHAnsi" w:cstheme="majorHAnsi"/>
        </w:rPr>
        <w:t>VPS VD.3 – modernizace železniční trati č. 231 (traťový úsek Nymburk – Lysá nad Labem) a související dopravní stavby (koridor CN</w:t>
      </w:r>
      <w:r>
        <w:rPr>
          <w:rFonts w:asciiTheme="majorHAnsi" w:hAnsiTheme="majorHAnsi" w:cstheme="majorHAnsi"/>
        </w:rPr>
        <w:t>Z</w:t>
      </w:r>
      <w:r w:rsidRPr="006070EA">
        <w:rPr>
          <w:rFonts w:asciiTheme="majorHAnsi" w:hAnsiTheme="majorHAnsi" w:cstheme="majorHAnsi"/>
        </w:rPr>
        <w:t>.</w:t>
      </w:r>
      <w:r>
        <w:rPr>
          <w:rFonts w:asciiTheme="majorHAnsi" w:hAnsiTheme="majorHAnsi" w:cstheme="majorHAnsi"/>
        </w:rPr>
        <w:t>D322</w:t>
      </w:r>
      <w:r w:rsidRPr="006070EA">
        <w:rPr>
          <w:rFonts w:asciiTheme="majorHAnsi" w:hAnsiTheme="majorHAnsi" w:cstheme="majorHAnsi"/>
        </w:rPr>
        <w:t>)</w:t>
      </w:r>
    </w:p>
    <w:p w14:paraId="00437A28" w14:textId="6F2249F5" w:rsidR="00872C68" w:rsidRDefault="00872C68" w:rsidP="00872C68">
      <w:pPr>
        <w:pStyle w:val="Atext"/>
        <w:numPr>
          <w:ilvl w:val="1"/>
          <w:numId w:val="43"/>
        </w:numPr>
        <w:spacing w:before="60" w:after="60"/>
        <w:rPr>
          <w:rFonts w:asciiTheme="majorHAnsi" w:hAnsiTheme="majorHAnsi" w:cstheme="majorHAnsi"/>
        </w:rPr>
      </w:pPr>
      <w:r w:rsidRPr="006070EA">
        <w:rPr>
          <w:rFonts w:asciiTheme="majorHAnsi" w:hAnsiTheme="majorHAnsi" w:cstheme="majorHAnsi"/>
        </w:rPr>
        <w:t>VPS VD</w:t>
      </w:r>
      <w:r w:rsidR="00463154" w:rsidRPr="006070EA">
        <w:rPr>
          <w:rFonts w:asciiTheme="majorHAnsi" w:hAnsiTheme="majorHAnsi" w:cstheme="majorHAnsi"/>
        </w:rPr>
        <w:t>.</w:t>
      </w:r>
      <w:r w:rsidRPr="006070EA">
        <w:rPr>
          <w:rFonts w:asciiTheme="majorHAnsi" w:hAnsiTheme="majorHAnsi" w:cstheme="majorHAnsi"/>
        </w:rPr>
        <w:t xml:space="preserve">4 – lávka přes řeku Labe pro pěší a cyklisty (koridor </w:t>
      </w:r>
      <w:r w:rsidR="00463154" w:rsidRPr="006070EA">
        <w:rPr>
          <w:rFonts w:asciiTheme="majorHAnsi" w:hAnsiTheme="majorHAnsi" w:cstheme="majorHAnsi"/>
        </w:rPr>
        <w:t>CNU.</w:t>
      </w:r>
      <w:r w:rsidRPr="006070EA">
        <w:rPr>
          <w:rFonts w:asciiTheme="majorHAnsi" w:hAnsiTheme="majorHAnsi" w:cstheme="majorHAnsi"/>
        </w:rPr>
        <w:t>KDN1)</w:t>
      </w:r>
    </w:p>
    <w:p w14:paraId="717A1FBF" w14:textId="355A01D0" w:rsidR="00AE0B21" w:rsidRDefault="00AE0B21" w:rsidP="006E037C">
      <w:pPr>
        <w:pStyle w:val="Atext"/>
        <w:numPr>
          <w:ilvl w:val="1"/>
          <w:numId w:val="43"/>
        </w:numPr>
        <w:spacing w:before="60" w:after="60"/>
        <w:rPr>
          <w:rFonts w:asciiTheme="majorHAnsi" w:hAnsiTheme="majorHAnsi" w:cstheme="majorHAnsi"/>
        </w:rPr>
      </w:pPr>
      <w:r w:rsidRPr="00AE0B21">
        <w:rPr>
          <w:rFonts w:asciiTheme="majorHAnsi" w:hAnsiTheme="majorHAnsi" w:cstheme="majorHAnsi"/>
        </w:rPr>
        <w:t xml:space="preserve">VPS.VD.6 </w:t>
      </w:r>
      <w:r>
        <w:rPr>
          <w:rFonts w:asciiTheme="majorHAnsi" w:hAnsiTheme="majorHAnsi" w:cstheme="majorHAnsi"/>
        </w:rPr>
        <w:t>–</w:t>
      </w:r>
      <w:r w:rsidRPr="00AE0B21">
        <w:rPr>
          <w:rFonts w:asciiTheme="majorHAnsi" w:hAnsiTheme="majorHAnsi" w:cstheme="majorHAnsi"/>
        </w:rPr>
        <w:t xml:space="preserve"> dopravní stavby související s modernizací železniční trati č. 231 (zejm. přeložka silnice III. třídy)</w:t>
      </w:r>
      <w:r>
        <w:rPr>
          <w:rFonts w:asciiTheme="majorHAnsi" w:hAnsiTheme="majorHAnsi" w:cstheme="majorHAnsi"/>
        </w:rPr>
        <w:t xml:space="preserve"> </w:t>
      </w:r>
      <w:r w:rsidRPr="00AE0B21">
        <w:rPr>
          <w:rFonts w:asciiTheme="majorHAnsi" w:hAnsiTheme="majorHAnsi" w:cstheme="majorHAnsi"/>
        </w:rPr>
        <w:t>(koridor CNU.KD1)</w:t>
      </w:r>
    </w:p>
    <w:p w14:paraId="22D2CF8F" w14:textId="583EBA63" w:rsidR="00AE0B21" w:rsidRDefault="00AE0B21" w:rsidP="00DC67CC">
      <w:pPr>
        <w:pStyle w:val="Atext"/>
        <w:numPr>
          <w:ilvl w:val="1"/>
          <w:numId w:val="43"/>
        </w:numPr>
        <w:spacing w:before="60" w:after="60"/>
        <w:rPr>
          <w:rFonts w:asciiTheme="majorHAnsi" w:hAnsiTheme="majorHAnsi" w:cstheme="majorHAnsi"/>
        </w:rPr>
      </w:pPr>
      <w:r w:rsidRPr="00AE0B21">
        <w:rPr>
          <w:rFonts w:asciiTheme="majorHAnsi" w:hAnsiTheme="majorHAnsi" w:cstheme="majorHAnsi"/>
        </w:rPr>
        <w:t>VPS.VD.7 – dopravní stavby související s modernizací železniční trati č. 231 (zejm. napojení mimoúrovňového křížení silnice a železniční trati na silnici II/331)</w:t>
      </w:r>
      <w:r>
        <w:rPr>
          <w:rFonts w:asciiTheme="majorHAnsi" w:hAnsiTheme="majorHAnsi" w:cstheme="majorHAnsi"/>
        </w:rPr>
        <w:t xml:space="preserve"> </w:t>
      </w:r>
      <w:r w:rsidRPr="00AE0B21">
        <w:rPr>
          <w:rFonts w:asciiTheme="majorHAnsi" w:hAnsiTheme="majorHAnsi" w:cstheme="majorHAnsi"/>
        </w:rPr>
        <w:t>(koridor CNU.KD2)</w:t>
      </w:r>
    </w:p>
    <w:p w14:paraId="5D424DA8" w14:textId="29937AD2" w:rsidR="00C208DE" w:rsidRDefault="00C208DE" w:rsidP="00DC67CC">
      <w:pPr>
        <w:pStyle w:val="Atext"/>
        <w:numPr>
          <w:ilvl w:val="1"/>
          <w:numId w:val="43"/>
        </w:numPr>
        <w:spacing w:before="60" w:after="60"/>
        <w:rPr>
          <w:rFonts w:asciiTheme="majorHAnsi" w:hAnsiTheme="majorHAnsi" w:cstheme="majorHAnsi"/>
        </w:rPr>
      </w:pPr>
      <w:r>
        <w:rPr>
          <w:rFonts w:asciiTheme="majorHAnsi" w:hAnsiTheme="majorHAnsi" w:cstheme="majorHAnsi"/>
        </w:rPr>
        <w:t>VPS VD.8</w:t>
      </w:r>
      <w:r w:rsidRPr="00AE0B21">
        <w:rPr>
          <w:rFonts w:asciiTheme="majorHAnsi" w:hAnsiTheme="majorHAnsi" w:cstheme="majorHAnsi"/>
        </w:rPr>
        <w:t xml:space="preserve"> – dopravní stavby související s modernizací železniční trati č. 231 (zejm. </w:t>
      </w:r>
      <w:r>
        <w:rPr>
          <w:rFonts w:asciiTheme="majorHAnsi" w:hAnsiTheme="majorHAnsi" w:cstheme="majorHAnsi"/>
        </w:rPr>
        <w:t>propojení místních komunikací</w:t>
      </w:r>
      <w:r w:rsidRPr="00AE0B21">
        <w:rPr>
          <w:rFonts w:asciiTheme="majorHAnsi" w:hAnsiTheme="majorHAnsi" w:cstheme="majorHAnsi"/>
        </w:rPr>
        <w:t>)</w:t>
      </w:r>
      <w:r>
        <w:rPr>
          <w:rFonts w:asciiTheme="majorHAnsi" w:hAnsiTheme="majorHAnsi" w:cstheme="majorHAnsi"/>
        </w:rPr>
        <w:t xml:space="preserve"> </w:t>
      </w:r>
      <w:r w:rsidRPr="00AE0B21">
        <w:rPr>
          <w:rFonts w:asciiTheme="majorHAnsi" w:hAnsiTheme="majorHAnsi" w:cstheme="majorHAnsi"/>
        </w:rPr>
        <w:t>(koridor CNU.KD</w:t>
      </w:r>
      <w:r>
        <w:rPr>
          <w:rFonts w:asciiTheme="majorHAnsi" w:hAnsiTheme="majorHAnsi" w:cstheme="majorHAnsi"/>
        </w:rPr>
        <w:t>3</w:t>
      </w:r>
      <w:r w:rsidRPr="00AE0B21">
        <w:rPr>
          <w:rFonts w:asciiTheme="majorHAnsi" w:hAnsiTheme="majorHAnsi" w:cstheme="majorHAnsi"/>
        </w:rPr>
        <w:t>)</w:t>
      </w:r>
    </w:p>
    <w:p w14:paraId="72AEA080" w14:textId="369F4BD9" w:rsidR="000172E3" w:rsidRPr="00AE0B21" w:rsidRDefault="000172E3" w:rsidP="00DC67CC">
      <w:pPr>
        <w:pStyle w:val="Atext"/>
        <w:numPr>
          <w:ilvl w:val="1"/>
          <w:numId w:val="43"/>
        </w:numPr>
        <w:spacing w:before="60" w:after="60"/>
        <w:rPr>
          <w:rFonts w:asciiTheme="majorHAnsi" w:hAnsiTheme="majorHAnsi" w:cstheme="majorHAnsi"/>
        </w:rPr>
      </w:pPr>
      <w:r>
        <w:rPr>
          <w:rFonts w:asciiTheme="majorHAnsi" w:hAnsiTheme="majorHAnsi" w:cstheme="majorHAnsi"/>
        </w:rPr>
        <w:t>VPS VD.</w:t>
      </w:r>
      <w:r w:rsidR="00C208DE">
        <w:rPr>
          <w:rFonts w:asciiTheme="majorHAnsi" w:hAnsiTheme="majorHAnsi" w:cstheme="majorHAnsi"/>
        </w:rPr>
        <w:t>9</w:t>
      </w:r>
      <w:r>
        <w:rPr>
          <w:rFonts w:asciiTheme="majorHAnsi" w:hAnsiTheme="majorHAnsi" w:cstheme="majorHAnsi"/>
        </w:rPr>
        <w:t xml:space="preserve"> – vodní cesta na Labi (koridor CNZ.VD1)</w:t>
      </w:r>
    </w:p>
    <w:p w14:paraId="1F21AF92" w14:textId="0AAC8677" w:rsidR="00872C68" w:rsidRPr="006070EA" w:rsidRDefault="00872C68" w:rsidP="007F0B57">
      <w:pPr>
        <w:pStyle w:val="Atext"/>
        <w:numPr>
          <w:ilvl w:val="0"/>
          <w:numId w:val="43"/>
        </w:numPr>
        <w:spacing w:before="60" w:after="60"/>
        <w:ind w:left="1134"/>
        <w:rPr>
          <w:rFonts w:asciiTheme="majorHAnsi" w:hAnsiTheme="majorHAnsi" w:cstheme="majorHAnsi"/>
        </w:rPr>
      </w:pPr>
      <w:r w:rsidRPr="006070EA">
        <w:rPr>
          <w:rFonts w:asciiTheme="majorHAnsi" w:hAnsiTheme="majorHAnsi" w:cstheme="majorHAnsi"/>
        </w:rPr>
        <w:t xml:space="preserve">pro </w:t>
      </w:r>
      <w:r w:rsidR="00AE0B21">
        <w:rPr>
          <w:rFonts w:asciiTheme="majorHAnsi" w:hAnsiTheme="majorHAnsi" w:cstheme="majorHAnsi"/>
        </w:rPr>
        <w:t xml:space="preserve">plochu pro dopravní infrastrukturu </w:t>
      </w:r>
      <w:r w:rsidRPr="006070EA">
        <w:rPr>
          <w:rFonts w:asciiTheme="majorHAnsi" w:hAnsiTheme="majorHAnsi" w:cstheme="majorHAnsi"/>
        </w:rPr>
        <w:t>(</w:t>
      </w:r>
      <w:r w:rsidR="00AE0B21">
        <w:rPr>
          <w:rFonts w:asciiTheme="majorHAnsi" w:hAnsiTheme="majorHAnsi" w:cstheme="majorHAnsi"/>
        </w:rPr>
        <w:t>Z.24, DS</w:t>
      </w:r>
      <w:r w:rsidRPr="006070EA">
        <w:rPr>
          <w:rFonts w:asciiTheme="majorHAnsi" w:hAnsiTheme="majorHAnsi" w:cstheme="majorHAnsi"/>
        </w:rPr>
        <w:t>) v kapitole 11.</w:t>
      </w:r>
      <w:r w:rsidR="00AE0B21">
        <w:rPr>
          <w:rFonts w:asciiTheme="majorHAnsi" w:hAnsiTheme="majorHAnsi" w:cstheme="majorHAnsi"/>
        </w:rPr>
        <w:t>3</w:t>
      </w:r>
      <w:r w:rsidRPr="006070EA">
        <w:rPr>
          <w:rFonts w:asciiTheme="majorHAnsi" w:hAnsiTheme="majorHAnsi" w:cstheme="majorHAnsi"/>
        </w:rPr>
        <w:t xml:space="preserve"> </w:t>
      </w:r>
    </w:p>
    <w:p w14:paraId="6539E1ED" w14:textId="19E8B50A" w:rsidR="00872C68" w:rsidRPr="00AE0B21" w:rsidRDefault="00872C68" w:rsidP="008907B3">
      <w:pPr>
        <w:pStyle w:val="Atext"/>
        <w:numPr>
          <w:ilvl w:val="1"/>
          <w:numId w:val="43"/>
        </w:numPr>
        <w:spacing w:before="60" w:after="60"/>
        <w:rPr>
          <w:rFonts w:asciiTheme="majorHAnsi" w:hAnsiTheme="majorHAnsi" w:cstheme="majorHAnsi"/>
        </w:rPr>
      </w:pPr>
      <w:r w:rsidRPr="00AE0B21">
        <w:rPr>
          <w:rFonts w:asciiTheme="majorHAnsi" w:hAnsiTheme="majorHAnsi" w:cstheme="majorHAnsi"/>
        </w:rPr>
        <w:t>VPS VD</w:t>
      </w:r>
      <w:r w:rsidR="00463154" w:rsidRPr="00AE0B21">
        <w:rPr>
          <w:rFonts w:asciiTheme="majorHAnsi" w:hAnsiTheme="majorHAnsi" w:cstheme="majorHAnsi"/>
        </w:rPr>
        <w:t>.</w:t>
      </w:r>
      <w:r w:rsidR="00AE0B21" w:rsidRPr="00AE0B21">
        <w:rPr>
          <w:rFonts w:asciiTheme="majorHAnsi" w:hAnsiTheme="majorHAnsi" w:cstheme="majorHAnsi"/>
        </w:rPr>
        <w:t>5</w:t>
      </w:r>
      <w:r w:rsidRPr="00AE0B21">
        <w:rPr>
          <w:rFonts w:asciiTheme="majorHAnsi" w:hAnsiTheme="majorHAnsi" w:cstheme="majorHAnsi"/>
        </w:rPr>
        <w:t xml:space="preserve"> – </w:t>
      </w:r>
      <w:r w:rsidR="00AE0B21" w:rsidRPr="00AE0B21">
        <w:rPr>
          <w:rFonts w:asciiTheme="majorHAnsi" w:hAnsiTheme="majorHAnsi" w:cstheme="majorHAnsi"/>
        </w:rPr>
        <w:t>optimalizace silnice z Vápenska ve směru Milovice / Zbožíčko</w:t>
      </w:r>
      <w:r w:rsidR="00AE0B21">
        <w:rPr>
          <w:rFonts w:asciiTheme="majorHAnsi" w:hAnsiTheme="majorHAnsi" w:cstheme="majorHAnsi"/>
        </w:rPr>
        <w:t xml:space="preserve"> </w:t>
      </w:r>
      <w:r w:rsidR="00AE0B21" w:rsidRPr="00AE0B21">
        <w:rPr>
          <w:rFonts w:asciiTheme="majorHAnsi" w:hAnsiTheme="majorHAnsi" w:cstheme="majorHAnsi"/>
        </w:rPr>
        <w:t>(zastavitelná plocha Z.24)</w:t>
      </w:r>
    </w:p>
    <w:p w14:paraId="153BFD9D" w14:textId="37E82701" w:rsidR="007F0B57" w:rsidRPr="006070EA" w:rsidRDefault="007F0B57" w:rsidP="007F0B57">
      <w:pPr>
        <w:pStyle w:val="Atext"/>
        <w:rPr>
          <w:rFonts w:asciiTheme="majorHAnsi" w:hAnsiTheme="majorHAnsi" w:cstheme="majorHAnsi"/>
          <w:color w:val="FF0000"/>
        </w:rPr>
      </w:pPr>
      <w:r w:rsidRPr="006070EA">
        <w:rPr>
          <w:rFonts w:asciiTheme="majorHAnsi" w:hAnsiTheme="majorHAnsi" w:cstheme="majorHAnsi"/>
        </w:rPr>
        <w:t xml:space="preserve">Všechny koridory dopravní infrastruktury nesoucích významnou dopravní funkci jsou vymezeny ve veřejném zájmu, který spočívá v rozvoji veřejné dopravní infrastruktury </w:t>
      </w:r>
      <w:r w:rsidR="00872C68" w:rsidRPr="006070EA">
        <w:rPr>
          <w:rFonts w:asciiTheme="majorHAnsi" w:hAnsiTheme="majorHAnsi" w:cstheme="majorHAnsi"/>
        </w:rPr>
        <w:t>na území města i v nadmístním významu</w:t>
      </w:r>
      <w:r w:rsidRPr="006070EA">
        <w:rPr>
          <w:rFonts w:asciiTheme="majorHAnsi" w:hAnsiTheme="majorHAnsi" w:cstheme="majorHAnsi"/>
        </w:rPr>
        <w:t>. Důvodem pro vymezení VPS je zkvalitňování dopravní infrastruktury v</w:t>
      </w:r>
      <w:r w:rsidR="00872C68" w:rsidRPr="006070EA">
        <w:rPr>
          <w:rFonts w:asciiTheme="majorHAnsi" w:hAnsiTheme="majorHAnsi" w:cstheme="majorHAnsi"/>
        </w:rPr>
        <w:t xml:space="preserve"> území</w:t>
      </w:r>
      <w:r w:rsidRPr="006070EA">
        <w:rPr>
          <w:rFonts w:asciiTheme="majorHAnsi" w:hAnsiTheme="majorHAnsi" w:cstheme="majorHAnsi"/>
        </w:rPr>
        <w:t xml:space="preserve">, </w:t>
      </w:r>
      <w:r w:rsidR="00872C68" w:rsidRPr="006070EA">
        <w:rPr>
          <w:rFonts w:asciiTheme="majorHAnsi" w:hAnsiTheme="majorHAnsi" w:cstheme="majorHAnsi"/>
        </w:rPr>
        <w:t>řešení nevyhovující dopravní situace uvnitř zastavěného území sídla Kostomlaty nad Labem, zvýšení prostupnosti krajiny a zpřístupnění druhého břehu řeky Labe</w:t>
      </w:r>
      <w:r w:rsidRPr="006070EA">
        <w:rPr>
          <w:rFonts w:asciiTheme="majorHAnsi" w:hAnsiTheme="majorHAnsi" w:cstheme="majorHAnsi"/>
          <w:color w:val="FF0000"/>
        </w:rPr>
        <w:t>.</w:t>
      </w:r>
    </w:p>
    <w:p w14:paraId="397D20D0" w14:textId="77777777" w:rsidR="007F0B57" w:rsidRPr="006070EA" w:rsidRDefault="007F0B57" w:rsidP="007F0B57">
      <w:pPr>
        <w:pStyle w:val="ANADPIS4"/>
        <w:rPr>
          <w:rFonts w:asciiTheme="majorHAnsi" w:hAnsiTheme="majorHAnsi" w:cstheme="majorHAnsi"/>
        </w:rPr>
      </w:pPr>
      <w:r w:rsidRPr="006070EA">
        <w:rPr>
          <w:rFonts w:asciiTheme="majorHAnsi" w:hAnsiTheme="majorHAnsi" w:cstheme="majorHAnsi"/>
        </w:rPr>
        <w:lastRenderedPageBreak/>
        <w:t>veřejně prospěšné stavby TECHNICKÉ infrastruktury</w:t>
      </w:r>
    </w:p>
    <w:p w14:paraId="1060AEEC" w14:textId="4954DBC4" w:rsidR="007F0B57" w:rsidRPr="006070EA" w:rsidRDefault="007F0B57" w:rsidP="007F0B57">
      <w:pPr>
        <w:pStyle w:val="Mra2-reakceern"/>
        <w:keepNext/>
        <w:pBdr>
          <w:left w:val="none" w:sz="0" w:space="0" w:color="auto"/>
        </w:pBdr>
        <w:spacing w:before="120" w:after="60"/>
        <w:ind w:left="0"/>
        <w:jc w:val="right"/>
        <w:rPr>
          <w:rFonts w:asciiTheme="majorHAnsi" w:hAnsiTheme="majorHAnsi" w:cstheme="majorHAnsi"/>
          <w:i/>
          <w:color w:val="auto"/>
          <w:u w:val="single"/>
        </w:rPr>
      </w:pPr>
      <w:r w:rsidRPr="006070EA">
        <w:rPr>
          <w:rFonts w:asciiTheme="majorHAnsi" w:hAnsiTheme="majorHAnsi" w:cstheme="majorHAnsi"/>
          <w:i/>
          <w:color w:val="auto"/>
          <w:u w:val="single"/>
        </w:rPr>
        <w:t xml:space="preserve">Odůvodnění odst. </w:t>
      </w:r>
      <w:r w:rsidRPr="006070EA">
        <w:rPr>
          <w:rFonts w:asciiTheme="majorHAnsi" w:hAnsiTheme="majorHAnsi" w:cstheme="majorHAnsi"/>
          <w:b/>
          <w:i/>
          <w:color w:val="auto"/>
          <w:u w:val="single"/>
        </w:rPr>
        <w:t>(</w:t>
      </w:r>
      <w:r w:rsidR="00BA3BDE">
        <w:rPr>
          <w:rFonts w:asciiTheme="majorHAnsi" w:hAnsiTheme="majorHAnsi" w:cstheme="majorHAnsi"/>
          <w:b/>
          <w:i/>
          <w:color w:val="auto"/>
          <w:u w:val="single"/>
        </w:rPr>
        <w:t>83</w:t>
      </w:r>
      <w:r w:rsidRPr="006070EA">
        <w:rPr>
          <w:rFonts w:asciiTheme="majorHAnsi" w:hAnsiTheme="majorHAnsi" w:cstheme="majorHAnsi"/>
          <w:b/>
          <w:i/>
          <w:color w:val="auto"/>
          <w:u w:val="single"/>
        </w:rPr>
        <w:t>)</w:t>
      </w:r>
      <w:r w:rsidRPr="006070EA">
        <w:rPr>
          <w:rFonts w:asciiTheme="majorHAnsi" w:hAnsiTheme="majorHAnsi" w:cstheme="majorHAnsi"/>
          <w:i/>
          <w:color w:val="auto"/>
          <w:u w:val="single"/>
        </w:rPr>
        <w:t xml:space="preserve"> písm. b) výrokové části</w:t>
      </w:r>
    </w:p>
    <w:p w14:paraId="682341AA" w14:textId="7E9DFFD1" w:rsidR="007F0B57" w:rsidRPr="006070EA" w:rsidRDefault="007F0B57" w:rsidP="007F0B57">
      <w:pPr>
        <w:pStyle w:val="Atext"/>
        <w:rPr>
          <w:rFonts w:asciiTheme="majorHAnsi" w:hAnsiTheme="majorHAnsi" w:cstheme="majorHAnsi"/>
        </w:rPr>
      </w:pPr>
      <w:r w:rsidRPr="006070EA">
        <w:rPr>
          <w:rFonts w:asciiTheme="majorHAnsi" w:hAnsiTheme="majorHAnsi" w:cstheme="majorHAnsi"/>
        </w:rPr>
        <w:t xml:space="preserve">V souladu s § 170 odst. 1 písm. a) stavebního zákona </w:t>
      </w:r>
      <w:r w:rsidR="006D16B2" w:rsidRPr="006070EA">
        <w:rPr>
          <w:rFonts w:asciiTheme="majorHAnsi" w:hAnsiTheme="majorHAnsi" w:cstheme="majorHAnsi"/>
        </w:rPr>
        <w:t xml:space="preserve">je </w:t>
      </w:r>
      <w:r w:rsidRPr="006070EA">
        <w:rPr>
          <w:rFonts w:asciiTheme="majorHAnsi" w:hAnsiTheme="majorHAnsi" w:cstheme="majorHAnsi"/>
        </w:rPr>
        <w:t xml:space="preserve">pro účely vyvlastnění vymezeny </w:t>
      </w:r>
      <w:r w:rsidR="006D16B2" w:rsidRPr="006070EA">
        <w:rPr>
          <w:rFonts w:asciiTheme="majorHAnsi" w:hAnsiTheme="majorHAnsi" w:cstheme="majorHAnsi"/>
        </w:rPr>
        <w:t xml:space="preserve">koridor pro umístění </w:t>
      </w:r>
      <w:r w:rsidRPr="006070EA">
        <w:rPr>
          <w:rFonts w:asciiTheme="majorHAnsi" w:hAnsiTheme="majorHAnsi" w:cstheme="majorHAnsi"/>
        </w:rPr>
        <w:t>veřejně prospěšné stavby technické infrastruktury v rozsahu koridor</w:t>
      </w:r>
      <w:r w:rsidR="006D16B2" w:rsidRPr="006070EA">
        <w:rPr>
          <w:rFonts w:asciiTheme="majorHAnsi" w:hAnsiTheme="majorHAnsi" w:cstheme="majorHAnsi"/>
        </w:rPr>
        <w:t>u</w:t>
      </w:r>
      <w:r w:rsidRPr="006070EA">
        <w:rPr>
          <w:rFonts w:asciiTheme="majorHAnsi" w:hAnsiTheme="majorHAnsi" w:cstheme="majorHAnsi"/>
        </w:rPr>
        <w:t xml:space="preserve"> zahrnující</w:t>
      </w:r>
      <w:r w:rsidR="006D16B2" w:rsidRPr="006070EA">
        <w:rPr>
          <w:rFonts w:asciiTheme="majorHAnsi" w:hAnsiTheme="majorHAnsi" w:cstheme="majorHAnsi"/>
        </w:rPr>
        <w:t>ho</w:t>
      </w:r>
      <w:r w:rsidRPr="006070EA">
        <w:rPr>
          <w:rFonts w:asciiTheme="majorHAnsi" w:hAnsiTheme="majorHAnsi" w:cstheme="majorHAnsi"/>
        </w:rPr>
        <w:t xml:space="preserve"> pozemky nezbytné k zajištění její výstavby a řádného užívání pro stanovený účel. Jako veřejně prospěšné stavby technické infrastruktury j</w:t>
      </w:r>
      <w:r w:rsidR="006D16B2" w:rsidRPr="006070EA">
        <w:rPr>
          <w:rFonts w:asciiTheme="majorHAnsi" w:hAnsiTheme="majorHAnsi" w:cstheme="majorHAnsi"/>
        </w:rPr>
        <w:t>e</w:t>
      </w:r>
      <w:r w:rsidRPr="006070EA">
        <w:rPr>
          <w:rFonts w:asciiTheme="majorHAnsi" w:hAnsiTheme="majorHAnsi" w:cstheme="majorHAnsi"/>
        </w:rPr>
        <w:t xml:space="preserve"> vymezen koridor technické infrastruktury (</w:t>
      </w:r>
      <w:r w:rsidR="00463154" w:rsidRPr="006070EA">
        <w:rPr>
          <w:rFonts w:asciiTheme="majorHAnsi" w:hAnsiTheme="majorHAnsi" w:cstheme="majorHAnsi"/>
        </w:rPr>
        <w:t>CNU.</w:t>
      </w:r>
      <w:r w:rsidRPr="006070EA">
        <w:rPr>
          <w:rFonts w:asciiTheme="majorHAnsi" w:hAnsiTheme="majorHAnsi" w:cstheme="majorHAnsi"/>
        </w:rPr>
        <w:t>KTI</w:t>
      </w:r>
      <w:r w:rsidR="006D16B2" w:rsidRPr="006070EA">
        <w:rPr>
          <w:rFonts w:asciiTheme="majorHAnsi" w:hAnsiTheme="majorHAnsi" w:cstheme="majorHAnsi"/>
        </w:rPr>
        <w:t>1</w:t>
      </w:r>
      <w:r w:rsidRPr="006070EA">
        <w:rPr>
          <w:rFonts w:asciiTheme="majorHAnsi" w:hAnsiTheme="majorHAnsi" w:cstheme="majorHAnsi"/>
        </w:rPr>
        <w:t xml:space="preserve">), resp. stavby, pro něž </w:t>
      </w:r>
      <w:r w:rsidR="006D16B2" w:rsidRPr="006070EA">
        <w:rPr>
          <w:rFonts w:asciiTheme="majorHAnsi" w:hAnsiTheme="majorHAnsi" w:cstheme="majorHAnsi"/>
        </w:rPr>
        <w:t xml:space="preserve">je tento </w:t>
      </w:r>
      <w:r w:rsidRPr="006070EA">
        <w:rPr>
          <w:rFonts w:asciiTheme="majorHAnsi" w:hAnsiTheme="majorHAnsi" w:cstheme="majorHAnsi"/>
        </w:rPr>
        <w:t>koridor</w:t>
      </w:r>
      <w:r w:rsidR="006D16B2" w:rsidRPr="006070EA">
        <w:rPr>
          <w:rFonts w:asciiTheme="majorHAnsi" w:hAnsiTheme="majorHAnsi" w:cstheme="majorHAnsi"/>
        </w:rPr>
        <w:t xml:space="preserve"> </w:t>
      </w:r>
      <w:r w:rsidRPr="006070EA">
        <w:rPr>
          <w:rFonts w:asciiTheme="majorHAnsi" w:hAnsiTheme="majorHAnsi" w:cstheme="majorHAnsi"/>
        </w:rPr>
        <w:t>určen</w:t>
      </w:r>
      <w:r w:rsidR="006D16B2" w:rsidRPr="006070EA">
        <w:rPr>
          <w:rFonts w:asciiTheme="majorHAnsi" w:hAnsiTheme="majorHAnsi" w:cstheme="majorHAnsi"/>
        </w:rPr>
        <w:t>ý</w:t>
      </w:r>
      <w:r w:rsidRPr="006070EA">
        <w:rPr>
          <w:rFonts w:asciiTheme="majorHAnsi" w:hAnsiTheme="majorHAnsi" w:cstheme="majorHAnsi"/>
        </w:rPr>
        <w:t>, a které jsou součástí veřejné infrastruktury dle §</w:t>
      </w:r>
      <w:r w:rsidR="006D16B2" w:rsidRPr="006070EA">
        <w:rPr>
          <w:rFonts w:asciiTheme="majorHAnsi" w:hAnsiTheme="majorHAnsi" w:cstheme="majorHAnsi"/>
        </w:rPr>
        <w:t> </w:t>
      </w:r>
      <w:r w:rsidRPr="006070EA">
        <w:rPr>
          <w:rFonts w:asciiTheme="majorHAnsi" w:hAnsiTheme="majorHAnsi" w:cstheme="majorHAnsi"/>
        </w:rPr>
        <w:t>2 odst. 1 písm. m) č. 2 stavebního zákona a které explicitně naplňují účely vyvlastnění dle § 170 odst. 1 písm. a) stavebního zákona.</w:t>
      </w:r>
    </w:p>
    <w:p w14:paraId="2B9AFDDC" w14:textId="35CEC7BA" w:rsidR="007F0B57" w:rsidRPr="006070EA" w:rsidRDefault="007F0B57" w:rsidP="007F0B57">
      <w:pPr>
        <w:pStyle w:val="Atext"/>
        <w:spacing w:before="60" w:after="60"/>
        <w:rPr>
          <w:rFonts w:asciiTheme="majorHAnsi" w:hAnsiTheme="majorHAnsi" w:cstheme="majorHAnsi"/>
        </w:rPr>
      </w:pPr>
      <w:r w:rsidRPr="006070EA">
        <w:rPr>
          <w:rFonts w:asciiTheme="majorHAnsi" w:hAnsiTheme="majorHAnsi" w:cstheme="majorHAnsi"/>
        </w:rPr>
        <w:t xml:space="preserve">Odůvodnění jednotlivých VPS, </w:t>
      </w:r>
      <w:r w:rsidR="006D16B2" w:rsidRPr="006070EA">
        <w:rPr>
          <w:rFonts w:asciiTheme="majorHAnsi" w:hAnsiTheme="majorHAnsi" w:cstheme="majorHAnsi"/>
        </w:rPr>
        <w:t xml:space="preserve">které jsou zároveň vymezeny jako </w:t>
      </w:r>
      <w:r w:rsidRPr="006070EA">
        <w:rPr>
          <w:rFonts w:asciiTheme="majorHAnsi" w:hAnsiTheme="majorHAnsi" w:cstheme="majorHAnsi"/>
        </w:rPr>
        <w:t xml:space="preserve">koridory </w:t>
      </w:r>
      <w:r w:rsidR="006D16B2" w:rsidRPr="006070EA">
        <w:rPr>
          <w:rFonts w:asciiTheme="majorHAnsi" w:hAnsiTheme="majorHAnsi" w:cstheme="majorHAnsi"/>
        </w:rPr>
        <w:t xml:space="preserve">pro umístění VPS, </w:t>
      </w:r>
      <w:r w:rsidRPr="006070EA">
        <w:rPr>
          <w:rFonts w:asciiTheme="majorHAnsi" w:hAnsiTheme="majorHAnsi" w:cstheme="majorHAnsi"/>
        </w:rPr>
        <w:t>je součástí komplexního zdůvodnění přijatého řešení a podrobně je uvedeno v tematick</w:t>
      </w:r>
      <w:r w:rsidR="006D16B2" w:rsidRPr="006070EA">
        <w:rPr>
          <w:rFonts w:asciiTheme="majorHAnsi" w:hAnsiTheme="majorHAnsi" w:cstheme="majorHAnsi"/>
        </w:rPr>
        <w:t>é</w:t>
      </w:r>
      <w:r w:rsidRPr="006070EA">
        <w:rPr>
          <w:rFonts w:asciiTheme="majorHAnsi" w:hAnsiTheme="majorHAnsi" w:cstheme="majorHAnsi"/>
        </w:rPr>
        <w:t xml:space="preserve"> podkapitol</w:t>
      </w:r>
      <w:r w:rsidR="006D16B2" w:rsidRPr="006070EA">
        <w:rPr>
          <w:rFonts w:asciiTheme="majorHAnsi" w:hAnsiTheme="majorHAnsi" w:cstheme="majorHAnsi"/>
        </w:rPr>
        <w:t>e</w:t>
      </w:r>
      <w:r w:rsidRPr="006070EA">
        <w:rPr>
          <w:rFonts w:asciiTheme="majorHAnsi" w:hAnsiTheme="majorHAnsi" w:cstheme="majorHAnsi"/>
        </w:rPr>
        <w:t xml:space="preserve">: </w:t>
      </w:r>
    </w:p>
    <w:p w14:paraId="33F2A0A7" w14:textId="02488006" w:rsidR="007F0B57" w:rsidRPr="006070EA" w:rsidRDefault="007F0B57" w:rsidP="007F0B57">
      <w:pPr>
        <w:pStyle w:val="Atext"/>
        <w:numPr>
          <w:ilvl w:val="0"/>
          <w:numId w:val="43"/>
        </w:numPr>
        <w:spacing w:before="60" w:after="60"/>
        <w:ind w:left="1134"/>
        <w:rPr>
          <w:rFonts w:asciiTheme="majorHAnsi" w:hAnsiTheme="majorHAnsi" w:cstheme="majorHAnsi"/>
        </w:rPr>
      </w:pPr>
      <w:r w:rsidRPr="006070EA">
        <w:rPr>
          <w:rFonts w:asciiTheme="majorHAnsi" w:hAnsiTheme="majorHAnsi" w:cstheme="majorHAnsi"/>
        </w:rPr>
        <w:t>pro koridor technické infrastruktury (</w:t>
      </w:r>
      <w:r w:rsidR="00463154" w:rsidRPr="006070EA">
        <w:rPr>
          <w:rFonts w:asciiTheme="majorHAnsi" w:hAnsiTheme="majorHAnsi" w:cstheme="majorHAnsi"/>
        </w:rPr>
        <w:t>CNU.</w:t>
      </w:r>
      <w:r w:rsidRPr="006070EA">
        <w:rPr>
          <w:rFonts w:asciiTheme="majorHAnsi" w:hAnsiTheme="majorHAnsi" w:cstheme="majorHAnsi"/>
        </w:rPr>
        <w:t>KTI</w:t>
      </w:r>
      <w:r w:rsidR="006D16B2" w:rsidRPr="006070EA">
        <w:rPr>
          <w:rFonts w:asciiTheme="majorHAnsi" w:hAnsiTheme="majorHAnsi" w:cstheme="majorHAnsi"/>
        </w:rPr>
        <w:t>1</w:t>
      </w:r>
      <w:r w:rsidRPr="006070EA">
        <w:rPr>
          <w:rFonts w:asciiTheme="majorHAnsi" w:hAnsiTheme="majorHAnsi" w:cstheme="majorHAnsi"/>
        </w:rPr>
        <w:t>) v kapitole 11.4.4</w:t>
      </w:r>
    </w:p>
    <w:p w14:paraId="64FD9B2B" w14:textId="7E5F1ABB" w:rsidR="006D16B2" w:rsidRPr="006070EA" w:rsidRDefault="006D16B2" w:rsidP="006D16B2">
      <w:pPr>
        <w:pStyle w:val="Atext"/>
        <w:numPr>
          <w:ilvl w:val="1"/>
          <w:numId w:val="43"/>
        </w:numPr>
        <w:spacing w:before="60" w:after="60"/>
        <w:rPr>
          <w:rFonts w:asciiTheme="majorHAnsi" w:hAnsiTheme="majorHAnsi" w:cstheme="majorHAnsi"/>
        </w:rPr>
      </w:pPr>
      <w:r w:rsidRPr="006070EA">
        <w:rPr>
          <w:rFonts w:asciiTheme="majorHAnsi" w:hAnsiTheme="majorHAnsi" w:cstheme="majorHAnsi"/>
        </w:rPr>
        <w:t>VPS VT</w:t>
      </w:r>
      <w:r w:rsidR="00463154" w:rsidRPr="006070EA">
        <w:rPr>
          <w:rFonts w:asciiTheme="majorHAnsi" w:hAnsiTheme="majorHAnsi" w:cstheme="majorHAnsi"/>
        </w:rPr>
        <w:t>.</w:t>
      </w:r>
      <w:r w:rsidRPr="006070EA">
        <w:rPr>
          <w:rFonts w:asciiTheme="majorHAnsi" w:hAnsiTheme="majorHAnsi" w:cstheme="majorHAnsi"/>
        </w:rPr>
        <w:t xml:space="preserve">1 – vodovod a kanalizace včetně souvisejících staveb a zařízení (koridor </w:t>
      </w:r>
      <w:r w:rsidR="00463154" w:rsidRPr="006070EA">
        <w:rPr>
          <w:rFonts w:asciiTheme="majorHAnsi" w:hAnsiTheme="majorHAnsi" w:cstheme="majorHAnsi"/>
        </w:rPr>
        <w:t>CNU.</w:t>
      </w:r>
      <w:r w:rsidRPr="006070EA">
        <w:rPr>
          <w:rFonts w:asciiTheme="majorHAnsi" w:hAnsiTheme="majorHAnsi" w:cstheme="majorHAnsi"/>
        </w:rPr>
        <w:t>KTI1)</w:t>
      </w:r>
    </w:p>
    <w:p w14:paraId="7E09EAA0" w14:textId="1F18DEBA" w:rsidR="007F0B57" w:rsidRPr="006070EA" w:rsidRDefault="006D16B2" w:rsidP="007F0B57">
      <w:pPr>
        <w:pStyle w:val="Atext"/>
        <w:spacing w:before="60" w:after="60"/>
        <w:rPr>
          <w:rFonts w:asciiTheme="majorHAnsi" w:hAnsiTheme="majorHAnsi" w:cstheme="majorHAnsi"/>
        </w:rPr>
      </w:pPr>
      <w:r w:rsidRPr="006070EA">
        <w:rPr>
          <w:rFonts w:asciiTheme="majorHAnsi" w:hAnsiTheme="majorHAnsi" w:cstheme="majorHAnsi"/>
        </w:rPr>
        <w:t>K</w:t>
      </w:r>
      <w:r w:rsidR="007F0B57" w:rsidRPr="006070EA">
        <w:rPr>
          <w:rFonts w:asciiTheme="majorHAnsi" w:hAnsiTheme="majorHAnsi" w:cstheme="majorHAnsi"/>
        </w:rPr>
        <w:t>oridor technické infrastruktury j</w:t>
      </w:r>
      <w:r w:rsidRPr="006070EA">
        <w:rPr>
          <w:rFonts w:asciiTheme="majorHAnsi" w:hAnsiTheme="majorHAnsi" w:cstheme="majorHAnsi"/>
        </w:rPr>
        <w:t>e</w:t>
      </w:r>
      <w:r w:rsidR="007F0B57" w:rsidRPr="006070EA">
        <w:rPr>
          <w:rFonts w:asciiTheme="majorHAnsi" w:hAnsiTheme="majorHAnsi" w:cstheme="majorHAnsi"/>
        </w:rPr>
        <w:t xml:space="preserve"> vymezen ve veřejném zájmu, který spočívá v rozvoji veřejné technické infrastruktury na území </w:t>
      </w:r>
      <w:r w:rsidRPr="006070EA">
        <w:rPr>
          <w:rFonts w:asciiTheme="majorHAnsi" w:hAnsiTheme="majorHAnsi" w:cstheme="majorHAnsi"/>
        </w:rPr>
        <w:t>obce</w:t>
      </w:r>
      <w:r w:rsidR="007F0B57" w:rsidRPr="006070EA">
        <w:rPr>
          <w:rFonts w:asciiTheme="majorHAnsi" w:hAnsiTheme="majorHAnsi" w:cstheme="majorHAnsi"/>
        </w:rPr>
        <w:t xml:space="preserve">. Jedná se o koridor pro umístění </w:t>
      </w:r>
      <w:r w:rsidRPr="006070EA">
        <w:rPr>
          <w:rFonts w:asciiTheme="majorHAnsi" w:hAnsiTheme="majorHAnsi" w:cstheme="majorHAnsi"/>
        </w:rPr>
        <w:t>vodovodu a kanalizace a souvisejících staveb a zařízení</w:t>
      </w:r>
      <w:r w:rsidR="007F0B57" w:rsidRPr="006070EA">
        <w:rPr>
          <w:rFonts w:asciiTheme="majorHAnsi" w:hAnsiTheme="majorHAnsi" w:cstheme="majorHAnsi"/>
        </w:rPr>
        <w:t xml:space="preserve">. </w:t>
      </w:r>
    </w:p>
    <w:p w14:paraId="5D7AF2A9" w14:textId="64CD0238" w:rsidR="007F0B57" w:rsidRPr="006070EA" w:rsidRDefault="007F0B57" w:rsidP="007F0B57">
      <w:pPr>
        <w:pStyle w:val="Atext"/>
        <w:spacing w:before="60" w:after="60"/>
        <w:rPr>
          <w:rFonts w:asciiTheme="majorHAnsi" w:hAnsiTheme="majorHAnsi" w:cstheme="majorHAnsi"/>
        </w:rPr>
      </w:pPr>
      <w:r w:rsidRPr="006070EA">
        <w:rPr>
          <w:rFonts w:asciiTheme="majorHAnsi" w:hAnsiTheme="majorHAnsi" w:cstheme="majorHAnsi"/>
        </w:rPr>
        <w:t xml:space="preserve">Důvodem pro vymezení VPS je zkvalitňování technické infrastruktury ve městě a zvyšování kvality prostředí zejména v souvislosti s likvidací odpadních vod. Rozvoj veřejné vodovodní sítě pak zajišťuje dostatečnou dodávku pitné vody a tím zvyšuje kvalitu obytných území. </w:t>
      </w:r>
    </w:p>
    <w:p w14:paraId="50BC2505" w14:textId="77777777" w:rsidR="007F0B57" w:rsidRPr="006070EA" w:rsidRDefault="007F0B57" w:rsidP="007F0B57">
      <w:pPr>
        <w:pStyle w:val="ANADPIS4"/>
        <w:rPr>
          <w:rFonts w:asciiTheme="majorHAnsi" w:hAnsiTheme="majorHAnsi" w:cstheme="majorHAnsi"/>
        </w:rPr>
      </w:pPr>
      <w:r w:rsidRPr="006070EA">
        <w:rPr>
          <w:rFonts w:asciiTheme="majorHAnsi" w:hAnsiTheme="majorHAnsi" w:cstheme="majorHAnsi"/>
        </w:rPr>
        <w:t>veřejně prospěšná opatření – založení prvků územního systému ekologické stability (ÚSES)</w:t>
      </w:r>
    </w:p>
    <w:p w14:paraId="5CE512AC" w14:textId="61E9C6B7" w:rsidR="007F0B57" w:rsidRPr="006070EA" w:rsidRDefault="007F0B57" w:rsidP="007F0B57">
      <w:pPr>
        <w:pStyle w:val="Mra2-reakceern"/>
        <w:keepNext/>
        <w:pBdr>
          <w:left w:val="none" w:sz="0" w:space="0" w:color="auto"/>
        </w:pBdr>
        <w:spacing w:before="120" w:after="60"/>
        <w:ind w:left="0"/>
        <w:jc w:val="right"/>
        <w:rPr>
          <w:rFonts w:asciiTheme="majorHAnsi" w:hAnsiTheme="majorHAnsi" w:cstheme="majorHAnsi"/>
          <w:i/>
          <w:color w:val="auto"/>
          <w:u w:val="single"/>
        </w:rPr>
      </w:pPr>
      <w:r w:rsidRPr="006070EA">
        <w:rPr>
          <w:rFonts w:asciiTheme="majorHAnsi" w:hAnsiTheme="majorHAnsi" w:cstheme="majorHAnsi"/>
          <w:i/>
          <w:color w:val="auto"/>
          <w:u w:val="single"/>
        </w:rPr>
        <w:t xml:space="preserve">Odůvodnění odst. </w:t>
      </w:r>
      <w:r w:rsidRPr="006070EA">
        <w:rPr>
          <w:rFonts w:asciiTheme="majorHAnsi" w:hAnsiTheme="majorHAnsi" w:cstheme="majorHAnsi"/>
          <w:b/>
          <w:i/>
          <w:color w:val="auto"/>
          <w:u w:val="single"/>
        </w:rPr>
        <w:t>(</w:t>
      </w:r>
      <w:r w:rsidR="00463154" w:rsidRPr="006070EA">
        <w:rPr>
          <w:rFonts w:asciiTheme="majorHAnsi" w:hAnsiTheme="majorHAnsi" w:cstheme="majorHAnsi"/>
          <w:b/>
          <w:i/>
          <w:color w:val="auto"/>
          <w:u w:val="single"/>
        </w:rPr>
        <w:t>8</w:t>
      </w:r>
      <w:r w:rsidR="00BA3BDE">
        <w:rPr>
          <w:rFonts w:asciiTheme="majorHAnsi" w:hAnsiTheme="majorHAnsi" w:cstheme="majorHAnsi"/>
          <w:b/>
          <w:i/>
          <w:color w:val="auto"/>
          <w:u w:val="single"/>
        </w:rPr>
        <w:t>3</w:t>
      </w:r>
      <w:r w:rsidRPr="006070EA">
        <w:rPr>
          <w:rFonts w:asciiTheme="majorHAnsi" w:hAnsiTheme="majorHAnsi" w:cstheme="majorHAnsi"/>
          <w:b/>
          <w:i/>
          <w:color w:val="auto"/>
          <w:u w:val="single"/>
        </w:rPr>
        <w:t>)</w:t>
      </w:r>
      <w:r w:rsidRPr="006070EA">
        <w:rPr>
          <w:rFonts w:asciiTheme="majorHAnsi" w:hAnsiTheme="majorHAnsi" w:cstheme="majorHAnsi"/>
          <w:i/>
          <w:color w:val="auto"/>
          <w:u w:val="single"/>
        </w:rPr>
        <w:t xml:space="preserve"> písm. </w:t>
      </w:r>
      <w:r w:rsidR="006D16B2" w:rsidRPr="006070EA">
        <w:rPr>
          <w:rFonts w:asciiTheme="majorHAnsi" w:hAnsiTheme="majorHAnsi" w:cstheme="majorHAnsi"/>
          <w:i/>
          <w:color w:val="auto"/>
          <w:u w:val="single"/>
        </w:rPr>
        <w:t>c</w:t>
      </w:r>
      <w:r w:rsidRPr="006070EA">
        <w:rPr>
          <w:rFonts w:asciiTheme="majorHAnsi" w:hAnsiTheme="majorHAnsi" w:cstheme="majorHAnsi"/>
          <w:i/>
          <w:color w:val="auto"/>
          <w:u w:val="single"/>
        </w:rPr>
        <w:t>) výrokové části</w:t>
      </w:r>
    </w:p>
    <w:p w14:paraId="5B0A32DD" w14:textId="1EF1B309" w:rsidR="007F0B57" w:rsidRPr="006070EA" w:rsidRDefault="007F0B57" w:rsidP="00BA3BDE">
      <w:pPr>
        <w:pStyle w:val="Atext"/>
        <w:rPr>
          <w:rFonts w:asciiTheme="majorHAnsi" w:hAnsiTheme="majorHAnsi" w:cstheme="majorHAnsi"/>
        </w:rPr>
      </w:pPr>
      <w:r w:rsidRPr="006070EA">
        <w:rPr>
          <w:rFonts w:asciiTheme="majorHAnsi" w:hAnsiTheme="majorHAnsi" w:cstheme="majorHAnsi"/>
        </w:rPr>
        <w:t xml:space="preserve">Jako veřejně prospěšná opatření v souladu s § 2 odst. 1 písm. o) zákona č. 183/2006 Sb. jsou vymezena všechna opatření pro zajištění funkčnosti vybraných skladebných částí ÚSES, která explicitně naplňují účely vyvlastnění dle § 170 odst. 1 písm. b) stavebního zákona. Jako veřejně prospěšná opatření – založení prvků územního systému ekologické stability jsou vymezeny plochy změn v krajině v rozsahu nefunkčních </w:t>
      </w:r>
      <w:r w:rsidR="006D16B2" w:rsidRPr="006070EA">
        <w:rPr>
          <w:rFonts w:asciiTheme="majorHAnsi" w:hAnsiTheme="majorHAnsi" w:cstheme="majorHAnsi"/>
        </w:rPr>
        <w:t xml:space="preserve">skladebných </w:t>
      </w:r>
      <w:r w:rsidRPr="006070EA">
        <w:rPr>
          <w:rFonts w:asciiTheme="majorHAnsi" w:hAnsiTheme="majorHAnsi" w:cstheme="majorHAnsi"/>
        </w:rPr>
        <w:t xml:space="preserve">částí ÚSES, které je nutné založit. </w:t>
      </w:r>
      <w:r w:rsidR="00BA3BDE">
        <w:rPr>
          <w:rFonts w:asciiTheme="majorHAnsi" w:hAnsiTheme="majorHAnsi" w:cstheme="majorHAnsi"/>
        </w:rPr>
        <w:t xml:space="preserve">Nad rámec ploch změn, vymezených pro ÚSES, je jako VPO vymezen celý biokoridor LBK.2, který je vymezen na Hronětickém potoce, a to za účelem vytvoření podmínek pro revitalizaci a renaturaci tohoto vodního toku, čímž bude v konečném důsledku posílena ekologická stabilita území ve veřejném zájmu. </w:t>
      </w:r>
    </w:p>
    <w:p w14:paraId="29345ACE" w14:textId="77777777" w:rsidR="006C561C" w:rsidRPr="006070EA" w:rsidRDefault="007F0B57" w:rsidP="007F0B57">
      <w:pPr>
        <w:pStyle w:val="Atext"/>
        <w:rPr>
          <w:rFonts w:asciiTheme="majorHAnsi" w:hAnsiTheme="majorHAnsi" w:cstheme="majorHAnsi"/>
        </w:rPr>
      </w:pPr>
      <w:r w:rsidRPr="006070EA">
        <w:rPr>
          <w:rFonts w:asciiTheme="majorHAnsi" w:hAnsiTheme="majorHAnsi" w:cstheme="majorHAnsi"/>
        </w:rPr>
        <w:t>Odůvodnění jednotlivých VPO, pro něž jsou vymezeny plochy změn v krajině je součástí komplexního zdůvodnění přijatého řešení a podrobně je uvedeno v</w:t>
      </w:r>
      <w:r w:rsidR="006C561C" w:rsidRPr="006070EA">
        <w:rPr>
          <w:rFonts w:asciiTheme="majorHAnsi" w:hAnsiTheme="majorHAnsi" w:cstheme="majorHAnsi"/>
        </w:rPr>
        <w:t> </w:t>
      </w:r>
      <w:r w:rsidRPr="006070EA">
        <w:rPr>
          <w:rFonts w:asciiTheme="majorHAnsi" w:hAnsiTheme="majorHAnsi" w:cstheme="majorHAnsi"/>
        </w:rPr>
        <w:t>kapitole</w:t>
      </w:r>
      <w:r w:rsidR="006C561C" w:rsidRPr="006070EA">
        <w:rPr>
          <w:rFonts w:asciiTheme="majorHAnsi" w:hAnsiTheme="majorHAnsi" w:cstheme="majorHAnsi"/>
        </w:rPr>
        <w:t>:</w:t>
      </w:r>
    </w:p>
    <w:p w14:paraId="314E3515" w14:textId="619E6C5C" w:rsidR="007F0B57" w:rsidRPr="006070EA" w:rsidRDefault="006C561C" w:rsidP="006C561C">
      <w:pPr>
        <w:pStyle w:val="Atext"/>
        <w:numPr>
          <w:ilvl w:val="0"/>
          <w:numId w:val="43"/>
        </w:numPr>
        <w:spacing w:before="60" w:after="60"/>
        <w:ind w:left="1134"/>
        <w:rPr>
          <w:rFonts w:asciiTheme="majorHAnsi" w:hAnsiTheme="majorHAnsi" w:cstheme="majorHAnsi"/>
        </w:rPr>
      </w:pPr>
      <w:r w:rsidRPr="006070EA">
        <w:rPr>
          <w:rFonts w:asciiTheme="majorHAnsi" w:hAnsiTheme="majorHAnsi" w:cstheme="majorHAnsi"/>
        </w:rPr>
        <w:t>pro plochy změn v krajině (K</w:t>
      </w:r>
      <w:r w:rsidR="00463154" w:rsidRPr="006070EA">
        <w:rPr>
          <w:rFonts w:asciiTheme="majorHAnsi" w:hAnsiTheme="majorHAnsi" w:cstheme="majorHAnsi"/>
        </w:rPr>
        <w:t>.</w:t>
      </w:r>
      <w:r w:rsidRPr="006070EA">
        <w:rPr>
          <w:rFonts w:asciiTheme="majorHAnsi" w:hAnsiTheme="majorHAnsi" w:cstheme="majorHAnsi"/>
        </w:rPr>
        <w:t>02 – K</w:t>
      </w:r>
      <w:r w:rsidR="00463154" w:rsidRPr="006070EA">
        <w:rPr>
          <w:rFonts w:asciiTheme="majorHAnsi" w:hAnsiTheme="majorHAnsi" w:cstheme="majorHAnsi"/>
        </w:rPr>
        <w:t>.</w:t>
      </w:r>
      <w:r w:rsidRPr="006070EA">
        <w:rPr>
          <w:rFonts w:asciiTheme="majorHAnsi" w:hAnsiTheme="majorHAnsi" w:cstheme="majorHAnsi"/>
        </w:rPr>
        <w:t>05) v kapitole</w:t>
      </w:r>
      <w:r w:rsidR="007F0B57" w:rsidRPr="006070EA">
        <w:rPr>
          <w:rFonts w:asciiTheme="majorHAnsi" w:hAnsiTheme="majorHAnsi" w:cstheme="majorHAnsi"/>
        </w:rPr>
        <w:t xml:space="preserve"> 11.</w:t>
      </w:r>
      <w:r w:rsidRPr="006070EA">
        <w:rPr>
          <w:rFonts w:asciiTheme="majorHAnsi" w:hAnsiTheme="majorHAnsi" w:cstheme="majorHAnsi"/>
        </w:rPr>
        <w:t>5.3</w:t>
      </w:r>
    </w:p>
    <w:p w14:paraId="452CEF87" w14:textId="642151AC" w:rsidR="006C561C" w:rsidRPr="006070EA" w:rsidRDefault="006C561C" w:rsidP="006C561C">
      <w:pPr>
        <w:pStyle w:val="Atext"/>
        <w:numPr>
          <w:ilvl w:val="1"/>
          <w:numId w:val="43"/>
        </w:numPr>
        <w:spacing w:before="60" w:after="60"/>
        <w:rPr>
          <w:rFonts w:asciiTheme="majorHAnsi" w:hAnsiTheme="majorHAnsi" w:cstheme="majorHAnsi"/>
        </w:rPr>
      </w:pPr>
      <w:r w:rsidRPr="006070EA">
        <w:rPr>
          <w:rFonts w:asciiTheme="majorHAnsi" w:hAnsiTheme="majorHAnsi" w:cstheme="majorHAnsi"/>
        </w:rPr>
        <w:t>VPO VU</w:t>
      </w:r>
      <w:r w:rsidR="00463154" w:rsidRPr="006070EA">
        <w:rPr>
          <w:rFonts w:asciiTheme="majorHAnsi" w:hAnsiTheme="majorHAnsi" w:cstheme="majorHAnsi"/>
        </w:rPr>
        <w:t>.</w:t>
      </w:r>
      <w:r w:rsidRPr="006070EA">
        <w:rPr>
          <w:rFonts w:asciiTheme="majorHAnsi" w:hAnsiTheme="majorHAnsi" w:cstheme="majorHAnsi"/>
        </w:rPr>
        <w:t>1 – zajištění funkčnosti skladebné části ÚSES – lokální biocentrum L</w:t>
      </w:r>
      <w:r w:rsidR="00463154" w:rsidRPr="006070EA">
        <w:rPr>
          <w:rFonts w:asciiTheme="majorHAnsi" w:hAnsiTheme="majorHAnsi" w:cstheme="majorHAnsi"/>
        </w:rPr>
        <w:t>B</w:t>
      </w:r>
      <w:r w:rsidRPr="006070EA">
        <w:rPr>
          <w:rFonts w:asciiTheme="majorHAnsi" w:hAnsiTheme="majorHAnsi" w:cstheme="majorHAnsi"/>
        </w:rPr>
        <w:t>C</w:t>
      </w:r>
      <w:r w:rsidR="00463154" w:rsidRPr="006070EA">
        <w:rPr>
          <w:rFonts w:asciiTheme="majorHAnsi" w:hAnsiTheme="majorHAnsi" w:cstheme="majorHAnsi"/>
        </w:rPr>
        <w:t>.</w:t>
      </w:r>
      <w:r w:rsidRPr="006070EA">
        <w:rPr>
          <w:rFonts w:asciiTheme="majorHAnsi" w:hAnsiTheme="majorHAnsi" w:cstheme="majorHAnsi"/>
        </w:rPr>
        <w:t>1 V Bažantnici (plocha změny v krajině K</w:t>
      </w:r>
      <w:r w:rsidR="00463154" w:rsidRPr="006070EA">
        <w:rPr>
          <w:rFonts w:asciiTheme="majorHAnsi" w:hAnsiTheme="majorHAnsi" w:cstheme="majorHAnsi"/>
        </w:rPr>
        <w:t>.</w:t>
      </w:r>
      <w:r w:rsidRPr="006070EA">
        <w:rPr>
          <w:rFonts w:asciiTheme="majorHAnsi" w:hAnsiTheme="majorHAnsi" w:cstheme="majorHAnsi"/>
        </w:rPr>
        <w:t>02)</w:t>
      </w:r>
    </w:p>
    <w:p w14:paraId="6ED4D654" w14:textId="282B593D" w:rsidR="006C561C" w:rsidRPr="006070EA" w:rsidRDefault="006C561C" w:rsidP="006C561C">
      <w:pPr>
        <w:pStyle w:val="Atext"/>
        <w:numPr>
          <w:ilvl w:val="1"/>
          <w:numId w:val="43"/>
        </w:numPr>
        <w:spacing w:before="60" w:after="60"/>
        <w:rPr>
          <w:rFonts w:asciiTheme="majorHAnsi" w:hAnsiTheme="majorHAnsi" w:cstheme="majorHAnsi"/>
        </w:rPr>
      </w:pPr>
      <w:r w:rsidRPr="006070EA">
        <w:rPr>
          <w:rFonts w:asciiTheme="majorHAnsi" w:hAnsiTheme="majorHAnsi" w:cstheme="majorHAnsi"/>
        </w:rPr>
        <w:t>VPO VU</w:t>
      </w:r>
      <w:r w:rsidR="00463154" w:rsidRPr="006070EA">
        <w:rPr>
          <w:rFonts w:asciiTheme="majorHAnsi" w:hAnsiTheme="majorHAnsi" w:cstheme="majorHAnsi"/>
        </w:rPr>
        <w:t>.</w:t>
      </w:r>
      <w:r w:rsidRPr="006070EA">
        <w:rPr>
          <w:rFonts w:asciiTheme="majorHAnsi" w:hAnsiTheme="majorHAnsi" w:cstheme="majorHAnsi"/>
        </w:rPr>
        <w:t>2 – zajištění funkčnosti skladebné části ÚSES – lokální biocentrum L</w:t>
      </w:r>
      <w:r w:rsidR="00463154" w:rsidRPr="006070EA">
        <w:rPr>
          <w:rFonts w:asciiTheme="majorHAnsi" w:hAnsiTheme="majorHAnsi" w:cstheme="majorHAnsi"/>
        </w:rPr>
        <w:t>B</w:t>
      </w:r>
      <w:r w:rsidRPr="006070EA">
        <w:rPr>
          <w:rFonts w:asciiTheme="majorHAnsi" w:hAnsiTheme="majorHAnsi" w:cstheme="majorHAnsi"/>
        </w:rPr>
        <w:t>C</w:t>
      </w:r>
      <w:r w:rsidR="00463154" w:rsidRPr="006070EA">
        <w:rPr>
          <w:rFonts w:asciiTheme="majorHAnsi" w:hAnsiTheme="majorHAnsi" w:cstheme="majorHAnsi"/>
        </w:rPr>
        <w:t>.</w:t>
      </w:r>
      <w:r w:rsidRPr="006070EA">
        <w:rPr>
          <w:rFonts w:asciiTheme="majorHAnsi" w:hAnsiTheme="majorHAnsi" w:cstheme="majorHAnsi"/>
        </w:rPr>
        <w:t>1 V Bažantnici (plocha změny v krajině K</w:t>
      </w:r>
      <w:r w:rsidR="00463154" w:rsidRPr="006070EA">
        <w:rPr>
          <w:rFonts w:asciiTheme="majorHAnsi" w:hAnsiTheme="majorHAnsi" w:cstheme="majorHAnsi"/>
        </w:rPr>
        <w:t>.</w:t>
      </w:r>
      <w:r w:rsidRPr="006070EA">
        <w:rPr>
          <w:rFonts w:asciiTheme="majorHAnsi" w:hAnsiTheme="majorHAnsi" w:cstheme="majorHAnsi"/>
        </w:rPr>
        <w:t>03)</w:t>
      </w:r>
    </w:p>
    <w:p w14:paraId="6D46C56C" w14:textId="6B59C869" w:rsidR="006C561C" w:rsidRPr="006070EA" w:rsidRDefault="006C561C" w:rsidP="006C561C">
      <w:pPr>
        <w:pStyle w:val="Atext"/>
        <w:numPr>
          <w:ilvl w:val="1"/>
          <w:numId w:val="43"/>
        </w:numPr>
        <w:spacing w:before="60" w:after="60"/>
        <w:rPr>
          <w:rFonts w:asciiTheme="majorHAnsi" w:hAnsiTheme="majorHAnsi" w:cstheme="majorHAnsi"/>
        </w:rPr>
      </w:pPr>
      <w:r w:rsidRPr="006070EA">
        <w:rPr>
          <w:rFonts w:asciiTheme="majorHAnsi" w:hAnsiTheme="majorHAnsi" w:cstheme="majorHAnsi"/>
        </w:rPr>
        <w:t>VPO VU</w:t>
      </w:r>
      <w:r w:rsidR="00463154" w:rsidRPr="006070EA">
        <w:rPr>
          <w:rFonts w:asciiTheme="majorHAnsi" w:hAnsiTheme="majorHAnsi" w:cstheme="majorHAnsi"/>
        </w:rPr>
        <w:t>.</w:t>
      </w:r>
      <w:r w:rsidRPr="006070EA">
        <w:rPr>
          <w:rFonts w:asciiTheme="majorHAnsi" w:hAnsiTheme="majorHAnsi" w:cstheme="majorHAnsi"/>
        </w:rPr>
        <w:t>3 – zajištění funkčnosti skladebné části ÚSES – lokální biocentrum L</w:t>
      </w:r>
      <w:r w:rsidR="00463154" w:rsidRPr="006070EA">
        <w:rPr>
          <w:rFonts w:asciiTheme="majorHAnsi" w:hAnsiTheme="majorHAnsi" w:cstheme="majorHAnsi"/>
        </w:rPr>
        <w:t>B</w:t>
      </w:r>
      <w:r w:rsidRPr="006070EA">
        <w:rPr>
          <w:rFonts w:asciiTheme="majorHAnsi" w:hAnsiTheme="majorHAnsi" w:cstheme="majorHAnsi"/>
        </w:rPr>
        <w:t>C</w:t>
      </w:r>
      <w:r w:rsidR="00463154" w:rsidRPr="006070EA">
        <w:rPr>
          <w:rFonts w:asciiTheme="majorHAnsi" w:hAnsiTheme="majorHAnsi" w:cstheme="majorHAnsi"/>
        </w:rPr>
        <w:t>.</w:t>
      </w:r>
      <w:r w:rsidRPr="006070EA">
        <w:rPr>
          <w:rFonts w:asciiTheme="majorHAnsi" w:hAnsiTheme="majorHAnsi" w:cstheme="majorHAnsi"/>
        </w:rPr>
        <w:t>2 Na spraši (plocha změny v krajině K</w:t>
      </w:r>
      <w:r w:rsidR="00463154" w:rsidRPr="006070EA">
        <w:rPr>
          <w:rFonts w:asciiTheme="majorHAnsi" w:hAnsiTheme="majorHAnsi" w:cstheme="majorHAnsi"/>
        </w:rPr>
        <w:t>.</w:t>
      </w:r>
      <w:r w:rsidRPr="006070EA">
        <w:rPr>
          <w:rFonts w:asciiTheme="majorHAnsi" w:hAnsiTheme="majorHAnsi" w:cstheme="majorHAnsi"/>
        </w:rPr>
        <w:t>04)</w:t>
      </w:r>
    </w:p>
    <w:p w14:paraId="1084B5D0" w14:textId="5A52F7D5" w:rsidR="006C561C" w:rsidRDefault="006C561C" w:rsidP="006C561C">
      <w:pPr>
        <w:pStyle w:val="Atext"/>
        <w:numPr>
          <w:ilvl w:val="1"/>
          <w:numId w:val="43"/>
        </w:numPr>
        <w:spacing w:before="60" w:after="60"/>
        <w:rPr>
          <w:rFonts w:asciiTheme="majorHAnsi" w:hAnsiTheme="majorHAnsi" w:cstheme="majorHAnsi"/>
        </w:rPr>
      </w:pPr>
      <w:r w:rsidRPr="006070EA">
        <w:rPr>
          <w:rFonts w:asciiTheme="majorHAnsi" w:hAnsiTheme="majorHAnsi" w:cstheme="majorHAnsi"/>
        </w:rPr>
        <w:t>VPO VU</w:t>
      </w:r>
      <w:r w:rsidR="00E36BD8" w:rsidRPr="006070EA">
        <w:rPr>
          <w:rFonts w:asciiTheme="majorHAnsi" w:hAnsiTheme="majorHAnsi" w:cstheme="majorHAnsi"/>
        </w:rPr>
        <w:t>.</w:t>
      </w:r>
      <w:r w:rsidRPr="006070EA">
        <w:rPr>
          <w:rFonts w:asciiTheme="majorHAnsi" w:hAnsiTheme="majorHAnsi" w:cstheme="majorHAnsi"/>
        </w:rPr>
        <w:t>4 – zajištění funkčnosti skladebné části ÚSES – lokální biocentrum L</w:t>
      </w:r>
      <w:r w:rsidR="00E36BD8" w:rsidRPr="006070EA">
        <w:rPr>
          <w:rFonts w:asciiTheme="majorHAnsi" w:hAnsiTheme="majorHAnsi" w:cstheme="majorHAnsi"/>
        </w:rPr>
        <w:t>B</w:t>
      </w:r>
      <w:r w:rsidRPr="006070EA">
        <w:rPr>
          <w:rFonts w:asciiTheme="majorHAnsi" w:hAnsiTheme="majorHAnsi" w:cstheme="majorHAnsi"/>
        </w:rPr>
        <w:t>C</w:t>
      </w:r>
      <w:r w:rsidR="00E36BD8" w:rsidRPr="006070EA">
        <w:rPr>
          <w:rFonts w:asciiTheme="majorHAnsi" w:hAnsiTheme="majorHAnsi" w:cstheme="majorHAnsi"/>
        </w:rPr>
        <w:t>.</w:t>
      </w:r>
      <w:r w:rsidRPr="006070EA">
        <w:rPr>
          <w:rFonts w:asciiTheme="majorHAnsi" w:hAnsiTheme="majorHAnsi" w:cstheme="majorHAnsi"/>
        </w:rPr>
        <w:t>2 Na spraši (plocha změny v krajině K</w:t>
      </w:r>
      <w:r w:rsidR="00E36BD8" w:rsidRPr="006070EA">
        <w:rPr>
          <w:rFonts w:asciiTheme="majorHAnsi" w:hAnsiTheme="majorHAnsi" w:cstheme="majorHAnsi"/>
        </w:rPr>
        <w:t>.</w:t>
      </w:r>
      <w:r w:rsidRPr="006070EA">
        <w:rPr>
          <w:rFonts w:asciiTheme="majorHAnsi" w:hAnsiTheme="majorHAnsi" w:cstheme="majorHAnsi"/>
        </w:rPr>
        <w:t>05)</w:t>
      </w:r>
    </w:p>
    <w:p w14:paraId="5E326842" w14:textId="0F4B7719" w:rsidR="00BA3BDE" w:rsidRPr="00BA3BDE" w:rsidRDefault="00BA3BDE" w:rsidP="007B7517">
      <w:pPr>
        <w:pStyle w:val="Atext"/>
        <w:numPr>
          <w:ilvl w:val="1"/>
          <w:numId w:val="43"/>
        </w:numPr>
        <w:spacing w:before="60" w:after="60"/>
        <w:rPr>
          <w:rFonts w:asciiTheme="majorHAnsi" w:hAnsiTheme="majorHAnsi" w:cstheme="majorHAnsi"/>
        </w:rPr>
      </w:pPr>
      <w:r w:rsidRPr="00BA3BDE">
        <w:rPr>
          <w:rFonts w:asciiTheme="majorHAnsi" w:hAnsiTheme="majorHAnsi" w:cstheme="majorHAnsi"/>
        </w:rPr>
        <w:t>VPO VU.5 – zajištění funkčnosti lokálního biokoridoru LBK.2 včetně revitalizace a renaturace Hronětického náhonu</w:t>
      </w:r>
      <w:r>
        <w:rPr>
          <w:rFonts w:asciiTheme="majorHAnsi" w:hAnsiTheme="majorHAnsi" w:cstheme="majorHAnsi"/>
        </w:rPr>
        <w:t xml:space="preserve"> </w:t>
      </w:r>
      <w:r w:rsidRPr="00BA3BDE">
        <w:rPr>
          <w:rFonts w:asciiTheme="majorHAnsi" w:hAnsiTheme="majorHAnsi" w:cstheme="majorHAnsi"/>
        </w:rPr>
        <w:t>(lokální biokoridor LBK.2)</w:t>
      </w:r>
    </w:p>
    <w:p w14:paraId="20573694" w14:textId="77777777" w:rsidR="007F0B57" w:rsidRPr="006070EA" w:rsidRDefault="007F0B57" w:rsidP="007F0B57">
      <w:pPr>
        <w:pStyle w:val="Atext"/>
        <w:spacing w:before="60" w:after="60"/>
        <w:rPr>
          <w:rFonts w:asciiTheme="majorHAnsi" w:hAnsiTheme="majorHAnsi" w:cstheme="majorHAnsi"/>
        </w:rPr>
      </w:pPr>
      <w:r w:rsidRPr="006070EA">
        <w:rPr>
          <w:rFonts w:asciiTheme="majorHAnsi" w:hAnsiTheme="majorHAnsi" w:cstheme="majorHAnsi"/>
        </w:rPr>
        <w:t xml:space="preserve">Plochy změn v krajině určené pro založení dílčích částí prvků ÚSES jsou vymezeny ve veřejném zájmu, který spočívá v zajištění funkčnosti všech skladebných částí ÚSES v řešeném území. </w:t>
      </w:r>
    </w:p>
    <w:p w14:paraId="4CD59E56" w14:textId="77777777" w:rsidR="007F0B57" w:rsidRPr="006070EA" w:rsidRDefault="007F0B57" w:rsidP="007F0B57">
      <w:pPr>
        <w:pStyle w:val="Atext"/>
        <w:spacing w:before="60" w:after="60"/>
        <w:rPr>
          <w:rFonts w:asciiTheme="majorHAnsi" w:hAnsiTheme="majorHAnsi" w:cstheme="majorHAnsi"/>
        </w:rPr>
      </w:pPr>
      <w:r w:rsidRPr="006070EA">
        <w:rPr>
          <w:rFonts w:asciiTheme="majorHAnsi" w:hAnsiTheme="majorHAnsi" w:cstheme="majorHAnsi"/>
        </w:rPr>
        <w:t>Důvodem pro vymezení VPO je zejména zajištění a zvyšování ekologické stability krajiny.</w:t>
      </w:r>
    </w:p>
    <w:p w14:paraId="28F381D1" w14:textId="77777777" w:rsidR="00082327" w:rsidRPr="006070EA" w:rsidRDefault="00082327" w:rsidP="00C434D3">
      <w:pPr>
        <w:pStyle w:val="Mra2-reakceern"/>
        <w:keepNext/>
        <w:pBdr>
          <w:left w:val="none" w:sz="0" w:space="0" w:color="auto"/>
        </w:pBdr>
        <w:shd w:val="clear" w:color="auto" w:fill="DEEAF6" w:themeFill="accent1" w:themeFillTint="33"/>
        <w:spacing w:before="240" w:after="120"/>
        <w:ind w:left="705" w:hanging="705"/>
        <w:rPr>
          <w:rFonts w:asciiTheme="majorHAnsi" w:hAnsiTheme="majorHAnsi" w:cstheme="majorHAnsi"/>
          <w:b/>
          <w:i/>
          <w:color w:val="auto"/>
          <w:sz w:val="22"/>
        </w:rPr>
      </w:pPr>
      <w:r w:rsidRPr="006070EA">
        <w:rPr>
          <w:rFonts w:asciiTheme="majorHAnsi" w:hAnsiTheme="majorHAnsi" w:cstheme="majorHAnsi"/>
          <w:b/>
          <w:i/>
          <w:color w:val="auto"/>
          <w:sz w:val="22"/>
        </w:rPr>
        <w:t>AD 8</w:t>
      </w:r>
      <w:r w:rsidRPr="006070EA">
        <w:rPr>
          <w:rFonts w:asciiTheme="majorHAnsi" w:hAnsiTheme="majorHAnsi" w:cstheme="majorHAnsi"/>
          <w:b/>
          <w:i/>
          <w:color w:val="auto"/>
          <w:sz w:val="22"/>
        </w:rPr>
        <w:tab/>
        <w:t xml:space="preserve">Vymezení veřejně prospěšných staveb a veřejných prostranství, pro které lze uplatnit předkupní právo, s uvedením v čí prospěch je předkupní právo zřizováno, parcelních čísel pozemků, názvu katastrálního území a případně dalších údajů podle § </w:t>
      </w:r>
      <w:r w:rsidR="003367DF" w:rsidRPr="006070EA">
        <w:rPr>
          <w:rFonts w:asciiTheme="majorHAnsi" w:hAnsiTheme="majorHAnsi" w:cstheme="majorHAnsi"/>
          <w:b/>
          <w:i/>
          <w:color w:val="auto"/>
          <w:sz w:val="22"/>
        </w:rPr>
        <w:t>8</w:t>
      </w:r>
      <w:r w:rsidRPr="006070EA">
        <w:rPr>
          <w:rFonts w:asciiTheme="majorHAnsi" w:hAnsiTheme="majorHAnsi" w:cstheme="majorHAnsi"/>
          <w:b/>
          <w:i/>
          <w:color w:val="auto"/>
          <w:sz w:val="22"/>
        </w:rPr>
        <w:t xml:space="preserve"> katastrálního zákona</w:t>
      </w:r>
    </w:p>
    <w:p w14:paraId="20C7FDFA" w14:textId="77777777" w:rsidR="009E07E1" w:rsidRPr="006070EA" w:rsidRDefault="009E07E1" w:rsidP="003A4B1E">
      <w:pPr>
        <w:pStyle w:val="Odstavecseseznamem"/>
        <w:keepNext/>
        <w:numPr>
          <w:ilvl w:val="1"/>
          <w:numId w:val="30"/>
        </w:numPr>
        <w:spacing w:before="160" w:after="120" w:line="240" w:lineRule="auto"/>
        <w:ind w:left="709" w:hanging="709"/>
        <w:contextualSpacing w:val="0"/>
        <w:jc w:val="both"/>
        <w:outlineLvl w:val="1"/>
        <w:rPr>
          <w:rFonts w:asciiTheme="majorHAnsi" w:hAnsiTheme="majorHAnsi" w:cstheme="majorHAnsi"/>
          <w:b/>
          <w:sz w:val="24"/>
          <w:szCs w:val="20"/>
        </w:rPr>
      </w:pPr>
      <w:bookmarkStart w:id="408" w:name="_Toc459717343"/>
      <w:bookmarkStart w:id="409" w:name="_Toc204678217"/>
      <w:r w:rsidRPr="006070EA">
        <w:rPr>
          <w:rFonts w:asciiTheme="majorHAnsi" w:hAnsiTheme="majorHAnsi" w:cstheme="majorHAnsi"/>
          <w:b/>
          <w:sz w:val="24"/>
          <w:szCs w:val="20"/>
        </w:rPr>
        <w:t>Odůvodnění vymezení veřejně prospěšných staveb a veřejných prostranství, pro které lze uplatnit předkupní právo</w:t>
      </w:r>
      <w:bookmarkEnd w:id="408"/>
      <w:bookmarkEnd w:id="409"/>
    </w:p>
    <w:p w14:paraId="6F0F32C3" w14:textId="7A6D2996" w:rsidR="00705151" w:rsidRPr="006070EA" w:rsidRDefault="00705151" w:rsidP="00705151">
      <w:pPr>
        <w:pStyle w:val="Atext"/>
        <w:keepNext/>
        <w:ind w:left="1429" w:firstLine="0"/>
        <w:jc w:val="right"/>
        <w:rPr>
          <w:rFonts w:asciiTheme="majorHAnsi" w:hAnsiTheme="majorHAnsi" w:cstheme="majorHAnsi"/>
          <w:i/>
          <w:snapToGrid w:val="0"/>
          <w:u w:val="single"/>
        </w:rPr>
      </w:pPr>
      <w:r w:rsidRPr="006070EA">
        <w:rPr>
          <w:rFonts w:asciiTheme="majorHAnsi" w:hAnsiTheme="majorHAnsi" w:cstheme="majorHAnsi"/>
          <w:i/>
          <w:snapToGrid w:val="0"/>
          <w:u w:val="single"/>
        </w:rPr>
        <w:t>Odůvodnění odst.</w:t>
      </w:r>
      <w:r w:rsidRPr="006070EA">
        <w:rPr>
          <w:rFonts w:asciiTheme="majorHAnsi" w:hAnsiTheme="majorHAnsi" w:cstheme="majorHAnsi"/>
          <w:b/>
          <w:i/>
          <w:snapToGrid w:val="0"/>
          <w:u w:val="single"/>
        </w:rPr>
        <w:t xml:space="preserve"> (</w:t>
      </w:r>
      <w:r w:rsidR="00E36BD8" w:rsidRPr="006070EA">
        <w:rPr>
          <w:rFonts w:asciiTheme="majorHAnsi" w:hAnsiTheme="majorHAnsi" w:cstheme="majorHAnsi"/>
          <w:b/>
          <w:i/>
          <w:snapToGrid w:val="0"/>
          <w:u w:val="single"/>
        </w:rPr>
        <w:t>8</w:t>
      </w:r>
      <w:r w:rsidR="00BA3BDE">
        <w:rPr>
          <w:rFonts w:asciiTheme="majorHAnsi" w:hAnsiTheme="majorHAnsi" w:cstheme="majorHAnsi"/>
          <w:b/>
          <w:i/>
          <w:snapToGrid w:val="0"/>
          <w:u w:val="single"/>
        </w:rPr>
        <w:t>4</w:t>
      </w:r>
      <w:r w:rsidRPr="006070EA">
        <w:rPr>
          <w:rFonts w:asciiTheme="majorHAnsi" w:hAnsiTheme="majorHAnsi" w:cstheme="majorHAnsi"/>
          <w:b/>
          <w:i/>
          <w:snapToGrid w:val="0"/>
          <w:u w:val="single"/>
        </w:rPr>
        <w:t xml:space="preserve">) </w:t>
      </w:r>
      <w:r w:rsidR="001C66D9" w:rsidRPr="006070EA">
        <w:rPr>
          <w:rFonts w:asciiTheme="majorHAnsi" w:hAnsiTheme="majorHAnsi" w:cstheme="majorHAnsi"/>
          <w:bCs w:val="0"/>
          <w:i/>
          <w:snapToGrid w:val="0"/>
          <w:u w:val="single"/>
        </w:rPr>
        <w:t>a</w:t>
      </w:r>
      <w:r w:rsidRPr="006070EA">
        <w:rPr>
          <w:rFonts w:asciiTheme="majorHAnsi" w:hAnsiTheme="majorHAnsi" w:cstheme="majorHAnsi"/>
          <w:b/>
          <w:i/>
          <w:snapToGrid w:val="0"/>
          <w:u w:val="single"/>
        </w:rPr>
        <w:t xml:space="preserve"> (</w:t>
      </w:r>
      <w:r w:rsidR="001C66D9" w:rsidRPr="006070EA">
        <w:rPr>
          <w:rFonts w:asciiTheme="majorHAnsi" w:hAnsiTheme="majorHAnsi" w:cstheme="majorHAnsi"/>
          <w:b/>
          <w:i/>
          <w:snapToGrid w:val="0"/>
          <w:u w:val="single"/>
        </w:rPr>
        <w:t>8</w:t>
      </w:r>
      <w:r w:rsidR="00BA3BDE">
        <w:rPr>
          <w:rFonts w:asciiTheme="majorHAnsi" w:hAnsiTheme="majorHAnsi" w:cstheme="majorHAnsi"/>
          <w:b/>
          <w:i/>
          <w:snapToGrid w:val="0"/>
          <w:u w:val="single"/>
        </w:rPr>
        <w:t>5</w:t>
      </w:r>
      <w:r w:rsidRPr="006070EA">
        <w:rPr>
          <w:rFonts w:asciiTheme="majorHAnsi" w:hAnsiTheme="majorHAnsi" w:cstheme="majorHAnsi"/>
          <w:b/>
          <w:i/>
          <w:snapToGrid w:val="0"/>
          <w:u w:val="single"/>
        </w:rPr>
        <w:t xml:space="preserve">) </w:t>
      </w:r>
      <w:r w:rsidRPr="006070EA">
        <w:rPr>
          <w:rFonts w:asciiTheme="majorHAnsi" w:hAnsiTheme="majorHAnsi" w:cstheme="majorHAnsi"/>
          <w:i/>
          <w:snapToGrid w:val="0"/>
          <w:u w:val="single"/>
        </w:rPr>
        <w:t>výrokové části</w:t>
      </w:r>
    </w:p>
    <w:p w14:paraId="351B57CE" w14:textId="77777777" w:rsidR="00705151" w:rsidRPr="006070EA" w:rsidRDefault="00705151" w:rsidP="00705151">
      <w:pPr>
        <w:pStyle w:val="Atext"/>
        <w:rPr>
          <w:rFonts w:asciiTheme="majorHAnsi" w:hAnsiTheme="majorHAnsi" w:cstheme="majorHAnsi"/>
        </w:rPr>
      </w:pPr>
      <w:r w:rsidRPr="006070EA">
        <w:rPr>
          <w:rFonts w:asciiTheme="majorHAnsi" w:hAnsiTheme="majorHAnsi" w:cstheme="majorHAnsi"/>
        </w:rPr>
        <w:t>V souladu s § 2 odst. 1 písm. m) a n) stavebního zákona ÚP vymezuje veřejně prospěšné stavby. Jako veřejně prospěšné stavby, pro které lze uplatnit předkupní právo, jsou vymezeny plochy určené pro veřejnou infrastrukturu dle § 2 odst. 1 písm. m) číslo 3 a 4. stavebního zákona (občanské vybavení a veřejná prostranství). Pro dané plochy lze uplatnit předkupní právo v souladu s § 101 odst. 1 zákona č. 183/2006 Sb.</w:t>
      </w:r>
    </w:p>
    <w:p w14:paraId="71251FFF" w14:textId="77777777" w:rsidR="00705151" w:rsidRPr="006070EA" w:rsidRDefault="00705151" w:rsidP="00705151">
      <w:pPr>
        <w:pStyle w:val="ANADPIS4"/>
        <w:rPr>
          <w:rFonts w:asciiTheme="majorHAnsi" w:hAnsiTheme="majorHAnsi" w:cstheme="majorHAnsi"/>
        </w:rPr>
      </w:pPr>
      <w:r w:rsidRPr="006070EA">
        <w:rPr>
          <w:rFonts w:asciiTheme="majorHAnsi" w:hAnsiTheme="majorHAnsi" w:cstheme="majorHAnsi"/>
        </w:rPr>
        <w:lastRenderedPageBreak/>
        <w:t>veřejnÁ PROSTRANSTVÍ</w:t>
      </w:r>
    </w:p>
    <w:p w14:paraId="38495DAB" w14:textId="0857CA78" w:rsidR="00705151" w:rsidRPr="006070EA" w:rsidRDefault="00705151" w:rsidP="00705151">
      <w:pPr>
        <w:pStyle w:val="Mra2-reakceern"/>
        <w:keepNext/>
        <w:pBdr>
          <w:left w:val="none" w:sz="0" w:space="0" w:color="auto"/>
        </w:pBdr>
        <w:spacing w:before="120" w:after="60"/>
        <w:ind w:left="0"/>
        <w:jc w:val="right"/>
        <w:rPr>
          <w:rFonts w:asciiTheme="majorHAnsi" w:hAnsiTheme="majorHAnsi" w:cstheme="majorHAnsi"/>
          <w:i/>
          <w:color w:val="auto"/>
          <w:u w:val="single"/>
        </w:rPr>
      </w:pPr>
      <w:r w:rsidRPr="006070EA">
        <w:rPr>
          <w:rFonts w:asciiTheme="majorHAnsi" w:hAnsiTheme="majorHAnsi" w:cstheme="majorHAnsi"/>
          <w:i/>
          <w:color w:val="auto"/>
          <w:u w:val="single"/>
        </w:rPr>
        <w:t xml:space="preserve">Odůvodnění odst. </w:t>
      </w:r>
      <w:r w:rsidRPr="006070EA">
        <w:rPr>
          <w:rFonts w:asciiTheme="majorHAnsi" w:hAnsiTheme="majorHAnsi" w:cstheme="majorHAnsi"/>
          <w:b/>
          <w:i/>
          <w:color w:val="auto"/>
          <w:u w:val="single"/>
        </w:rPr>
        <w:t>(</w:t>
      </w:r>
      <w:r w:rsidR="00E36BD8" w:rsidRPr="006070EA">
        <w:rPr>
          <w:rFonts w:asciiTheme="majorHAnsi" w:hAnsiTheme="majorHAnsi" w:cstheme="majorHAnsi"/>
          <w:b/>
          <w:i/>
          <w:color w:val="auto"/>
          <w:u w:val="single"/>
        </w:rPr>
        <w:t>8</w:t>
      </w:r>
      <w:r w:rsidR="00BA3BDE">
        <w:rPr>
          <w:rFonts w:asciiTheme="majorHAnsi" w:hAnsiTheme="majorHAnsi" w:cstheme="majorHAnsi"/>
          <w:b/>
          <w:i/>
          <w:color w:val="auto"/>
          <w:u w:val="single"/>
        </w:rPr>
        <w:t>4</w:t>
      </w:r>
      <w:r w:rsidRPr="006070EA">
        <w:rPr>
          <w:rFonts w:asciiTheme="majorHAnsi" w:hAnsiTheme="majorHAnsi" w:cstheme="majorHAnsi"/>
          <w:b/>
          <w:i/>
          <w:color w:val="auto"/>
          <w:u w:val="single"/>
        </w:rPr>
        <w:t>)</w:t>
      </w:r>
      <w:r w:rsidRPr="006070EA">
        <w:rPr>
          <w:rFonts w:asciiTheme="majorHAnsi" w:hAnsiTheme="majorHAnsi" w:cstheme="majorHAnsi"/>
          <w:i/>
          <w:color w:val="auto"/>
          <w:u w:val="single"/>
        </w:rPr>
        <w:t xml:space="preserve"> výrokové části</w:t>
      </w:r>
    </w:p>
    <w:p w14:paraId="719B2F7A" w14:textId="0C8A7FC5" w:rsidR="00705151" w:rsidRPr="006070EA" w:rsidRDefault="00705151" w:rsidP="00705151">
      <w:pPr>
        <w:pStyle w:val="Atext"/>
        <w:rPr>
          <w:rFonts w:asciiTheme="majorHAnsi" w:hAnsiTheme="majorHAnsi" w:cstheme="majorHAnsi"/>
        </w:rPr>
      </w:pPr>
      <w:r w:rsidRPr="006070EA">
        <w:rPr>
          <w:rFonts w:asciiTheme="majorHAnsi" w:hAnsiTheme="majorHAnsi" w:cstheme="majorHAnsi"/>
        </w:rPr>
        <w:t xml:space="preserve">Jako veřejná prostranství v souladu s § 2 odst. 1 písm. m) č. 4 a písm. n) zákona č. 183/2006 Sb. jsou vymezeny plochy </w:t>
      </w:r>
      <w:r w:rsidR="00E36BD8" w:rsidRPr="006070EA">
        <w:rPr>
          <w:rFonts w:asciiTheme="majorHAnsi" w:hAnsiTheme="majorHAnsi" w:cstheme="majorHAnsi"/>
        </w:rPr>
        <w:t xml:space="preserve">s využitím pro </w:t>
      </w:r>
      <w:r w:rsidRPr="006070EA">
        <w:rPr>
          <w:rFonts w:asciiTheme="majorHAnsi" w:hAnsiTheme="majorHAnsi" w:cstheme="majorHAnsi"/>
        </w:rPr>
        <w:t>veřejn</w:t>
      </w:r>
      <w:r w:rsidR="00E36BD8" w:rsidRPr="006070EA">
        <w:rPr>
          <w:rFonts w:asciiTheme="majorHAnsi" w:hAnsiTheme="majorHAnsi" w:cstheme="majorHAnsi"/>
        </w:rPr>
        <w:t>á</w:t>
      </w:r>
      <w:r w:rsidRPr="006070EA">
        <w:rPr>
          <w:rFonts w:asciiTheme="majorHAnsi" w:hAnsiTheme="majorHAnsi" w:cstheme="majorHAnsi"/>
        </w:rPr>
        <w:t xml:space="preserve"> prostranství pobytového charakteru, které zajišťují rozvoj veřejných prostranství jako součásti veřejné infrastruktury. Jedná se o </w:t>
      </w:r>
      <w:r w:rsidR="008E4EF0" w:rsidRPr="006070EA">
        <w:rPr>
          <w:rFonts w:asciiTheme="majorHAnsi" w:hAnsiTheme="majorHAnsi" w:cstheme="majorHAnsi"/>
        </w:rPr>
        <w:t xml:space="preserve">zastavitelné </w:t>
      </w:r>
      <w:r w:rsidRPr="006070EA">
        <w:rPr>
          <w:rFonts w:asciiTheme="majorHAnsi" w:hAnsiTheme="majorHAnsi" w:cstheme="majorHAnsi"/>
        </w:rPr>
        <w:t>plochy veřejné zeleně určené pro rozvoj pobytových veřejných prostranství s převažujícím podílem zeleně</w:t>
      </w:r>
      <w:r w:rsidR="008E4EF0" w:rsidRPr="006070EA">
        <w:rPr>
          <w:rFonts w:asciiTheme="majorHAnsi" w:hAnsiTheme="majorHAnsi" w:cstheme="majorHAnsi"/>
        </w:rPr>
        <w:t xml:space="preserve">, zařazené do ploch zeleně </w:t>
      </w:r>
      <w:r w:rsidR="00E36BD8" w:rsidRPr="006070EA">
        <w:rPr>
          <w:rFonts w:asciiTheme="majorHAnsi" w:hAnsiTheme="majorHAnsi" w:cstheme="majorHAnsi"/>
        </w:rPr>
        <w:t xml:space="preserve">– parky a parkově upravené plochy </w:t>
      </w:r>
      <w:r w:rsidR="008E4EF0" w:rsidRPr="006070EA">
        <w:rPr>
          <w:rFonts w:asciiTheme="majorHAnsi" w:hAnsiTheme="majorHAnsi" w:cstheme="majorHAnsi"/>
        </w:rPr>
        <w:t>(Z</w:t>
      </w:r>
      <w:r w:rsidR="00E36BD8" w:rsidRPr="006070EA">
        <w:rPr>
          <w:rFonts w:asciiTheme="majorHAnsi" w:hAnsiTheme="majorHAnsi" w:cstheme="majorHAnsi"/>
        </w:rPr>
        <w:t>P</w:t>
      </w:r>
      <w:r w:rsidR="008E4EF0" w:rsidRPr="006070EA">
        <w:rPr>
          <w:rFonts w:asciiTheme="majorHAnsi" w:hAnsiTheme="majorHAnsi" w:cstheme="majorHAnsi"/>
        </w:rPr>
        <w:t>)</w:t>
      </w:r>
      <w:r w:rsidRPr="006070EA">
        <w:rPr>
          <w:rFonts w:asciiTheme="majorHAnsi" w:hAnsiTheme="majorHAnsi" w:cstheme="majorHAnsi"/>
        </w:rPr>
        <w:t xml:space="preserve">, a dále </w:t>
      </w:r>
      <w:r w:rsidR="008E4EF0" w:rsidRPr="006070EA">
        <w:rPr>
          <w:rFonts w:asciiTheme="majorHAnsi" w:hAnsiTheme="majorHAnsi" w:cstheme="majorHAnsi"/>
        </w:rPr>
        <w:t xml:space="preserve">o zastavitelnou </w:t>
      </w:r>
      <w:r w:rsidRPr="006070EA">
        <w:rPr>
          <w:rFonts w:asciiTheme="majorHAnsi" w:hAnsiTheme="majorHAnsi" w:cstheme="majorHAnsi"/>
        </w:rPr>
        <w:t>ploch</w:t>
      </w:r>
      <w:r w:rsidR="008E4EF0" w:rsidRPr="006070EA">
        <w:rPr>
          <w:rFonts w:asciiTheme="majorHAnsi" w:hAnsiTheme="majorHAnsi" w:cstheme="majorHAnsi"/>
        </w:rPr>
        <w:t>u</w:t>
      </w:r>
      <w:r w:rsidRPr="006070EA">
        <w:rPr>
          <w:rFonts w:asciiTheme="majorHAnsi" w:hAnsiTheme="majorHAnsi" w:cstheme="majorHAnsi"/>
        </w:rPr>
        <w:t xml:space="preserve"> </w:t>
      </w:r>
      <w:r w:rsidR="008E4EF0" w:rsidRPr="006070EA">
        <w:rPr>
          <w:rFonts w:asciiTheme="majorHAnsi" w:hAnsiTheme="majorHAnsi" w:cstheme="majorHAnsi"/>
        </w:rPr>
        <w:t>veřejného prostranství</w:t>
      </w:r>
      <w:r w:rsidR="00E36BD8" w:rsidRPr="006070EA">
        <w:rPr>
          <w:rFonts w:asciiTheme="majorHAnsi" w:hAnsiTheme="majorHAnsi" w:cstheme="majorHAnsi"/>
        </w:rPr>
        <w:t xml:space="preserve"> všeobecného</w:t>
      </w:r>
      <w:r w:rsidR="008E4EF0" w:rsidRPr="006070EA">
        <w:rPr>
          <w:rFonts w:asciiTheme="majorHAnsi" w:hAnsiTheme="majorHAnsi" w:cstheme="majorHAnsi"/>
        </w:rPr>
        <w:t xml:space="preserve"> (P</w:t>
      </w:r>
      <w:r w:rsidR="00E36BD8" w:rsidRPr="006070EA">
        <w:rPr>
          <w:rFonts w:asciiTheme="majorHAnsi" w:hAnsiTheme="majorHAnsi" w:cstheme="majorHAnsi"/>
        </w:rPr>
        <w:t>U</w:t>
      </w:r>
      <w:r w:rsidR="008E4EF0" w:rsidRPr="006070EA">
        <w:rPr>
          <w:rFonts w:asciiTheme="majorHAnsi" w:hAnsiTheme="majorHAnsi" w:cstheme="majorHAnsi"/>
        </w:rPr>
        <w:t>) pro zvýšení prostupnosti a zajištění optimální obslužnosti zastavěného území sídla Vápensko</w:t>
      </w:r>
      <w:r w:rsidRPr="006070EA">
        <w:rPr>
          <w:rFonts w:asciiTheme="majorHAnsi" w:hAnsiTheme="majorHAnsi" w:cstheme="majorHAnsi"/>
        </w:rPr>
        <w:t>. Pro</w:t>
      </w:r>
      <w:r w:rsidR="008E4EF0" w:rsidRPr="006070EA">
        <w:rPr>
          <w:rFonts w:asciiTheme="majorHAnsi" w:hAnsiTheme="majorHAnsi" w:cstheme="majorHAnsi"/>
        </w:rPr>
        <w:t> </w:t>
      </w:r>
      <w:r w:rsidRPr="006070EA">
        <w:rPr>
          <w:rFonts w:asciiTheme="majorHAnsi" w:hAnsiTheme="majorHAnsi" w:cstheme="majorHAnsi"/>
        </w:rPr>
        <w:t>dané plochy lze uplatnit předkupní právo v souladu s § 101 odst. 1 stavebního zákona.</w:t>
      </w:r>
    </w:p>
    <w:p w14:paraId="69794AA9" w14:textId="77777777" w:rsidR="00705151" w:rsidRPr="006070EA" w:rsidRDefault="00705151" w:rsidP="00705151">
      <w:pPr>
        <w:pStyle w:val="Atext"/>
        <w:spacing w:before="60" w:after="60"/>
        <w:rPr>
          <w:rFonts w:asciiTheme="majorHAnsi" w:hAnsiTheme="majorHAnsi" w:cstheme="majorHAnsi"/>
        </w:rPr>
      </w:pPr>
      <w:r w:rsidRPr="006070EA">
        <w:rPr>
          <w:rFonts w:asciiTheme="majorHAnsi" w:hAnsiTheme="majorHAnsi" w:cstheme="majorHAnsi"/>
        </w:rPr>
        <w:t xml:space="preserve">Odůvodnění jednotlivých VPS, pro něž jsou vymezeny zastavitelné plochy je součástí komplexního zdůvodnění přijatého řešení a podrobně je uvedeno v kapitole 11.3.3. </w:t>
      </w:r>
    </w:p>
    <w:p w14:paraId="6D323299" w14:textId="50CE3CE0" w:rsidR="00705151" w:rsidRPr="006070EA" w:rsidRDefault="00705151" w:rsidP="00705151">
      <w:pPr>
        <w:pStyle w:val="Atext"/>
        <w:rPr>
          <w:rFonts w:asciiTheme="majorHAnsi" w:hAnsiTheme="majorHAnsi" w:cstheme="majorHAnsi"/>
        </w:rPr>
      </w:pPr>
      <w:r w:rsidRPr="006070EA">
        <w:rPr>
          <w:rFonts w:asciiTheme="majorHAnsi" w:hAnsiTheme="majorHAnsi" w:cstheme="majorHAnsi"/>
        </w:rPr>
        <w:t>Plochy jsou vymezeny ve veřejném zájmu, který spočívá v zajištění dostatečného podílu pobytových veřejných prostranství a dostatečného podílu veřejné zeleně jako součásti systému sídelní zeleně</w:t>
      </w:r>
      <w:r w:rsidR="004C6939" w:rsidRPr="006070EA">
        <w:rPr>
          <w:rFonts w:asciiTheme="majorHAnsi" w:hAnsiTheme="majorHAnsi" w:cstheme="majorHAnsi"/>
        </w:rPr>
        <w:t xml:space="preserve"> a dále ve vytvoření podmínek pro zvýšení dopravní obslužnosti a prostupnosti zastavěného území</w:t>
      </w:r>
      <w:r w:rsidRPr="006070EA">
        <w:rPr>
          <w:rFonts w:asciiTheme="majorHAnsi" w:hAnsiTheme="majorHAnsi" w:cstheme="majorHAnsi"/>
        </w:rPr>
        <w:t xml:space="preserve">, rovněž se zajištěním dalších funkcí (zejména možného rozvoje prvků modrozelené infrastruktury, zajištění rekreačního zázemí v urbanizovaném území atd.). </w:t>
      </w:r>
    </w:p>
    <w:p w14:paraId="4E8A2FE9" w14:textId="1475A5C7" w:rsidR="008E4EF0" w:rsidRPr="006070EA" w:rsidRDefault="008E4EF0" w:rsidP="008E4EF0">
      <w:pPr>
        <w:pStyle w:val="Mra2-reakceern"/>
        <w:keepNext/>
        <w:pBdr>
          <w:left w:val="none" w:sz="0" w:space="0" w:color="auto"/>
        </w:pBdr>
        <w:spacing w:before="120" w:after="60"/>
        <w:ind w:left="0"/>
        <w:jc w:val="right"/>
        <w:rPr>
          <w:rFonts w:asciiTheme="majorHAnsi" w:hAnsiTheme="majorHAnsi" w:cstheme="majorHAnsi"/>
          <w:i/>
          <w:color w:val="auto"/>
          <w:u w:val="single"/>
        </w:rPr>
      </w:pPr>
      <w:r w:rsidRPr="006070EA">
        <w:rPr>
          <w:rFonts w:asciiTheme="majorHAnsi" w:hAnsiTheme="majorHAnsi" w:cstheme="majorHAnsi"/>
          <w:i/>
          <w:color w:val="auto"/>
          <w:u w:val="single"/>
        </w:rPr>
        <w:t xml:space="preserve">Odůvodnění odst. </w:t>
      </w:r>
      <w:r w:rsidRPr="006070EA">
        <w:rPr>
          <w:rFonts w:asciiTheme="majorHAnsi" w:hAnsiTheme="majorHAnsi" w:cstheme="majorHAnsi"/>
          <w:b/>
          <w:i/>
          <w:color w:val="auto"/>
          <w:u w:val="single"/>
        </w:rPr>
        <w:t>(</w:t>
      </w:r>
      <w:r w:rsidR="00E36BD8" w:rsidRPr="006070EA">
        <w:rPr>
          <w:rFonts w:asciiTheme="majorHAnsi" w:hAnsiTheme="majorHAnsi" w:cstheme="majorHAnsi"/>
          <w:b/>
          <w:i/>
          <w:color w:val="auto"/>
          <w:u w:val="single"/>
        </w:rPr>
        <w:t>8</w:t>
      </w:r>
      <w:r w:rsidR="00BA3BDE">
        <w:rPr>
          <w:rFonts w:asciiTheme="majorHAnsi" w:hAnsiTheme="majorHAnsi" w:cstheme="majorHAnsi"/>
          <w:b/>
          <w:i/>
          <w:color w:val="auto"/>
          <w:u w:val="single"/>
        </w:rPr>
        <w:t>5</w:t>
      </w:r>
      <w:r w:rsidRPr="006070EA">
        <w:rPr>
          <w:rFonts w:asciiTheme="majorHAnsi" w:hAnsiTheme="majorHAnsi" w:cstheme="majorHAnsi"/>
          <w:b/>
          <w:i/>
          <w:color w:val="auto"/>
          <w:u w:val="single"/>
        </w:rPr>
        <w:t>)</w:t>
      </w:r>
      <w:r w:rsidRPr="006070EA">
        <w:rPr>
          <w:rFonts w:asciiTheme="majorHAnsi" w:hAnsiTheme="majorHAnsi" w:cstheme="majorHAnsi"/>
          <w:i/>
          <w:color w:val="auto"/>
          <w:u w:val="single"/>
        </w:rPr>
        <w:t xml:space="preserve"> výrokové části</w:t>
      </w:r>
    </w:p>
    <w:p w14:paraId="4A991D8B" w14:textId="0C11A6E4" w:rsidR="00705151" w:rsidRPr="006070EA" w:rsidRDefault="008E4EF0" w:rsidP="008E4EF0">
      <w:pPr>
        <w:keepNext/>
        <w:spacing w:after="120" w:line="240" w:lineRule="auto"/>
        <w:ind w:firstLine="709"/>
        <w:jc w:val="both"/>
        <w:rPr>
          <w:rFonts w:asciiTheme="majorHAnsi" w:hAnsiTheme="majorHAnsi" w:cstheme="majorHAnsi"/>
          <w:i/>
          <w:sz w:val="18"/>
          <w:szCs w:val="20"/>
          <w:u w:val="single"/>
        </w:rPr>
      </w:pPr>
      <w:r w:rsidRPr="006070EA">
        <w:rPr>
          <w:rFonts w:asciiTheme="majorHAnsi" w:hAnsiTheme="majorHAnsi" w:cstheme="majorHAnsi"/>
          <w:sz w:val="18"/>
          <w:szCs w:val="20"/>
        </w:rPr>
        <w:t>Územní plán nevymezuje veřejně prospěšné stavby občanského vybavení, která jsou veřejnou infrastrukturou, pro která lze uplatnit předkupní právo.</w:t>
      </w:r>
    </w:p>
    <w:p w14:paraId="324CF3AF" w14:textId="77777777" w:rsidR="000043B2" w:rsidRPr="006070EA" w:rsidRDefault="000043B2" w:rsidP="00155D25">
      <w:pPr>
        <w:pStyle w:val="Mra2-reakceern"/>
        <w:keepNext/>
        <w:pBdr>
          <w:left w:val="none" w:sz="0" w:space="0" w:color="auto"/>
        </w:pBdr>
        <w:shd w:val="clear" w:color="auto" w:fill="DEEAF6" w:themeFill="accent1" w:themeFillTint="33"/>
        <w:spacing w:before="240" w:after="120"/>
        <w:ind w:left="705" w:hanging="705"/>
        <w:rPr>
          <w:rFonts w:asciiTheme="majorHAnsi" w:hAnsiTheme="majorHAnsi" w:cstheme="majorHAnsi"/>
          <w:b/>
          <w:i/>
          <w:color w:val="auto"/>
          <w:sz w:val="22"/>
        </w:rPr>
      </w:pPr>
      <w:r w:rsidRPr="006070EA">
        <w:rPr>
          <w:rFonts w:asciiTheme="majorHAnsi" w:hAnsiTheme="majorHAnsi" w:cstheme="majorHAnsi"/>
          <w:b/>
          <w:i/>
          <w:color w:val="auto"/>
          <w:sz w:val="22"/>
        </w:rPr>
        <w:t>AD 9</w:t>
      </w:r>
      <w:r w:rsidRPr="006070EA">
        <w:rPr>
          <w:rFonts w:asciiTheme="majorHAnsi" w:hAnsiTheme="majorHAnsi" w:cstheme="majorHAnsi"/>
          <w:b/>
          <w:i/>
          <w:color w:val="auto"/>
          <w:sz w:val="22"/>
        </w:rPr>
        <w:tab/>
        <w:t>Stanovení kompenzačních opatření podle § 50 odst. 6 stavebního zákona</w:t>
      </w:r>
    </w:p>
    <w:p w14:paraId="4D2D5E89" w14:textId="77777777" w:rsidR="000043B2" w:rsidRPr="006070EA" w:rsidRDefault="00BC3545" w:rsidP="003A4B1E">
      <w:pPr>
        <w:pStyle w:val="Odstavecseseznamem"/>
        <w:keepNext/>
        <w:numPr>
          <w:ilvl w:val="1"/>
          <w:numId w:val="30"/>
        </w:numPr>
        <w:spacing w:before="160" w:after="120" w:line="240" w:lineRule="auto"/>
        <w:ind w:left="709" w:hanging="709"/>
        <w:contextualSpacing w:val="0"/>
        <w:outlineLvl w:val="1"/>
        <w:rPr>
          <w:rFonts w:asciiTheme="majorHAnsi" w:hAnsiTheme="majorHAnsi" w:cstheme="majorHAnsi"/>
          <w:b/>
          <w:sz w:val="24"/>
          <w:szCs w:val="20"/>
        </w:rPr>
      </w:pPr>
      <w:bookmarkStart w:id="410" w:name="_Toc204678218"/>
      <w:r w:rsidRPr="006070EA">
        <w:rPr>
          <w:rFonts w:asciiTheme="majorHAnsi" w:hAnsiTheme="majorHAnsi" w:cstheme="majorHAnsi"/>
          <w:b/>
          <w:sz w:val="24"/>
          <w:szCs w:val="20"/>
        </w:rPr>
        <w:t>Odůvodnění stanovení kompenzačních opatření</w:t>
      </w:r>
      <w:bookmarkEnd w:id="410"/>
    </w:p>
    <w:p w14:paraId="60907F11" w14:textId="4FEED0B6" w:rsidR="00BC3545" w:rsidRPr="006070EA" w:rsidRDefault="00BC3545" w:rsidP="009E07E1">
      <w:pPr>
        <w:keepNext/>
        <w:spacing w:after="120" w:line="240" w:lineRule="auto"/>
        <w:jc w:val="right"/>
        <w:rPr>
          <w:rFonts w:asciiTheme="majorHAnsi" w:hAnsiTheme="majorHAnsi" w:cstheme="majorHAnsi"/>
          <w:i/>
          <w:sz w:val="18"/>
          <w:szCs w:val="20"/>
          <w:u w:val="single"/>
        </w:rPr>
      </w:pPr>
      <w:r w:rsidRPr="006070EA">
        <w:rPr>
          <w:rFonts w:asciiTheme="majorHAnsi" w:hAnsiTheme="majorHAnsi" w:cstheme="majorHAnsi"/>
          <w:i/>
          <w:sz w:val="18"/>
          <w:szCs w:val="20"/>
          <w:u w:val="single"/>
        </w:rPr>
        <w:t xml:space="preserve">Odůvodnění odst. </w:t>
      </w:r>
      <w:r w:rsidRPr="006070EA">
        <w:rPr>
          <w:rFonts w:asciiTheme="majorHAnsi" w:hAnsiTheme="majorHAnsi" w:cstheme="majorHAnsi"/>
          <w:b/>
          <w:i/>
          <w:sz w:val="18"/>
          <w:szCs w:val="20"/>
          <w:u w:val="single"/>
        </w:rPr>
        <w:t>(</w:t>
      </w:r>
      <w:r w:rsidR="00E36BD8" w:rsidRPr="006070EA">
        <w:rPr>
          <w:rFonts w:asciiTheme="majorHAnsi" w:hAnsiTheme="majorHAnsi" w:cstheme="majorHAnsi"/>
          <w:b/>
          <w:i/>
          <w:sz w:val="18"/>
          <w:szCs w:val="20"/>
          <w:u w:val="single"/>
        </w:rPr>
        <w:t>8</w:t>
      </w:r>
      <w:r w:rsidR="00BA3BDE">
        <w:rPr>
          <w:rFonts w:asciiTheme="majorHAnsi" w:hAnsiTheme="majorHAnsi" w:cstheme="majorHAnsi"/>
          <w:b/>
          <w:i/>
          <w:sz w:val="18"/>
          <w:szCs w:val="20"/>
          <w:u w:val="single"/>
        </w:rPr>
        <w:t>6</w:t>
      </w:r>
      <w:r w:rsidRPr="006070EA">
        <w:rPr>
          <w:rFonts w:asciiTheme="majorHAnsi" w:hAnsiTheme="majorHAnsi" w:cstheme="majorHAnsi"/>
          <w:b/>
          <w:i/>
          <w:sz w:val="18"/>
          <w:szCs w:val="20"/>
          <w:u w:val="single"/>
        </w:rPr>
        <w:t>)</w:t>
      </w:r>
      <w:r w:rsidRPr="006070EA">
        <w:rPr>
          <w:rFonts w:asciiTheme="majorHAnsi" w:hAnsiTheme="majorHAnsi" w:cstheme="majorHAnsi"/>
          <w:i/>
          <w:sz w:val="18"/>
          <w:szCs w:val="20"/>
          <w:u w:val="single"/>
        </w:rPr>
        <w:t xml:space="preserve"> výrokové části</w:t>
      </w:r>
    </w:p>
    <w:p w14:paraId="22678C17" w14:textId="690EA671" w:rsidR="00BC3545" w:rsidRPr="006070EA" w:rsidRDefault="00FF5A85" w:rsidP="00DF1BB0">
      <w:pPr>
        <w:spacing w:line="240" w:lineRule="auto"/>
        <w:ind w:firstLine="705"/>
        <w:jc w:val="both"/>
        <w:rPr>
          <w:rFonts w:asciiTheme="majorHAnsi" w:hAnsiTheme="majorHAnsi" w:cstheme="majorHAnsi"/>
          <w:sz w:val="18"/>
          <w:szCs w:val="20"/>
        </w:rPr>
      </w:pPr>
      <w:r w:rsidRPr="006070EA">
        <w:rPr>
          <w:rFonts w:asciiTheme="majorHAnsi" w:hAnsiTheme="majorHAnsi" w:cstheme="majorHAnsi"/>
          <w:sz w:val="18"/>
          <w:szCs w:val="20"/>
        </w:rPr>
        <w:t xml:space="preserve">V rámci procesu pořizování ÚP </w:t>
      </w:r>
      <w:r w:rsidR="004C6939" w:rsidRPr="006070EA">
        <w:rPr>
          <w:rFonts w:asciiTheme="majorHAnsi" w:hAnsiTheme="majorHAnsi" w:cstheme="majorHAnsi"/>
          <w:sz w:val="18"/>
          <w:szCs w:val="20"/>
        </w:rPr>
        <w:t>Kostomlaty nad Labem</w:t>
      </w:r>
      <w:r w:rsidRPr="006070EA">
        <w:rPr>
          <w:rFonts w:asciiTheme="majorHAnsi" w:hAnsiTheme="majorHAnsi" w:cstheme="majorHAnsi"/>
          <w:sz w:val="18"/>
          <w:szCs w:val="20"/>
        </w:rPr>
        <w:t xml:space="preserve"> nevyplynuly žádné požadavky ani potřebnost </w:t>
      </w:r>
      <w:r w:rsidR="00BC3545" w:rsidRPr="006070EA">
        <w:rPr>
          <w:rFonts w:asciiTheme="majorHAnsi" w:hAnsiTheme="majorHAnsi" w:cstheme="majorHAnsi"/>
          <w:sz w:val="18"/>
          <w:szCs w:val="20"/>
        </w:rPr>
        <w:t>stanovení kompenzačních opatření</w:t>
      </w:r>
      <w:r w:rsidR="009E07E1" w:rsidRPr="006070EA">
        <w:rPr>
          <w:rFonts w:asciiTheme="majorHAnsi" w:hAnsiTheme="majorHAnsi" w:cstheme="majorHAnsi"/>
          <w:sz w:val="18"/>
          <w:szCs w:val="20"/>
        </w:rPr>
        <w:t xml:space="preserve"> podle § 50 odst. 6 stavebního zákona</w:t>
      </w:r>
      <w:r w:rsidR="00BC3545" w:rsidRPr="006070EA">
        <w:rPr>
          <w:rFonts w:asciiTheme="majorHAnsi" w:hAnsiTheme="majorHAnsi" w:cstheme="majorHAnsi"/>
          <w:sz w:val="18"/>
          <w:szCs w:val="20"/>
        </w:rPr>
        <w:t>.</w:t>
      </w:r>
    </w:p>
    <w:p w14:paraId="79760AD2" w14:textId="77777777" w:rsidR="00BC3545" w:rsidRPr="006070EA" w:rsidRDefault="00BC3545" w:rsidP="00155D25">
      <w:pPr>
        <w:pStyle w:val="Mra2-reakceern"/>
        <w:keepNext/>
        <w:pBdr>
          <w:left w:val="none" w:sz="0" w:space="0" w:color="auto"/>
        </w:pBdr>
        <w:shd w:val="clear" w:color="auto" w:fill="DEEAF6" w:themeFill="accent1" w:themeFillTint="33"/>
        <w:spacing w:before="240" w:after="120"/>
        <w:ind w:left="705" w:hanging="705"/>
        <w:rPr>
          <w:rFonts w:asciiTheme="majorHAnsi" w:hAnsiTheme="majorHAnsi" w:cstheme="majorHAnsi"/>
          <w:b/>
          <w:i/>
          <w:color w:val="auto"/>
          <w:sz w:val="22"/>
        </w:rPr>
      </w:pPr>
      <w:r w:rsidRPr="006070EA">
        <w:rPr>
          <w:rFonts w:asciiTheme="majorHAnsi" w:hAnsiTheme="majorHAnsi" w:cstheme="majorHAnsi"/>
          <w:b/>
          <w:i/>
          <w:color w:val="auto"/>
          <w:sz w:val="22"/>
        </w:rPr>
        <w:t>AD 10</w:t>
      </w:r>
      <w:r w:rsidRPr="006070EA">
        <w:rPr>
          <w:rFonts w:asciiTheme="majorHAnsi" w:hAnsiTheme="majorHAnsi" w:cstheme="majorHAnsi"/>
          <w:b/>
          <w:i/>
          <w:color w:val="auto"/>
          <w:sz w:val="22"/>
        </w:rPr>
        <w:tab/>
        <w:t>Vymezení ploch a koridorů územních rezerv a stanovení možného budoucího využití, včetně podmínek pro jeho prověření</w:t>
      </w:r>
    </w:p>
    <w:p w14:paraId="408A0A88" w14:textId="77777777" w:rsidR="00BC3545" w:rsidRPr="006070EA" w:rsidRDefault="00BC3545" w:rsidP="003A4B1E">
      <w:pPr>
        <w:pStyle w:val="Odstavecseseznamem"/>
        <w:keepNext/>
        <w:numPr>
          <w:ilvl w:val="1"/>
          <w:numId w:val="30"/>
        </w:numPr>
        <w:spacing w:before="160" w:after="120" w:line="240" w:lineRule="auto"/>
        <w:ind w:left="709" w:hanging="709"/>
        <w:contextualSpacing w:val="0"/>
        <w:outlineLvl w:val="1"/>
        <w:rPr>
          <w:rFonts w:asciiTheme="majorHAnsi" w:hAnsiTheme="majorHAnsi" w:cstheme="majorHAnsi"/>
          <w:b/>
          <w:sz w:val="24"/>
          <w:szCs w:val="20"/>
        </w:rPr>
      </w:pPr>
      <w:bookmarkStart w:id="411" w:name="_Toc204678219"/>
      <w:r w:rsidRPr="006070EA">
        <w:rPr>
          <w:rFonts w:asciiTheme="majorHAnsi" w:hAnsiTheme="majorHAnsi" w:cstheme="majorHAnsi"/>
          <w:b/>
          <w:sz w:val="24"/>
          <w:szCs w:val="20"/>
        </w:rPr>
        <w:t>Odůvodnění vymezení ploch a koridorů územních rezerv</w:t>
      </w:r>
      <w:bookmarkEnd w:id="411"/>
    </w:p>
    <w:p w14:paraId="0AC2E125" w14:textId="30C07AEF" w:rsidR="00BC3545" w:rsidRPr="006070EA" w:rsidRDefault="00BC3545" w:rsidP="009E07E1">
      <w:pPr>
        <w:keepNext/>
        <w:spacing w:after="120" w:line="240" w:lineRule="auto"/>
        <w:jc w:val="right"/>
        <w:rPr>
          <w:rFonts w:asciiTheme="majorHAnsi" w:hAnsiTheme="majorHAnsi" w:cstheme="majorHAnsi"/>
          <w:i/>
          <w:sz w:val="18"/>
          <w:szCs w:val="20"/>
          <w:u w:val="single"/>
        </w:rPr>
      </w:pPr>
      <w:r w:rsidRPr="006070EA">
        <w:rPr>
          <w:rFonts w:asciiTheme="majorHAnsi" w:hAnsiTheme="majorHAnsi" w:cstheme="majorHAnsi"/>
          <w:i/>
          <w:sz w:val="18"/>
          <w:szCs w:val="20"/>
          <w:u w:val="single"/>
        </w:rPr>
        <w:t xml:space="preserve">Odůvodnění odst. </w:t>
      </w:r>
      <w:r w:rsidRPr="006070EA">
        <w:rPr>
          <w:rFonts w:asciiTheme="majorHAnsi" w:hAnsiTheme="majorHAnsi" w:cstheme="majorHAnsi"/>
          <w:b/>
          <w:i/>
          <w:sz w:val="18"/>
          <w:szCs w:val="20"/>
          <w:u w:val="single"/>
        </w:rPr>
        <w:t>(</w:t>
      </w:r>
      <w:r w:rsidR="00E36BD8" w:rsidRPr="006070EA">
        <w:rPr>
          <w:rFonts w:asciiTheme="majorHAnsi" w:hAnsiTheme="majorHAnsi" w:cstheme="majorHAnsi"/>
          <w:b/>
          <w:i/>
          <w:sz w:val="18"/>
          <w:szCs w:val="20"/>
          <w:u w:val="single"/>
        </w:rPr>
        <w:t>8</w:t>
      </w:r>
      <w:r w:rsidR="00BA3BDE">
        <w:rPr>
          <w:rFonts w:asciiTheme="majorHAnsi" w:hAnsiTheme="majorHAnsi" w:cstheme="majorHAnsi"/>
          <w:b/>
          <w:i/>
          <w:sz w:val="18"/>
          <w:szCs w:val="20"/>
          <w:u w:val="single"/>
        </w:rPr>
        <w:t>7</w:t>
      </w:r>
      <w:r w:rsidRPr="006070EA">
        <w:rPr>
          <w:rFonts w:asciiTheme="majorHAnsi" w:hAnsiTheme="majorHAnsi" w:cstheme="majorHAnsi"/>
          <w:b/>
          <w:i/>
          <w:sz w:val="18"/>
          <w:szCs w:val="20"/>
          <w:u w:val="single"/>
        </w:rPr>
        <w:t>)</w:t>
      </w:r>
      <w:r w:rsidRPr="006070EA">
        <w:rPr>
          <w:rFonts w:asciiTheme="majorHAnsi" w:hAnsiTheme="majorHAnsi" w:cstheme="majorHAnsi"/>
          <w:i/>
          <w:sz w:val="18"/>
          <w:szCs w:val="20"/>
          <w:u w:val="single"/>
        </w:rPr>
        <w:t xml:space="preserve"> výrokové části</w:t>
      </w:r>
    </w:p>
    <w:p w14:paraId="2F2B51EB" w14:textId="1834261E" w:rsidR="004C6939" w:rsidRPr="006070EA" w:rsidRDefault="004C6939" w:rsidP="004C6939">
      <w:pPr>
        <w:pStyle w:val="Atext"/>
        <w:rPr>
          <w:rFonts w:asciiTheme="majorHAnsi" w:hAnsiTheme="majorHAnsi" w:cstheme="majorHAnsi"/>
        </w:rPr>
      </w:pPr>
      <w:r w:rsidRPr="006070EA">
        <w:rPr>
          <w:rFonts w:asciiTheme="majorHAnsi" w:hAnsiTheme="majorHAnsi" w:cstheme="majorHAnsi"/>
        </w:rPr>
        <w:t>Ploch</w:t>
      </w:r>
      <w:r w:rsidR="00E36BD8" w:rsidRPr="006070EA">
        <w:rPr>
          <w:rFonts w:asciiTheme="majorHAnsi" w:hAnsiTheme="majorHAnsi" w:cstheme="majorHAnsi"/>
        </w:rPr>
        <w:t>a</w:t>
      </w:r>
      <w:r w:rsidRPr="006070EA">
        <w:rPr>
          <w:rFonts w:asciiTheme="majorHAnsi" w:hAnsiTheme="majorHAnsi" w:cstheme="majorHAnsi"/>
        </w:rPr>
        <w:t xml:space="preserve"> územní rezerv</w:t>
      </w:r>
      <w:r w:rsidR="00E36BD8" w:rsidRPr="006070EA">
        <w:rPr>
          <w:rFonts w:asciiTheme="majorHAnsi" w:hAnsiTheme="majorHAnsi" w:cstheme="majorHAnsi"/>
        </w:rPr>
        <w:t>y R.</w:t>
      </w:r>
      <w:r w:rsidR="00BA3BDE">
        <w:rPr>
          <w:rFonts w:asciiTheme="majorHAnsi" w:hAnsiTheme="majorHAnsi" w:cstheme="majorHAnsi"/>
        </w:rPr>
        <w:t>2</w:t>
      </w:r>
      <w:r w:rsidRPr="006070EA">
        <w:rPr>
          <w:rFonts w:asciiTheme="majorHAnsi" w:hAnsiTheme="majorHAnsi" w:cstheme="majorHAnsi"/>
        </w:rPr>
        <w:t xml:space="preserve"> </w:t>
      </w:r>
      <w:r w:rsidR="00E36BD8" w:rsidRPr="006070EA">
        <w:rPr>
          <w:rFonts w:asciiTheme="majorHAnsi" w:hAnsiTheme="majorHAnsi" w:cstheme="majorHAnsi"/>
        </w:rPr>
        <w:t xml:space="preserve">je </w:t>
      </w:r>
      <w:r w:rsidRPr="006070EA">
        <w:rPr>
          <w:rFonts w:asciiTheme="majorHAnsi" w:hAnsiTheme="majorHAnsi" w:cstheme="majorHAnsi"/>
        </w:rPr>
        <w:t>vymezen</w:t>
      </w:r>
      <w:r w:rsidR="00E36BD8" w:rsidRPr="006070EA">
        <w:rPr>
          <w:rFonts w:asciiTheme="majorHAnsi" w:hAnsiTheme="majorHAnsi" w:cstheme="majorHAnsi"/>
        </w:rPr>
        <w:t>a</w:t>
      </w:r>
      <w:r w:rsidRPr="006070EA">
        <w:rPr>
          <w:rFonts w:asciiTheme="majorHAnsi" w:hAnsiTheme="majorHAnsi" w:cstheme="majorHAnsi"/>
        </w:rPr>
        <w:t xml:space="preserve"> v souladu s § 43 odst. 1 stavebního zákona, včetně stanovení podmínek pro </w:t>
      </w:r>
      <w:r w:rsidR="00E36BD8" w:rsidRPr="006070EA">
        <w:rPr>
          <w:rFonts w:asciiTheme="majorHAnsi" w:hAnsiTheme="majorHAnsi" w:cstheme="majorHAnsi"/>
        </w:rPr>
        <w:t>prověření možného budoucího způsobu využití</w:t>
      </w:r>
      <w:r w:rsidRPr="006070EA">
        <w:rPr>
          <w:rFonts w:asciiTheme="majorHAnsi" w:hAnsiTheme="majorHAnsi" w:cstheme="majorHAnsi"/>
        </w:rPr>
        <w:t>.</w:t>
      </w:r>
    </w:p>
    <w:p w14:paraId="2BF25EE4" w14:textId="5D2FE1B8" w:rsidR="004C6939" w:rsidRPr="006070EA" w:rsidRDefault="000C479F" w:rsidP="004C6939">
      <w:pPr>
        <w:pStyle w:val="Anadpistun"/>
        <w:rPr>
          <w:rFonts w:asciiTheme="majorHAnsi" w:hAnsiTheme="majorHAnsi" w:cstheme="majorHAnsi"/>
        </w:rPr>
      </w:pPr>
      <w:r w:rsidRPr="006070EA">
        <w:rPr>
          <w:rFonts w:asciiTheme="majorHAnsi" w:hAnsiTheme="majorHAnsi" w:cstheme="majorHAnsi"/>
        </w:rPr>
        <w:t xml:space="preserve">Odůvodnění </w:t>
      </w:r>
      <w:r w:rsidR="004C6939" w:rsidRPr="006070EA">
        <w:rPr>
          <w:rFonts w:asciiTheme="majorHAnsi" w:hAnsiTheme="majorHAnsi" w:cstheme="majorHAnsi"/>
        </w:rPr>
        <w:t>vymezení ploch</w:t>
      </w:r>
      <w:r w:rsidR="00446A92" w:rsidRPr="006070EA">
        <w:rPr>
          <w:rFonts w:asciiTheme="majorHAnsi" w:hAnsiTheme="majorHAnsi" w:cstheme="majorHAnsi"/>
        </w:rPr>
        <w:t>y</w:t>
      </w:r>
      <w:r w:rsidR="004C6939" w:rsidRPr="006070EA">
        <w:rPr>
          <w:rFonts w:asciiTheme="majorHAnsi" w:hAnsiTheme="majorHAnsi" w:cstheme="majorHAnsi"/>
        </w:rPr>
        <w:t xml:space="preserve"> územní rezerv</w:t>
      </w:r>
      <w:r w:rsidR="00446A92" w:rsidRPr="006070EA">
        <w:rPr>
          <w:rFonts w:asciiTheme="majorHAnsi" w:hAnsiTheme="majorHAnsi" w:cstheme="majorHAnsi"/>
        </w:rPr>
        <w:t>y</w:t>
      </w:r>
      <w:r w:rsidR="004C6939" w:rsidRPr="006070EA">
        <w:rPr>
          <w:rFonts w:asciiTheme="majorHAnsi" w:hAnsiTheme="majorHAnsi" w:cstheme="majorHAnsi"/>
        </w:rPr>
        <w:t xml:space="preserve"> R</w:t>
      </w:r>
      <w:r w:rsidR="00E36BD8" w:rsidRPr="006070EA">
        <w:rPr>
          <w:rFonts w:asciiTheme="majorHAnsi" w:hAnsiTheme="majorHAnsi" w:cstheme="majorHAnsi"/>
        </w:rPr>
        <w:t>.</w:t>
      </w:r>
      <w:r w:rsidR="00BA3BDE">
        <w:rPr>
          <w:rFonts w:asciiTheme="majorHAnsi" w:hAnsiTheme="majorHAnsi" w:cstheme="majorHAnsi"/>
        </w:rPr>
        <w:t>2</w:t>
      </w:r>
      <w:r w:rsidR="004C6939" w:rsidRPr="006070EA">
        <w:rPr>
          <w:rFonts w:asciiTheme="majorHAnsi" w:hAnsiTheme="majorHAnsi" w:cstheme="majorHAnsi"/>
        </w:rPr>
        <w:t xml:space="preserve"> </w:t>
      </w:r>
    </w:p>
    <w:p w14:paraId="697B9681" w14:textId="35799047" w:rsidR="00446A92" w:rsidRDefault="004C6939" w:rsidP="004C6939">
      <w:pPr>
        <w:pStyle w:val="Atext"/>
        <w:rPr>
          <w:rFonts w:asciiTheme="majorHAnsi" w:hAnsiTheme="majorHAnsi" w:cstheme="majorHAnsi"/>
        </w:rPr>
      </w:pPr>
      <w:r w:rsidRPr="006070EA">
        <w:rPr>
          <w:rFonts w:asciiTheme="majorHAnsi" w:hAnsiTheme="majorHAnsi" w:cstheme="majorHAnsi"/>
        </w:rPr>
        <w:t>Územní rezerva R</w:t>
      </w:r>
      <w:r w:rsidR="00E36BD8" w:rsidRPr="006070EA">
        <w:rPr>
          <w:rFonts w:asciiTheme="majorHAnsi" w:hAnsiTheme="majorHAnsi" w:cstheme="majorHAnsi"/>
        </w:rPr>
        <w:t>.</w:t>
      </w:r>
      <w:r w:rsidR="00BA3BDE">
        <w:rPr>
          <w:rFonts w:asciiTheme="majorHAnsi" w:hAnsiTheme="majorHAnsi" w:cstheme="majorHAnsi"/>
        </w:rPr>
        <w:t>2</w:t>
      </w:r>
      <w:r w:rsidRPr="006070EA">
        <w:rPr>
          <w:rFonts w:asciiTheme="majorHAnsi" w:hAnsiTheme="majorHAnsi" w:cstheme="majorHAnsi"/>
        </w:rPr>
        <w:t xml:space="preserve"> je vymezena pro prověření možného budoucího využití území pro plochu </w:t>
      </w:r>
      <w:r w:rsidRPr="006070EA">
        <w:rPr>
          <w:rFonts w:asciiTheme="majorHAnsi" w:hAnsiTheme="majorHAnsi" w:cstheme="majorHAnsi"/>
          <w:i/>
          <w:iCs w:val="0"/>
        </w:rPr>
        <w:t xml:space="preserve">bydlení </w:t>
      </w:r>
      <w:r w:rsidR="00E36BD8" w:rsidRPr="006070EA">
        <w:rPr>
          <w:rFonts w:asciiTheme="majorHAnsi" w:hAnsiTheme="majorHAnsi" w:cstheme="majorHAnsi"/>
          <w:i/>
          <w:iCs w:val="0"/>
        </w:rPr>
        <w:t>individuálního </w:t>
      </w:r>
      <w:r w:rsidRPr="006070EA">
        <w:rPr>
          <w:rFonts w:asciiTheme="majorHAnsi" w:hAnsiTheme="majorHAnsi" w:cstheme="majorHAnsi"/>
        </w:rPr>
        <w:t xml:space="preserve">(BI). Plocha </w:t>
      </w:r>
      <w:r w:rsidR="00BA3BDE">
        <w:rPr>
          <w:rFonts w:asciiTheme="majorHAnsi" w:hAnsiTheme="majorHAnsi" w:cstheme="majorHAnsi"/>
        </w:rPr>
        <w:t xml:space="preserve">navazuje na jihozápadní část </w:t>
      </w:r>
      <w:r w:rsidRPr="006070EA">
        <w:rPr>
          <w:rFonts w:asciiTheme="majorHAnsi" w:hAnsiTheme="majorHAnsi" w:cstheme="majorHAnsi"/>
        </w:rPr>
        <w:t xml:space="preserve">urbanizovaného území sídla Kostomlaty nad Labem. Plocha je vymezena v souvislosti s identifikovanou potřebou na vymezení zastavitelných ploch (viz kapitola 10), kdy je přihlédnuto ke skutečnosti, že rozsah zastavitelných ploch pro bydlení, vymezených v návrhu ÚP Kostomlaty nad Labem </w:t>
      </w:r>
      <w:r w:rsidR="009D5A6A" w:rsidRPr="006070EA">
        <w:rPr>
          <w:rFonts w:asciiTheme="majorHAnsi" w:hAnsiTheme="majorHAnsi" w:cstheme="majorHAnsi"/>
        </w:rPr>
        <w:t>jen téměř</w:t>
      </w:r>
      <w:r w:rsidRPr="006070EA">
        <w:rPr>
          <w:rFonts w:asciiTheme="majorHAnsi" w:hAnsiTheme="majorHAnsi" w:cstheme="majorHAnsi"/>
        </w:rPr>
        <w:t xml:space="preserve"> </w:t>
      </w:r>
      <w:r w:rsidR="00446A92" w:rsidRPr="006070EA">
        <w:rPr>
          <w:rFonts w:asciiTheme="majorHAnsi" w:hAnsiTheme="majorHAnsi" w:cstheme="majorHAnsi"/>
        </w:rPr>
        <w:t>naplňuje identifikovanou potřebu a není vytvořena rozsáhlejší rezerva pro případné zvýšení poptávky po bydlení v území. Jako podmínka pro prověření možného budoucího způsobu využití této plochy územní rezervy (R</w:t>
      </w:r>
      <w:r w:rsidR="003F5D13" w:rsidRPr="006070EA">
        <w:rPr>
          <w:rFonts w:asciiTheme="majorHAnsi" w:hAnsiTheme="majorHAnsi" w:cstheme="majorHAnsi"/>
        </w:rPr>
        <w:t>.</w:t>
      </w:r>
      <w:r w:rsidR="00446A92" w:rsidRPr="006070EA">
        <w:rPr>
          <w:rFonts w:asciiTheme="majorHAnsi" w:hAnsiTheme="majorHAnsi" w:cstheme="majorHAnsi"/>
        </w:rPr>
        <w:t xml:space="preserve">1) je stanoveno prověření naplnění vymezených zastavitelných ploch pro bydlení, případně prokázání nemožnosti jejich využití, a to z důvodu, aby bylo zamezeno nadměrnému zabírání volné krajiny </w:t>
      </w:r>
      <w:r w:rsidR="009D5A6A" w:rsidRPr="006070EA">
        <w:rPr>
          <w:rFonts w:asciiTheme="majorHAnsi" w:hAnsiTheme="majorHAnsi" w:cstheme="majorHAnsi"/>
        </w:rPr>
        <w:t xml:space="preserve">a kvalitní zemědělské půdy </w:t>
      </w:r>
      <w:r w:rsidR="00446A92" w:rsidRPr="006070EA">
        <w:rPr>
          <w:rFonts w:asciiTheme="majorHAnsi" w:hAnsiTheme="majorHAnsi" w:cstheme="majorHAnsi"/>
        </w:rPr>
        <w:t xml:space="preserve">pro výstavbu, </w:t>
      </w:r>
      <w:r w:rsidR="009D5A6A" w:rsidRPr="006070EA">
        <w:rPr>
          <w:rFonts w:asciiTheme="majorHAnsi" w:hAnsiTheme="majorHAnsi" w:cstheme="majorHAnsi"/>
        </w:rPr>
        <w:t xml:space="preserve">a současně </w:t>
      </w:r>
      <w:r w:rsidR="00446A92" w:rsidRPr="006070EA">
        <w:rPr>
          <w:rFonts w:asciiTheme="majorHAnsi" w:hAnsiTheme="majorHAnsi" w:cstheme="majorHAnsi"/>
        </w:rPr>
        <w:t>nekoordinovanému a</w:t>
      </w:r>
      <w:r w:rsidR="009D5A6A" w:rsidRPr="006070EA">
        <w:rPr>
          <w:rFonts w:asciiTheme="majorHAnsi" w:hAnsiTheme="majorHAnsi" w:cstheme="majorHAnsi"/>
        </w:rPr>
        <w:t> </w:t>
      </w:r>
      <w:r w:rsidR="00446A92" w:rsidRPr="006070EA">
        <w:rPr>
          <w:rFonts w:asciiTheme="majorHAnsi" w:hAnsiTheme="majorHAnsi" w:cstheme="majorHAnsi"/>
        </w:rPr>
        <w:t>živelnému rozvoji zástavby. To jsou současně důvody, proč plocha R</w:t>
      </w:r>
      <w:r w:rsidR="003F5D13" w:rsidRPr="006070EA">
        <w:rPr>
          <w:rFonts w:asciiTheme="majorHAnsi" w:hAnsiTheme="majorHAnsi" w:cstheme="majorHAnsi"/>
        </w:rPr>
        <w:t>.</w:t>
      </w:r>
      <w:r w:rsidR="00BA3BDE">
        <w:rPr>
          <w:rFonts w:asciiTheme="majorHAnsi" w:hAnsiTheme="majorHAnsi" w:cstheme="majorHAnsi"/>
        </w:rPr>
        <w:t>2</w:t>
      </w:r>
      <w:r w:rsidR="00446A92" w:rsidRPr="006070EA">
        <w:rPr>
          <w:rFonts w:asciiTheme="majorHAnsi" w:hAnsiTheme="majorHAnsi" w:cstheme="majorHAnsi"/>
        </w:rPr>
        <w:t xml:space="preserve"> byla v návrhu ÚP Kostomlaty nad Labem vymezena jako plocha územní rezervy</w:t>
      </w:r>
      <w:r w:rsidR="000C479F" w:rsidRPr="006070EA">
        <w:rPr>
          <w:rFonts w:asciiTheme="majorHAnsi" w:hAnsiTheme="majorHAnsi" w:cstheme="majorHAnsi"/>
        </w:rPr>
        <w:t>,</w:t>
      </w:r>
      <w:r w:rsidR="00446A92" w:rsidRPr="006070EA">
        <w:rPr>
          <w:rFonts w:asciiTheme="majorHAnsi" w:hAnsiTheme="majorHAnsi" w:cstheme="majorHAnsi"/>
        </w:rPr>
        <w:t xml:space="preserve"> a</w:t>
      </w:r>
      <w:r w:rsidR="00BA3BDE">
        <w:rPr>
          <w:rFonts w:asciiTheme="majorHAnsi" w:hAnsiTheme="majorHAnsi" w:cstheme="majorHAnsi"/>
        </w:rPr>
        <w:t> </w:t>
      </w:r>
      <w:r w:rsidR="00446A92" w:rsidRPr="006070EA">
        <w:rPr>
          <w:rFonts w:asciiTheme="majorHAnsi" w:hAnsiTheme="majorHAnsi" w:cstheme="majorHAnsi"/>
        </w:rPr>
        <w:t>nikoliv jako zastavitelná plocha.</w:t>
      </w:r>
    </w:p>
    <w:p w14:paraId="1C1A24B9" w14:textId="432B2E8F" w:rsidR="00BA3BDE" w:rsidRDefault="00BA3BDE" w:rsidP="004C6939">
      <w:pPr>
        <w:pStyle w:val="Atext"/>
        <w:rPr>
          <w:rFonts w:asciiTheme="majorHAnsi" w:hAnsiTheme="majorHAnsi" w:cstheme="majorHAnsi"/>
        </w:rPr>
      </w:pPr>
      <w:r>
        <w:rPr>
          <w:rFonts w:asciiTheme="majorHAnsi" w:hAnsiTheme="majorHAnsi" w:cstheme="majorHAnsi"/>
        </w:rPr>
        <w:t>Plocha územní rezervy je převzata z platného ÚPO Kostomlaty nad Labem (2002), ve kterém byla vymezena jako výhledová, viz obr. níže.</w:t>
      </w:r>
    </w:p>
    <w:p w14:paraId="7D95B996" w14:textId="2BDCD208" w:rsidR="00BA3BDE" w:rsidRDefault="00BA3BDE" w:rsidP="00BA3BDE">
      <w:pPr>
        <w:pStyle w:val="Atext"/>
        <w:ind w:firstLine="0"/>
        <w:rPr>
          <w:rFonts w:asciiTheme="majorHAnsi" w:hAnsiTheme="majorHAnsi" w:cstheme="majorHAnsi"/>
        </w:rPr>
      </w:pPr>
      <w:r>
        <w:rPr>
          <w:rFonts w:asciiTheme="majorHAnsi" w:hAnsiTheme="majorHAnsi" w:cstheme="majorHAnsi"/>
          <w:noProof/>
        </w:rPr>
        <w:lastRenderedPageBreak/>
        <mc:AlternateContent>
          <mc:Choice Requires="wps">
            <w:drawing>
              <wp:anchor distT="0" distB="0" distL="114300" distR="114300" simplePos="0" relativeHeight="251661824" behindDoc="0" locked="0" layoutInCell="1" allowOverlap="1" wp14:anchorId="51724EA7" wp14:editId="619EA45C">
                <wp:simplePos x="0" y="0"/>
                <wp:positionH relativeFrom="column">
                  <wp:posOffset>899795</wp:posOffset>
                </wp:positionH>
                <wp:positionV relativeFrom="paragraph">
                  <wp:posOffset>1280795</wp:posOffset>
                </wp:positionV>
                <wp:extent cx="1914525" cy="1571625"/>
                <wp:effectExtent l="38100" t="19050" r="47625" b="47625"/>
                <wp:wrapNone/>
                <wp:docPr id="693098846" name="Volný tvar: obrazec 2"/>
                <wp:cNvGraphicFramePr/>
                <a:graphic xmlns:a="http://schemas.openxmlformats.org/drawingml/2006/main">
                  <a:graphicData uri="http://schemas.microsoft.com/office/word/2010/wordprocessingShape">
                    <wps:wsp>
                      <wps:cNvSpPr/>
                      <wps:spPr>
                        <a:xfrm>
                          <a:off x="0" y="0"/>
                          <a:ext cx="1914525" cy="1571625"/>
                        </a:xfrm>
                        <a:custGeom>
                          <a:avLst/>
                          <a:gdLst>
                            <a:gd name="connsiteX0" fmla="*/ 676275 w 1914525"/>
                            <a:gd name="connsiteY0" fmla="*/ 38100 h 1571625"/>
                            <a:gd name="connsiteX1" fmla="*/ 0 w 1914525"/>
                            <a:gd name="connsiteY1" fmla="*/ 847725 h 1571625"/>
                            <a:gd name="connsiteX2" fmla="*/ 1247775 w 1914525"/>
                            <a:gd name="connsiteY2" fmla="*/ 1571625 h 1571625"/>
                            <a:gd name="connsiteX3" fmla="*/ 1819275 w 1914525"/>
                            <a:gd name="connsiteY3" fmla="*/ 1314450 h 1571625"/>
                            <a:gd name="connsiteX4" fmla="*/ 1914525 w 1914525"/>
                            <a:gd name="connsiteY4" fmla="*/ 219075 h 1571625"/>
                            <a:gd name="connsiteX5" fmla="*/ 714375 w 1914525"/>
                            <a:gd name="connsiteY5" fmla="*/ 0 h 157162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1914525" h="1571625">
                              <a:moveTo>
                                <a:pt x="676275" y="38100"/>
                              </a:moveTo>
                              <a:lnTo>
                                <a:pt x="0" y="847725"/>
                              </a:lnTo>
                              <a:lnTo>
                                <a:pt x="1247775" y="1571625"/>
                              </a:lnTo>
                              <a:lnTo>
                                <a:pt x="1819275" y="1314450"/>
                              </a:lnTo>
                              <a:lnTo>
                                <a:pt x="1914525" y="219075"/>
                              </a:lnTo>
                              <a:lnTo>
                                <a:pt x="714375" y="0"/>
                              </a:lnTo>
                            </a:path>
                          </a:pathLst>
                        </a:custGeom>
                        <a:noFill/>
                        <a:ln w="38100">
                          <a:solidFill>
                            <a:schemeClr val="accent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B894188" id="Volný tvar: obrazec 2" o:spid="_x0000_s1026" style="position:absolute;margin-left:70.85pt;margin-top:100.85pt;width:150.75pt;height:123.75pt;z-index:251661824;visibility:visible;mso-wrap-style:square;mso-wrap-distance-left:9pt;mso-wrap-distance-top:0;mso-wrap-distance-right:9pt;mso-wrap-distance-bottom:0;mso-position-horizontal:absolute;mso-position-horizontal-relative:text;mso-position-vertical:absolute;mso-position-vertical-relative:text;v-text-anchor:middle" coordsize="1914525,15716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" path="m676275,38100l,847725r1247775,723900l1819275,1314450,1914525,219075,714375,e" filled="f" strokecolor="#5b9bd5 [3204]" strokeweight="3pt">
                <v:stroke joinstyle="miter"/>
                <v:path arrowok="t" o:connecttype="custom" o:connectlocs="676275,38100;0,847725;1247775,1571625;1819275,1314450;1914525,219075;714375,0" o:connectangles="0,0,0,0,0,0"/>
              </v:shape>
            </w:pict>
          </mc:Fallback>
        </mc:AlternateContent>
      </w:r>
      <w:r>
        <w:rPr>
          <w:rFonts w:asciiTheme="majorHAnsi" w:hAnsiTheme="majorHAnsi" w:cstheme="majorHAnsi"/>
          <w:noProof/>
        </w:rPr>
        <w:drawing>
          <wp:inline distT="0" distB="0" distL="0" distR="0" wp14:anchorId="060EDDEB" wp14:editId="1882B0FD">
            <wp:extent cx="5753100" cy="3848100"/>
            <wp:effectExtent l="0" t="0" r="0" b="0"/>
            <wp:docPr id="1910575356"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753100" cy="3848100"/>
                    </a:xfrm>
                    <a:prstGeom prst="rect">
                      <a:avLst/>
                    </a:prstGeom>
                    <a:noFill/>
                    <a:ln>
                      <a:noFill/>
                    </a:ln>
                  </pic:spPr>
                </pic:pic>
              </a:graphicData>
            </a:graphic>
          </wp:inline>
        </w:drawing>
      </w:r>
    </w:p>
    <w:p w14:paraId="4545D892" w14:textId="6200889C" w:rsidR="00BA3BDE" w:rsidRPr="00BA3BDE" w:rsidRDefault="00BA3BDE" w:rsidP="00BA3BDE">
      <w:pPr>
        <w:pStyle w:val="Atext"/>
        <w:ind w:firstLine="0"/>
        <w:rPr>
          <w:rFonts w:asciiTheme="majorHAnsi" w:hAnsiTheme="majorHAnsi" w:cstheme="majorHAnsi"/>
          <w:i/>
          <w:iCs w:val="0"/>
        </w:rPr>
      </w:pPr>
      <w:r w:rsidRPr="00BA3BDE">
        <w:rPr>
          <w:rFonts w:asciiTheme="majorHAnsi" w:hAnsiTheme="majorHAnsi" w:cstheme="majorHAnsi"/>
          <w:i/>
          <w:iCs w:val="0"/>
        </w:rPr>
        <w:t>Výřez hlavního výkresu ÚPO Kostomlaty nad Labem se zvýrazněním převzaté územní rezervy</w:t>
      </w:r>
      <w:r>
        <w:rPr>
          <w:rFonts w:asciiTheme="majorHAnsi" w:hAnsiTheme="majorHAnsi" w:cstheme="majorHAnsi"/>
          <w:i/>
          <w:iCs w:val="0"/>
        </w:rPr>
        <w:t xml:space="preserve"> (modrý polygon)</w:t>
      </w:r>
    </w:p>
    <w:p w14:paraId="18B78782" w14:textId="780BDE23" w:rsidR="004C6939" w:rsidRPr="006070EA" w:rsidRDefault="004C6939" w:rsidP="004C6939">
      <w:pPr>
        <w:keepNext/>
        <w:spacing w:after="120" w:line="240" w:lineRule="auto"/>
        <w:jc w:val="right"/>
        <w:rPr>
          <w:rFonts w:asciiTheme="majorHAnsi" w:hAnsiTheme="majorHAnsi" w:cstheme="majorHAnsi"/>
          <w:i/>
          <w:sz w:val="18"/>
          <w:szCs w:val="20"/>
          <w:u w:val="single"/>
        </w:rPr>
      </w:pPr>
      <w:r w:rsidRPr="006070EA">
        <w:rPr>
          <w:rFonts w:asciiTheme="majorHAnsi" w:hAnsiTheme="majorHAnsi" w:cstheme="majorHAnsi"/>
          <w:i/>
          <w:sz w:val="18"/>
          <w:szCs w:val="20"/>
          <w:u w:val="single"/>
        </w:rPr>
        <w:t xml:space="preserve">Odůvodnění odst. </w:t>
      </w:r>
      <w:r w:rsidRPr="006070EA">
        <w:rPr>
          <w:rFonts w:asciiTheme="majorHAnsi" w:hAnsiTheme="majorHAnsi" w:cstheme="majorHAnsi"/>
          <w:b/>
          <w:i/>
          <w:sz w:val="18"/>
          <w:szCs w:val="20"/>
          <w:u w:val="single"/>
        </w:rPr>
        <w:t>(</w:t>
      </w:r>
      <w:r w:rsidR="00BA3BDE">
        <w:rPr>
          <w:rFonts w:asciiTheme="majorHAnsi" w:hAnsiTheme="majorHAnsi" w:cstheme="majorHAnsi"/>
          <w:b/>
          <w:i/>
          <w:sz w:val="18"/>
          <w:szCs w:val="20"/>
          <w:u w:val="single"/>
        </w:rPr>
        <w:t>88</w:t>
      </w:r>
      <w:r w:rsidRPr="006070EA">
        <w:rPr>
          <w:rFonts w:asciiTheme="majorHAnsi" w:hAnsiTheme="majorHAnsi" w:cstheme="majorHAnsi"/>
          <w:b/>
          <w:i/>
          <w:sz w:val="18"/>
          <w:szCs w:val="20"/>
          <w:u w:val="single"/>
        </w:rPr>
        <w:t>)</w:t>
      </w:r>
      <w:r w:rsidRPr="006070EA">
        <w:rPr>
          <w:rFonts w:asciiTheme="majorHAnsi" w:hAnsiTheme="majorHAnsi" w:cstheme="majorHAnsi"/>
          <w:i/>
          <w:sz w:val="18"/>
          <w:szCs w:val="20"/>
          <w:u w:val="single"/>
        </w:rPr>
        <w:t xml:space="preserve"> výrokové části</w:t>
      </w:r>
    </w:p>
    <w:p w14:paraId="53D6488A" w14:textId="77777777" w:rsidR="004C6939" w:rsidRPr="006070EA" w:rsidRDefault="004C6939" w:rsidP="004C6939">
      <w:pPr>
        <w:pStyle w:val="Atext"/>
        <w:rPr>
          <w:rFonts w:asciiTheme="majorHAnsi" w:hAnsiTheme="majorHAnsi" w:cstheme="majorHAnsi"/>
        </w:rPr>
      </w:pPr>
      <w:r w:rsidRPr="006070EA">
        <w:rPr>
          <w:rFonts w:asciiTheme="majorHAnsi" w:hAnsiTheme="majorHAnsi" w:cstheme="majorHAnsi"/>
        </w:rPr>
        <w:t>Požadavek vychází z ustanovení § 36 odst. 1 stavebního zákona, které se týká územních rezerv v zásadách územního rozvoje a je ekvivalentně uplatněn na úrovni územního plánu. Zákaz změn v území, které by mohly stanovené využití podstatně ztížit nebo znemožnit, explicitně vyplývá z tohoto ustanovení.</w:t>
      </w:r>
    </w:p>
    <w:p w14:paraId="5EA9A674" w14:textId="432C94D8" w:rsidR="004C6939" w:rsidRPr="006070EA" w:rsidRDefault="004C6939" w:rsidP="004C6939">
      <w:pPr>
        <w:keepNext/>
        <w:spacing w:after="120" w:line="240" w:lineRule="auto"/>
        <w:jc w:val="right"/>
        <w:rPr>
          <w:rFonts w:asciiTheme="majorHAnsi" w:hAnsiTheme="majorHAnsi" w:cstheme="majorHAnsi"/>
          <w:i/>
          <w:sz w:val="18"/>
          <w:szCs w:val="20"/>
          <w:u w:val="single"/>
        </w:rPr>
      </w:pPr>
      <w:r w:rsidRPr="006070EA">
        <w:rPr>
          <w:rFonts w:asciiTheme="majorHAnsi" w:hAnsiTheme="majorHAnsi" w:cstheme="majorHAnsi"/>
          <w:i/>
          <w:sz w:val="18"/>
          <w:szCs w:val="20"/>
          <w:u w:val="single"/>
        </w:rPr>
        <w:t xml:space="preserve">Odůvodnění odst. </w:t>
      </w:r>
      <w:r w:rsidRPr="006070EA">
        <w:rPr>
          <w:rFonts w:asciiTheme="majorHAnsi" w:hAnsiTheme="majorHAnsi" w:cstheme="majorHAnsi"/>
          <w:b/>
          <w:i/>
          <w:sz w:val="18"/>
          <w:szCs w:val="20"/>
          <w:u w:val="single"/>
        </w:rPr>
        <w:t>(</w:t>
      </w:r>
      <w:r w:rsidR="007F4A1A">
        <w:rPr>
          <w:rFonts w:asciiTheme="majorHAnsi" w:hAnsiTheme="majorHAnsi" w:cstheme="majorHAnsi"/>
          <w:b/>
          <w:i/>
          <w:sz w:val="18"/>
          <w:szCs w:val="20"/>
          <w:u w:val="single"/>
        </w:rPr>
        <w:t>89</w:t>
      </w:r>
      <w:r w:rsidRPr="006070EA">
        <w:rPr>
          <w:rFonts w:asciiTheme="majorHAnsi" w:hAnsiTheme="majorHAnsi" w:cstheme="majorHAnsi"/>
          <w:b/>
          <w:i/>
          <w:sz w:val="18"/>
          <w:szCs w:val="20"/>
          <w:u w:val="single"/>
        </w:rPr>
        <w:t>)</w:t>
      </w:r>
      <w:r w:rsidRPr="006070EA">
        <w:rPr>
          <w:rFonts w:asciiTheme="majorHAnsi" w:hAnsiTheme="majorHAnsi" w:cstheme="majorHAnsi"/>
          <w:i/>
          <w:sz w:val="18"/>
          <w:szCs w:val="20"/>
          <w:u w:val="single"/>
        </w:rPr>
        <w:t xml:space="preserve"> výrokové části</w:t>
      </w:r>
    </w:p>
    <w:p w14:paraId="22C65EB0" w14:textId="2DAD801D" w:rsidR="004C6939" w:rsidRPr="006070EA" w:rsidRDefault="004C6939" w:rsidP="004C6939">
      <w:pPr>
        <w:spacing w:line="240" w:lineRule="auto"/>
        <w:ind w:firstLine="705"/>
        <w:jc w:val="both"/>
        <w:rPr>
          <w:rFonts w:asciiTheme="majorHAnsi" w:hAnsiTheme="majorHAnsi" w:cstheme="majorHAnsi"/>
          <w:sz w:val="18"/>
          <w:szCs w:val="20"/>
        </w:rPr>
      </w:pPr>
      <w:r w:rsidRPr="006070EA">
        <w:rPr>
          <w:rFonts w:asciiTheme="majorHAnsi" w:hAnsiTheme="majorHAnsi" w:cstheme="majorHAnsi"/>
          <w:sz w:val="18"/>
          <w:szCs w:val="20"/>
        </w:rPr>
        <w:t xml:space="preserve">Výrok je uveden pro účely zdůraznění informace o využitelnosti pozemků dotčených vymezením územní rezervy </w:t>
      </w:r>
      <w:r w:rsidR="009D5A6A" w:rsidRPr="006070EA">
        <w:rPr>
          <w:rFonts w:asciiTheme="majorHAnsi" w:hAnsiTheme="majorHAnsi" w:cstheme="majorHAnsi"/>
          <w:sz w:val="18"/>
          <w:szCs w:val="20"/>
        </w:rPr>
        <w:t>–</w:t>
      </w:r>
      <w:r w:rsidRPr="006070EA">
        <w:rPr>
          <w:rFonts w:asciiTheme="majorHAnsi" w:hAnsiTheme="majorHAnsi" w:cstheme="majorHAnsi"/>
          <w:sz w:val="18"/>
          <w:szCs w:val="20"/>
        </w:rPr>
        <w:t xml:space="preserve"> pro využití plochy územní rezervy v souladu se stanoveným možným budoucím využitím je nezbytné vymezit zastavitelnou plochu a projednat v rámci pořízení změny územního plánu. Věcně toto ustanovení přímo vychází ze stavebního zákona.</w:t>
      </w:r>
    </w:p>
    <w:p w14:paraId="597A48A7" w14:textId="77777777" w:rsidR="00BC3545" w:rsidRPr="006070EA" w:rsidRDefault="00BC3545" w:rsidP="00155D25">
      <w:pPr>
        <w:pStyle w:val="Mra2-reakceern"/>
        <w:keepNext/>
        <w:pBdr>
          <w:left w:val="none" w:sz="0" w:space="0" w:color="auto"/>
        </w:pBdr>
        <w:shd w:val="clear" w:color="auto" w:fill="DEEAF6" w:themeFill="accent1" w:themeFillTint="33"/>
        <w:spacing w:before="240" w:after="120"/>
        <w:ind w:left="705" w:hanging="705"/>
        <w:rPr>
          <w:rFonts w:asciiTheme="majorHAnsi" w:hAnsiTheme="majorHAnsi" w:cstheme="majorHAnsi"/>
          <w:b/>
          <w:i/>
          <w:color w:val="auto"/>
          <w:sz w:val="22"/>
        </w:rPr>
      </w:pPr>
      <w:r w:rsidRPr="006070EA">
        <w:rPr>
          <w:rFonts w:asciiTheme="majorHAnsi" w:hAnsiTheme="majorHAnsi" w:cstheme="majorHAnsi"/>
          <w:b/>
          <w:i/>
          <w:color w:val="auto"/>
          <w:sz w:val="22"/>
        </w:rPr>
        <w:t>AD 11</w:t>
      </w:r>
      <w:r w:rsidRPr="006070EA">
        <w:rPr>
          <w:rFonts w:asciiTheme="majorHAnsi" w:hAnsiTheme="majorHAnsi" w:cstheme="majorHAnsi"/>
          <w:b/>
          <w:i/>
          <w:color w:val="auto"/>
          <w:sz w:val="22"/>
        </w:rPr>
        <w:tab/>
        <w:t>Vymezení ploch, ve kterých je rozhodování o změnách v území podmíněno dohodou o</w:t>
      </w:r>
      <w:r w:rsidR="00155D25" w:rsidRPr="006070EA">
        <w:rPr>
          <w:rFonts w:asciiTheme="majorHAnsi" w:hAnsiTheme="majorHAnsi" w:cstheme="majorHAnsi"/>
          <w:b/>
          <w:i/>
          <w:color w:val="auto"/>
          <w:sz w:val="22"/>
        </w:rPr>
        <w:t> </w:t>
      </w:r>
      <w:r w:rsidRPr="006070EA">
        <w:rPr>
          <w:rFonts w:asciiTheme="majorHAnsi" w:hAnsiTheme="majorHAnsi" w:cstheme="majorHAnsi"/>
          <w:b/>
          <w:i/>
          <w:color w:val="auto"/>
          <w:sz w:val="22"/>
        </w:rPr>
        <w:t>parcelaci</w:t>
      </w:r>
    </w:p>
    <w:p w14:paraId="43421073" w14:textId="77777777" w:rsidR="00BC3545" w:rsidRPr="006070EA" w:rsidRDefault="00BC3545" w:rsidP="003A4B1E">
      <w:pPr>
        <w:pStyle w:val="Odstavecseseznamem"/>
        <w:keepNext/>
        <w:numPr>
          <w:ilvl w:val="1"/>
          <w:numId w:val="30"/>
        </w:numPr>
        <w:spacing w:before="160" w:after="120" w:line="240" w:lineRule="auto"/>
        <w:ind w:left="709" w:hanging="709"/>
        <w:contextualSpacing w:val="0"/>
        <w:outlineLvl w:val="1"/>
        <w:rPr>
          <w:rFonts w:asciiTheme="majorHAnsi" w:hAnsiTheme="majorHAnsi" w:cstheme="majorHAnsi"/>
          <w:b/>
          <w:sz w:val="24"/>
          <w:szCs w:val="20"/>
        </w:rPr>
      </w:pPr>
      <w:bookmarkStart w:id="412" w:name="_Toc204678220"/>
      <w:r w:rsidRPr="006070EA">
        <w:rPr>
          <w:rFonts w:asciiTheme="majorHAnsi" w:hAnsiTheme="majorHAnsi" w:cstheme="majorHAnsi"/>
          <w:b/>
          <w:sz w:val="24"/>
          <w:szCs w:val="20"/>
        </w:rPr>
        <w:t>Odůvodnění vymezení ploch a koridorů, ve kterých je rozhodování o změnách v území podmíněno dohodou o parcelaci</w:t>
      </w:r>
      <w:bookmarkEnd w:id="412"/>
    </w:p>
    <w:p w14:paraId="587DE730" w14:textId="4E6EE755" w:rsidR="00BC3545" w:rsidRPr="006070EA" w:rsidRDefault="00BC3545" w:rsidP="008F4E67">
      <w:pPr>
        <w:keepNext/>
        <w:spacing w:after="120" w:line="240" w:lineRule="auto"/>
        <w:jc w:val="right"/>
        <w:rPr>
          <w:rFonts w:asciiTheme="majorHAnsi" w:hAnsiTheme="majorHAnsi" w:cstheme="majorHAnsi"/>
          <w:i/>
          <w:sz w:val="18"/>
          <w:szCs w:val="20"/>
          <w:u w:val="single"/>
        </w:rPr>
      </w:pPr>
      <w:r w:rsidRPr="006070EA">
        <w:rPr>
          <w:rFonts w:asciiTheme="majorHAnsi" w:hAnsiTheme="majorHAnsi" w:cstheme="majorHAnsi"/>
          <w:i/>
          <w:sz w:val="18"/>
          <w:szCs w:val="20"/>
          <w:u w:val="single"/>
        </w:rPr>
        <w:t xml:space="preserve">Odůvodnění odst. </w:t>
      </w:r>
      <w:r w:rsidRPr="006070EA">
        <w:rPr>
          <w:rFonts w:asciiTheme="majorHAnsi" w:hAnsiTheme="majorHAnsi" w:cstheme="majorHAnsi"/>
          <w:b/>
          <w:i/>
          <w:sz w:val="18"/>
          <w:szCs w:val="20"/>
          <w:u w:val="single"/>
        </w:rPr>
        <w:t>(</w:t>
      </w:r>
      <w:r w:rsidR="007F4A1A">
        <w:rPr>
          <w:rFonts w:asciiTheme="majorHAnsi" w:hAnsiTheme="majorHAnsi" w:cstheme="majorHAnsi"/>
          <w:b/>
          <w:i/>
          <w:sz w:val="18"/>
          <w:szCs w:val="20"/>
          <w:u w:val="single"/>
        </w:rPr>
        <w:t>90</w:t>
      </w:r>
      <w:r w:rsidRPr="006070EA">
        <w:rPr>
          <w:rFonts w:asciiTheme="majorHAnsi" w:hAnsiTheme="majorHAnsi" w:cstheme="majorHAnsi"/>
          <w:b/>
          <w:i/>
          <w:sz w:val="18"/>
          <w:szCs w:val="20"/>
          <w:u w:val="single"/>
        </w:rPr>
        <w:t>)</w:t>
      </w:r>
      <w:r w:rsidRPr="006070EA">
        <w:rPr>
          <w:rFonts w:asciiTheme="majorHAnsi" w:hAnsiTheme="majorHAnsi" w:cstheme="majorHAnsi"/>
          <w:i/>
          <w:sz w:val="18"/>
          <w:szCs w:val="20"/>
          <w:u w:val="single"/>
        </w:rPr>
        <w:t xml:space="preserve"> výrokové části</w:t>
      </w:r>
    </w:p>
    <w:p w14:paraId="711B0D5A" w14:textId="7281E8AB" w:rsidR="00BC3545" w:rsidRPr="006070EA" w:rsidRDefault="00FF5A85" w:rsidP="006823A0">
      <w:pPr>
        <w:spacing w:line="240" w:lineRule="auto"/>
        <w:ind w:firstLine="705"/>
        <w:jc w:val="both"/>
        <w:rPr>
          <w:rFonts w:asciiTheme="majorHAnsi" w:hAnsiTheme="majorHAnsi" w:cstheme="majorHAnsi"/>
          <w:sz w:val="18"/>
          <w:szCs w:val="20"/>
        </w:rPr>
      </w:pPr>
      <w:r w:rsidRPr="006070EA">
        <w:rPr>
          <w:rFonts w:asciiTheme="majorHAnsi" w:hAnsiTheme="majorHAnsi" w:cstheme="majorHAnsi"/>
          <w:sz w:val="18"/>
          <w:szCs w:val="20"/>
        </w:rPr>
        <w:t xml:space="preserve">V rámci procesu pořizování ÚP </w:t>
      </w:r>
      <w:r w:rsidR="009D5A6A" w:rsidRPr="006070EA">
        <w:rPr>
          <w:rFonts w:asciiTheme="majorHAnsi" w:hAnsiTheme="majorHAnsi" w:cstheme="majorHAnsi"/>
          <w:sz w:val="18"/>
          <w:szCs w:val="20"/>
        </w:rPr>
        <w:t>Kostomlaty nad Labem</w:t>
      </w:r>
      <w:r w:rsidRPr="006070EA">
        <w:rPr>
          <w:rFonts w:asciiTheme="majorHAnsi" w:hAnsiTheme="majorHAnsi" w:cstheme="majorHAnsi"/>
          <w:sz w:val="18"/>
          <w:szCs w:val="20"/>
        </w:rPr>
        <w:t xml:space="preserve"> nevyplynuly žádné požadavky ani potřebnost </w:t>
      </w:r>
      <w:r w:rsidR="00BC3545" w:rsidRPr="006070EA">
        <w:rPr>
          <w:rFonts w:asciiTheme="majorHAnsi" w:hAnsiTheme="majorHAnsi" w:cstheme="majorHAnsi"/>
          <w:sz w:val="18"/>
          <w:szCs w:val="20"/>
        </w:rPr>
        <w:t>na podmíněnost rozhodování o změnách v území dohodou o parcelaci.</w:t>
      </w:r>
    </w:p>
    <w:p w14:paraId="35DC2BA2" w14:textId="77777777" w:rsidR="00BC3545" w:rsidRPr="006070EA" w:rsidRDefault="00BC3545" w:rsidP="00155D25">
      <w:pPr>
        <w:pStyle w:val="Mra2-reakceern"/>
        <w:keepNext/>
        <w:pBdr>
          <w:left w:val="none" w:sz="0" w:space="0" w:color="auto"/>
        </w:pBdr>
        <w:shd w:val="clear" w:color="auto" w:fill="DEEAF6" w:themeFill="accent1" w:themeFillTint="33"/>
        <w:spacing w:before="240" w:after="120"/>
        <w:ind w:left="705" w:hanging="705"/>
        <w:rPr>
          <w:rFonts w:asciiTheme="majorHAnsi" w:hAnsiTheme="majorHAnsi" w:cstheme="majorHAnsi"/>
          <w:b/>
          <w:i/>
          <w:color w:val="auto"/>
          <w:sz w:val="22"/>
        </w:rPr>
      </w:pPr>
      <w:r w:rsidRPr="006070EA">
        <w:rPr>
          <w:rFonts w:asciiTheme="majorHAnsi" w:hAnsiTheme="majorHAnsi" w:cstheme="majorHAnsi"/>
          <w:b/>
          <w:i/>
          <w:color w:val="auto"/>
          <w:sz w:val="22"/>
        </w:rPr>
        <w:t>AD 12</w:t>
      </w:r>
      <w:r w:rsidRPr="006070EA">
        <w:rPr>
          <w:rFonts w:asciiTheme="majorHAnsi" w:hAnsiTheme="majorHAnsi" w:cstheme="majorHAnsi"/>
          <w:b/>
          <w:i/>
          <w:color w:val="auto"/>
          <w:sz w:val="22"/>
        </w:rPr>
        <w:tab/>
        <w:t>Vymezení ploch a koridorů, ve kterých je rozhodování o změnách v území podmíněno zpracováním územní studie, stanovení podmínek pro její pořízení a přiměřené lhůty pro vložení dat o této studii do evidence územně plánovací činnosti</w:t>
      </w:r>
    </w:p>
    <w:p w14:paraId="5A82BC18" w14:textId="77777777" w:rsidR="00BC3545" w:rsidRPr="006070EA" w:rsidRDefault="00BC3545" w:rsidP="003A4B1E">
      <w:pPr>
        <w:pStyle w:val="Odstavecseseznamem"/>
        <w:keepNext/>
        <w:numPr>
          <w:ilvl w:val="1"/>
          <w:numId w:val="30"/>
        </w:numPr>
        <w:spacing w:before="160" w:after="120" w:line="240" w:lineRule="auto"/>
        <w:ind w:left="709" w:hanging="709"/>
        <w:contextualSpacing w:val="0"/>
        <w:outlineLvl w:val="1"/>
        <w:rPr>
          <w:rFonts w:asciiTheme="majorHAnsi" w:hAnsiTheme="majorHAnsi" w:cstheme="majorHAnsi"/>
          <w:b/>
          <w:sz w:val="24"/>
          <w:szCs w:val="20"/>
        </w:rPr>
      </w:pPr>
      <w:bookmarkStart w:id="413" w:name="_Toc204678221"/>
      <w:r w:rsidRPr="006070EA">
        <w:rPr>
          <w:rFonts w:asciiTheme="majorHAnsi" w:hAnsiTheme="majorHAnsi" w:cstheme="majorHAnsi"/>
          <w:b/>
          <w:sz w:val="24"/>
          <w:szCs w:val="20"/>
        </w:rPr>
        <w:t>Odůvodnění vymezení ploch a koridorů, ve kterých je rozhodování o změnách v území podmíněno zpracováním územní studie</w:t>
      </w:r>
      <w:bookmarkEnd w:id="413"/>
    </w:p>
    <w:p w14:paraId="52C173DB" w14:textId="4D94547A" w:rsidR="009D5A6A" w:rsidRPr="006070EA" w:rsidRDefault="009D5A6A" w:rsidP="009D5A6A">
      <w:pPr>
        <w:keepNext/>
        <w:spacing w:after="120" w:line="240" w:lineRule="auto"/>
        <w:jc w:val="right"/>
        <w:rPr>
          <w:rFonts w:asciiTheme="majorHAnsi" w:hAnsiTheme="majorHAnsi" w:cstheme="majorHAnsi"/>
          <w:i/>
          <w:sz w:val="18"/>
          <w:szCs w:val="20"/>
          <w:u w:val="single"/>
        </w:rPr>
      </w:pPr>
      <w:r w:rsidRPr="006070EA">
        <w:rPr>
          <w:rFonts w:asciiTheme="majorHAnsi" w:hAnsiTheme="majorHAnsi" w:cstheme="majorHAnsi"/>
          <w:i/>
          <w:sz w:val="18"/>
          <w:szCs w:val="20"/>
          <w:u w:val="single"/>
        </w:rPr>
        <w:t xml:space="preserve">Odůvodnění odst. </w:t>
      </w:r>
      <w:r w:rsidRPr="006070EA">
        <w:rPr>
          <w:rFonts w:asciiTheme="majorHAnsi" w:hAnsiTheme="majorHAnsi" w:cstheme="majorHAnsi"/>
          <w:b/>
          <w:i/>
          <w:sz w:val="18"/>
          <w:szCs w:val="20"/>
          <w:u w:val="single"/>
        </w:rPr>
        <w:t>(</w:t>
      </w:r>
      <w:r w:rsidR="007F4A1A">
        <w:rPr>
          <w:rFonts w:asciiTheme="majorHAnsi" w:hAnsiTheme="majorHAnsi" w:cstheme="majorHAnsi"/>
          <w:b/>
          <w:i/>
          <w:sz w:val="18"/>
          <w:szCs w:val="20"/>
          <w:u w:val="single"/>
        </w:rPr>
        <w:t>91</w:t>
      </w:r>
      <w:r w:rsidRPr="006070EA">
        <w:rPr>
          <w:rFonts w:asciiTheme="majorHAnsi" w:hAnsiTheme="majorHAnsi" w:cstheme="majorHAnsi"/>
          <w:b/>
          <w:i/>
          <w:sz w:val="18"/>
          <w:szCs w:val="20"/>
          <w:u w:val="single"/>
        </w:rPr>
        <w:t>)</w:t>
      </w:r>
      <w:r w:rsidRPr="006070EA">
        <w:rPr>
          <w:rFonts w:asciiTheme="majorHAnsi" w:hAnsiTheme="majorHAnsi" w:cstheme="majorHAnsi"/>
          <w:i/>
          <w:sz w:val="18"/>
          <w:szCs w:val="20"/>
          <w:u w:val="single"/>
        </w:rPr>
        <w:t xml:space="preserve"> výrokové části</w:t>
      </w:r>
    </w:p>
    <w:p w14:paraId="62867E16" w14:textId="77777777" w:rsidR="009D5A6A" w:rsidRPr="006070EA" w:rsidRDefault="009D5A6A" w:rsidP="009D5A6A">
      <w:pPr>
        <w:spacing w:line="240" w:lineRule="auto"/>
        <w:ind w:firstLine="567"/>
        <w:jc w:val="both"/>
        <w:rPr>
          <w:rFonts w:asciiTheme="majorHAnsi" w:hAnsiTheme="majorHAnsi" w:cstheme="majorHAnsi"/>
          <w:sz w:val="18"/>
          <w:szCs w:val="20"/>
        </w:rPr>
      </w:pPr>
      <w:r w:rsidRPr="006070EA">
        <w:rPr>
          <w:rFonts w:asciiTheme="majorHAnsi" w:hAnsiTheme="majorHAnsi" w:cstheme="majorHAnsi"/>
          <w:sz w:val="18"/>
          <w:szCs w:val="20"/>
        </w:rPr>
        <w:t xml:space="preserve">V souladu s § 43 odst. 2 stavebního zákona ÚP vymezuje plochy, v nichž je rozhodování o změnách v území podmíněno zpracováním územní studie, a to zejména z důvodů vymezení dostatečných ploch veřejných prostranství a optimálního využití ploch s cílem efektivně využívat veřejnou infrastrukturu a minimalizovat náklady města na zajištění souvisejících služeb. Dalším důvodem je pak detailní řešení, které s ohledem na měřítko územního plánu nelze předurčit ani vymezit. </w:t>
      </w:r>
    </w:p>
    <w:p w14:paraId="5C9FF08D" w14:textId="77777777" w:rsidR="009D5A6A" w:rsidRPr="006070EA" w:rsidRDefault="009D5A6A" w:rsidP="009D5A6A">
      <w:pPr>
        <w:spacing w:line="240" w:lineRule="auto"/>
        <w:ind w:firstLine="567"/>
        <w:jc w:val="both"/>
        <w:rPr>
          <w:rFonts w:asciiTheme="majorHAnsi" w:hAnsiTheme="majorHAnsi" w:cstheme="majorHAnsi"/>
          <w:sz w:val="18"/>
          <w:szCs w:val="20"/>
        </w:rPr>
      </w:pPr>
      <w:r w:rsidRPr="006070EA">
        <w:rPr>
          <w:rFonts w:asciiTheme="majorHAnsi" w:hAnsiTheme="majorHAnsi" w:cstheme="majorHAnsi"/>
          <w:sz w:val="18"/>
          <w:szCs w:val="20"/>
        </w:rPr>
        <w:lastRenderedPageBreak/>
        <w:t>Odůvodnění jednotlivých ploch se stanovenou podmínkou zpracování územní studie je uvedeno v následující tabulce:</w:t>
      </w:r>
    </w:p>
    <w:tbl>
      <w:tblPr>
        <w:tblStyle w:val="Mkatabulky"/>
        <w:tblW w:w="9355" w:type="dxa"/>
        <w:jc w:val="center"/>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851"/>
        <w:gridCol w:w="8504"/>
      </w:tblGrid>
      <w:tr w:rsidR="00130012" w:rsidRPr="006070EA" w14:paraId="41E1FB89" w14:textId="77777777" w:rsidTr="00E8127B">
        <w:trPr>
          <w:cantSplit/>
          <w:trHeight w:val="227"/>
          <w:tblHeader/>
          <w:jc w:val="center"/>
        </w:trPr>
        <w:tc>
          <w:tcPr>
            <w:tcW w:w="851" w:type="dxa"/>
            <w:tcBorders>
              <w:top w:val="nil"/>
              <w:bottom w:val="single" w:sz="12" w:space="0" w:color="auto"/>
              <w:right w:val="single" w:sz="12" w:space="0" w:color="auto"/>
            </w:tcBorders>
            <w:shd w:val="clear" w:color="auto" w:fill="auto"/>
            <w:vAlign w:val="center"/>
          </w:tcPr>
          <w:p w14:paraId="7EDC33E6" w14:textId="77777777" w:rsidR="009D5A6A" w:rsidRPr="006070EA" w:rsidRDefault="009D5A6A" w:rsidP="00E8127B">
            <w:pPr>
              <w:keepNext/>
              <w:spacing w:before="40" w:after="40"/>
              <w:jc w:val="center"/>
              <w:rPr>
                <w:rFonts w:asciiTheme="majorHAnsi" w:hAnsiTheme="majorHAnsi" w:cstheme="majorHAnsi"/>
                <w:b/>
                <w:sz w:val="18"/>
                <w:szCs w:val="18"/>
              </w:rPr>
            </w:pPr>
            <w:r w:rsidRPr="006070EA">
              <w:rPr>
                <w:rFonts w:asciiTheme="majorHAnsi" w:hAnsiTheme="majorHAnsi" w:cstheme="majorHAnsi"/>
                <w:b/>
                <w:sz w:val="18"/>
                <w:szCs w:val="18"/>
              </w:rPr>
              <w:t>ozn.</w:t>
            </w:r>
          </w:p>
        </w:tc>
        <w:tc>
          <w:tcPr>
            <w:tcW w:w="8504" w:type="dxa"/>
            <w:tcBorders>
              <w:top w:val="nil"/>
              <w:left w:val="single" w:sz="12" w:space="0" w:color="auto"/>
              <w:bottom w:val="single" w:sz="12" w:space="0" w:color="auto"/>
            </w:tcBorders>
            <w:shd w:val="clear" w:color="auto" w:fill="auto"/>
            <w:vAlign w:val="center"/>
          </w:tcPr>
          <w:p w14:paraId="60C00739" w14:textId="77777777" w:rsidR="009D5A6A" w:rsidRPr="006070EA" w:rsidRDefault="009D5A6A" w:rsidP="00E8127B">
            <w:pPr>
              <w:keepNext/>
              <w:spacing w:before="40" w:after="40"/>
              <w:jc w:val="center"/>
              <w:rPr>
                <w:rFonts w:asciiTheme="majorHAnsi" w:hAnsiTheme="majorHAnsi" w:cstheme="majorHAnsi"/>
                <w:b/>
                <w:sz w:val="18"/>
                <w:szCs w:val="18"/>
              </w:rPr>
            </w:pPr>
            <w:r w:rsidRPr="006070EA">
              <w:rPr>
                <w:rFonts w:asciiTheme="majorHAnsi" w:hAnsiTheme="majorHAnsi" w:cstheme="majorHAnsi"/>
                <w:b/>
                <w:sz w:val="18"/>
                <w:szCs w:val="18"/>
              </w:rPr>
              <w:t>důvody pro stanovení podmínky zpracování územní studie, poznámky</w:t>
            </w:r>
          </w:p>
        </w:tc>
      </w:tr>
      <w:tr w:rsidR="00130012" w:rsidRPr="006070EA" w14:paraId="1E3945A2" w14:textId="77777777" w:rsidTr="00E8127B">
        <w:trPr>
          <w:cantSplit/>
          <w:trHeight w:val="391"/>
          <w:jc w:val="center"/>
        </w:trPr>
        <w:tc>
          <w:tcPr>
            <w:tcW w:w="851" w:type="dxa"/>
            <w:tcBorders>
              <w:top w:val="single" w:sz="12" w:space="0" w:color="auto"/>
            </w:tcBorders>
            <w:shd w:val="clear" w:color="auto" w:fill="auto"/>
            <w:vAlign w:val="center"/>
          </w:tcPr>
          <w:p w14:paraId="157B8AD8" w14:textId="36F8E801" w:rsidR="009D5A6A" w:rsidRPr="006070EA" w:rsidRDefault="003F5D13" w:rsidP="00E8127B">
            <w:pPr>
              <w:jc w:val="center"/>
              <w:rPr>
                <w:rFonts w:asciiTheme="majorHAnsi" w:hAnsiTheme="majorHAnsi" w:cstheme="majorHAnsi"/>
                <w:sz w:val="18"/>
                <w:szCs w:val="18"/>
              </w:rPr>
            </w:pPr>
            <w:r w:rsidRPr="006070EA">
              <w:rPr>
                <w:rFonts w:asciiTheme="majorHAnsi" w:hAnsiTheme="majorHAnsi" w:cstheme="majorHAnsi"/>
                <w:sz w:val="18"/>
                <w:szCs w:val="18"/>
              </w:rPr>
              <w:t>US.</w:t>
            </w:r>
            <w:r w:rsidR="00AF0592" w:rsidRPr="006070EA">
              <w:rPr>
                <w:rFonts w:asciiTheme="majorHAnsi" w:hAnsiTheme="majorHAnsi" w:cstheme="majorHAnsi"/>
                <w:sz w:val="18"/>
                <w:szCs w:val="18"/>
              </w:rPr>
              <w:t>1</w:t>
            </w:r>
          </w:p>
        </w:tc>
        <w:tc>
          <w:tcPr>
            <w:tcW w:w="8504" w:type="dxa"/>
            <w:tcBorders>
              <w:top w:val="single" w:sz="12" w:space="0" w:color="auto"/>
            </w:tcBorders>
            <w:shd w:val="clear" w:color="auto" w:fill="auto"/>
            <w:vAlign w:val="center"/>
          </w:tcPr>
          <w:p w14:paraId="3F8A2C4D" w14:textId="77777777" w:rsidR="009D5A6A" w:rsidRPr="006070EA" w:rsidRDefault="009D5A6A" w:rsidP="009D5A6A">
            <w:pPr>
              <w:pStyle w:val="Textpsmene"/>
              <w:numPr>
                <w:ilvl w:val="0"/>
                <w:numId w:val="33"/>
              </w:numPr>
              <w:spacing w:before="40" w:after="40"/>
              <w:ind w:left="373"/>
              <w:jc w:val="left"/>
              <w:outlineLvl w:val="9"/>
              <w:rPr>
                <w:rFonts w:asciiTheme="majorHAnsi" w:hAnsiTheme="majorHAnsi" w:cstheme="majorHAnsi"/>
                <w:snapToGrid w:val="0"/>
                <w:sz w:val="18"/>
                <w:szCs w:val="18"/>
              </w:rPr>
            </w:pPr>
            <w:r w:rsidRPr="006070EA">
              <w:rPr>
                <w:rFonts w:asciiTheme="majorHAnsi" w:hAnsiTheme="majorHAnsi" w:cstheme="majorHAnsi"/>
                <w:snapToGrid w:val="0"/>
                <w:sz w:val="18"/>
                <w:szCs w:val="18"/>
              </w:rPr>
              <w:t xml:space="preserve">nutnost koncepčního řešení lokality tak, aby bylo celé území efektivně využito a aby bylo zajištěno dopravní napojení pozemků na kapacitně vyhovující veřejně přístupné komunikace </w:t>
            </w:r>
          </w:p>
          <w:p w14:paraId="32D269C7" w14:textId="77777777" w:rsidR="009D5A6A" w:rsidRPr="006070EA" w:rsidRDefault="009D5A6A" w:rsidP="009D5A6A">
            <w:pPr>
              <w:pStyle w:val="Textpsmene"/>
              <w:numPr>
                <w:ilvl w:val="0"/>
                <w:numId w:val="33"/>
              </w:numPr>
              <w:spacing w:before="40" w:after="40"/>
              <w:ind w:left="373"/>
              <w:jc w:val="left"/>
              <w:outlineLvl w:val="9"/>
              <w:rPr>
                <w:rFonts w:asciiTheme="majorHAnsi" w:hAnsiTheme="majorHAnsi" w:cstheme="majorHAnsi"/>
                <w:snapToGrid w:val="0"/>
                <w:sz w:val="18"/>
                <w:szCs w:val="18"/>
              </w:rPr>
            </w:pPr>
            <w:r w:rsidRPr="006070EA">
              <w:rPr>
                <w:rFonts w:asciiTheme="majorHAnsi" w:hAnsiTheme="majorHAnsi" w:cstheme="majorHAnsi"/>
                <w:snapToGrid w:val="0"/>
                <w:sz w:val="18"/>
                <w:szCs w:val="18"/>
              </w:rPr>
              <w:t>s ohledem na rozsah lokality a vazbu na existující zástavbu sídla je nezbytné vymezit ucelený systém zajišťující dopravní obsluhu celého území a prověřit kapacity sítí technické infrastruktury</w:t>
            </w:r>
          </w:p>
          <w:p w14:paraId="4D30CF09" w14:textId="37BB4F7B" w:rsidR="009D5A6A" w:rsidRPr="006070EA" w:rsidRDefault="009D5A6A" w:rsidP="009D5A6A">
            <w:pPr>
              <w:pStyle w:val="Textpsmene"/>
              <w:numPr>
                <w:ilvl w:val="0"/>
                <w:numId w:val="33"/>
              </w:numPr>
              <w:spacing w:before="40" w:after="40"/>
              <w:ind w:left="373"/>
              <w:jc w:val="left"/>
              <w:outlineLvl w:val="9"/>
              <w:rPr>
                <w:rFonts w:asciiTheme="majorHAnsi" w:hAnsiTheme="majorHAnsi" w:cstheme="majorHAnsi"/>
                <w:snapToGrid w:val="0"/>
                <w:sz w:val="18"/>
                <w:szCs w:val="18"/>
              </w:rPr>
            </w:pPr>
            <w:r w:rsidRPr="006070EA">
              <w:rPr>
                <w:rFonts w:asciiTheme="majorHAnsi" w:hAnsiTheme="majorHAnsi" w:cstheme="majorHAnsi"/>
                <w:snapToGrid w:val="0"/>
                <w:sz w:val="18"/>
                <w:szCs w:val="18"/>
              </w:rPr>
              <w:t>prověření uspořádání nových stavebních pozemků, neboť v případě nekoordinovaného rozvoje zástavby a nevyřešené dopravní obsluhy území by mohlo dojít k zablokování části plochy a tím znemožnění jejího efektivního využití</w:t>
            </w:r>
          </w:p>
          <w:p w14:paraId="16195AC9" w14:textId="77777777" w:rsidR="00130012" w:rsidRPr="006070EA" w:rsidRDefault="00130012" w:rsidP="00130012">
            <w:pPr>
              <w:pStyle w:val="Textpsmene"/>
              <w:numPr>
                <w:ilvl w:val="0"/>
                <w:numId w:val="33"/>
              </w:numPr>
              <w:spacing w:before="40" w:after="40"/>
              <w:ind w:left="373"/>
              <w:jc w:val="left"/>
              <w:outlineLvl w:val="9"/>
              <w:rPr>
                <w:rFonts w:asciiTheme="majorHAnsi" w:hAnsiTheme="majorHAnsi" w:cstheme="majorHAnsi"/>
                <w:snapToGrid w:val="0"/>
                <w:sz w:val="18"/>
                <w:szCs w:val="18"/>
              </w:rPr>
            </w:pPr>
            <w:r w:rsidRPr="006070EA">
              <w:rPr>
                <w:rFonts w:asciiTheme="majorHAnsi" w:hAnsiTheme="majorHAnsi" w:cstheme="majorHAnsi"/>
                <w:snapToGrid w:val="0"/>
                <w:sz w:val="18"/>
                <w:szCs w:val="18"/>
              </w:rPr>
              <w:t>nutnost vymezení veřejných prostranství v ploše ve vazbě na § 7 odst. 2 vyhlášky 501/2006 Sb., které nelze předurčit s ohledem na míru detailu a neznalost vlastnických vztahů v území</w:t>
            </w:r>
          </w:p>
          <w:p w14:paraId="39524E61" w14:textId="16046568" w:rsidR="00AF0592" w:rsidRPr="006070EA" w:rsidRDefault="00AF0592" w:rsidP="00AF0592">
            <w:pPr>
              <w:pStyle w:val="Textpsmene"/>
              <w:numPr>
                <w:ilvl w:val="0"/>
                <w:numId w:val="33"/>
              </w:numPr>
              <w:spacing w:before="40" w:after="40"/>
              <w:ind w:left="373"/>
              <w:jc w:val="left"/>
              <w:outlineLvl w:val="9"/>
              <w:rPr>
                <w:rFonts w:asciiTheme="majorHAnsi" w:hAnsiTheme="majorHAnsi" w:cstheme="majorHAnsi"/>
                <w:snapToGrid w:val="0"/>
                <w:sz w:val="18"/>
                <w:szCs w:val="18"/>
              </w:rPr>
            </w:pPr>
            <w:r w:rsidRPr="006070EA">
              <w:rPr>
                <w:rFonts w:asciiTheme="majorHAnsi" w:hAnsiTheme="majorHAnsi" w:cstheme="majorHAnsi"/>
                <w:snapToGrid w:val="0"/>
                <w:sz w:val="18"/>
                <w:szCs w:val="18"/>
              </w:rPr>
              <w:t>nutnost prověření aplikace principů modrozelené infrastruktury</w:t>
            </w:r>
          </w:p>
          <w:p w14:paraId="79696AA9" w14:textId="77777777" w:rsidR="00130012" w:rsidRPr="006070EA" w:rsidRDefault="00AF0592" w:rsidP="00130012">
            <w:pPr>
              <w:pStyle w:val="Textpsmene"/>
              <w:numPr>
                <w:ilvl w:val="0"/>
                <w:numId w:val="33"/>
              </w:numPr>
              <w:spacing w:before="40" w:after="40"/>
              <w:ind w:left="373"/>
              <w:jc w:val="left"/>
              <w:outlineLvl w:val="9"/>
              <w:rPr>
                <w:rFonts w:asciiTheme="majorHAnsi" w:hAnsiTheme="majorHAnsi" w:cstheme="majorHAnsi"/>
                <w:snapToGrid w:val="0"/>
                <w:sz w:val="18"/>
                <w:szCs w:val="18"/>
              </w:rPr>
            </w:pPr>
            <w:r w:rsidRPr="006070EA">
              <w:rPr>
                <w:rFonts w:asciiTheme="majorHAnsi" w:hAnsiTheme="majorHAnsi" w:cstheme="majorHAnsi"/>
                <w:snapToGrid w:val="0"/>
                <w:sz w:val="18"/>
                <w:szCs w:val="18"/>
              </w:rPr>
              <w:t>komplikovaná urbanistická kompozice zastavitelné plochy</w:t>
            </w:r>
          </w:p>
          <w:p w14:paraId="64835AA5" w14:textId="3E666625" w:rsidR="00AF0592" w:rsidRPr="006070EA" w:rsidRDefault="00AF0592" w:rsidP="00130012">
            <w:pPr>
              <w:pStyle w:val="Textpsmene"/>
              <w:numPr>
                <w:ilvl w:val="0"/>
                <w:numId w:val="33"/>
              </w:numPr>
              <w:spacing w:before="40" w:after="40"/>
              <w:ind w:left="373"/>
              <w:jc w:val="left"/>
              <w:outlineLvl w:val="9"/>
              <w:rPr>
                <w:rFonts w:asciiTheme="majorHAnsi" w:hAnsiTheme="majorHAnsi" w:cstheme="majorHAnsi"/>
                <w:snapToGrid w:val="0"/>
                <w:sz w:val="18"/>
                <w:szCs w:val="18"/>
              </w:rPr>
            </w:pPr>
            <w:r w:rsidRPr="006070EA">
              <w:rPr>
                <w:rFonts w:asciiTheme="majorHAnsi" w:hAnsiTheme="majorHAnsi" w:cstheme="majorHAnsi"/>
                <w:snapToGrid w:val="0"/>
                <w:sz w:val="18"/>
                <w:szCs w:val="18"/>
              </w:rPr>
              <w:t xml:space="preserve">nutnost upřesnění směru zajištění veřejné prostupnosti území veřejným prostranstvím </w:t>
            </w:r>
          </w:p>
        </w:tc>
      </w:tr>
      <w:tr w:rsidR="00130012" w:rsidRPr="006070EA" w14:paraId="2F68AC40" w14:textId="77777777" w:rsidTr="00E8127B">
        <w:trPr>
          <w:cantSplit/>
          <w:trHeight w:val="392"/>
          <w:jc w:val="center"/>
        </w:trPr>
        <w:tc>
          <w:tcPr>
            <w:tcW w:w="851" w:type="dxa"/>
            <w:shd w:val="clear" w:color="auto" w:fill="auto"/>
            <w:vAlign w:val="center"/>
          </w:tcPr>
          <w:p w14:paraId="16311B97" w14:textId="1B3AAC49" w:rsidR="00130012" w:rsidRPr="006070EA" w:rsidRDefault="003F5D13" w:rsidP="00130012">
            <w:pPr>
              <w:jc w:val="center"/>
              <w:rPr>
                <w:rFonts w:asciiTheme="majorHAnsi" w:hAnsiTheme="majorHAnsi" w:cstheme="majorHAnsi"/>
                <w:sz w:val="18"/>
                <w:szCs w:val="18"/>
              </w:rPr>
            </w:pPr>
            <w:r w:rsidRPr="006070EA">
              <w:rPr>
                <w:rFonts w:asciiTheme="majorHAnsi" w:hAnsiTheme="majorHAnsi" w:cstheme="majorHAnsi"/>
                <w:sz w:val="18"/>
                <w:szCs w:val="18"/>
              </w:rPr>
              <w:t>US.</w:t>
            </w:r>
            <w:r w:rsidR="00130012" w:rsidRPr="006070EA">
              <w:rPr>
                <w:rFonts w:asciiTheme="majorHAnsi" w:hAnsiTheme="majorHAnsi" w:cstheme="majorHAnsi"/>
                <w:sz w:val="18"/>
                <w:szCs w:val="18"/>
              </w:rPr>
              <w:t>2</w:t>
            </w:r>
          </w:p>
        </w:tc>
        <w:tc>
          <w:tcPr>
            <w:tcW w:w="8504" w:type="dxa"/>
            <w:shd w:val="clear" w:color="auto" w:fill="auto"/>
            <w:vAlign w:val="center"/>
          </w:tcPr>
          <w:p w14:paraId="73EC1D0F" w14:textId="77777777" w:rsidR="00130012" w:rsidRPr="006070EA" w:rsidRDefault="00130012" w:rsidP="00130012">
            <w:pPr>
              <w:pStyle w:val="Textpsmene"/>
              <w:numPr>
                <w:ilvl w:val="0"/>
                <w:numId w:val="33"/>
              </w:numPr>
              <w:spacing w:before="40" w:after="40"/>
              <w:ind w:left="373"/>
              <w:jc w:val="left"/>
              <w:outlineLvl w:val="9"/>
              <w:rPr>
                <w:rFonts w:asciiTheme="majorHAnsi" w:hAnsiTheme="majorHAnsi" w:cstheme="majorHAnsi"/>
                <w:snapToGrid w:val="0"/>
                <w:sz w:val="18"/>
                <w:szCs w:val="18"/>
              </w:rPr>
            </w:pPr>
            <w:r w:rsidRPr="006070EA">
              <w:rPr>
                <w:rFonts w:asciiTheme="majorHAnsi" w:hAnsiTheme="majorHAnsi" w:cstheme="majorHAnsi"/>
                <w:snapToGrid w:val="0"/>
                <w:sz w:val="18"/>
                <w:szCs w:val="18"/>
              </w:rPr>
              <w:t xml:space="preserve">nutnost koncepčního řešení lokality tak, aby bylo celé území efektivně využito a aby bylo zajištěno dopravní napojení pozemků na kapacitně vyhovující veřejně přístupné komunikace </w:t>
            </w:r>
          </w:p>
          <w:p w14:paraId="4423BE64" w14:textId="77777777" w:rsidR="00130012" w:rsidRPr="006070EA" w:rsidRDefault="00130012" w:rsidP="00130012">
            <w:pPr>
              <w:pStyle w:val="Textpsmene"/>
              <w:numPr>
                <w:ilvl w:val="0"/>
                <w:numId w:val="33"/>
              </w:numPr>
              <w:spacing w:before="40" w:after="40"/>
              <w:ind w:left="373"/>
              <w:jc w:val="left"/>
              <w:outlineLvl w:val="9"/>
              <w:rPr>
                <w:rFonts w:asciiTheme="majorHAnsi" w:hAnsiTheme="majorHAnsi" w:cstheme="majorHAnsi"/>
                <w:snapToGrid w:val="0"/>
                <w:sz w:val="18"/>
                <w:szCs w:val="18"/>
              </w:rPr>
            </w:pPr>
            <w:r w:rsidRPr="006070EA">
              <w:rPr>
                <w:rFonts w:asciiTheme="majorHAnsi" w:hAnsiTheme="majorHAnsi" w:cstheme="majorHAnsi"/>
                <w:snapToGrid w:val="0"/>
                <w:sz w:val="18"/>
                <w:szCs w:val="18"/>
              </w:rPr>
              <w:t>s ohledem na rozsah lokality a vazbu na existující zástavbu sídla je nezbytné vymezit ucelený systém zajišťující dopravní obsluhu celého území a prověřit kapacity sítí technické infrastruktury</w:t>
            </w:r>
          </w:p>
          <w:p w14:paraId="2A4BC923" w14:textId="77777777" w:rsidR="00130012" w:rsidRPr="006070EA" w:rsidRDefault="00130012" w:rsidP="00130012">
            <w:pPr>
              <w:pStyle w:val="Textpsmene"/>
              <w:numPr>
                <w:ilvl w:val="0"/>
                <w:numId w:val="33"/>
              </w:numPr>
              <w:spacing w:before="40" w:after="40"/>
              <w:ind w:left="373"/>
              <w:jc w:val="left"/>
              <w:outlineLvl w:val="9"/>
              <w:rPr>
                <w:rFonts w:asciiTheme="majorHAnsi" w:hAnsiTheme="majorHAnsi" w:cstheme="majorHAnsi"/>
                <w:snapToGrid w:val="0"/>
                <w:sz w:val="18"/>
                <w:szCs w:val="18"/>
              </w:rPr>
            </w:pPr>
            <w:r w:rsidRPr="006070EA">
              <w:rPr>
                <w:rFonts w:asciiTheme="majorHAnsi" w:hAnsiTheme="majorHAnsi" w:cstheme="majorHAnsi"/>
                <w:snapToGrid w:val="0"/>
                <w:sz w:val="18"/>
                <w:szCs w:val="18"/>
              </w:rPr>
              <w:t>prověření uspořádání nových stavebních pozemků, neboť v případě nekoordinovaného rozvoje zástavby a nevyřešené dopravní obsluhy území by mohlo dojít k zablokování části plochy a tím znemožnění jejího efektivního využití</w:t>
            </w:r>
          </w:p>
          <w:p w14:paraId="38701024" w14:textId="77777777" w:rsidR="00130012" w:rsidRPr="006070EA" w:rsidRDefault="00130012" w:rsidP="00130012">
            <w:pPr>
              <w:pStyle w:val="Textpsmene"/>
              <w:numPr>
                <w:ilvl w:val="0"/>
                <w:numId w:val="33"/>
              </w:numPr>
              <w:spacing w:before="40" w:after="40"/>
              <w:ind w:left="373"/>
              <w:jc w:val="left"/>
              <w:outlineLvl w:val="9"/>
              <w:rPr>
                <w:rFonts w:asciiTheme="majorHAnsi" w:hAnsiTheme="majorHAnsi" w:cstheme="majorHAnsi"/>
                <w:snapToGrid w:val="0"/>
                <w:sz w:val="18"/>
                <w:szCs w:val="18"/>
              </w:rPr>
            </w:pPr>
            <w:r w:rsidRPr="006070EA">
              <w:rPr>
                <w:rFonts w:asciiTheme="majorHAnsi" w:hAnsiTheme="majorHAnsi" w:cstheme="majorHAnsi"/>
                <w:snapToGrid w:val="0"/>
                <w:sz w:val="18"/>
                <w:szCs w:val="18"/>
              </w:rPr>
              <w:t>nutnost vymezení veřejných prostranství v ploše ve vazbě na § 7 odst. 2 vyhlášky 501/2006 Sb., které nelze předurčit s ohledem na míru detailu a neznalost vlastnických vztahů v území</w:t>
            </w:r>
          </w:p>
          <w:p w14:paraId="3E281968" w14:textId="2905F413" w:rsidR="00130012" w:rsidRPr="006070EA" w:rsidRDefault="00130012" w:rsidP="00130012">
            <w:pPr>
              <w:pStyle w:val="Textpsmene"/>
              <w:numPr>
                <w:ilvl w:val="0"/>
                <w:numId w:val="33"/>
              </w:numPr>
              <w:spacing w:before="40" w:after="40"/>
              <w:ind w:left="373"/>
              <w:jc w:val="left"/>
              <w:outlineLvl w:val="9"/>
              <w:rPr>
                <w:rFonts w:asciiTheme="majorHAnsi" w:hAnsiTheme="majorHAnsi" w:cstheme="majorHAnsi"/>
                <w:snapToGrid w:val="0"/>
                <w:sz w:val="18"/>
                <w:szCs w:val="18"/>
              </w:rPr>
            </w:pPr>
            <w:r w:rsidRPr="006070EA">
              <w:rPr>
                <w:rFonts w:asciiTheme="majorHAnsi" w:hAnsiTheme="majorHAnsi" w:cstheme="majorHAnsi"/>
                <w:snapToGrid w:val="0"/>
                <w:sz w:val="18"/>
                <w:szCs w:val="18"/>
              </w:rPr>
              <w:t xml:space="preserve">nutnost prověření případného umisťování staveb v závislosti na limitech využití území </w:t>
            </w:r>
          </w:p>
          <w:p w14:paraId="23638CF0" w14:textId="77777777" w:rsidR="00130012" w:rsidRPr="006070EA" w:rsidRDefault="00130012" w:rsidP="00130012">
            <w:pPr>
              <w:pStyle w:val="Textpsmene"/>
              <w:numPr>
                <w:ilvl w:val="0"/>
                <w:numId w:val="33"/>
              </w:numPr>
              <w:spacing w:before="40" w:after="40"/>
              <w:ind w:left="373"/>
              <w:jc w:val="left"/>
              <w:outlineLvl w:val="9"/>
              <w:rPr>
                <w:rFonts w:asciiTheme="majorHAnsi" w:hAnsiTheme="majorHAnsi" w:cstheme="majorHAnsi"/>
                <w:snapToGrid w:val="0"/>
                <w:sz w:val="18"/>
                <w:szCs w:val="18"/>
              </w:rPr>
            </w:pPr>
            <w:r w:rsidRPr="006070EA">
              <w:rPr>
                <w:rFonts w:asciiTheme="majorHAnsi" w:hAnsiTheme="majorHAnsi" w:cstheme="majorHAnsi"/>
                <w:snapToGrid w:val="0"/>
                <w:sz w:val="18"/>
                <w:szCs w:val="18"/>
              </w:rPr>
              <w:t>nutnost prověření vlivu na krajinný ráz s ohledem na umístění lokality v exponované poloze, prověření působení hmot v dálkových pohledech</w:t>
            </w:r>
          </w:p>
          <w:p w14:paraId="3D22AB14" w14:textId="77777777" w:rsidR="00130012" w:rsidRPr="006070EA" w:rsidRDefault="00130012" w:rsidP="00130012">
            <w:pPr>
              <w:pStyle w:val="Textpsmene"/>
              <w:numPr>
                <w:ilvl w:val="0"/>
                <w:numId w:val="33"/>
              </w:numPr>
              <w:spacing w:before="40" w:after="40"/>
              <w:ind w:left="373"/>
              <w:jc w:val="left"/>
              <w:outlineLvl w:val="9"/>
              <w:rPr>
                <w:rFonts w:asciiTheme="majorHAnsi" w:hAnsiTheme="majorHAnsi" w:cstheme="majorHAnsi"/>
                <w:snapToGrid w:val="0"/>
                <w:sz w:val="18"/>
                <w:szCs w:val="18"/>
              </w:rPr>
            </w:pPr>
            <w:r w:rsidRPr="006070EA">
              <w:rPr>
                <w:rFonts w:asciiTheme="majorHAnsi" w:hAnsiTheme="majorHAnsi" w:cstheme="majorHAnsi"/>
                <w:snapToGrid w:val="0"/>
                <w:sz w:val="18"/>
                <w:szCs w:val="18"/>
              </w:rPr>
              <w:t>nutnost prověření aplikace principů modrozelené infrastruktury</w:t>
            </w:r>
          </w:p>
          <w:p w14:paraId="79577533" w14:textId="316E46F1" w:rsidR="00130012" w:rsidRPr="006070EA" w:rsidRDefault="000D4573" w:rsidP="00130012">
            <w:pPr>
              <w:pStyle w:val="Textpsmene"/>
              <w:numPr>
                <w:ilvl w:val="0"/>
                <w:numId w:val="33"/>
              </w:numPr>
              <w:spacing w:before="40" w:after="40"/>
              <w:ind w:left="373"/>
              <w:jc w:val="left"/>
              <w:outlineLvl w:val="9"/>
              <w:rPr>
                <w:rFonts w:asciiTheme="majorHAnsi" w:hAnsiTheme="majorHAnsi" w:cstheme="majorHAnsi"/>
                <w:snapToGrid w:val="0"/>
                <w:sz w:val="18"/>
                <w:szCs w:val="18"/>
              </w:rPr>
            </w:pPr>
            <w:r w:rsidRPr="006070EA">
              <w:rPr>
                <w:rFonts w:asciiTheme="majorHAnsi" w:hAnsiTheme="majorHAnsi" w:cstheme="majorHAnsi"/>
                <w:snapToGrid w:val="0"/>
                <w:sz w:val="18"/>
                <w:szCs w:val="18"/>
              </w:rPr>
              <w:t>potřeba ochrany specifické urbanistické struktury sídla Lány</w:t>
            </w:r>
          </w:p>
          <w:p w14:paraId="0CC9A918" w14:textId="7426677F" w:rsidR="00AC1EE3" w:rsidRPr="006070EA" w:rsidRDefault="000D4573" w:rsidP="00AC1EE3">
            <w:pPr>
              <w:pStyle w:val="Textpsmene"/>
              <w:numPr>
                <w:ilvl w:val="0"/>
                <w:numId w:val="33"/>
              </w:numPr>
              <w:spacing w:before="40" w:after="40"/>
              <w:ind w:left="373"/>
              <w:jc w:val="left"/>
              <w:outlineLvl w:val="9"/>
              <w:rPr>
                <w:rFonts w:asciiTheme="majorHAnsi" w:hAnsiTheme="majorHAnsi" w:cstheme="majorHAnsi"/>
                <w:snapToGrid w:val="0"/>
                <w:sz w:val="18"/>
                <w:szCs w:val="18"/>
              </w:rPr>
            </w:pPr>
            <w:r w:rsidRPr="006070EA">
              <w:rPr>
                <w:rFonts w:asciiTheme="majorHAnsi" w:hAnsiTheme="majorHAnsi" w:cstheme="majorHAnsi"/>
                <w:snapToGrid w:val="0"/>
                <w:sz w:val="18"/>
                <w:szCs w:val="18"/>
              </w:rPr>
              <w:t xml:space="preserve">nutnost </w:t>
            </w:r>
            <w:r w:rsidR="00AC1EE3" w:rsidRPr="006070EA">
              <w:rPr>
                <w:rFonts w:asciiTheme="majorHAnsi" w:hAnsiTheme="majorHAnsi" w:cstheme="majorHAnsi"/>
                <w:snapToGrid w:val="0"/>
                <w:sz w:val="18"/>
                <w:szCs w:val="18"/>
              </w:rPr>
              <w:t xml:space="preserve">vymezení </w:t>
            </w:r>
            <w:r w:rsidRPr="006070EA">
              <w:rPr>
                <w:rFonts w:asciiTheme="majorHAnsi" w:hAnsiTheme="majorHAnsi" w:cstheme="majorHAnsi"/>
                <w:snapToGrid w:val="0"/>
                <w:sz w:val="18"/>
                <w:szCs w:val="18"/>
              </w:rPr>
              <w:t xml:space="preserve">konkrétních </w:t>
            </w:r>
            <w:r w:rsidR="00AC1EE3" w:rsidRPr="006070EA">
              <w:rPr>
                <w:rFonts w:asciiTheme="majorHAnsi" w:hAnsiTheme="majorHAnsi" w:cstheme="majorHAnsi"/>
                <w:snapToGrid w:val="0"/>
                <w:sz w:val="18"/>
                <w:szCs w:val="18"/>
              </w:rPr>
              <w:t xml:space="preserve">přístupů </w:t>
            </w:r>
            <w:r w:rsidRPr="006070EA">
              <w:rPr>
                <w:rFonts w:asciiTheme="majorHAnsi" w:hAnsiTheme="majorHAnsi" w:cstheme="majorHAnsi"/>
                <w:snapToGrid w:val="0"/>
                <w:sz w:val="18"/>
                <w:szCs w:val="18"/>
              </w:rPr>
              <w:t xml:space="preserve">na zemědělské pozemky v lánové struktuře v západní části sídla, napojené na </w:t>
            </w:r>
            <w:r w:rsidR="00AC1EE3" w:rsidRPr="006070EA">
              <w:rPr>
                <w:rFonts w:asciiTheme="majorHAnsi" w:hAnsiTheme="majorHAnsi" w:cstheme="majorHAnsi"/>
                <w:snapToGrid w:val="0"/>
                <w:sz w:val="18"/>
                <w:szCs w:val="18"/>
              </w:rPr>
              <w:t>silnici III. třídy III/3317, zajistit podmínky pro setrvalé obhospodařování zemědělské půdy a pro zamezení jejího zablokování rezidenční zástavbou</w:t>
            </w:r>
          </w:p>
        </w:tc>
      </w:tr>
    </w:tbl>
    <w:p w14:paraId="46402B9D" w14:textId="4AF929BC" w:rsidR="009D5A6A" w:rsidRPr="006070EA" w:rsidRDefault="009D5A6A" w:rsidP="009D5A6A">
      <w:pPr>
        <w:keepNext/>
        <w:spacing w:before="120" w:after="120" w:line="240" w:lineRule="auto"/>
        <w:jc w:val="right"/>
        <w:rPr>
          <w:rFonts w:asciiTheme="majorHAnsi" w:hAnsiTheme="majorHAnsi" w:cstheme="majorHAnsi"/>
          <w:i/>
          <w:sz w:val="18"/>
          <w:szCs w:val="20"/>
          <w:u w:val="single"/>
        </w:rPr>
      </w:pPr>
      <w:r w:rsidRPr="006070EA">
        <w:rPr>
          <w:rFonts w:asciiTheme="majorHAnsi" w:hAnsiTheme="majorHAnsi" w:cstheme="majorHAnsi"/>
          <w:i/>
          <w:sz w:val="18"/>
          <w:szCs w:val="20"/>
          <w:u w:val="single"/>
        </w:rPr>
        <w:t xml:space="preserve">Odůvodnění odst. </w:t>
      </w:r>
      <w:r w:rsidRPr="006070EA">
        <w:rPr>
          <w:rFonts w:asciiTheme="majorHAnsi" w:hAnsiTheme="majorHAnsi" w:cstheme="majorHAnsi"/>
          <w:b/>
          <w:i/>
          <w:sz w:val="18"/>
          <w:szCs w:val="20"/>
          <w:u w:val="single"/>
        </w:rPr>
        <w:t>(</w:t>
      </w:r>
      <w:r w:rsidR="003F5D13" w:rsidRPr="006070EA">
        <w:rPr>
          <w:rFonts w:asciiTheme="majorHAnsi" w:hAnsiTheme="majorHAnsi" w:cstheme="majorHAnsi"/>
          <w:b/>
          <w:i/>
          <w:sz w:val="18"/>
          <w:szCs w:val="20"/>
          <w:u w:val="single"/>
        </w:rPr>
        <w:t>9</w:t>
      </w:r>
      <w:r w:rsidR="007F4A1A">
        <w:rPr>
          <w:rFonts w:asciiTheme="majorHAnsi" w:hAnsiTheme="majorHAnsi" w:cstheme="majorHAnsi"/>
          <w:b/>
          <w:i/>
          <w:sz w:val="18"/>
          <w:szCs w:val="20"/>
          <w:u w:val="single"/>
        </w:rPr>
        <w:t>2</w:t>
      </w:r>
      <w:r w:rsidRPr="006070EA">
        <w:rPr>
          <w:rFonts w:asciiTheme="majorHAnsi" w:hAnsiTheme="majorHAnsi" w:cstheme="majorHAnsi"/>
          <w:b/>
          <w:i/>
          <w:sz w:val="18"/>
          <w:szCs w:val="20"/>
          <w:u w:val="single"/>
        </w:rPr>
        <w:t>)</w:t>
      </w:r>
      <w:r w:rsidRPr="006070EA">
        <w:rPr>
          <w:rFonts w:asciiTheme="majorHAnsi" w:hAnsiTheme="majorHAnsi" w:cstheme="majorHAnsi"/>
          <w:i/>
          <w:sz w:val="18"/>
          <w:szCs w:val="20"/>
          <w:u w:val="single"/>
        </w:rPr>
        <w:t xml:space="preserve"> výrokové části</w:t>
      </w:r>
    </w:p>
    <w:p w14:paraId="2B075F1E" w14:textId="4E79BDB0" w:rsidR="00AF0592" w:rsidRPr="006070EA" w:rsidRDefault="00AF0592" w:rsidP="00AF0592">
      <w:pPr>
        <w:pStyle w:val="Atext"/>
        <w:rPr>
          <w:rFonts w:asciiTheme="majorHAnsi" w:hAnsiTheme="majorHAnsi" w:cstheme="majorHAnsi"/>
        </w:rPr>
      </w:pPr>
      <w:r w:rsidRPr="006070EA">
        <w:rPr>
          <w:rFonts w:asciiTheme="majorHAnsi" w:hAnsiTheme="majorHAnsi" w:cstheme="majorHAnsi"/>
        </w:rPr>
        <w:t>Lhůta pro vložení dat o územních studiích do evidence územně plánovací činnosti je stanovena s ohledem na časovou náročnost pořízení územních studií, které je nezbytné zpracovat jako podklad pro rozhodování v území, a dále s ohledem na povinnost pořizovatele vypracovat zprávu o uplatňování ÚP Kostomlaty nad Labem v uplynulém období po 4 letech od vydání územního plánu dle § 55 odst. 1 stavebního zákona. V této zprávě lze vyhodnotit dosavadní zpracování územních studií a</w:t>
      </w:r>
      <w:r w:rsidR="003F5D13" w:rsidRPr="006070EA">
        <w:rPr>
          <w:rFonts w:asciiTheme="majorHAnsi" w:hAnsiTheme="majorHAnsi" w:cstheme="majorHAnsi"/>
        </w:rPr>
        <w:t> </w:t>
      </w:r>
      <w:r w:rsidRPr="006070EA">
        <w:rPr>
          <w:rFonts w:asciiTheme="majorHAnsi" w:hAnsiTheme="majorHAnsi" w:cstheme="majorHAnsi"/>
        </w:rPr>
        <w:t>případně uvést v pokynech pro zpracování návrhu změny územního plánu požadavek na prodloužení lhůt pro pořízení dosud nezpracovaných územních studií. Vzhledem k obvyklé časové náročnosti 2 roky na pořízení a vydání změny územního plánu je lhůta stanovena tak, aby bylo možné na základě zprávy o uplatňování ÚP Kostomlaty nad Labem zpracovat změnu ÚP prodlužující lhůty pro zpracování územních studií, aniž by mezitím tato podmínka zanikla.</w:t>
      </w:r>
      <w:r w:rsidR="007F4A1A">
        <w:rPr>
          <w:rFonts w:asciiTheme="majorHAnsi" w:hAnsiTheme="majorHAnsi" w:cstheme="majorHAnsi"/>
        </w:rPr>
        <w:t xml:space="preserve"> </w:t>
      </w:r>
    </w:p>
    <w:p w14:paraId="795EB636" w14:textId="758C928D" w:rsidR="009D5A6A" w:rsidRPr="006070EA" w:rsidRDefault="009D5A6A" w:rsidP="009D5A6A">
      <w:pPr>
        <w:pStyle w:val="Atext"/>
        <w:rPr>
          <w:rFonts w:asciiTheme="majorHAnsi" w:hAnsiTheme="majorHAnsi" w:cstheme="majorHAnsi"/>
        </w:rPr>
      </w:pPr>
      <w:r w:rsidRPr="006070EA">
        <w:rPr>
          <w:rFonts w:asciiTheme="majorHAnsi" w:hAnsiTheme="majorHAnsi" w:cstheme="majorHAnsi"/>
        </w:rPr>
        <w:t>Nezbytnost koncepčního řešení lokalit je dána požadavky na zajištění efektivního využívání zastavěného území i</w:t>
      </w:r>
      <w:r w:rsidR="00AF0592" w:rsidRPr="006070EA">
        <w:rPr>
          <w:rFonts w:asciiTheme="majorHAnsi" w:hAnsiTheme="majorHAnsi" w:cstheme="majorHAnsi"/>
        </w:rPr>
        <w:t> </w:t>
      </w:r>
      <w:r w:rsidRPr="006070EA">
        <w:rPr>
          <w:rFonts w:asciiTheme="majorHAnsi" w:hAnsiTheme="majorHAnsi" w:cstheme="majorHAnsi"/>
        </w:rPr>
        <w:t>zastavitelných ploch, jehož smyslem je především hospodárné řešení veřejné infrastruktury, zajištění dostatečné intenzity zástavby zejména jako předpoklad ochrany nezastavěného území, v návaznosti na požadavky stavebního zákona (zejména §</w:t>
      </w:r>
      <w:r w:rsidR="00AF0592" w:rsidRPr="006070EA">
        <w:rPr>
          <w:rFonts w:asciiTheme="majorHAnsi" w:hAnsiTheme="majorHAnsi" w:cstheme="majorHAnsi"/>
        </w:rPr>
        <w:t> </w:t>
      </w:r>
      <w:r w:rsidRPr="006070EA">
        <w:rPr>
          <w:rFonts w:asciiTheme="majorHAnsi" w:hAnsiTheme="majorHAnsi" w:cstheme="majorHAnsi"/>
        </w:rPr>
        <w:t xml:space="preserve">18 a 19) a priority územního plánování definované v PÚR ČR a v ZÚR SK. </w:t>
      </w:r>
    </w:p>
    <w:p w14:paraId="119F11A2" w14:textId="76679F08" w:rsidR="009D5A6A" w:rsidRPr="006070EA" w:rsidRDefault="009D5A6A" w:rsidP="009D5A6A">
      <w:pPr>
        <w:keepNext/>
        <w:spacing w:after="120" w:line="240" w:lineRule="auto"/>
        <w:jc w:val="right"/>
        <w:rPr>
          <w:rFonts w:asciiTheme="majorHAnsi" w:hAnsiTheme="majorHAnsi" w:cstheme="majorHAnsi"/>
          <w:i/>
          <w:sz w:val="18"/>
          <w:szCs w:val="20"/>
          <w:u w:val="single"/>
        </w:rPr>
      </w:pPr>
      <w:r w:rsidRPr="006070EA">
        <w:rPr>
          <w:rFonts w:asciiTheme="majorHAnsi" w:hAnsiTheme="majorHAnsi" w:cstheme="majorHAnsi"/>
          <w:i/>
          <w:sz w:val="18"/>
          <w:szCs w:val="20"/>
          <w:u w:val="single"/>
        </w:rPr>
        <w:t xml:space="preserve">Odůvodnění odst. </w:t>
      </w:r>
      <w:r w:rsidRPr="006070EA">
        <w:rPr>
          <w:rFonts w:asciiTheme="majorHAnsi" w:hAnsiTheme="majorHAnsi" w:cstheme="majorHAnsi"/>
          <w:b/>
          <w:i/>
          <w:sz w:val="18"/>
          <w:szCs w:val="20"/>
          <w:u w:val="single"/>
        </w:rPr>
        <w:t>(</w:t>
      </w:r>
      <w:r w:rsidR="003F5D13" w:rsidRPr="006070EA">
        <w:rPr>
          <w:rFonts w:asciiTheme="majorHAnsi" w:hAnsiTheme="majorHAnsi" w:cstheme="majorHAnsi"/>
          <w:b/>
          <w:i/>
          <w:sz w:val="18"/>
          <w:szCs w:val="20"/>
          <w:u w:val="single"/>
        </w:rPr>
        <w:t>9</w:t>
      </w:r>
      <w:r w:rsidR="007F4A1A">
        <w:rPr>
          <w:rFonts w:asciiTheme="majorHAnsi" w:hAnsiTheme="majorHAnsi" w:cstheme="majorHAnsi"/>
          <w:b/>
          <w:i/>
          <w:sz w:val="18"/>
          <w:szCs w:val="20"/>
          <w:u w:val="single"/>
        </w:rPr>
        <w:t>3</w:t>
      </w:r>
      <w:r w:rsidRPr="006070EA">
        <w:rPr>
          <w:rFonts w:asciiTheme="majorHAnsi" w:hAnsiTheme="majorHAnsi" w:cstheme="majorHAnsi"/>
          <w:b/>
          <w:i/>
          <w:sz w:val="18"/>
          <w:szCs w:val="20"/>
          <w:u w:val="single"/>
        </w:rPr>
        <w:t>)</w:t>
      </w:r>
      <w:r w:rsidRPr="006070EA">
        <w:rPr>
          <w:rFonts w:asciiTheme="majorHAnsi" w:hAnsiTheme="majorHAnsi" w:cstheme="majorHAnsi"/>
          <w:i/>
          <w:sz w:val="18"/>
          <w:szCs w:val="20"/>
          <w:u w:val="single"/>
        </w:rPr>
        <w:t xml:space="preserve"> výrokové části</w:t>
      </w:r>
    </w:p>
    <w:p w14:paraId="79338037" w14:textId="0417A6B5" w:rsidR="009E186E" w:rsidRPr="006070EA" w:rsidRDefault="009D5A6A" w:rsidP="009D5A6A">
      <w:pPr>
        <w:pStyle w:val="Atext"/>
        <w:rPr>
          <w:rFonts w:asciiTheme="majorHAnsi" w:hAnsiTheme="majorHAnsi" w:cstheme="majorHAnsi"/>
        </w:rPr>
      </w:pPr>
      <w:r w:rsidRPr="006070EA">
        <w:rPr>
          <w:rFonts w:asciiTheme="majorHAnsi" w:hAnsiTheme="majorHAnsi" w:cstheme="majorHAnsi"/>
        </w:rPr>
        <w:t>Při rozhodování o změnách v území je nezbytné i za předpokladu absence územní studie a marného uplynutí lhůty pro její zpracování zohlednit stanovené požadavky na rozvoj území, zejména požadavek ve vazbě na § 7 odst. 2 vyhlášky č. 501/2006 Sb. na vymezování dostatečných ploch veřejných prostranství. To se týká zejména vymezování lokálního dopravního systému ulic, jehož řešení předurčuje parcelaci ploch a rámcové umisťování zástavby; územní plán toto řešení konkrétním způsobem nepředurčuje s ohledem na ustanovení § 3 odst. 1 vyhlášky č. 501/2006 Sb.</w:t>
      </w:r>
    </w:p>
    <w:p w14:paraId="47CAC227" w14:textId="77777777" w:rsidR="00BC3545" w:rsidRPr="006070EA" w:rsidRDefault="00BC3545" w:rsidP="00155D25">
      <w:pPr>
        <w:pStyle w:val="Mra2-reakceern"/>
        <w:keepNext/>
        <w:keepLines/>
        <w:pBdr>
          <w:left w:val="none" w:sz="0" w:space="0" w:color="auto"/>
        </w:pBdr>
        <w:shd w:val="clear" w:color="auto" w:fill="DEEAF6" w:themeFill="accent1" w:themeFillTint="33"/>
        <w:spacing w:before="240" w:after="120"/>
        <w:ind w:left="703" w:hanging="703"/>
        <w:rPr>
          <w:rFonts w:asciiTheme="majorHAnsi" w:hAnsiTheme="majorHAnsi" w:cstheme="majorHAnsi"/>
          <w:b/>
          <w:i/>
          <w:color w:val="auto"/>
          <w:sz w:val="22"/>
        </w:rPr>
      </w:pPr>
      <w:r w:rsidRPr="006070EA">
        <w:rPr>
          <w:rFonts w:asciiTheme="majorHAnsi" w:hAnsiTheme="majorHAnsi" w:cstheme="majorHAnsi"/>
          <w:b/>
          <w:i/>
          <w:color w:val="auto"/>
          <w:sz w:val="22"/>
        </w:rPr>
        <w:lastRenderedPageBreak/>
        <w:t>AD 1</w:t>
      </w:r>
      <w:r w:rsidR="00EF675C" w:rsidRPr="006070EA">
        <w:rPr>
          <w:rFonts w:asciiTheme="majorHAnsi" w:hAnsiTheme="majorHAnsi" w:cstheme="majorHAnsi"/>
          <w:b/>
          <w:i/>
          <w:color w:val="auto"/>
          <w:sz w:val="22"/>
        </w:rPr>
        <w:t>3</w:t>
      </w:r>
      <w:r w:rsidRPr="006070EA">
        <w:rPr>
          <w:rFonts w:asciiTheme="majorHAnsi" w:hAnsiTheme="majorHAnsi" w:cstheme="majorHAnsi"/>
          <w:b/>
          <w:i/>
          <w:color w:val="auto"/>
          <w:sz w:val="22"/>
        </w:rPr>
        <w:tab/>
        <w:t>Vymezení ploch a koridorů, ve kterých je rozhodování o změnách v území podmíněno vydáním regulačního plánu, zadání regulačního plánu v rozsahu dle přílohy č. 9, stanovení, zda se bude jednat o regulační plán z podnětu, nebo na žádost, a u regulačního plánu z podnětu stanovení přiměřené lhůty pro jeho vydání</w:t>
      </w:r>
    </w:p>
    <w:p w14:paraId="48873BE4" w14:textId="77777777" w:rsidR="00BC3545" w:rsidRPr="006070EA" w:rsidRDefault="00BC3545" w:rsidP="003A4B1E">
      <w:pPr>
        <w:pStyle w:val="Odstavecseseznamem"/>
        <w:keepNext/>
        <w:numPr>
          <w:ilvl w:val="1"/>
          <w:numId w:val="30"/>
        </w:numPr>
        <w:spacing w:before="160" w:after="120" w:line="240" w:lineRule="auto"/>
        <w:ind w:left="709" w:hanging="709"/>
        <w:contextualSpacing w:val="0"/>
        <w:outlineLvl w:val="1"/>
        <w:rPr>
          <w:rFonts w:asciiTheme="majorHAnsi" w:hAnsiTheme="majorHAnsi" w:cstheme="majorHAnsi"/>
          <w:b/>
          <w:sz w:val="24"/>
          <w:szCs w:val="20"/>
        </w:rPr>
      </w:pPr>
      <w:bookmarkStart w:id="414" w:name="_Toc204678222"/>
      <w:r w:rsidRPr="006070EA">
        <w:rPr>
          <w:rFonts w:asciiTheme="majorHAnsi" w:hAnsiTheme="majorHAnsi" w:cstheme="majorHAnsi"/>
          <w:b/>
          <w:sz w:val="24"/>
          <w:szCs w:val="20"/>
        </w:rPr>
        <w:t>Odůvodnění vymezení ploch</w:t>
      </w:r>
      <w:r w:rsidR="00EF675C" w:rsidRPr="006070EA">
        <w:rPr>
          <w:rFonts w:asciiTheme="majorHAnsi" w:hAnsiTheme="majorHAnsi" w:cstheme="majorHAnsi"/>
          <w:b/>
          <w:sz w:val="24"/>
          <w:szCs w:val="20"/>
        </w:rPr>
        <w:t xml:space="preserve"> a koridorů</w:t>
      </w:r>
      <w:r w:rsidRPr="006070EA">
        <w:rPr>
          <w:rFonts w:asciiTheme="majorHAnsi" w:hAnsiTheme="majorHAnsi" w:cstheme="majorHAnsi"/>
          <w:b/>
          <w:sz w:val="24"/>
          <w:szCs w:val="20"/>
        </w:rPr>
        <w:t>, ve kterých je rozhodování o změnách v území podmíněno vydáním regulačního plánu</w:t>
      </w:r>
      <w:bookmarkEnd w:id="414"/>
      <w:r w:rsidRPr="006070EA">
        <w:rPr>
          <w:rFonts w:asciiTheme="majorHAnsi" w:hAnsiTheme="majorHAnsi" w:cstheme="majorHAnsi"/>
          <w:b/>
          <w:sz w:val="24"/>
          <w:szCs w:val="20"/>
        </w:rPr>
        <w:t xml:space="preserve"> </w:t>
      </w:r>
    </w:p>
    <w:p w14:paraId="07117EFC" w14:textId="0AEB8FA1" w:rsidR="00FF5A85" w:rsidRPr="006070EA" w:rsidRDefault="00FF5A85" w:rsidP="00FF5A85">
      <w:pPr>
        <w:keepNext/>
        <w:spacing w:after="120" w:line="240" w:lineRule="auto"/>
        <w:jc w:val="right"/>
        <w:rPr>
          <w:rFonts w:asciiTheme="majorHAnsi" w:hAnsiTheme="majorHAnsi" w:cstheme="majorHAnsi"/>
          <w:i/>
          <w:sz w:val="18"/>
          <w:szCs w:val="20"/>
          <w:u w:val="single"/>
        </w:rPr>
      </w:pPr>
      <w:r w:rsidRPr="006070EA">
        <w:rPr>
          <w:rFonts w:asciiTheme="majorHAnsi" w:hAnsiTheme="majorHAnsi" w:cstheme="majorHAnsi"/>
          <w:i/>
          <w:sz w:val="18"/>
          <w:szCs w:val="20"/>
          <w:u w:val="single"/>
        </w:rPr>
        <w:t xml:space="preserve">Odůvodnění odst. </w:t>
      </w:r>
      <w:r w:rsidRPr="006070EA">
        <w:rPr>
          <w:rFonts w:asciiTheme="majorHAnsi" w:hAnsiTheme="majorHAnsi" w:cstheme="majorHAnsi"/>
          <w:b/>
          <w:i/>
          <w:sz w:val="18"/>
          <w:szCs w:val="20"/>
          <w:u w:val="single"/>
        </w:rPr>
        <w:t>(</w:t>
      </w:r>
      <w:r w:rsidR="007F4A1A">
        <w:rPr>
          <w:rFonts w:asciiTheme="majorHAnsi" w:hAnsiTheme="majorHAnsi" w:cstheme="majorHAnsi"/>
          <w:b/>
          <w:i/>
          <w:sz w:val="18"/>
          <w:szCs w:val="20"/>
          <w:u w:val="single"/>
        </w:rPr>
        <w:t>94</w:t>
      </w:r>
      <w:r w:rsidRPr="006070EA">
        <w:rPr>
          <w:rFonts w:asciiTheme="majorHAnsi" w:hAnsiTheme="majorHAnsi" w:cstheme="majorHAnsi"/>
          <w:b/>
          <w:i/>
          <w:sz w:val="18"/>
          <w:szCs w:val="20"/>
          <w:u w:val="single"/>
        </w:rPr>
        <w:t>)</w:t>
      </w:r>
      <w:r w:rsidRPr="006070EA">
        <w:rPr>
          <w:rFonts w:asciiTheme="majorHAnsi" w:hAnsiTheme="majorHAnsi" w:cstheme="majorHAnsi"/>
          <w:i/>
          <w:sz w:val="18"/>
          <w:szCs w:val="20"/>
          <w:u w:val="single"/>
        </w:rPr>
        <w:t xml:space="preserve"> výrokové části</w:t>
      </w:r>
    </w:p>
    <w:p w14:paraId="52280CE0" w14:textId="3C1BD315" w:rsidR="0085631A" w:rsidRPr="006070EA" w:rsidRDefault="0085631A" w:rsidP="0085631A">
      <w:pPr>
        <w:spacing w:line="240" w:lineRule="auto"/>
        <w:ind w:firstLine="567"/>
        <w:jc w:val="both"/>
        <w:rPr>
          <w:rFonts w:asciiTheme="majorHAnsi" w:hAnsiTheme="majorHAnsi" w:cstheme="majorHAnsi"/>
          <w:sz w:val="18"/>
          <w:szCs w:val="20"/>
        </w:rPr>
      </w:pPr>
      <w:r w:rsidRPr="006070EA">
        <w:rPr>
          <w:rFonts w:asciiTheme="majorHAnsi" w:hAnsiTheme="majorHAnsi" w:cstheme="majorHAnsi"/>
          <w:sz w:val="18"/>
          <w:szCs w:val="20"/>
        </w:rPr>
        <w:t xml:space="preserve">V souladu s § 43 odst. 2 stavebního zákona ÚP vymezuje plochy, v nichž je rozhodování o změnách v území podmíněno vydáním regulačního plánu, a to zejména s ohledem na jejich velikost, konfiguraci a složitost terénu, které nelze odpovědně řešit již na úrovni územního plánu a dále z důvodů nutnosti vymezení dostatečných ploch veřejných prostranství a optimálního využití ploch s cílem efektivně využívat veřejnou infrastrukturu a minimalizovat náklady města na zajištění souvisejících služeb. Dalším důvodem je pak detailní řešení, které s ohledem na měřítko územního plánu nelze předurčit ani vymezit. </w:t>
      </w:r>
    </w:p>
    <w:p w14:paraId="6582DEE4" w14:textId="31940330" w:rsidR="0085631A" w:rsidRPr="006070EA" w:rsidRDefault="0085631A" w:rsidP="0085631A">
      <w:pPr>
        <w:spacing w:line="240" w:lineRule="auto"/>
        <w:ind w:firstLine="567"/>
        <w:jc w:val="both"/>
        <w:rPr>
          <w:rFonts w:asciiTheme="majorHAnsi" w:hAnsiTheme="majorHAnsi" w:cstheme="majorHAnsi"/>
          <w:sz w:val="18"/>
          <w:szCs w:val="20"/>
        </w:rPr>
      </w:pPr>
      <w:r w:rsidRPr="006070EA">
        <w:rPr>
          <w:rFonts w:asciiTheme="majorHAnsi" w:hAnsiTheme="majorHAnsi" w:cstheme="majorHAnsi"/>
          <w:sz w:val="18"/>
          <w:szCs w:val="20"/>
        </w:rPr>
        <w:t>Odůvodnění jednotlivých ploch se stanovenou podmínkou vydání regulačního plánu je uvedeno v následující tabulce:</w:t>
      </w:r>
    </w:p>
    <w:tbl>
      <w:tblPr>
        <w:tblStyle w:val="Mkatabulky"/>
        <w:tblW w:w="9355" w:type="dxa"/>
        <w:jc w:val="center"/>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851"/>
        <w:gridCol w:w="8504"/>
      </w:tblGrid>
      <w:tr w:rsidR="000D4573" w:rsidRPr="006070EA" w14:paraId="061ADFD6" w14:textId="77777777" w:rsidTr="00471929">
        <w:trPr>
          <w:cantSplit/>
          <w:trHeight w:val="227"/>
          <w:tblHeader/>
          <w:jc w:val="center"/>
        </w:trPr>
        <w:tc>
          <w:tcPr>
            <w:tcW w:w="851" w:type="dxa"/>
            <w:tcBorders>
              <w:top w:val="nil"/>
              <w:bottom w:val="single" w:sz="12" w:space="0" w:color="auto"/>
              <w:right w:val="single" w:sz="12" w:space="0" w:color="auto"/>
            </w:tcBorders>
            <w:shd w:val="clear" w:color="auto" w:fill="auto"/>
            <w:vAlign w:val="center"/>
          </w:tcPr>
          <w:p w14:paraId="029A3139" w14:textId="77777777" w:rsidR="000D4573" w:rsidRPr="006070EA" w:rsidRDefault="000D4573" w:rsidP="00471929">
            <w:pPr>
              <w:keepNext/>
              <w:spacing w:before="40" w:after="40"/>
              <w:jc w:val="center"/>
              <w:rPr>
                <w:rFonts w:asciiTheme="majorHAnsi" w:hAnsiTheme="majorHAnsi" w:cstheme="majorHAnsi"/>
                <w:b/>
                <w:sz w:val="18"/>
                <w:szCs w:val="18"/>
              </w:rPr>
            </w:pPr>
            <w:r w:rsidRPr="006070EA">
              <w:rPr>
                <w:rFonts w:asciiTheme="majorHAnsi" w:hAnsiTheme="majorHAnsi" w:cstheme="majorHAnsi"/>
                <w:b/>
                <w:sz w:val="18"/>
                <w:szCs w:val="18"/>
              </w:rPr>
              <w:t>ozn.</w:t>
            </w:r>
          </w:p>
        </w:tc>
        <w:tc>
          <w:tcPr>
            <w:tcW w:w="8504" w:type="dxa"/>
            <w:tcBorders>
              <w:top w:val="nil"/>
              <w:left w:val="single" w:sz="12" w:space="0" w:color="auto"/>
              <w:bottom w:val="single" w:sz="12" w:space="0" w:color="auto"/>
            </w:tcBorders>
            <w:shd w:val="clear" w:color="auto" w:fill="auto"/>
            <w:vAlign w:val="center"/>
          </w:tcPr>
          <w:p w14:paraId="705EF646" w14:textId="431ECAA2" w:rsidR="000D4573" w:rsidRPr="006070EA" w:rsidRDefault="000D4573" w:rsidP="00471929">
            <w:pPr>
              <w:keepNext/>
              <w:spacing w:before="40" w:after="40"/>
              <w:jc w:val="center"/>
              <w:rPr>
                <w:rFonts w:asciiTheme="majorHAnsi" w:hAnsiTheme="majorHAnsi" w:cstheme="majorHAnsi"/>
                <w:b/>
                <w:sz w:val="18"/>
                <w:szCs w:val="18"/>
              </w:rPr>
            </w:pPr>
            <w:r w:rsidRPr="006070EA">
              <w:rPr>
                <w:rFonts w:asciiTheme="majorHAnsi" w:hAnsiTheme="majorHAnsi" w:cstheme="majorHAnsi"/>
                <w:b/>
                <w:sz w:val="18"/>
                <w:szCs w:val="18"/>
              </w:rPr>
              <w:t xml:space="preserve">důvody pro stanovení podmínky </w:t>
            </w:r>
            <w:r w:rsidR="0085631A" w:rsidRPr="006070EA">
              <w:rPr>
                <w:rFonts w:asciiTheme="majorHAnsi" w:hAnsiTheme="majorHAnsi" w:cstheme="majorHAnsi"/>
                <w:b/>
                <w:sz w:val="18"/>
                <w:szCs w:val="18"/>
              </w:rPr>
              <w:t>vydání regulačního plánu</w:t>
            </w:r>
          </w:p>
        </w:tc>
      </w:tr>
      <w:tr w:rsidR="000D4573" w:rsidRPr="006070EA" w14:paraId="07478E81" w14:textId="77777777" w:rsidTr="00471929">
        <w:trPr>
          <w:cantSplit/>
          <w:trHeight w:val="392"/>
          <w:jc w:val="center"/>
        </w:trPr>
        <w:tc>
          <w:tcPr>
            <w:tcW w:w="851" w:type="dxa"/>
            <w:shd w:val="clear" w:color="auto" w:fill="auto"/>
            <w:vAlign w:val="center"/>
          </w:tcPr>
          <w:p w14:paraId="26299452" w14:textId="4BBB66FB" w:rsidR="000D4573" w:rsidRPr="006070EA" w:rsidRDefault="0085631A" w:rsidP="00471929">
            <w:pPr>
              <w:jc w:val="center"/>
              <w:rPr>
                <w:rFonts w:asciiTheme="majorHAnsi" w:hAnsiTheme="majorHAnsi" w:cstheme="majorHAnsi"/>
                <w:sz w:val="18"/>
                <w:szCs w:val="18"/>
              </w:rPr>
            </w:pPr>
            <w:r w:rsidRPr="006070EA">
              <w:rPr>
                <w:rFonts w:asciiTheme="majorHAnsi" w:hAnsiTheme="majorHAnsi" w:cstheme="majorHAnsi"/>
                <w:sz w:val="18"/>
                <w:szCs w:val="18"/>
              </w:rPr>
              <w:t>RP</w:t>
            </w:r>
            <w:r w:rsidR="003F5D13" w:rsidRPr="006070EA">
              <w:rPr>
                <w:rFonts w:asciiTheme="majorHAnsi" w:hAnsiTheme="majorHAnsi" w:cstheme="majorHAnsi"/>
                <w:sz w:val="18"/>
                <w:szCs w:val="18"/>
              </w:rPr>
              <w:t>.</w:t>
            </w:r>
            <w:r w:rsidR="001A5DB9" w:rsidRPr="006070EA">
              <w:rPr>
                <w:rFonts w:asciiTheme="majorHAnsi" w:hAnsiTheme="majorHAnsi" w:cstheme="majorHAnsi"/>
                <w:sz w:val="18"/>
                <w:szCs w:val="18"/>
              </w:rPr>
              <w:t>1</w:t>
            </w:r>
          </w:p>
        </w:tc>
        <w:tc>
          <w:tcPr>
            <w:tcW w:w="8504" w:type="dxa"/>
            <w:shd w:val="clear" w:color="auto" w:fill="auto"/>
            <w:vAlign w:val="center"/>
          </w:tcPr>
          <w:p w14:paraId="2E8E638C" w14:textId="0C0AF0CD" w:rsidR="001A5DB9" w:rsidRPr="006070EA" w:rsidRDefault="001A5DB9" w:rsidP="00FC1E99">
            <w:pPr>
              <w:pStyle w:val="Textpsmene"/>
              <w:tabs>
                <w:tab w:val="clear" w:pos="0"/>
              </w:tabs>
              <w:spacing w:before="40" w:after="40"/>
              <w:jc w:val="left"/>
              <w:outlineLvl w:val="9"/>
              <w:rPr>
                <w:rFonts w:asciiTheme="majorHAnsi" w:hAnsiTheme="majorHAnsi" w:cstheme="majorHAnsi"/>
                <w:snapToGrid w:val="0"/>
                <w:sz w:val="18"/>
                <w:szCs w:val="18"/>
              </w:rPr>
            </w:pPr>
            <w:r w:rsidRPr="006070EA">
              <w:rPr>
                <w:rFonts w:asciiTheme="majorHAnsi" w:hAnsiTheme="majorHAnsi" w:cstheme="majorHAnsi"/>
                <w:snapToGrid w:val="0"/>
                <w:sz w:val="18"/>
                <w:szCs w:val="18"/>
              </w:rPr>
              <w:t xml:space="preserve">Regulační plán </w:t>
            </w:r>
            <w:r w:rsidR="004232DD" w:rsidRPr="006070EA">
              <w:rPr>
                <w:rFonts w:asciiTheme="majorHAnsi" w:hAnsiTheme="majorHAnsi" w:cstheme="majorHAnsi"/>
                <w:snapToGrid w:val="0"/>
                <w:sz w:val="18"/>
                <w:szCs w:val="18"/>
              </w:rPr>
              <w:t>„</w:t>
            </w:r>
            <w:r w:rsidRPr="006070EA">
              <w:rPr>
                <w:rFonts w:asciiTheme="majorHAnsi" w:hAnsiTheme="majorHAnsi" w:cstheme="majorHAnsi"/>
                <w:snapToGrid w:val="0"/>
                <w:sz w:val="18"/>
                <w:szCs w:val="18"/>
              </w:rPr>
              <w:t>RP</w:t>
            </w:r>
            <w:r w:rsidR="003F5D13" w:rsidRPr="006070EA">
              <w:rPr>
                <w:rFonts w:asciiTheme="majorHAnsi" w:hAnsiTheme="majorHAnsi" w:cstheme="majorHAnsi"/>
                <w:snapToGrid w:val="0"/>
                <w:sz w:val="18"/>
                <w:szCs w:val="18"/>
              </w:rPr>
              <w:t>.</w:t>
            </w:r>
            <w:r w:rsidRPr="006070EA">
              <w:rPr>
                <w:rFonts w:asciiTheme="majorHAnsi" w:hAnsiTheme="majorHAnsi" w:cstheme="majorHAnsi"/>
                <w:snapToGrid w:val="0"/>
                <w:sz w:val="18"/>
                <w:szCs w:val="18"/>
              </w:rPr>
              <w:t>1 Kostomlaty nad Labem – západ</w:t>
            </w:r>
            <w:r w:rsidR="004232DD" w:rsidRPr="006070EA">
              <w:rPr>
                <w:rFonts w:asciiTheme="majorHAnsi" w:hAnsiTheme="majorHAnsi" w:cstheme="majorHAnsi"/>
                <w:snapToGrid w:val="0"/>
                <w:sz w:val="18"/>
                <w:szCs w:val="18"/>
              </w:rPr>
              <w:t>“</w:t>
            </w:r>
            <w:r w:rsidRPr="006070EA">
              <w:rPr>
                <w:rFonts w:asciiTheme="majorHAnsi" w:hAnsiTheme="majorHAnsi" w:cstheme="majorHAnsi"/>
                <w:snapToGrid w:val="0"/>
                <w:sz w:val="18"/>
                <w:szCs w:val="18"/>
              </w:rPr>
              <w:t xml:space="preserve"> zahrnuje zastavitelné plochy Z</w:t>
            </w:r>
            <w:r w:rsidR="003F5D13" w:rsidRPr="006070EA">
              <w:rPr>
                <w:rFonts w:asciiTheme="majorHAnsi" w:hAnsiTheme="majorHAnsi" w:cstheme="majorHAnsi"/>
                <w:snapToGrid w:val="0"/>
                <w:sz w:val="18"/>
                <w:szCs w:val="18"/>
              </w:rPr>
              <w:t>.</w:t>
            </w:r>
            <w:r w:rsidRPr="006070EA">
              <w:rPr>
                <w:rFonts w:asciiTheme="majorHAnsi" w:hAnsiTheme="majorHAnsi" w:cstheme="majorHAnsi"/>
                <w:snapToGrid w:val="0"/>
                <w:sz w:val="18"/>
                <w:szCs w:val="18"/>
              </w:rPr>
              <w:t>07 (BI) a Z</w:t>
            </w:r>
            <w:r w:rsidR="003F5D13" w:rsidRPr="006070EA">
              <w:rPr>
                <w:rFonts w:asciiTheme="majorHAnsi" w:hAnsiTheme="majorHAnsi" w:cstheme="majorHAnsi"/>
                <w:snapToGrid w:val="0"/>
                <w:sz w:val="18"/>
                <w:szCs w:val="18"/>
              </w:rPr>
              <w:t>.</w:t>
            </w:r>
            <w:r w:rsidRPr="006070EA">
              <w:rPr>
                <w:rFonts w:asciiTheme="majorHAnsi" w:hAnsiTheme="majorHAnsi" w:cstheme="majorHAnsi"/>
                <w:snapToGrid w:val="0"/>
                <w:sz w:val="18"/>
                <w:szCs w:val="18"/>
              </w:rPr>
              <w:t>08 (Z</w:t>
            </w:r>
            <w:r w:rsidR="003F5D13" w:rsidRPr="006070EA">
              <w:rPr>
                <w:rFonts w:asciiTheme="majorHAnsi" w:hAnsiTheme="majorHAnsi" w:cstheme="majorHAnsi"/>
                <w:snapToGrid w:val="0"/>
                <w:sz w:val="18"/>
                <w:szCs w:val="18"/>
              </w:rPr>
              <w:t>P</w:t>
            </w:r>
            <w:r w:rsidRPr="006070EA">
              <w:rPr>
                <w:rFonts w:asciiTheme="majorHAnsi" w:hAnsiTheme="majorHAnsi" w:cstheme="majorHAnsi"/>
                <w:snapToGrid w:val="0"/>
                <w:sz w:val="18"/>
                <w:szCs w:val="18"/>
              </w:rPr>
              <w:t>)</w:t>
            </w:r>
            <w:r w:rsidR="004232DD" w:rsidRPr="006070EA">
              <w:rPr>
                <w:rFonts w:asciiTheme="majorHAnsi" w:hAnsiTheme="majorHAnsi" w:cstheme="majorHAnsi"/>
                <w:snapToGrid w:val="0"/>
                <w:sz w:val="18"/>
                <w:szCs w:val="18"/>
              </w:rPr>
              <w:t xml:space="preserve"> o souhrnné výměře 4 ha</w:t>
            </w:r>
          </w:p>
          <w:p w14:paraId="4D3B6249" w14:textId="5AA3CFBE" w:rsidR="001A5DB9" w:rsidRPr="006070EA" w:rsidRDefault="001A5DB9" w:rsidP="00471929">
            <w:pPr>
              <w:pStyle w:val="Textpsmene"/>
              <w:numPr>
                <w:ilvl w:val="0"/>
                <w:numId w:val="33"/>
              </w:numPr>
              <w:spacing w:before="40" w:after="40"/>
              <w:ind w:left="373"/>
              <w:jc w:val="left"/>
              <w:outlineLvl w:val="9"/>
              <w:rPr>
                <w:rFonts w:asciiTheme="majorHAnsi" w:hAnsiTheme="majorHAnsi" w:cstheme="majorHAnsi"/>
                <w:snapToGrid w:val="0"/>
                <w:sz w:val="18"/>
                <w:szCs w:val="18"/>
              </w:rPr>
            </w:pPr>
            <w:r w:rsidRPr="006070EA">
              <w:rPr>
                <w:rFonts w:asciiTheme="majorHAnsi" w:hAnsiTheme="majorHAnsi" w:cstheme="majorHAnsi"/>
                <w:snapToGrid w:val="0"/>
                <w:sz w:val="18"/>
                <w:szCs w:val="18"/>
              </w:rPr>
              <w:t>značný rozsah zastavitelné plochy pro rezidenční rozvoj a související potřeba podrobného řešení návaznosti nové zástavby individuálního rodinného bydlení na okolní funkce smíšené obytné – městské, hromadného bydlení a veřejně přístupné zeleně</w:t>
            </w:r>
          </w:p>
          <w:p w14:paraId="242BD233" w14:textId="7F467675" w:rsidR="000D4573" w:rsidRPr="006070EA" w:rsidRDefault="000D4573" w:rsidP="00471929">
            <w:pPr>
              <w:pStyle w:val="Textpsmene"/>
              <w:numPr>
                <w:ilvl w:val="0"/>
                <w:numId w:val="33"/>
              </w:numPr>
              <w:spacing w:before="40" w:after="40"/>
              <w:ind w:left="373"/>
              <w:jc w:val="left"/>
              <w:outlineLvl w:val="9"/>
              <w:rPr>
                <w:rFonts w:asciiTheme="majorHAnsi" w:hAnsiTheme="majorHAnsi" w:cstheme="majorHAnsi"/>
                <w:snapToGrid w:val="0"/>
                <w:sz w:val="18"/>
                <w:szCs w:val="18"/>
              </w:rPr>
            </w:pPr>
            <w:r w:rsidRPr="006070EA">
              <w:rPr>
                <w:rFonts w:asciiTheme="majorHAnsi" w:hAnsiTheme="majorHAnsi" w:cstheme="majorHAnsi"/>
                <w:snapToGrid w:val="0"/>
                <w:sz w:val="18"/>
                <w:szCs w:val="18"/>
              </w:rPr>
              <w:t xml:space="preserve">nutnost koncepčního řešení lokality tak, aby bylo celé území efektivně využito a aby bylo zajištěno dopravní napojení pozemků na kapacitně vyhovující veřejně přístupné komunikace </w:t>
            </w:r>
          </w:p>
          <w:p w14:paraId="3087FA33" w14:textId="04D03D3F" w:rsidR="001A5DB9" w:rsidRPr="006070EA" w:rsidRDefault="001A5DB9" w:rsidP="00471929">
            <w:pPr>
              <w:pStyle w:val="Textpsmene"/>
              <w:numPr>
                <w:ilvl w:val="0"/>
                <w:numId w:val="33"/>
              </w:numPr>
              <w:spacing w:before="40" w:after="40"/>
              <w:ind w:left="373"/>
              <w:jc w:val="left"/>
              <w:outlineLvl w:val="9"/>
              <w:rPr>
                <w:rFonts w:asciiTheme="majorHAnsi" w:hAnsiTheme="majorHAnsi" w:cstheme="majorHAnsi"/>
                <w:snapToGrid w:val="0"/>
                <w:sz w:val="18"/>
                <w:szCs w:val="18"/>
              </w:rPr>
            </w:pPr>
            <w:r w:rsidRPr="006070EA">
              <w:rPr>
                <w:rFonts w:asciiTheme="majorHAnsi" w:hAnsiTheme="majorHAnsi" w:cstheme="majorHAnsi"/>
                <w:snapToGrid w:val="0"/>
                <w:sz w:val="18"/>
                <w:szCs w:val="18"/>
              </w:rPr>
              <w:t>nutnost zajištění koordinovaného rozvoje zástavby a prověření možnosti stanovení pořadí změn v území (etapizace) za účelem vytvoření podmínek pro postupný rozvoj zástavby ve směru od zastavěného do volné krajiny; v této souvislosti potřeba zajištění ochrany zemědělského půdního fondu a jeho postupného a</w:t>
            </w:r>
            <w:r w:rsidR="003F5D13" w:rsidRPr="006070EA">
              <w:rPr>
                <w:rFonts w:asciiTheme="majorHAnsi" w:hAnsiTheme="majorHAnsi" w:cstheme="majorHAnsi"/>
                <w:snapToGrid w:val="0"/>
                <w:sz w:val="18"/>
                <w:szCs w:val="18"/>
              </w:rPr>
              <w:t> </w:t>
            </w:r>
            <w:r w:rsidRPr="006070EA">
              <w:rPr>
                <w:rFonts w:asciiTheme="majorHAnsi" w:hAnsiTheme="majorHAnsi" w:cstheme="majorHAnsi"/>
                <w:snapToGrid w:val="0"/>
                <w:sz w:val="18"/>
                <w:szCs w:val="18"/>
              </w:rPr>
              <w:t>koordinovaného odnímání</w:t>
            </w:r>
          </w:p>
          <w:p w14:paraId="402BC226" w14:textId="77777777" w:rsidR="000D4573" w:rsidRPr="006070EA" w:rsidRDefault="000D4573" w:rsidP="00471929">
            <w:pPr>
              <w:pStyle w:val="Textpsmene"/>
              <w:numPr>
                <w:ilvl w:val="0"/>
                <w:numId w:val="33"/>
              </w:numPr>
              <w:spacing w:before="40" w:after="40"/>
              <w:ind w:left="373"/>
              <w:jc w:val="left"/>
              <w:outlineLvl w:val="9"/>
              <w:rPr>
                <w:rFonts w:asciiTheme="majorHAnsi" w:hAnsiTheme="majorHAnsi" w:cstheme="majorHAnsi"/>
                <w:snapToGrid w:val="0"/>
                <w:sz w:val="18"/>
                <w:szCs w:val="18"/>
              </w:rPr>
            </w:pPr>
            <w:r w:rsidRPr="006070EA">
              <w:rPr>
                <w:rFonts w:asciiTheme="majorHAnsi" w:hAnsiTheme="majorHAnsi" w:cstheme="majorHAnsi"/>
                <w:snapToGrid w:val="0"/>
                <w:sz w:val="18"/>
                <w:szCs w:val="18"/>
              </w:rPr>
              <w:t>s ohledem na rozsah lokality a vazbu na existující zástavbu sídla je nezbytné vymezit ucelený systém zajišťující dopravní obsluhu celého území a prověřit kapacity sítí technické infrastruktury</w:t>
            </w:r>
          </w:p>
          <w:p w14:paraId="69C3FA8D" w14:textId="40BC54D7" w:rsidR="000D4573" w:rsidRPr="006070EA" w:rsidRDefault="000D4573" w:rsidP="00471929">
            <w:pPr>
              <w:pStyle w:val="Textpsmene"/>
              <w:numPr>
                <w:ilvl w:val="0"/>
                <w:numId w:val="33"/>
              </w:numPr>
              <w:spacing w:before="40" w:after="40"/>
              <w:ind w:left="373"/>
              <w:jc w:val="left"/>
              <w:outlineLvl w:val="9"/>
              <w:rPr>
                <w:rFonts w:asciiTheme="majorHAnsi" w:hAnsiTheme="majorHAnsi" w:cstheme="majorHAnsi"/>
                <w:snapToGrid w:val="0"/>
                <w:sz w:val="18"/>
                <w:szCs w:val="18"/>
              </w:rPr>
            </w:pPr>
            <w:r w:rsidRPr="006070EA">
              <w:rPr>
                <w:rFonts w:asciiTheme="majorHAnsi" w:hAnsiTheme="majorHAnsi" w:cstheme="majorHAnsi"/>
                <w:snapToGrid w:val="0"/>
                <w:sz w:val="18"/>
                <w:szCs w:val="18"/>
              </w:rPr>
              <w:t>prověření uspořádání nových stavebních pozemků, neboť v případě nekoordinovaného rozvoje zástavby a</w:t>
            </w:r>
            <w:r w:rsidR="003F5D13" w:rsidRPr="006070EA">
              <w:rPr>
                <w:rFonts w:asciiTheme="majorHAnsi" w:hAnsiTheme="majorHAnsi" w:cstheme="majorHAnsi"/>
                <w:snapToGrid w:val="0"/>
                <w:sz w:val="18"/>
                <w:szCs w:val="18"/>
              </w:rPr>
              <w:t> </w:t>
            </w:r>
            <w:r w:rsidRPr="006070EA">
              <w:rPr>
                <w:rFonts w:asciiTheme="majorHAnsi" w:hAnsiTheme="majorHAnsi" w:cstheme="majorHAnsi"/>
                <w:snapToGrid w:val="0"/>
                <w:sz w:val="18"/>
                <w:szCs w:val="18"/>
              </w:rPr>
              <w:t>nevyřešené dopravní obsluhy území by mohlo dojít k zablokování části plochy a tím znemožnění jejího efektivního využití</w:t>
            </w:r>
          </w:p>
          <w:p w14:paraId="1E6FEFC1" w14:textId="77777777" w:rsidR="000D4573" w:rsidRPr="006070EA" w:rsidRDefault="000D4573" w:rsidP="00471929">
            <w:pPr>
              <w:pStyle w:val="Textpsmene"/>
              <w:numPr>
                <w:ilvl w:val="0"/>
                <w:numId w:val="33"/>
              </w:numPr>
              <w:spacing w:before="40" w:after="40"/>
              <w:ind w:left="373"/>
              <w:jc w:val="left"/>
              <w:outlineLvl w:val="9"/>
              <w:rPr>
                <w:rFonts w:asciiTheme="majorHAnsi" w:hAnsiTheme="majorHAnsi" w:cstheme="majorHAnsi"/>
                <w:snapToGrid w:val="0"/>
                <w:sz w:val="18"/>
                <w:szCs w:val="18"/>
              </w:rPr>
            </w:pPr>
            <w:r w:rsidRPr="006070EA">
              <w:rPr>
                <w:rFonts w:asciiTheme="majorHAnsi" w:hAnsiTheme="majorHAnsi" w:cstheme="majorHAnsi"/>
                <w:snapToGrid w:val="0"/>
                <w:sz w:val="18"/>
                <w:szCs w:val="18"/>
              </w:rPr>
              <w:t>nutnost vymezení veřejných prostranství v ploše ve vazbě na § 7 odst. 2 vyhlášky 501/2006 Sb., které nelze předurčit s ohledem na míru detailu a neznalost vlastnických vztahů v území</w:t>
            </w:r>
          </w:p>
          <w:p w14:paraId="474D949B" w14:textId="77777777" w:rsidR="000D4573" w:rsidRPr="006070EA" w:rsidRDefault="000D4573" w:rsidP="00471929">
            <w:pPr>
              <w:pStyle w:val="Textpsmene"/>
              <w:numPr>
                <w:ilvl w:val="0"/>
                <w:numId w:val="33"/>
              </w:numPr>
              <w:spacing w:before="40" w:after="40"/>
              <w:ind w:left="373"/>
              <w:jc w:val="left"/>
              <w:outlineLvl w:val="9"/>
              <w:rPr>
                <w:rFonts w:asciiTheme="majorHAnsi" w:hAnsiTheme="majorHAnsi" w:cstheme="majorHAnsi"/>
                <w:snapToGrid w:val="0"/>
                <w:sz w:val="18"/>
                <w:szCs w:val="18"/>
              </w:rPr>
            </w:pPr>
            <w:r w:rsidRPr="006070EA">
              <w:rPr>
                <w:rFonts w:asciiTheme="majorHAnsi" w:hAnsiTheme="majorHAnsi" w:cstheme="majorHAnsi"/>
                <w:snapToGrid w:val="0"/>
                <w:sz w:val="18"/>
                <w:szCs w:val="18"/>
              </w:rPr>
              <w:t xml:space="preserve">nutnost prověření případného umisťování staveb v závislosti na limitech využití území </w:t>
            </w:r>
          </w:p>
          <w:p w14:paraId="064AE1D1" w14:textId="77777777" w:rsidR="000D4573" w:rsidRPr="006070EA" w:rsidRDefault="000D4573" w:rsidP="00471929">
            <w:pPr>
              <w:pStyle w:val="Textpsmene"/>
              <w:numPr>
                <w:ilvl w:val="0"/>
                <w:numId w:val="33"/>
              </w:numPr>
              <w:spacing w:before="40" w:after="40"/>
              <w:ind w:left="373"/>
              <w:jc w:val="left"/>
              <w:outlineLvl w:val="9"/>
              <w:rPr>
                <w:rFonts w:asciiTheme="majorHAnsi" w:hAnsiTheme="majorHAnsi" w:cstheme="majorHAnsi"/>
                <w:snapToGrid w:val="0"/>
                <w:sz w:val="18"/>
                <w:szCs w:val="18"/>
              </w:rPr>
            </w:pPr>
            <w:r w:rsidRPr="006070EA">
              <w:rPr>
                <w:rFonts w:asciiTheme="majorHAnsi" w:hAnsiTheme="majorHAnsi" w:cstheme="majorHAnsi"/>
                <w:snapToGrid w:val="0"/>
                <w:sz w:val="18"/>
                <w:szCs w:val="18"/>
              </w:rPr>
              <w:t>nutnost prověření vlivu na krajinný ráz s ohledem na umístění lokality v exponované poloze, prověření působení hmot v dálkových pohledech</w:t>
            </w:r>
          </w:p>
          <w:p w14:paraId="01C5CACC" w14:textId="77777777" w:rsidR="000D4573" w:rsidRPr="006070EA" w:rsidRDefault="000D4573" w:rsidP="00471929">
            <w:pPr>
              <w:pStyle w:val="Textpsmene"/>
              <w:numPr>
                <w:ilvl w:val="0"/>
                <w:numId w:val="33"/>
              </w:numPr>
              <w:spacing w:before="40" w:after="40"/>
              <w:ind w:left="373"/>
              <w:jc w:val="left"/>
              <w:outlineLvl w:val="9"/>
              <w:rPr>
                <w:rFonts w:asciiTheme="majorHAnsi" w:hAnsiTheme="majorHAnsi" w:cstheme="majorHAnsi"/>
                <w:snapToGrid w:val="0"/>
                <w:sz w:val="18"/>
                <w:szCs w:val="18"/>
              </w:rPr>
            </w:pPr>
            <w:r w:rsidRPr="006070EA">
              <w:rPr>
                <w:rFonts w:asciiTheme="majorHAnsi" w:hAnsiTheme="majorHAnsi" w:cstheme="majorHAnsi"/>
                <w:snapToGrid w:val="0"/>
                <w:sz w:val="18"/>
                <w:szCs w:val="18"/>
              </w:rPr>
              <w:t>nutnost prověření aplikace principů modrozelené infrastruktury</w:t>
            </w:r>
          </w:p>
          <w:p w14:paraId="1C01AC9C" w14:textId="2792435A" w:rsidR="000D4573" w:rsidRPr="006070EA" w:rsidRDefault="000D4573" w:rsidP="00471929">
            <w:pPr>
              <w:pStyle w:val="Textpsmene"/>
              <w:numPr>
                <w:ilvl w:val="0"/>
                <w:numId w:val="33"/>
              </w:numPr>
              <w:spacing w:before="40" w:after="40"/>
              <w:ind w:left="373"/>
              <w:jc w:val="left"/>
              <w:outlineLvl w:val="9"/>
              <w:rPr>
                <w:rFonts w:asciiTheme="majorHAnsi" w:hAnsiTheme="majorHAnsi" w:cstheme="majorHAnsi"/>
                <w:snapToGrid w:val="0"/>
                <w:sz w:val="18"/>
                <w:szCs w:val="18"/>
              </w:rPr>
            </w:pPr>
            <w:r w:rsidRPr="006070EA">
              <w:rPr>
                <w:rFonts w:asciiTheme="majorHAnsi" w:hAnsiTheme="majorHAnsi" w:cstheme="majorHAnsi"/>
                <w:snapToGrid w:val="0"/>
                <w:sz w:val="18"/>
                <w:szCs w:val="18"/>
              </w:rPr>
              <w:t>stanovení ochrany koryta vodního toku Vlkavy a souvisejícího lokálního biokoridoru L</w:t>
            </w:r>
            <w:r w:rsidR="003F5D13" w:rsidRPr="006070EA">
              <w:rPr>
                <w:rFonts w:asciiTheme="majorHAnsi" w:hAnsiTheme="majorHAnsi" w:cstheme="majorHAnsi"/>
                <w:snapToGrid w:val="0"/>
                <w:sz w:val="18"/>
                <w:szCs w:val="18"/>
              </w:rPr>
              <w:t>B</w:t>
            </w:r>
            <w:r w:rsidRPr="006070EA">
              <w:rPr>
                <w:rFonts w:asciiTheme="majorHAnsi" w:hAnsiTheme="majorHAnsi" w:cstheme="majorHAnsi"/>
                <w:snapToGrid w:val="0"/>
                <w:sz w:val="18"/>
                <w:szCs w:val="18"/>
              </w:rPr>
              <w:t>K</w:t>
            </w:r>
            <w:r w:rsidR="003F5D13" w:rsidRPr="006070EA">
              <w:rPr>
                <w:rFonts w:asciiTheme="majorHAnsi" w:hAnsiTheme="majorHAnsi" w:cstheme="majorHAnsi"/>
                <w:snapToGrid w:val="0"/>
                <w:sz w:val="18"/>
                <w:szCs w:val="18"/>
              </w:rPr>
              <w:t>.</w:t>
            </w:r>
            <w:r w:rsidRPr="006070EA">
              <w:rPr>
                <w:rFonts w:asciiTheme="majorHAnsi" w:hAnsiTheme="majorHAnsi" w:cstheme="majorHAnsi"/>
                <w:snapToGrid w:val="0"/>
                <w:sz w:val="18"/>
                <w:szCs w:val="18"/>
              </w:rPr>
              <w:t>1</w:t>
            </w:r>
          </w:p>
        </w:tc>
      </w:tr>
      <w:tr w:rsidR="000D4573" w:rsidRPr="006070EA" w14:paraId="23BEC101" w14:textId="77777777" w:rsidTr="00471929">
        <w:trPr>
          <w:cantSplit/>
          <w:trHeight w:val="391"/>
          <w:jc w:val="center"/>
        </w:trPr>
        <w:tc>
          <w:tcPr>
            <w:tcW w:w="851" w:type="dxa"/>
            <w:shd w:val="clear" w:color="auto" w:fill="auto"/>
            <w:vAlign w:val="center"/>
          </w:tcPr>
          <w:p w14:paraId="5F32AD53" w14:textId="6F6A7775" w:rsidR="000D4573" w:rsidRPr="006070EA" w:rsidRDefault="004232DD" w:rsidP="00471929">
            <w:pPr>
              <w:jc w:val="center"/>
              <w:rPr>
                <w:rFonts w:asciiTheme="majorHAnsi" w:hAnsiTheme="majorHAnsi" w:cstheme="majorHAnsi"/>
                <w:sz w:val="18"/>
                <w:szCs w:val="18"/>
              </w:rPr>
            </w:pPr>
            <w:r w:rsidRPr="006070EA">
              <w:rPr>
                <w:rFonts w:asciiTheme="majorHAnsi" w:hAnsiTheme="majorHAnsi" w:cstheme="majorHAnsi"/>
                <w:sz w:val="18"/>
                <w:szCs w:val="18"/>
              </w:rPr>
              <w:t>RP</w:t>
            </w:r>
            <w:r w:rsidR="003F5D13" w:rsidRPr="006070EA">
              <w:rPr>
                <w:rFonts w:asciiTheme="majorHAnsi" w:hAnsiTheme="majorHAnsi" w:cstheme="majorHAnsi"/>
                <w:sz w:val="18"/>
                <w:szCs w:val="18"/>
              </w:rPr>
              <w:t>.</w:t>
            </w:r>
            <w:r w:rsidRPr="006070EA">
              <w:rPr>
                <w:rFonts w:asciiTheme="majorHAnsi" w:hAnsiTheme="majorHAnsi" w:cstheme="majorHAnsi"/>
                <w:sz w:val="18"/>
                <w:szCs w:val="18"/>
              </w:rPr>
              <w:t>2</w:t>
            </w:r>
          </w:p>
        </w:tc>
        <w:tc>
          <w:tcPr>
            <w:tcW w:w="8504" w:type="dxa"/>
            <w:shd w:val="clear" w:color="auto" w:fill="auto"/>
            <w:vAlign w:val="center"/>
          </w:tcPr>
          <w:p w14:paraId="5F7B4DA4" w14:textId="623806D1" w:rsidR="004232DD" w:rsidRPr="006070EA" w:rsidRDefault="004232DD" w:rsidP="00FC1E99">
            <w:pPr>
              <w:pStyle w:val="Textpsmene"/>
              <w:tabs>
                <w:tab w:val="clear" w:pos="0"/>
              </w:tabs>
              <w:spacing w:before="40" w:after="40"/>
              <w:jc w:val="left"/>
              <w:outlineLvl w:val="9"/>
              <w:rPr>
                <w:rFonts w:asciiTheme="majorHAnsi" w:hAnsiTheme="majorHAnsi" w:cstheme="majorHAnsi"/>
                <w:snapToGrid w:val="0"/>
                <w:sz w:val="18"/>
                <w:szCs w:val="18"/>
              </w:rPr>
            </w:pPr>
            <w:r w:rsidRPr="006070EA">
              <w:rPr>
                <w:rFonts w:asciiTheme="majorHAnsi" w:hAnsiTheme="majorHAnsi" w:cstheme="majorHAnsi"/>
                <w:snapToGrid w:val="0"/>
                <w:sz w:val="18"/>
                <w:szCs w:val="18"/>
              </w:rPr>
              <w:t>Regulační plán "RP</w:t>
            </w:r>
            <w:r w:rsidR="003F5D13" w:rsidRPr="006070EA">
              <w:rPr>
                <w:rFonts w:asciiTheme="majorHAnsi" w:hAnsiTheme="majorHAnsi" w:cstheme="majorHAnsi"/>
                <w:snapToGrid w:val="0"/>
                <w:sz w:val="18"/>
                <w:szCs w:val="18"/>
              </w:rPr>
              <w:t>.</w:t>
            </w:r>
            <w:r w:rsidRPr="006070EA">
              <w:rPr>
                <w:rFonts w:asciiTheme="majorHAnsi" w:hAnsiTheme="majorHAnsi" w:cstheme="majorHAnsi"/>
                <w:snapToGrid w:val="0"/>
                <w:sz w:val="18"/>
                <w:szCs w:val="18"/>
              </w:rPr>
              <w:t>2 Kostomlaty nad Labem – východ“ zahrnuje zastavitelnou plochu Z</w:t>
            </w:r>
            <w:r w:rsidR="003F5D13" w:rsidRPr="006070EA">
              <w:rPr>
                <w:rFonts w:asciiTheme="majorHAnsi" w:hAnsiTheme="majorHAnsi" w:cstheme="majorHAnsi"/>
                <w:snapToGrid w:val="0"/>
                <w:sz w:val="18"/>
                <w:szCs w:val="18"/>
              </w:rPr>
              <w:t>.</w:t>
            </w:r>
            <w:r w:rsidRPr="006070EA">
              <w:rPr>
                <w:rFonts w:asciiTheme="majorHAnsi" w:hAnsiTheme="majorHAnsi" w:cstheme="majorHAnsi"/>
                <w:snapToGrid w:val="0"/>
                <w:sz w:val="18"/>
                <w:szCs w:val="18"/>
              </w:rPr>
              <w:t>14 (BI) o výměře 4,66 ha</w:t>
            </w:r>
          </w:p>
          <w:p w14:paraId="1B29AF15" w14:textId="57A7E7FA" w:rsidR="001A5DB9" w:rsidRPr="006070EA" w:rsidRDefault="001A5DB9" w:rsidP="001A5DB9">
            <w:pPr>
              <w:pStyle w:val="Textpsmene"/>
              <w:numPr>
                <w:ilvl w:val="0"/>
                <w:numId w:val="33"/>
              </w:numPr>
              <w:spacing w:before="40" w:after="40"/>
              <w:ind w:left="373"/>
              <w:jc w:val="left"/>
              <w:outlineLvl w:val="9"/>
              <w:rPr>
                <w:rFonts w:asciiTheme="majorHAnsi" w:hAnsiTheme="majorHAnsi" w:cstheme="majorHAnsi"/>
                <w:snapToGrid w:val="0"/>
                <w:sz w:val="18"/>
                <w:szCs w:val="18"/>
              </w:rPr>
            </w:pPr>
            <w:r w:rsidRPr="006070EA">
              <w:rPr>
                <w:rFonts w:asciiTheme="majorHAnsi" w:hAnsiTheme="majorHAnsi" w:cstheme="majorHAnsi"/>
                <w:snapToGrid w:val="0"/>
                <w:sz w:val="18"/>
                <w:szCs w:val="18"/>
              </w:rPr>
              <w:t>značný rozsah zastavitelné plochy pro rezidenční rozvoj a související potřeba podrobného řešení návaznosti nové zástavby individuálního rodinného bydlení na okolní funkce, zejména na stabilizovanou lesní plochu</w:t>
            </w:r>
          </w:p>
          <w:p w14:paraId="3630276A" w14:textId="2DEC47E1" w:rsidR="000D4573" w:rsidRPr="006070EA" w:rsidRDefault="000D4573" w:rsidP="00471929">
            <w:pPr>
              <w:pStyle w:val="Textpsmene"/>
              <w:numPr>
                <w:ilvl w:val="0"/>
                <w:numId w:val="33"/>
              </w:numPr>
              <w:spacing w:before="40" w:after="40"/>
              <w:ind w:left="373"/>
              <w:jc w:val="left"/>
              <w:outlineLvl w:val="9"/>
              <w:rPr>
                <w:rFonts w:asciiTheme="majorHAnsi" w:hAnsiTheme="majorHAnsi" w:cstheme="majorHAnsi"/>
                <w:snapToGrid w:val="0"/>
                <w:sz w:val="18"/>
                <w:szCs w:val="18"/>
              </w:rPr>
            </w:pPr>
            <w:r w:rsidRPr="006070EA">
              <w:rPr>
                <w:rFonts w:asciiTheme="majorHAnsi" w:hAnsiTheme="majorHAnsi" w:cstheme="majorHAnsi"/>
                <w:snapToGrid w:val="0"/>
                <w:sz w:val="18"/>
                <w:szCs w:val="18"/>
              </w:rPr>
              <w:t xml:space="preserve">nutnost koncepčního řešení lokality tak, aby bylo celé území efektivně využito a aby bylo zajištěno dopravní napojení pozemků na kapacitně vyhovující veřejně přístupné komunikace </w:t>
            </w:r>
          </w:p>
          <w:p w14:paraId="7064D450" w14:textId="77777777" w:rsidR="000D4573" w:rsidRPr="006070EA" w:rsidRDefault="000D4573" w:rsidP="00471929">
            <w:pPr>
              <w:pStyle w:val="Textpsmene"/>
              <w:numPr>
                <w:ilvl w:val="0"/>
                <w:numId w:val="33"/>
              </w:numPr>
              <w:spacing w:before="40" w:after="40"/>
              <w:ind w:left="373"/>
              <w:jc w:val="left"/>
              <w:outlineLvl w:val="9"/>
              <w:rPr>
                <w:rFonts w:asciiTheme="majorHAnsi" w:hAnsiTheme="majorHAnsi" w:cstheme="majorHAnsi"/>
                <w:snapToGrid w:val="0"/>
                <w:sz w:val="18"/>
                <w:szCs w:val="18"/>
              </w:rPr>
            </w:pPr>
            <w:r w:rsidRPr="006070EA">
              <w:rPr>
                <w:rFonts w:asciiTheme="majorHAnsi" w:hAnsiTheme="majorHAnsi" w:cstheme="majorHAnsi"/>
                <w:snapToGrid w:val="0"/>
                <w:sz w:val="18"/>
                <w:szCs w:val="18"/>
              </w:rPr>
              <w:t>s ohledem na rozsah lokality a vazbu na existující zástavbu sídla je nezbytné vymezit ucelený systém zajišťující dopravní obsluhu celého území a prověřit kapacity sítí technické infrastruktury</w:t>
            </w:r>
          </w:p>
          <w:p w14:paraId="6731F3DA" w14:textId="7FD9C527" w:rsidR="000D4573" w:rsidRPr="006070EA" w:rsidRDefault="000D4573" w:rsidP="00471929">
            <w:pPr>
              <w:pStyle w:val="Textpsmene"/>
              <w:numPr>
                <w:ilvl w:val="0"/>
                <w:numId w:val="33"/>
              </w:numPr>
              <w:spacing w:before="40" w:after="40"/>
              <w:ind w:left="373"/>
              <w:jc w:val="left"/>
              <w:outlineLvl w:val="9"/>
              <w:rPr>
                <w:rFonts w:asciiTheme="majorHAnsi" w:hAnsiTheme="majorHAnsi" w:cstheme="majorHAnsi"/>
                <w:snapToGrid w:val="0"/>
                <w:sz w:val="18"/>
                <w:szCs w:val="18"/>
              </w:rPr>
            </w:pPr>
            <w:r w:rsidRPr="006070EA">
              <w:rPr>
                <w:rFonts w:asciiTheme="majorHAnsi" w:hAnsiTheme="majorHAnsi" w:cstheme="majorHAnsi"/>
                <w:snapToGrid w:val="0"/>
                <w:sz w:val="18"/>
                <w:szCs w:val="18"/>
              </w:rPr>
              <w:t>prověření uspořádání nových stavebních pozemků, neboť v případě nekoordinovaného rozvoje zástavby a</w:t>
            </w:r>
            <w:r w:rsidR="003F5D13" w:rsidRPr="006070EA">
              <w:rPr>
                <w:rFonts w:asciiTheme="majorHAnsi" w:hAnsiTheme="majorHAnsi" w:cstheme="majorHAnsi"/>
                <w:snapToGrid w:val="0"/>
                <w:sz w:val="18"/>
                <w:szCs w:val="18"/>
              </w:rPr>
              <w:t> </w:t>
            </w:r>
            <w:r w:rsidRPr="006070EA">
              <w:rPr>
                <w:rFonts w:asciiTheme="majorHAnsi" w:hAnsiTheme="majorHAnsi" w:cstheme="majorHAnsi"/>
                <w:snapToGrid w:val="0"/>
                <w:sz w:val="18"/>
                <w:szCs w:val="18"/>
              </w:rPr>
              <w:t>nevyřešené dopravní obsluhy území by mohlo dojít k zablokování části plochy a tím znemožnění jejího efektivního využití</w:t>
            </w:r>
          </w:p>
          <w:p w14:paraId="0264D687" w14:textId="77777777" w:rsidR="000D4573" w:rsidRPr="006070EA" w:rsidRDefault="000D4573" w:rsidP="00471929">
            <w:pPr>
              <w:pStyle w:val="Textpsmene"/>
              <w:numPr>
                <w:ilvl w:val="0"/>
                <w:numId w:val="33"/>
              </w:numPr>
              <w:spacing w:before="40" w:after="40"/>
              <w:ind w:left="373"/>
              <w:jc w:val="left"/>
              <w:outlineLvl w:val="9"/>
              <w:rPr>
                <w:rFonts w:asciiTheme="majorHAnsi" w:hAnsiTheme="majorHAnsi" w:cstheme="majorHAnsi"/>
                <w:snapToGrid w:val="0"/>
                <w:sz w:val="18"/>
                <w:szCs w:val="18"/>
              </w:rPr>
            </w:pPr>
            <w:r w:rsidRPr="006070EA">
              <w:rPr>
                <w:rFonts w:asciiTheme="majorHAnsi" w:hAnsiTheme="majorHAnsi" w:cstheme="majorHAnsi"/>
                <w:snapToGrid w:val="0"/>
                <w:sz w:val="18"/>
                <w:szCs w:val="18"/>
              </w:rPr>
              <w:t>nutnost vymezení veřejných prostranství v ploše ve vazbě na § 7 odst. 2 vyhlášky 501/2006 Sb., které nelze předurčit s ohledem na míru detailu a neznalost vlastnických vztahů v území</w:t>
            </w:r>
          </w:p>
          <w:p w14:paraId="7186B4D5" w14:textId="77777777" w:rsidR="000D4573" w:rsidRPr="006070EA" w:rsidRDefault="000D4573" w:rsidP="00471929">
            <w:pPr>
              <w:pStyle w:val="Textpsmene"/>
              <w:numPr>
                <w:ilvl w:val="0"/>
                <w:numId w:val="33"/>
              </w:numPr>
              <w:spacing w:before="40" w:after="40"/>
              <w:ind w:left="373"/>
              <w:jc w:val="left"/>
              <w:outlineLvl w:val="9"/>
              <w:rPr>
                <w:rFonts w:asciiTheme="majorHAnsi" w:hAnsiTheme="majorHAnsi" w:cstheme="majorHAnsi"/>
                <w:snapToGrid w:val="0"/>
                <w:sz w:val="18"/>
                <w:szCs w:val="18"/>
              </w:rPr>
            </w:pPr>
            <w:r w:rsidRPr="006070EA">
              <w:rPr>
                <w:rFonts w:asciiTheme="majorHAnsi" w:hAnsiTheme="majorHAnsi" w:cstheme="majorHAnsi"/>
                <w:snapToGrid w:val="0"/>
                <w:sz w:val="18"/>
                <w:szCs w:val="18"/>
              </w:rPr>
              <w:t>nutnost prověření případného umisťování staveb v závislosti na limitech využití území (např. ochranné pásmo lesa)</w:t>
            </w:r>
          </w:p>
          <w:p w14:paraId="57D44DA2" w14:textId="77777777" w:rsidR="000D4573" w:rsidRPr="006070EA" w:rsidRDefault="000D4573" w:rsidP="00471929">
            <w:pPr>
              <w:pStyle w:val="Textpsmene"/>
              <w:numPr>
                <w:ilvl w:val="0"/>
                <w:numId w:val="33"/>
              </w:numPr>
              <w:spacing w:before="40" w:after="40"/>
              <w:ind w:left="373"/>
              <w:jc w:val="left"/>
              <w:outlineLvl w:val="9"/>
              <w:rPr>
                <w:rFonts w:asciiTheme="majorHAnsi" w:hAnsiTheme="majorHAnsi" w:cstheme="majorHAnsi"/>
                <w:snapToGrid w:val="0"/>
                <w:sz w:val="18"/>
                <w:szCs w:val="18"/>
              </w:rPr>
            </w:pPr>
            <w:r w:rsidRPr="006070EA">
              <w:rPr>
                <w:rFonts w:asciiTheme="majorHAnsi" w:hAnsiTheme="majorHAnsi" w:cstheme="majorHAnsi"/>
                <w:snapToGrid w:val="0"/>
                <w:sz w:val="18"/>
                <w:szCs w:val="18"/>
              </w:rPr>
              <w:t>nutnost prověření vlivu na krajinný ráz s ohledem na umístění lokality v exponované poloze, prověření působení hmot v dálkových pohledech</w:t>
            </w:r>
          </w:p>
          <w:p w14:paraId="06B3332C" w14:textId="77777777" w:rsidR="000D4573" w:rsidRPr="006070EA" w:rsidRDefault="000D4573" w:rsidP="00471929">
            <w:pPr>
              <w:pStyle w:val="Textpsmene"/>
              <w:numPr>
                <w:ilvl w:val="0"/>
                <w:numId w:val="33"/>
              </w:numPr>
              <w:spacing w:before="40" w:after="40"/>
              <w:ind w:left="373"/>
              <w:jc w:val="left"/>
              <w:outlineLvl w:val="9"/>
              <w:rPr>
                <w:rFonts w:asciiTheme="majorHAnsi" w:hAnsiTheme="majorHAnsi" w:cstheme="majorHAnsi"/>
                <w:snapToGrid w:val="0"/>
                <w:sz w:val="18"/>
                <w:szCs w:val="18"/>
              </w:rPr>
            </w:pPr>
            <w:r w:rsidRPr="006070EA">
              <w:rPr>
                <w:rFonts w:asciiTheme="majorHAnsi" w:hAnsiTheme="majorHAnsi" w:cstheme="majorHAnsi"/>
                <w:snapToGrid w:val="0"/>
                <w:sz w:val="18"/>
                <w:szCs w:val="18"/>
              </w:rPr>
              <w:t>nutnost prověření aplikace principů modrozelené infrastruktury</w:t>
            </w:r>
          </w:p>
        </w:tc>
      </w:tr>
    </w:tbl>
    <w:p w14:paraId="20F593D1" w14:textId="5A5D8E73" w:rsidR="000D4573" w:rsidRPr="006070EA" w:rsidRDefault="00A25D55" w:rsidP="00FC1E99">
      <w:pPr>
        <w:pStyle w:val="Atext"/>
        <w:spacing w:after="60"/>
        <w:rPr>
          <w:rFonts w:asciiTheme="majorHAnsi" w:hAnsiTheme="majorHAnsi" w:cstheme="majorHAnsi"/>
          <w:szCs w:val="18"/>
        </w:rPr>
      </w:pPr>
      <w:r w:rsidRPr="006070EA">
        <w:rPr>
          <w:rFonts w:asciiTheme="majorHAnsi" w:hAnsiTheme="majorHAnsi" w:cstheme="majorHAnsi"/>
          <w:szCs w:val="18"/>
        </w:rPr>
        <w:lastRenderedPageBreak/>
        <w:t>Zadání regulační</w:t>
      </w:r>
      <w:r w:rsidR="004232DD" w:rsidRPr="006070EA">
        <w:rPr>
          <w:rFonts w:asciiTheme="majorHAnsi" w:hAnsiTheme="majorHAnsi" w:cstheme="majorHAnsi"/>
          <w:szCs w:val="18"/>
        </w:rPr>
        <w:t>ch</w:t>
      </w:r>
      <w:r w:rsidRPr="006070EA">
        <w:rPr>
          <w:rFonts w:asciiTheme="majorHAnsi" w:hAnsiTheme="majorHAnsi" w:cstheme="majorHAnsi"/>
          <w:szCs w:val="18"/>
        </w:rPr>
        <w:t xml:space="preserve"> plán</w:t>
      </w:r>
      <w:r w:rsidR="004232DD" w:rsidRPr="006070EA">
        <w:rPr>
          <w:rFonts w:asciiTheme="majorHAnsi" w:hAnsiTheme="majorHAnsi" w:cstheme="majorHAnsi"/>
          <w:szCs w:val="18"/>
        </w:rPr>
        <w:t>ů</w:t>
      </w:r>
      <w:r w:rsidRPr="006070EA">
        <w:rPr>
          <w:rFonts w:asciiTheme="majorHAnsi" w:hAnsiTheme="majorHAnsi" w:cstheme="majorHAnsi"/>
          <w:szCs w:val="18"/>
        </w:rPr>
        <w:t xml:space="preserve"> RP</w:t>
      </w:r>
      <w:r w:rsidR="003F5D13" w:rsidRPr="006070EA">
        <w:rPr>
          <w:rFonts w:asciiTheme="majorHAnsi" w:hAnsiTheme="majorHAnsi" w:cstheme="majorHAnsi"/>
          <w:szCs w:val="18"/>
        </w:rPr>
        <w:t>.</w:t>
      </w:r>
      <w:r w:rsidRPr="006070EA">
        <w:rPr>
          <w:rFonts w:asciiTheme="majorHAnsi" w:hAnsiTheme="majorHAnsi" w:cstheme="majorHAnsi"/>
          <w:szCs w:val="18"/>
        </w:rPr>
        <w:t xml:space="preserve">1 </w:t>
      </w:r>
      <w:r w:rsidR="004232DD" w:rsidRPr="006070EA">
        <w:rPr>
          <w:rFonts w:asciiTheme="majorHAnsi" w:hAnsiTheme="majorHAnsi" w:cstheme="majorHAnsi"/>
          <w:szCs w:val="18"/>
        </w:rPr>
        <w:t>a RP</w:t>
      </w:r>
      <w:r w:rsidR="003F5D13" w:rsidRPr="006070EA">
        <w:rPr>
          <w:rFonts w:asciiTheme="majorHAnsi" w:hAnsiTheme="majorHAnsi" w:cstheme="majorHAnsi"/>
          <w:szCs w:val="18"/>
        </w:rPr>
        <w:t>.</w:t>
      </w:r>
      <w:r w:rsidR="004232DD" w:rsidRPr="006070EA">
        <w:rPr>
          <w:rFonts w:asciiTheme="majorHAnsi" w:hAnsiTheme="majorHAnsi" w:cstheme="majorHAnsi"/>
          <w:szCs w:val="18"/>
        </w:rPr>
        <w:t xml:space="preserve">2 </w:t>
      </w:r>
      <w:r w:rsidRPr="006070EA">
        <w:rPr>
          <w:rFonts w:asciiTheme="majorHAnsi" w:hAnsiTheme="majorHAnsi" w:cstheme="majorHAnsi"/>
          <w:szCs w:val="18"/>
        </w:rPr>
        <w:t xml:space="preserve">je obsahem výrokové části ÚP </w:t>
      </w:r>
      <w:r w:rsidR="004232DD" w:rsidRPr="006070EA">
        <w:rPr>
          <w:rFonts w:asciiTheme="majorHAnsi" w:hAnsiTheme="majorHAnsi" w:cstheme="majorHAnsi"/>
          <w:szCs w:val="18"/>
        </w:rPr>
        <w:t>Kostomlaty nad Labem</w:t>
      </w:r>
      <w:r w:rsidRPr="006070EA">
        <w:rPr>
          <w:rFonts w:asciiTheme="majorHAnsi" w:hAnsiTheme="majorHAnsi" w:cstheme="majorHAnsi"/>
          <w:szCs w:val="18"/>
        </w:rPr>
        <w:t>, kapitoly 1</w:t>
      </w:r>
      <w:r w:rsidR="004232DD" w:rsidRPr="006070EA">
        <w:rPr>
          <w:rFonts w:asciiTheme="majorHAnsi" w:hAnsiTheme="majorHAnsi" w:cstheme="majorHAnsi"/>
          <w:szCs w:val="18"/>
        </w:rPr>
        <w:t>3</w:t>
      </w:r>
      <w:r w:rsidRPr="006070EA">
        <w:rPr>
          <w:rFonts w:asciiTheme="majorHAnsi" w:hAnsiTheme="majorHAnsi" w:cstheme="majorHAnsi"/>
          <w:szCs w:val="18"/>
        </w:rPr>
        <w:t xml:space="preserve">, a je zpracováno v souladu s požadavky přílohy č. 7 vyhlášky č. 500/2006 Sb. a v souladu s přílohou č. 9 vyhlášky č. 500/2006 Sb. </w:t>
      </w:r>
    </w:p>
    <w:p w14:paraId="740B129F" w14:textId="77777777" w:rsidR="00EF675C" w:rsidRPr="006070EA" w:rsidRDefault="00EF675C" w:rsidP="00155D25">
      <w:pPr>
        <w:pStyle w:val="Mra2-reakceern"/>
        <w:keepNext/>
        <w:pBdr>
          <w:left w:val="none" w:sz="0" w:space="0" w:color="auto"/>
        </w:pBdr>
        <w:shd w:val="clear" w:color="auto" w:fill="DEEAF6" w:themeFill="accent1" w:themeFillTint="33"/>
        <w:spacing w:before="240" w:after="120"/>
        <w:ind w:left="705" w:hanging="705"/>
        <w:rPr>
          <w:rFonts w:asciiTheme="majorHAnsi" w:hAnsiTheme="majorHAnsi" w:cstheme="majorHAnsi"/>
          <w:b/>
          <w:i/>
          <w:color w:val="auto"/>
          <w:sz w:val="22"/>
        </w:rPr>
      </w:pPr>
      <w:r w:rsidRPr="006070EA">
        <w:rPr>
          <w:rFonts w:asciiTheme="majorHAnsi" w:hAnsiTheme="majorHAnsi" w:cstheme="majorHAnsi"/>
          <w:b/>
          <w:i/>
          <w:color w:val="auto"/>
          <w:sz w:val="22"/>
        </w:rPr>
        <w:t>AD 14</w:t>
      </w:r>
      <w:r w:rsidRPr="006070EA">
        <w:rPr>
          <w:rFonts w:asciiTheme="majorHAnsi" w:hAnsiTheme="majorHAnsi" w:cstheme="majorHAnsi"/>
          <w:b/>
          <w:i/>
          <w:color w:val="auto"/>
          <w:sz w:val="22"/>
        </w:rPr>
        <w:tab/>
        <w:t>Stanovení pořadí změn v území (etapizace)</w:t>
      </w:r>
    </w:p>
    <w:p w14:paraId="67D6648E" w14:textId="77777777" w:rsidR="00EF675C" w:rsidRPr="006070EA" w:rsidRDefault="00EF675C" w:rsidP="003A4B1E">
      <w:pPr>
        <w:pStyle w:val="Odstavecseseznamem"/>
        <w:keepNext/>
        <w:numPr>
          <w:ilvl w:val="1"/>
          <w:numId w:val="30"/>
        </w:numPr>
        <w:spacing w:before="160" w:after="120" w:line="240" w:lineRule="auto"/>
        <w:ind w:left="709" w:hanging="709"/>
        <w:contextualSpacing w:val="0"/>
        <w:outlineLvl w:val="1"/>
        <w:rPr>
          <w:rFonts w:asciiTheme="majorHAnsi" w:hAnsiTheme="majorHAnsi" w:cstheme="majorHAnsi"/>
          <w:b/>
          <w:sz w:val="24"/>
          <w:szCs w:val="20"/>
        </w:rPr>
      </w:pPr>
      <w:bookmarkStart w:id="415" w:name="_Toc204678223"/>
      <w:r w:rsidRPr="006070EA">
        <w:rPr>
          <w:rFonts w:asciiTheme="majorHAnsi" w:hAnsiTheme="majorHAnsi" w:cstheme="majorHAnsi"/>
          <w:b/>
          <w:sz w:val="24"/>
          <w:szCs w:val="20"/>
        </w:rPr>
        <w:t>Odůvodnění stanovení pořadí změn v území</w:t>
      </w:r>
      <w:bookmarkEnd w:id="415"/>
      <w:r w:rsidRPr="006070EA">
        <w:rPr>
          <w:rFonts w:asciiTheme="majorHAnsi" w:hAnsiTheme="majorHAnsi" w:cstheme="majorHAnsi"/>
          <w:b/>
          <w:sz w:val="24"/>
          <w:szCs w:val="20"/>
        </w:rPr>
        <w:t xml:space="preserve"> </w:t>
      </w:r>
    </w:p>
    <w:p w14:paraId="26DC9319" w14:textId="1B708325" w:rsidR="00FF5A85" w:rsidRPr="006070EA" w:rsidRDefault="00FF5A85" w:rsidP="00FF5A85">
      <w:pPr>
        <w:keepNext/>
        <w:spacing w:after="120" w:line="240" w:lineRule="auto"/>
        <w:jc w:val="right"/>
        <w:rPr>
          <w:rFonts w:asciiTheme="majorHAnsi" w:hAnsiTheme="majorHAnsi" w:cstheme="majorHAnsi"/>
          <w:i/>
          <w:sz w:val="18"/>
          <w:szCs w:val="20"/>
          <w:u w:val="single"/>
        </w:rPr>
      </w:pPr>
      <w:r w:rsidRPr="006070EA">
        <w:rPr>
          <w:rFonts w:asciiTheme="majorHAnsi" w:hAnsiTheme="majorHAnsi" w:cstheme="majorHAnsi"/>
          <w:i/>
          <w:sz w:val="18"/>
          <w:szCs w:val="20"/>
          <w:u w:val="single"/>
        </w:rPr>
        <w:t xml:space="preserve">Odůvodnění odst. </w:t>
      </w:r>
      <w:r w:rsidRPr="006070EA">
        <w:rPr>
          <w:rFonts w:asciiTheme="majorHAnsi" w:hAnsiTheme="majorHAnsi" w:cstheme="majorHAnsi"/>
          <w:b/>
          <w:i/>
          <w:sz w:val="18"/>
          <w:szCs w:val="20"/>
          <w:u w:val="single"/>
        </w:rPr>
        <w:t>(</w:t>
      </w:r>
      <w:r w:rsidR="003F5D13" w:rsidRPr="006070EA">
        <w:rPr>
          <w:rFonts w:asciiTheme="majorHAnsi" w:hAnsiTheme="majorHAnsi" w:cstheme="majorHAnsi"/>
          <w:b/>
          <w:i/>
          <w:sz w:val="18"/>
          <w:szCs w:val="20"/>
          <w:u w:val="single"/>
        </w:rPr>
        <w:t>9</w:t>
      </w:r>
      <w:r w:rsidR="007F4A1A">
        <w:rPr>
          <w:rFonts w:asciiTheme="majorHAnsi" w:hAnsiTheme="majorHAnsi" w:cstheme="majorHAnsi"/>
          <w:b/>
          <w:i/>
          <w:sz w:val="18"/>
          <w:szCs w:val="20"/>
          <w:u w:val="single"/>
        </w:rPr>
        <w:t>5</w:t>
      </w:r>
      <w:r w:rsidRPr="006070EA">
        <w:rPr>
          <w:rFonts w:asciiTheme="majorHAnsi" w:hAnsiTheme="majorHAnsi" w:cstheme="majorHAnsi"/>
          <w:b/>
          <w:i/>
          <w:sz w:val="18"/>
          <w:szCs w:val="20"/>
          <w:u w:val="single"/>
        </w:rPr>
        <w:t>)</w:t>
      </w:r>
      <w:r w:rsidRPr="006070EA">
        <w:rPr>
          <w:rFonts w:asciiTheme="majorHAnsi" w:hAnsiTheme="majorHAnsi" w:cstheme="majorHAnsi"/>
          <w:i/>
          <w:sz w:val="18"/>
          <w:szCs w:val="20"/>
          <w:u w:val="single"/>
        </w:rPr>
        <w:t xml:space="preserve"> výrokové části</w:t>
      </w:r>
    </w:p>
    <w:p w14:paraId="7703F50E" w14:textId="5A911870" w:rsidR="00EF675C" w:rsidRPr="006070EA" w:rsidRDefault="00EF675C" w:rsidP="009E186E">
      <w:pPr>
        <w:spacing w:line="240" w:lineRule="auto"/>
        <w:ind w:firstLine="709"/>
        <w:jc w:val="both"/>
        <w:rPr>
          <w:rFonts w:asciiTheme="majorHAnsi" w:hAnsiTheme="majorHAnsi" w:cstheme="majorHAnsi"/>
          <w:sz w:val="18"/>
          <w:szCs w:val="20"/>
        </w:rPr>
      </w:pPr>
      <w:r w:rsidRPr="006070EA">
        <w:rPr>
          <w:rFonts w:asciiTheme="majorHAnsi" w:hAnsiTheme="majorHAnsi" w:cstheme="majorHAnsi"/>
          <w:sz w:val="18"/>
          <w:szCs w:val="20"/>
        </w:rPr>
        <w:t xml:space="preserve">V rámci procesu pořizování ÚP </w:t>
      </w:r>
      <w:r w:rsidR="00130012" w:rsidRPr="006070EA">
        <w:rPr>
          <w:rFonts w:asciiTheme="majorHAnsi" w:hAnsiTheme="majorHAnsi" w:cstheme="majorHAnsi"/>
          <w:sz w:val="18"/>
          <w:szCs w:val="20"/>
        </w:rPr>
        <w:t>Kostomlaty nad Labem</w:t>
      </w:r>
      <w:r w:rsidR="00573088" w:rsidRPr="006070EA">
        <w:rPr>
          <w:rFonts w:asciiTheme="majorHAnsi" w:hAnsiTheme="majorHAnsi" w:cstheme="majorHAnsi"/>
          <w:sz w:val="18"/>
          <w:szCs w:val="20"/>
        </w:rPr>
        <w:t xml:space="preserve"> </w:t>
      </w:r>
      <w:r w:rsidRPr="006070EA">
        <w:rPr>
          <w:rFonts w:asciiTheme="majorHAnsi" w:hAnsiTheme="majorHAnsi" w:cstheme="majorHAnsi"/>
          <w:sz w:val="18"/>
          <w:szCs w:val="20"/>
        </w:rPr>
        <w:t>nevyplynuly žádné požadavky ani potřebnost stanovení pořadí změn v území (etapizace).</w:t>
      </w:r>
    </w:p>
    <w:p w14:paraId="6DDD0528" w14:textId="77777777" w:rsidR="009E33CB" w:rsidRPr="006070EA" w:rsidRDefault="009E33CB" w:rsidP="00D430EF">
      <w:pPr>
        <w:pStyle w:val="Odstavecseseznamem"/>
        <w:keepNext/>
        <w:numPr>
          <w:ilvl w:val="0"/>
          <w:numId w:val="1"/>
        </w:numPr>
        <w:pBdr>
          <w:top w:val="single" w:sz="8" w:space="1" w:color="auto"/>
          <w:left w:val="single" w:sz="8" w:space="4" w:color="auto"/>
          <w:bottom w:val="single" w:sz="8" w:space="1" w:color="auto"/>
          <w:right w:val="single" w:sz="8" w:space="4" w:color="auto"/>
        </w:pBdr>
        <w:shd w:val="clear" w:color="auto" w:fill="F2F2F2" w:themeFill="background1" w:themeFillShade="F2"/>
        <w:spacing w:before="200" w:after="200" w:line="240" w:lineRule="auto"/>
        <w:ind w:left="709" w:hanging="709"/>
        <w:contextualSpacing w:val="0"/>
        <w:jc w:val="both"/>
        <w:outlineLvl w:val="0"/>
        <w:rPr>
          <w:rFonts w:asciiTheme="majorHAnsi" w:hAnsiTheme="majorHAnsi" w:cstheme="majorHAnsi"/>
          <w:b/>
          <w:sz w:val="24"/>
          <w:szCs w:val="28"/>
        </w:rPr>
      </w:pPr>
      <w:bookmarkStart w:id="416" w:name="_Toc424119865"/>
      <w:bookmarkStart w:id="417" w:name="_Toc204678224"/>
      <w:r w:rsidRPr="006070EA">
        <w:rPr>
          <w:rFonts w:asciiTheme="majorHAnsi" w:hAnsiTheme="majorHAnsi" w:cstheme="majorHAnsi"/>
          <w:b/>
          <w:sz w:val="24"/>
          <w:szCs w:val="28"/>
        </w:rPr>
        <w:t>VYHODNOCENÍ PŘEDPOKLÁDANÝCH DŮSLEDKŮ NAVRHOVANÉHO ŘEŠENÍ NA ZEMĚDĚLSKÝ PŮDNÍ FOND A POZEMKY URČENÉ K PLNĚNÍ FUNKCE LESA</w:t>
      </w:r>
      <w:bookmarkEnd w:id="416"/>
      <w:bookmarkEnd w:id="417"/>
    </w:p>
    <w:p w14:paraId="531BBF19" w14:textId="77777777" w:rsidR="009E33CB" w:rsidRPr="006070EA" w:rsidRDefault="009E33CB" w:rsidP="00D430EF">
      <w:pPr>
        <w:keepNext/>
        <w:spacing w:after="120" w:line="240" w:lineRule="auto"/>
        <w:ind w:firstLine="709"/>
        <w:rPr>
          <w:rFonts w:asciiTheme="majorHAnsi" w:hAnsiTheme="majorHAnsi" w:cstheme="majorHAnsi"/>
          <w:i/>
          <w:sz w:val="18"/>
          <w:szCs w:val="20"/>
        </w:rPr>
      </w:pPr>
      <w:r w:rsidRPr="006070EA">
        <w:rPr>
          <w:rFonts w:asciiTheme="majorHAnsi" w:hAnsiTheme="majorHAnsi" w:cstheme="majorHAnsi"/>
          <w:i/>
          <w:sz w:val="18"/>
          <w:szCs w:val="20"/>
        </w:rPr>
        <w:t>Vyhláška 500/2006 Sb., příloha č. 7, část II, odst. 1 d)</w:t>
      </w:r>
    </w:p>
    <w:p w14:paraId="6A7F0DC0" w14:textId="77777777" w:rsidR="009E33CB" w:rsidRPr="006070EA" w:rsidRDefault="009E33CB" w:rsidP="009A6481">
      <w:pPr>
        <w:spacing w:after="120" w:line="240" w:lineRule="auto"/>
        <w:ind w:firstLine="709"/>
        <w:rPr>
          <w:rFonts w:asciiTheme="majorHAnsi" w:hAnsiTheme="majorHAnsi" w:cstheme="majorHAnsi"/>
          <w:b/>
          <w:i/>
          <w:sz w:val="18"/>
          <w:szCs w:val="20"/>
        </w:rPr>
      </w:pPr>
      <w:r w:rsidRPr="006070EA">
        <w:rPr>
          <w:rFonts w:asciiTheme="majorHAnsi" w:hAnsiTheme="majorHAnsi" w:cstheme="majorHAnsi"/>
          <w:b/>
          <w:i/>
          <w:sz w:val="18"/>
          <w:szCs w:val="20"/>
        </w:rPr>
        <w:t>Zpracovává projektant s využitím metodických pomůcek MŽP a MMR.</w:t>
      </w:r>
    </w:p>
    <w:p w14:paraId="273F7FA1" w14:textId="77777777" w:rsidR="009E33CB" w:rsidRPr="006070EA" w:rsidRDefault="009E33CB" w:rsidP="003A4B1E">
      <w:pPr>
        <w:pStyle w:val="Odstavecseseznamem"/>
        <w:keepNext/>
        <w:numPr>
          <w:ilvl w:val="1"/>
          <w:numId w:val="31"/>
        </w:numPr>
        <w:spacing w:before="160" w:after="120" w:line="240" w:lineRule="auto"/>
        <w:ind w:left="709" w:hanging="709"/>
        <w:contextualSpacing w:val="0"/>
        <w:jc w:val="both"/>
        <w:outlineLvl w:val="1"/>
        <w:rPr>
          <w:rFonts w:asciiTheme="majorHAnsi" w:hAnsiTheme="majorHAnsi" w:cstheme="majorHAnsi"/>
          <w:b/>
          <w:sz w:val="24"/>
          <w:szCs w:val="20"/>
        </w:rPr>
      </w:pPr>
      <w:bookmarkStart w:id="418" w:name="_Toc415756031"/>
      <w:bookmarkStart w:id="419" w:name="_Toc415756397"/>
      <w:bookmarkStart w:id="420" w:name="_Toc415756756"/>
      <w:bookmarkStart w:id="421" w:name="_Toc415757006"/>
      <w:bookmarkStart w:id="422" w:name="_Toc415757255"/>
      <w:bookmarkStart w:id="423" w:name="_Toc415757491"/>
      <w:bookmarkStart w:id="424" w:name="_Toc415757649"/>
      <w:bookmarkStart w:id="425" w:name="_Toc424050169"/>
      <w:bookmarkStart w:id="426" w:name="_Toc424050343"/>
      <w:bookmarkStart w:id="427" w:name="_Toc424050501"/>
      <w:bookmarkStart w:id="428" w:name="_Toc424112363"/>
      <w:bookmarkStart w:id="429" w:name="_Toc424119387"/>
      <w:bookmarkStart w:id="430" w:name="_Toc424119866"/>
      <w:bookmarkStart w:id="431" w:name="_Toc424120122"/>
      <w:bookmarkStart w:id="432" w:name="_Toc424120571"/>
      <w:bookmarkStart w:id="433" w:name="_Toc424126277"/>
      <w:bookmarkStart w:id="434" w:name="_Toc424138858"/>
      <w:bookmarkStart w:id="435" w:name="_Toc485214954"/>
      <w:bookmarkStart w:id="436" w:name="_Toc485378107"/>
      <w:bookmarkStart w:id="437" w:name="_Toc485378229"/>
      <w:bookmarkStart w:id="438" w:name="_Toc424119871"/>
      <w:bookmarkStart w:id="439" w:name="_Toc204678225"/>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r w:rsidRPr="006070EA">
        <w:rPr>
          <w:rFonts w:asciiTheme="majorHAnsi" w:hAnsiTheme="majorHAnsi" w:cstheme="majorHAnsi"/>
          <w:b/>
          <w:sz w:val="24"/>
          <w:szCs w:val="20"/>
        </w:rPr>
        <w:t>Vyhodnocení předpokládaných důsledků navrhovaného řešené na zemědělský půdní fond</w:t>
      </w:r>
      <w:bookmarkEnd w:id="438"/>
      <w:bookmarkEnd w:id="439"/>
    </w:p>
    <w:p w14:paraId="4B531E7A" w14:textId="261393E0" w:rsidR="0060574B" w:rsidRPr="006070EA" w:rsidRDefault="0060574B" w:rsidP="009A6481">
      <w:pPr>
        <w:spacing w:line="240" w:lineRule="auto"/>
        <w:ind w:firstLine="709"/>
        <w:jc w:val="both"/>
        <w:rPr>
          <w:rFonts w:asciiTheme="majorHAnsi" w:hAnsiTheme="majorHAnsi" w:cstheme="majorHAnsi"/>
          <w:sz w:val="18"/>
          <w:szCs w:val="20"/>
        </w:rPr>
      </w:pPr>
      <w:bookmarkStart w:id="440" w:name="_Toc424119872"/>
      <w:r w:rsidRPr="006070EA">
        <w:rPr>
          <w:rFonts w:asciiTheme="majorHAnsi" w:hAnsiTheme="majorHAnsi" w:cstheme="majorHAnsi"/>
          <w:sz w:val="18"/>
          <w:szCs w:val="20"/>
        </w:rPr>
        <w:t>Vyhodnocení předpokládaných důsledků navrhovaného řešení na zemědělský půdní fond (dále též jen „ZPF“) je zpracováno v souladu se zákonem č. 334/1992 Sb., o ochraně zemědělského půdního fondu, ve znění pozdějších předpisů, a v</w:t>
      </w:r>
      <w:r w:rsidR="003F5D13" w:rsidRPr="006070EA">
        <w:rPr>
          <w:rFonts w:asciiTheme="majorHAnsi" w:hAnsiTheme="majorHAnsi" w:cstheme="majorHAnsi"/>
          <w:sz w:val="18"/>
          <w:szCs w:val="20"/>
        </w:rPr>
        <w:t> </w:t>
      </w:r>
      <w:r w:rsidRPr="006070EA">
        <w:rPr>
          <w:rFonts w:asciiTheme="majorHAnsi" w:hAnsiTheme="majorHAnsi" w:cstheme="majorHAnsi"/>
          <w:sz w:val="18"/>
          <w:szCs w:val="20"/>
        </w:rPr>
        <w:t>souladu s vyhláškou MŽP č. 271/2019 Sb., kterou se upravují některé podrobnosti ochrany zemědělského půdního fondu.</w:t>
      </w:r>
    </w:p>
    <w:p w14:paraId="63EF1777" w14:textId="77777777" w:rsidR="009A6481" w:rsidRPr="006070EA" w:rsidRDefault="009A6481" w:rsidP="003A4B1E">
      <w:pPr>
        <w:pStyle w:val="Odstavecseseznamem"/>
        <w:keepNext/>
        <w:numPr>
          <w:ilvl w:val="2"/>
          <w:numId w:val="31"/>
        </w:numPr>
        <w:spacing w:before="160" w:after="120" w:line="240" w:lineRule="auto"/>
        <w:ind w:left="709" w:hanging="709"/>
        <w:contextualSpacing w:val="0"/>
        <w:jc w:val="both"/>
        <w:outlineLvl w:val="2"/>
        <w:rPr>
          <w:rFonts w:asciiTheme="majorHAnsi" w:hAnsiTheme="majorHAnsi" w:cstheme="majorHAnsi"/>
          <w:b/>
        </w:rPr>
      </w:pPr>
      <w:bookmarkStart w:id="441" w:name="_Toc485214959"/>
      <w:bookmarkStart w:id="442" w:name="_Toc485378112"/>
      <w:bookmarkStart w:id="443" w:name="_Toc485378234"/>
      <w:bookmarkStart w:id="444" w:name="_Toc204678226"/>
      <w:bookmarkEnd w:id="440"/>
      <w:bookmarkEnd w:id="441"/>
      <w:bookmarkEnd w:id="442"/>
      <w:bookmarkEnd w:id="443"/>
      <w:r w:rsidRPr="006070EA">
        <w:rPr>
          <w:rFonts w:asciiTheme="majorHAnsi" w:hAnsiTheme="majorHAnsi" w:cstheme="majorHAnsi"/>
          <w:b/>
        </w:rPr>
        <w:t>Hranice zastavěného území</w:t>
      </w:r>
      <w:bookmarkEnd w:id="444"/>
    </w:p>
    <w:p w14:paraId="66642830" w14:textId="41455161" w:rsidR="009A6481" w:rsidRPr="006070EA" w:rsidRDefault="009A6481" w:rsidP="002F7E4D">
      <w:pPr>
        <w:pStyle w:val="Atext"/>
        <w:rPr>
          <w:rFonts w:asciiTheme="majorHAnsi" w:hAnsiTheme="majorHAnsi" w:cstheme="majorHAnsi"/>
        </w:rPr>
      </w:pPr>
      <w:r w:rsidRPr="00A76411">
        <w:rPr>
          <w:rFonts w:asciiTheme="majorHAnsi" w:hAnsiTheme="majorHAnsi" w:cstheme="majorHAnsi"/>
        </w:rPr>
        <w:t xml:space="preserve">Zastavěné území je vymezeno plně v souladu s § 58 zákona č. 183/2006 Sb., ve znění pozdějších předpisů. Vymezení hranice zastavěného území vychází z evidence pozemků v katastru nemovitostí, z hranice intravilánu a z analýzy stavu území provedené k datu </w:t>
      </w:r>
      <w:r w:rsidR="00C2266C" w:rsidRPr="00A76411">
        <w:rPr>
          <w:rFonts w:asciiTheme="majorHAnsi" w:hAnsiTheme="majorHAnsi" w:cstheme="majorHAnsi"/>
        </w:rPr>
        <w:t>5. 8. 2024</w:t>
      </w:r>
      <w:r w:rsidRPr="00A76411">
        <w:rPr>
          <w:rFonts w:asciiTheme="majorHAnsi" w:hAnsiTheme="majorHAnsi" w:cstheme="majorHAnsi"/>
        </w:rPr>
        <w:t xml:space="preserve">. Podrobné odůvodnění je uvedeno v kapitole </w:t>
      </w:r>
      <w:r w:rsidRPr="00A76411">
        <w:rPr>
          <w:rFonts w:asciiTheme="majorHAnsi" w:hAnsiTheme="majorHAnsi" w:cstheme="majorHAnsi"/>
          <w:i/>
        </w:rPr>
        <w:t>11.1 Odůvodnění vymezení zastavěného území</w:t>
      </w:r>
      <w:r w:rsidRPr="00A76411">
        <w:rPr>
          <w:rFonts w:asciiTheme="majorHAnsi" w:hAnsiTheme="majorHAnsi" w:cstheme="majorHAnsi"/>
        </w:rPr>
        <w:t xml:space="preserve">. Hranice zastavěného území je zobrazena ve výkrese </w:t>
      </w:r>
      <w:r w:rsidR="003F5D13" w:rsidRPr="00A76411">
        <w:rPr>
          <w:rFonts w:asciiTheme="majorHAnsi" w:hAnsiTheme="majorHAnsi" w:cstheme="majorHAnsi"/>
          <w:i/>
        </w:rPr>
        <w:t>6</w:t>
      </w:r>
      <w:r w:rsidRPr="00A76411">
        <w:rPr>
          <w:rFonts w:asciiTheme="majorHAnsi" w:hAnsiTheme="majorHAnsi" w:cstheme="majorHAnsi"/>
          <w:i/>
        </w:rPr>
        <w:t xml:space="preserve"> Výkres předpokládaných záborů půdního fondu</w:t>
      </w:r>
      <w:r w:rsidR="00531B60" w:rsidRPr="00A76411">
        <w:rPr>
          <w:rFonts w:asciiTheme="majorHAnsi" w:hAnsiTheme="majorHAnsi" w:cstheme="majorHAnsi"/>
          <w:i/>
        </w:rPr>
        <w:t xml:space="preserve"> </w:t>
      </w:r>
      <w:r w:rsidR="00531B60" w:rsidRPr="00A76411">
        <w:rPr>
          <w:rFonts w:asciiTheme="majorHAnsi" w:hAnsiTheme="majorHAnsi" w:cstheme="majorHAnsi"/>
        </w:rPr>
        <w:t xml:space="preserve">grafické části Odůvodnění ÚP </w:t>
      </w:r>
      <w:r w:rsidR="00AB6B5E" w:rsidRPr="00A76411">
        <w:rPr>
          <w:rFonts w:asciiTheme="majorHAnsi" w:hAnsiTheme="majorHAnsi" w:cstheme="majorHAnsi"/>
        </w:rPr>
        <w:t>Kostomlaty nad Labem</w:t>
      </w:r>
      <w:r w:rsidRPr="00A76411">
        <w:rPr>
          <w:rFonts w:asciiTheme="majorHAnsi" w:hAnsiTheme="majorHAnsi" w:cstheme="majorHAnsi"/>
        </w:rPr>
        <w:t>.</w:t>
      </w:r>
    </w:p>
    <w:p w14:paraId="2B66B239" w14:textId="77777777" w:rsidR="009E33CB" w:rsidRPr="006070EA" w:rsidRDefault="009E33CB" w:rsidP="003A4B1E">
      <w:pPr>
        <w:pStyle w:val="Odstavecseseznamem"/>
        <w:keepNext/>
        <w:numPr>
          <w:ilvl w:val="2"/>
          <w:numId w:val="31"/>
        </w:numPr>
        <w:spacing w:before="160" w:after="120" w:line="240" w:lineRule="auto"/>
        <w:ind w:left="709" w:hanging="709"/>
        <w:contextualSpacing w:val="0"/>
        <w:jc w:val="both"/>
        <w:outlineLvl w:val="2"/>
        <w:rPr>
          <w:rFonts w:asciiTheme="majorHAnsi" w:hAnsiTheme="majorHAnsi" w:cstheme="majorHAnsi"/>
          <w:b/>
        </w:rPr>
      </w:pPr>
      <w:bookmarkStart w:id="445" w:name="_Toc424119873"/>
      <w:bookmarkStart w:id="446" w:name="_Toc204678227"/>
      <w:r w:rsidRPr="006070EA">
        <w:rPr>
          <w:rFonts w:asciiTheme="majorHAnsi" w:hAnsiTheme="majorHAnsi" w:cstheme="majorHAnsi"/>
          <w:b/>
        </w:rPr>
        <w:t>Struktura využití pozemků</w:t>
      </w:r>
      <w:bookmarkEnd w:id="445"/>
      <w:bookmarkEnd w:id="446"/>
    </w:p>
    <w:p w14:paraId="1DD0070E" w14:textId="77777777" w:rsidR="009A6481" w:rsidRPr="006070EA" w:rsidRDefault="009E33CB" w:rsidP="00A76C42">
      <w:pPr>
        <w:spacing w:after="60" w:line="240" w:lineRule="auto"/>
        <w:ind w:firstLine="709"/>
        <w:jc w:val="both"/>
        <w:rPr>
          <w:rFonts w:asciiTheme="majorHAnsi" w:hAnsiTheme="majorHAnsi" w:cstheme="majorHAnsi"/>
          <w:sz w:val="18"/>
          <w:szCs w:val="20"/>
        </w:rPr>
      </w:pPr>
      <w:r w:rsidRPr="006070EA">
        <w:rPr>
          <w:rFonts w:asciiTheme="majorHAnsi" w:hAnsiTheme="majorHAnsi" w:cstheme="majorHAnsi"/>
          <w:sz w:val="18"/>
          <w:szCs w:val="20"/>
        </w:rPr>
        <w:t xml:space="preserve">Zemědělský půdní fond tvoří dle zákona č. 334/1992 Sb., o ochraně zemědělského půdního fondu, ve znění pozdějších předpisů, pozemky zemědělsky obhospodařované, tedy ornou půdu, chmelnice, vinice, zahrady, ovocné sady, louky, pastviny a půdu, která byla a má být nadále zemědělsky obhospodařována, ale dočasně obdělávána není. </w:t>
      </w:r>
    </w:p>
    <w:p w14:paraId="4A1E663D" w14:textId="47BD68C6" w:rsidR="00C52A2E" w:rsidRPr="006070EA" w:rsidRDefault="00C52A2E" w:rsidP="003F5D13">
      <w:pPr>
        <w:keepNext/>
        <w:autoSpaceDE w:val="0"/>
        <w:autoSpaceDN w:val="0"/>
        <w:adjustRightInd w:val="0"/>
        <w:spacing w:before="120" w:after="60"/>
        <w:jc w:val="both"/>
        <w:rPr>
          <w:rFonts w:asciiTheme="majorHAnsi" w:hAnsiTheme="majorHAnsi" w:cstheme="majorHAnsi"/>
          <w:i/>
          <w:iCs/>
          <w:color w:val="000000"/>
          <w:sz w:val="18"/>
          <w:szCs w:val="18"/>
        </w:rPr>
      </w:pPr>
      <w:r w:rsidRPr="006070EA">
        <w:rPr>
          <w:rFonts w:asciiTheme="majorHAnsi" w:hAnsiTheme="majorHAnsi" w:cstheme="majorHAnsi"/>
          <w:i/>
          <w:iCs/>
          <w:color w:val="000000"/>
          <w:sz w:val="18"/>
          <w:szCs w:val="18"/>
        </w:rPr>
        <w:t>Tab.: Zemědělský půdní fond, stav k 31. 12. 2015</w:t>
      </w:r>
    </w:p>
    <w:tbl>
      <w:tblPr>
        <w:tblW w:w="9191" w:type="dxa"/>
        <w:tblBorders>
          <w:insideH w:val="single" w:sz="6" w:space="0" w:color="000000"/>
          <w:insideV w:val="single" w:sz="6" w:space="0" w:color="000000"/>
        </w:tblBorders>
        <w:tblLook w:val="0000" w:firstRow="0" w:lastRow="0" w:firstColumn="0" w:lastColumn="0" w:noHBand="0" w:noVBand="0"/>
      </w:tblPr>
      <w:tblGrid>
        <w:gridCol w:w="1077"/>
        <w:gridCol w:w="1069"/>
        <w:gridCol w:w="1077"/>
        <w:gridCol w:w="1069"/>
        <w:gridCol w:w="717"/>
        <w:gridCol w:w="1069"/>
        <w:gridCol w:w="769"/>
        <w:gridCol w:w="798"/>
        <w:gridCol w:w="767"/>
        <w:gridCol w:w="779"/>
      </w:tblGrid>
      <w:tr w:rsidR="00C52A2E" w:rsidRPr="006070EA" w14:paraId="621BACF2" w14:textId="77777777" w:rsidTr="00106C28">
        <w:trPr>
          <w:trHeight w:val="1535"/>
        </w:trPr>
        <w:tc>
          <w:tcPr>
            <w:tcW w:w="1077" w:type="dxa"/>
            <w:shd w:val="clear" w:color="auto" w:fill="auto"/>
            <w:vAlign w:val="center"/>
          </w:tcPr>
          <w:p w14:paraId="74659C99" w14:textId="77777777" w:rsidR="00C52A2E" w:rsidRPr="006070EA" w:rsidRDefault="00C52A2E" w:rsidP="00AB6B5E">
            <w:pPr>
              <w:autoSpaceDE w:val="0"/>
              <w:autoSpaceDN w:val="0"/>
              <w:adjustRightInd w:val="0"/>
              <w:spacing w:after="0"/>
              <w:jc w:val="center"/>
              <w:rPr>
                <w:rFonts w:asciiTheme="majorHAnsi" w:hAnsiTheme="majorHAnsi" w:cstheme="majorHAnsi"/>
                <w:color w:val="000000"/>
                <w:sz w:val="18"/>
                <w:szCs w:val="18"/>
              </w:rPr>
            </w:pPr>
            <w:r w:rsidRPr="006070EA">
              <w:rPr>
                <w:rFonts w:asciiTheme="majorHAnsi" w:hAnsiTheme="majorHAnsi" w:cstheme="majorHAnsi"/>
                <w:b/>
                <w:bCs/>
                <w:color w:val="000000"/>
                <w:sz w:val="18"/>
                <w:szCs w:val="18"/>
              </w:rPr>
              <w:t>Obec</w:t>
            </w:r>
          </w:p>
        </w:tc>
        <w:tc>
          <w:tcPr>
            <w:tcW w:w="0" w:type="auto"/>
            <w:shd w:val="clear" w:color="auto" w:fill="auto"/>
            <w:vAlign w:val="center"/>
          </w:tcPr>
          <w:p w14:paraId="79359270" w14:textId="77777777" w:rsidR="00C52A2E" w:rsidRPr="006070EA" w:rsidRDefault="00C52A2E" w:rsidP="00AB6B5E">
            <w:pPr>
              <w:autoSpaceDE w:val="0"/>
              <w:autoSpaceDN w:val="0"/>
              <w:adjustRightInd w:val="0"/>
              <w:spacing w:after="0"/>
              <w:jc w:val="center"/>
              <w:rPr>
                <w:rFonts w:asciiTheme="majorHAnsi" w:hAnsiTheme="majorHAnsi" w:cstheme="majorHAnsi"/>
                <w:color w:val="000000"/>
                <w:sz w:val="18"/>
                <w:szCs w:val="18"/>
              </w:rPr>
            </w:pPr>
            <w:r w:rsidRPr="006070EA">
              <w:rPr>
                <w:rFonts w:asciiTheme="majorHAnsi" w:hAnsiTheme="majorHAnsi" w:cstheme="majorHAnsi"/>
                <w:b/>
                <w:bCs/>
                <w:color w:val="000000"/>
                <w:sz w:val="18"/>
                <w:szCs w:val="18"/>
              </w:rPr>
              <w:t>Podíl zemědělské půdy z celkové</w:t>
            </w:r>
          </w:p>
          <w:p w14:paraId="173FD271" w14:textId="77777777" w:rsidR="00C52A2E" w:rsidRPr="006070EA" w:rsidRDefault="00C52A2E" w:rsidP="00AB6B5E">
            <w:pPr>
              <w:autoSpaceDE w:val="0"/>
              <w:autoSpaceDN w:val="0"/>
              <w:adjustRightInd w:val="0"/>
              <w:spacing w:after="0"/>
              <w:jc w:val="center"/>
              <w:rPr>
                <w:rFonts w:asciiTheme="majorHAnsi" w:hAnsiTheme="majorHAnsi" w:cstheme="majorHAnsi"/>
                <w:color w:val="000000"/>
                <w:sz w:val="18"/>
                <w:szCs w:val="18"/>
              </w:rPr>
            </w:pPr>
            <w:r w:rsidRPr="006070EA">
              <w:rPr>
                <w:rFonts w:asciiTheme="majorHAnsi" w:hAnsiTheme="majorHAnsi" w:cstheme="majorHAnsi"/>
                <w:b/>
                <w:bCs/>
                <w:color w:val="000000"/>
                <w:sz w:val="18"/>
                <w:szCs w:val="18"/>
              </w:rPr>
              <w:t>výměry (%)</w:t>
            </w:r>
          </w:p>
        </w:tc>
        <w:tc>
          <w:tcPr>
            <w:tcW w:w="0" w:type="auto"/>
            <w:shd w:val="clear" w:color="auto" w:fill="auto"/>
            <w:vAlign w:val="center"/>
          </w:tcPr>
          <w:p w14:paraId="0679075B" w14:textId="77777777" w:rsidR="00C52A2E" w:rsidRPr="006070EA" w:rsidRDefault="00C52A2E" w:rsidP="00AB6B5E">
            <w:pPr>
              <w:autoSpaceDE w:val="0"/>
              <w:autoSpaceDN w:val="0"/>
              <w:adjustRightInd w:val="0"/>
              <w:spacing w:after="0"/>
              <w:jc w:val="center"/>
              <w:rPr>
                <w:rFonts w:asciiTheme="majorHAnsi" w:hAnsiTheme="majorHAnsi" w:cstheme="majorHAnsi"/>
                <w:color w:val="000000"/>
                <w:sz w:val="18"/>
                <w:szCs w:val="18"/>
              </w:rPr>
            </w:pPr>
            <w:r w:rsidRPr="006070EA">
              <w:rPr>
                <w:rFonts w:asciiTheme="majorHAnsi" w:hAnsiTheme="majorHAnsi" w:cstheme="majorHAnsi"/>
                <w:b/>
                <w:bCs/>
                <w:color w:val="000000"/>
                <w:sz w:val="18"/>
                <w:szCs w:val="18"/>
              </w:rPr>
              <w:t>Zemědělská půda (ha)</w:t>
            </w:r>
          </w:p>
        </w:tc>
        <w:tc>
          <w:tcPr>
            <w:tcW w:w="0" w:type="auto"/>
            <w:shd w:val="clear" w:color="auto" w:fill="auto"/>
            <w:vAlign w:val="center"/>
          </w:tcPr>
          <w:p w14:paraId="6C1BDA6A" w14:textId="77777777" w:rsidR="00C52A2E" w:rsidRPr="006070EA" w:rsidRDefault="00C52A2E" w:rsidP="00AB6B5E">
            <w:pPr>
              <w:autoSpaceDE w:val="0"/>
              <w:autoSpaceDN w:val="0"/>
              <w:adjustRightInd w:val="0"/>
              <w:spacing w:after="0"/>
              <w:jc w:val="center"/>
              <w:rPr>
                <w:rFonts w:asciiTheme="majorHAnsi" w:hAnsiTheme="majorHAnsi" w:cstheme="majorHAnsi"/>
                <w:color w:val="000000"/>
                <w:sz w:val="18"/>
                <w:szCs w:val="18"/>
              </w:rPr>
            </w:pPr>
            <w:r w:rsidRPr="006070EA">
              <w:rPr>
                <w:rFonts w:asciiTheme="majorHAnsi" w:hAnsiTheme="majorHAnsi" w:cstheme="majorHAnsi"/>
                <w:b/>
                <w:bCs/>
                <w:color w:val="000000"/>
                <w:sz w:val="18"/>
                <w:szCs w:val="18"/>
              </w:rPr>
              <w:t>Podíl orné půdy ze zemědělské</w:t>
            </w:r>
          </w:p>
          <w:p w14:paraId="039702BB" w14:textId="77777777" w:rsidR="00C52A2E" w:rsidRPr="006070EA" w:rsidRDefault="00C52A2E" w:rsidP="00AB6B5E">
            <w:pPr>
              <w:autoSpaceDE w:val="0"/>
              <w:autoSpaceDN w:val="0"/>
              <w:adjustRightInd w:val="0"/>
              <w:spacing w:after="0"/>
              <w:jc w:val="center"/>
              <w:rPr>
                <w:rFonts w:asciiTheme="majorHAnsi" w:hAnsiTheme="majorHAnsi" w:cstheme="majorHAnsi"/>
                <w:color w:val="000000"/>
                <w:sz w:val="18"/>
                <w:szCs w:val="18"/>
              </w:rPr>
            </w:pPr>
            <w:r w:rsidRPr="006070EA">
              <w:rPr>
                <w:rFonts w:asciiTheme="majorHAnsi" w:hAnsiTheme="majorHAnsi" w:cstheme="majorHAnsi"/>
                <w:b/>
                <w:bCs/>
                <w:color w:val="000000"/>
                <w:sz w:val="18"/>
                <w:szCs w:val="18"/>
              </w:rPr>
              <w:t>půdy (%)</w:t>
            </w:r>
          </w:p>
        </w:tc>
        <w:tc>
          <w:tcPr>
            <w:tcW w:w="0" w:type="auto"/>
            <w:shd w:val="clear" w:color="auto" w:fill="auto"/>
            <w:vAlign w:val="center"/>
          </w:tcPr>
          <w:p w14:paraId="53507AE7" w14:textId="77777777" w:rsidR="00C52A2E" w:rsidRPr="006070EA" w:rsidRDefault="00C52A2E" w:rsidP="00AB6B5E">
            <w:pPr>
              <w:autoSpaceDE w:val="0"/>
              <w:autoSpaceDN w:val="0"/>
              <w:adjustRightInd w:val="0"/>
              <w:spacing w:after="0"/>
              <w:jc w:val="center"/>
              <w:rPr>
                <w:rFonts w:asciiTheme="majorHAnsi" w:hAnsiTheme="majorHAnsi" w:cstheme="majorHAnsi"/>
                <w:color w:val="000000"/>
                <w:sz w:val="18"/>
                <w:szCs w:val="18"/>
              </w:rPr>
            </w:pPr>
            <w:r w:rsidRPr="006070EA">
              <w:rPr>
                <w:rFonts w:asciiTheme="majorHAnsi" w:hAnsiTheme="majorHAnsi" w:cstheme="majorHAnsi"/>
                <w:b/>
                <w:bCs/>
                <w:color w:val="000000"/>
                <w:sz w:val="18"/>
                <w:szCs w:val="18"/>
              </w:rPr>
              <w:t>Orná půda (ha)</w:t>
            </w:r>
          </w:p>
        </w:tc>
        <w:tc>
          <w:tcPr>
            <w:tcW w:w="0" w:type="auto"/>
            <w:shd w:val="clear" w:color="auto" w:fill="auto"/>
            <w:vAlign w:val="center"/>
          </w:tcPr>
          <w:p w14:paraId="5187C7E2" w14:textId="77777777" w:rsidR="00C52A2E" w:rsidRPr="006070EA" w:rsidRDefault="00C52A2E" w:rsidP="00AB6B5E">
            <w:pPr>
              <w:autoSpaceDE w:val="0"/>
              <w:autoSpaceDN w:val="0"/>
              <w:adjustRightInd w:val="0"/>
              <w:spacing w:after="0"/>
              <w:jc w:val="center"/>
              <w:rPr>
                <w:rFonts w:asciiTheme="majorHAnsi" w:hAnsiTheme="majorHAnsi" w:cstheme="majorHAnsi"/>
                <w:color w:val="000000"/>
                <w:sz w:val="18"/>
                <w:szCs w:val="18"/>
              </w:rPr>
            </w:pPr>
            <w:r w:rsidRPr="006070EA">
              <w:rPr>
                <w:rFonts w:asciiTheme="majorHAnsi" w:hAnsiTheme="majorHAnsi" w:cstheme="majorHAnsi"/>
                <w:b/>
                <w:bCs/>
                <w:color w:val="000000"/>
                <w:sz w:val="18"/>
                <w:szCs w:val="18"/>
              </w:rPr>
              <w:t>Podíl trvalých travních porostů ze zemědělské půdy (%)</w:t>
            </w:r>
          </w:p>
        </w:tc>
        <w:tc>
          <w:tcPr>
            <w:tcW w:w="0" w:type="auto"/>
            <w:shd w:val="clear" w:color="auto" w:fill="auto"/>
            <w:vAlign w:val="center"/>
          </w:tcPr>
          <w:p w14:paraId="610C0C61" w14:textId="77777777" w:rsidR="00C52A2E" w:rsidRPr="006070EA" w:rsidRDefault="00C52A2E" w:rsidP="00AB6B5E">
            <w:pPr>
              <w:autoSpaceDE w:val="0"/>
              <w:autoSpaceDN w:val="0"/>
              <w:adjustRightInd w:val="0"/>
              <w:spacing w:after="0"/>
              <w:jc w:val="center"/>
              <w:rPr>
                <w:rFonts w:asciiTheme="majorHAnsi" w:hAnsiTheme="majorHAnsi" w:cstheme="majorHAnsi"/>
                <w:color w:val="000000"/>
                <w:sz w:val="18"/>
                <w:szCs w:val="18"/>
              </w:rPr>
            </w:pPr>
            <w:r w:rsidRPr="006070EA">
              <w:rPr>
                <w:rFonts w:asciiTheme="majorHAnsi" w:hAnsiTheme="majorHAnsi" w:cstheme="majorHAnsi"/>
                <w:b/>
                <w:bCs/>
                <w:color w:val="000000"/>
                <w:sz w:val="18"/>
                <w:szCs w:val="18"/>
              </w:rPr>
              <w:t>Trvalé travní porosty (ha)</w:t>
            </w:r>
          </w:p>
        </w:tc>
        <w:tc>
          <w:tcPr>
            <w:tcW w:w="0" w:type="auto"/>
            <w:shd w:val="clear" w:color="auto" w:fill="auto"/>
            <w:vAlign w:val="center"/>
          </w:tcPr>
          <w:p w14:paraId="2643D8EE" w14:textId="77777777" w:rsidR="00C52A2E" w:rsidRPr="006070EA" w:rsidRDefault="00C52A2E" w:rsidP="00AB6B5E">
            <w:pPr>
              <w:autoSpaceDE w:val="0"/>
              <w:autoSpaceDN w:val="0"/>
              <w:adjustRightInd w:val="0"/>
              <w:spacing w:after="0"/>
              <w:jc w:val="center"/>
              <w:rPr>
                <w:rFonts w:asciiTheme="majorHAnsi" w:hAnsiTheme="majorHAnsi" w:cstheme="majorHAnsi"/>
                <w:color w:val="000000"/>
                <w:sz w:val="18"/>
                <w:szCs w:val="18"/>
              </w:rPr>
            </w:pPr>
            <w:r w:rsidRPr="006070EA">
              <w:rPr>
                <w:rFonts w:asciiTheme="majorHAnsi" w:hAnsiTheme="majorHAnsi" w:cstheme="majorHAnsi"/>
                <w:b/>
                <w:bCs/>
                <w:color w:val="000000"/>
                <w:sz w:val="18"/>
                <w:szCs w:val="18"/>
              </w:rPr>
              <w:t>Zahrady (ha)</w:t>
            </w:r>
          </w:p>
        </w:tc>
        <w:tc>
          <w:tcPr>
            <w:tcW w:w="0" w:type="auto"/>
            <w:shd w:val="clear" w:color="auto" w:fill="auto"/>
            <w:vAlign w:val="center"/>
          </w:tcPr>
          <w:p w14:paraId="13E5E753" w14:textId="77777777" w:rsidR="00C52A2E" w:rsidRPr="006070EA" w:rsidRDefault="00C52A2E" w:rsidP="00AB6B5E">
            <w:pPr>
              <w:autoSpaceDE w:val="0"/>
              <w:autoSpaceDN w:val="0"/>
              <w:adjustRightInd w:val="0"/>
              <w:spacing w:after="0"/>
              <w:jc w:val="center"/>
              <w:rPr>
                <w:rFonts w:asciiTheme="majorHAnsi" w:hAnsiTheme="majorHAnsi" w:cstheme="majorHAnsi"/>
                <w:color w:val="000000"/>
                <w:sz w:val="18"/>
                <w:szCs w:val="18"/>
              </w:rPr>
            </w:pPr>
            <w:r w:rsidRPr="006070EA">
              <w:rPr>
                <w:rFonts w:asciiTheme="majorHAnsi" w:hAnsiTheme="majorHAnsi" w:cstheme="majorHAnsi"/>
                <w:b/>
                <w:bCs/>
                <w:color w:val="000000"/>
                <w:sz w:val="18"/>
                <w:szCs w:val="18"/>
              </w:rPr>
              <w:t>Ovocné sady (ha)</w:t>
            </w:r>
          </w:p>
        </w:tc>
        <w:tc>
          <w:tcPr>
            <w:tcW w:w="0" w:type="auto"/>
            <w:shd w:val="clear" w:color="auto" w:fill="auto"/>
            <w:vAlign w:val="center"/>
          </w:tcPr>
          <w:p w14:paraId="75E80BDA" w14:textId="77777777" w:rsidR="00C52A2E" w:rsidRPr="006070EA" w:rsidRDefault="00C52A2E" w:rsidP="00AB6B5E">
            <w:pPr>
              <w:autoSpaceDE w:val="0"/>
              <w:autoSpaceDN w:val="0"/>
              <w:adjustRightInd w:val="0"/>
              <w:spacing w:after="0"/>
              <w:jc w:val="center"/>
              <w:rPr>
                <w:rFonts w:asciiTheme="majorHAnsi" w:hAnsiTheme="majorHAnsi" w:cstheme="majorHAnsi"/>
                <w:color w:val="000000"/>
                <w:sz w:val="18"/>
                <w:szCs w:val="18"/>
              </w:rPr>
            </w:pPr>
            <w:r w:rsidRPr="006070EA">
              <w:rPr>
                <w:rFonts w:asciiTheme="majorHAnsi" w:hAnsiTheme="majorHAnsi" w:cstheme="majorHAnsi"/>
                <w:b/>
                <w:bCs/>
                <w:color w:val="000000"/>
                <w:sz w:val="18"/>
                <w:szCs w:val="18"/>
              </w:rPr>
              <w:t>Celková výměra (ha)</w:t>
            </w:r>
          </w:p>
        </w:tc>
      </w:tr>
      <w:tr w:rsidR="00C52A2E" w:rsidRPr="006070EA" w14:paraId="122FCC33" w14:textId="77777777" w:rsidTr="00106C28">
        <w:trPr>
          <w:trHeight w:val="98"/>
        </w:trPr>
        <w:tc>
          <w:tcPr>
            <w:tcW w:w="1077" w:type="dxa"/>
            <w:shd w:val="clear" w:color="auto" w:fill="auto"/>
            <w:vAlign w:val="center"/>
          </w:tcPr>
          <w:p w14:paraId="5AC69867" w14:textId="77777777" w:rsidR="00C52A2E" w:rsidRPr="006070EA" w:rsidRDefault="00C52A2E" w:rsidP="00AB6B5E">
            <w:pPr>
              <w:autoSpaceDE w:val="0"/>
              <w:autoSpaceDN w:val="0"/>
              <w:adjustRightInd w:val="0"/>
              <w:spacing w:after="0"/>
              <w:jc w:val="center"/>
              <w:rPr>
                <w:rFonts w:asciiTheme="majorHAnsi" w:hAnsiTheme="majorHAnsi" w:cstheme="majorHAnsi"/>
                <w:color w:val="000000"/>
                <w:sz w:val="18"/>
                <w:szCs w:val="18"/>
              </w:rPr>
            </w:pPr>
            <w:r w:rsidRPr="006070EA">
              <w:rPr>
                <w:rFonts w:asciiTheme="majorHAnsi" w:hAnsiTheme="majorHAnsi" w:cstheme="majorHAnsi"/>
                <w:color w:val="000000"/>
                <w:sz w:val="18"/>
                <w:szCs w:val="18"/>
              </w:rPr>
              <w:t>Kostomlaty nad Labem</w:t>
            </w:r>
          </w:p>
        </w:tc>
        <w:tc>
          <w:tcPr>
            <w:tcW w:w="0" w:type="auto"/>
            <w:shd w:val="clear" w:color="auto" w:fill="auto"/>
            <w:vAlign w:val="center"/>
          </w:tcPr>
          <w:p w14:paraId="0FD1951E" w14:textId="77777777" w:rsidR="00C52A2E" w:rsidRPr="006070EA" w:rsidRDefault="00C52A2E" w:rsidP="00AB6B5E">
            <w:pPr>
              <w:autoSpaceDE w:val="0"/>
              <w:autoSpaceDN w:val="0"/>
              <w:adjustRightInd w:val="0"/>
              <w:spacing w:after="0"/>
              <w:jc w:val="center"/>
              <w:rPr>
                <w:rFonts w:asciiTheme="majorHAnsi" w:hAnsiTheme="majorHAnsi" w:cstheme="majorHAnsi"/>
                <w:color w:val="000000"/>
                <w:sz w:val="18"/>
                <w:szCs w:val="18"/>
              </w:rPr>
            </w:pPr>
            <w:r w:rsidRPr="006070EA">
              <w:rPr>
                <w:rFonts w:asciiTheme="majorHAnsi" w:hAnsiTheme="majorHAnsi" w:cstheme="majorHAnsi"/>
                <w:color w:val="000000"/>
                <w:sz w:val="18"/>
                <w:szCs w:val="18"/>
              </w:rPr>
              <w:t>82,9</w:t>
            </w:r>
          </w:p>
        </w:tc>
        <w:tc>
          <w:tcPr>
            <w:tcW w:w="0" w:type="auto"/>
            <w:shd w:val="clear" w:color="auto" w:fill="auto"/>
            <w:vAlign w:val="center"/>
          </w:tcPr>
          <w:p w14:paraId="76525060" w14:textId="77777777" w:rsidR="00C52A2E" w:rsidRPr="006070EA" w:rsidRDefault="00C52A2E" w:rsidP="00AB6B5E">
            <w:pPr>
              <w:autoSpaceDE w:val="0"/>
              <w:autoSpaceDN w:val="0"/>
              <w:adjustRightInd w:val="0"/>
              <w:spacing w:after="0"/>
              <w:jc w:val="center"/>
              <w:rPr>
                <w:rFonts w:asciiTheme="majorHAnsi" w:hAnsiTheme="majorHAnsi" w:cstheme="majorHAnsi"/>
                <w:color w:val="000000"/>
                <w:sz w:val="18"/>
                <w:szCs w:val="18"/>
              </w:rPr>
            </w:pPr>
            <w:r w:rsidRPr="006070EA">
              <w:rPr>
                <w:rFonts w:asciiTheme="majorHAnsi" w:hAnsiTheme="majorHAnsi" w:cstheme="majorHAnsi"/>
                <w:color w:val="000000"/>
                <w:sz w:val="18"/>
                <w:szCs w:val="18"/>
              </w:rPr>
              <w:t>1494,8</w:t>
            </w:r>
          </w:p>
        </w:tc>
        <w:tc>
          <w:tcPr>
            <w:tcW w:w="0" w:type="auto"/>
            <w:shd w:val="clear" w:color="auto" w:fill="auto"/>
            <w:vAlign w:val="center"/>
          </w:tcPr>
          <w:p w14:paraId="4EE260B8" w14:textId="77777777" w:rsidR="00C52A2E" w:rsidRPr="006070EA" w:rsidRDefault="00C52A2E" w:rsidP="00AB6B5E">
            <w:pPr>
              <w:autoSpaceDE w:val="0"/>
              <w:autoSpaceDN w:val="0"/>
              <w:adjustRightInd w:val="0"/>
              <w:spacing w:after="0"/>
              <w:jc w:val="center"/>
              <w:rPr>
                <w:rFonts w:asciiTheme="majorHAnsi" w:hAnsiTheme="majorHAnsi" w:cstheme="majorHAnsi"/>
                <w:color w:val="000000"/>
                <w:sz w:val="18"/>
                <w:szCs w:val="18"/>
              </w:rPr>
            </w:pPr>
            <w:r w:rsidRPr="006070EA">
              <w:rPr>
                <w:rFonts w:asciiTheme="majorHAnsi" w:hAnsiTheme="majorHAnsi" w:cstheme="majorHAnsi"/>
                <w:color w:val="000000"/>
                <w:sz w:val="18"/>
                <w:szCs w:val="18"/>
              </w:rPr>
              <w:t>92,4</w:t>
            </w:r>
          </w:p>
        </w:tc>
        <w:tc>
          <w:tcPr>
            <w:tcW w:w="0" w:type="auto"/>
            <w:shd w:val="clear" w:color="auto" w:fill="auto"/>
            <w:vAlign w:val="center"/>
          </w:tcPr>
          <w:p w14:paraId="5DA557C5" w14:textId="77777777" w:rsidR="00C52A2E" w:rsidRPr="006070EA" w:rsidRDefault="00C52A2E" w:rsidP="00AB6B5E">
            <w:pPr>
              <w:autoSpaceDE w:val="0"/>
              <w:autoSpaceDN w:val="0"/>
              <w:adjustRightInd w:val="0"/>
              <w:spacing w:after="0"/>
              <w:jc w:val="center"/>
              <w:rPr>
                <w:rFonts w:asciiTheme="majorHAnsi" w:hAnsiTheme="majorHAnsi" w:cstheme="majorHAnsi"/>
                <w:color w:val="000000"/>
                <w:sz w:val="18"/>
                <w:szCs w:val="18"/>
              </w:rPr>
            </w:pPr>
            <w:r w:rsidRPr="006070EA">
              <w:rPr>
                <w:rFonts w:asciiTheme="majorHAnsi" w:hAnsiTheme="majorHAnsi" w:cstheme="majorHAnsi"/>
                <w:color w:val="000000"/>
                <w:sz w:val="18"/>
                <w:szCs w:val="18"/>
              </w:rPr>
              <w:t>1380,6</w:t>
            </w:r>
          </w:p>
        </w:tc>
        <w:tc>
          <w:tcPr>
            <w:tcW w:w="0" w:type="auto"/>
            <w:shd w:val="clear" w:color="auto" w:fill="auto"/>
            <w:vAlign w:val="center"/>
          </w:tcPr>
          <w:p w14:paraId="2B25141C" w14:textId="77777777" w:rsidR="00C52A2E" w:rsidRPr="006070EA" w:rsidRDefault="00C52A2E" w:rsidP="00AB6B5E">
            <w:pPr>
              <w:autoSpaceDE w:val="0"/>
              <w:autoSpaceDN w:val="0"/>
              <w:adjustRightInd w:val="0"/>
              <w:spacing w:after="0"/>
              <w:jc w:val="center"/>
              <w:rPr>
                <w:rFonts w:asciiTheme="majorHAnsi" w:hAnsiTheme="majorHAnsi" w:cstheme="majorHAnsi"/>
                <w:color w:val="000000"/>
                <w:sz w:val="18"/>
                <w:szCs w:val="18"/>
              </w:rPr>
            </w:pPr>
            <w:r w:rsidRPr="006070EA">
              <w:rPr>
                <w:rFonts w:asciiTheme="majorHAnsi" w:hAnsiTheme="majorHAnsi" w:cstheme="majorHAnsi"/>
                <w:color w:val="000000"/>
                <w:sz w:val="18"/>
                <w:szCs w:val="18"/>
              </w:rPr>
              <w:t>4,6</w:t>
            </w:r>
          </w:p>
        </w:tc>
        <w:tc>
          <w:tcPr>
            <w:tcW w:w="0" w:type="auto"/>
            <w:shd w:val="clear" w:color="auto" w:fill="auto"/>
            <w:vAlign w:val="center"/>
          </w:tcPr>
          <w:p w14:paraId="48812D18" w14:textId="77777777" w:rsidR="00C52A2E" w:rsidRPr="006070EA" w:rsidRDefault="00C52A2E" w:rsidP="00AB6B5E">
            <w:pPr>
              <w:autoSpaceDE w:val="0"/>
              <w:autoSpaceDN w:val="0"/>
              <w:adjustRightInd w:val="0"/>
              <w:spacing w:after="0"/>
              <w:jc w:val="center"/>
              <w:rPr>
                <w:rFonts w:asciiTheme="majorHAnsi" w:hAnsiTheme="majorHAnsi" w:cstheme="majorHAnsi"/>
                <w:color w:val="000000"/>
                <w:sz w:val="18"/>
                <w:szCs w:val="18"/>
              </w:rPr>
            </w:pPr>
            <w:r w:rsidRPr="006070EA">
              <w:rPr>
                <w:rFonts w:asciiTheme="majorHAnsi" w:hAnsiTheme="majorHAnsi" w:cstheme="majorHAnsi"/>
                <w:color w:val="000000"/>
                <w:sz w:val="18"/>
                <w:szCs w:val="18"/>
              </w:rPr>
              <w:t>68,2</w:t>
            </w:r>
          </w:p>
        </w:tc>
        <w:tc>
          <w:tcPr>
            <w:tcW w:w="0" w:type="auto"/>
            <w:shd w:val="clear" w:color="auto" w:fill="auto"/>
            <w:vAlign w:val="center"/>
          </w:tcPr>
          <w:p w14:paraId="1EABD108" w14:textId="77777777" w:rsidR="00C52A2E" w:rsidRPr="006070EA" w:rsidRDefault="00C52A2E" w:rsidP="00AB6B5E">
            <w:pPr>
              <w:autoSpaceDE w:val="0"/>
              <w:autoSpaceDN w:val="0"/>
              <w:adjustRightInd w:val="0"/>
              <w:spacing w:after="0"/>
              <w:jc w:val="center"/>
              <w:rPr>
                <w:rFonts w:asciiTheme="majorHAnsi" w:hAnsiTheme="majorHAnsi" w:cstheme="majorHAnsi"/>
                <w:color w:val="000000"/>
                <w:sz w:val="18"/>
                <w:szCs w:val="18"/>
              </w:rPr>
            </w:pPr>
            <w:r w:rsidRPr="006070EA">
              <w:rPr>
                <w:rFonts w:asciiTheme="majorHAnsi" w:hAnsiTheme="majorHAnsi" w:cstheme="majorHAnsi"/>
                <w:color w:val="000000"/>
                <w:sz w:val="18"/>
                <w:szCs w:val="18"/>
              </w:rPr>
              <w:t>43,9</w:t>
            </w:r>
          </w:p>
        </w:tc>
        <w:tc>
          <w:tcPr>
            <w:tcW w:w="0" w:type="auto"/>
            <w:shd w:val="clear" w:color="auto" w:fill="auto"/>
            <w:vAlign w:val="center"/>
          </w:tcPr>
          <w:p w14:paraId="407ED52E" w14:textId="77777777" w:rsidR="00C52A2E" w:rsidRPr="006070EA" w:rsidRDefault="00C52A2E" w:rsidP="00AB6B5E">
            <w:pPr>
              <w:autoSpaceDE w:val="0"/>
              <w:autoSpaceDN w:val="0"/>
              <w:adjustRightInd w:val="0"/>
              <w:spacing w:after="0"/>
              <w:jc w:val="center"/>
              <w:rPr>
                <w:rFonts w:asciiTheme="majorHAnsi" w:hAnsiTheme="majorHAnsi" w:cstheme="majorHAnsi"/>
                <w:color w:val="000000"/>
                <w:sz w:val="18"/>
                <w:szCs w:val="18"/>
              </w:rPr>
            </w:pPr>
            <w:r w:rsidRPr="006070EA">
              <w:rPr>
                <w:rFonts w:asciiTheme="majorHAnsi" w:hAnsiTheme="majorHAnsi" w:cstheme="majorHAnsi"/>
                <w:color w:val="000000"/>
                <w:sz w:val="18"/>
                <w:szCs w:val="18"/>
              </w:rPr>
              <w:t>2,1</w:t>
            </w:r>
          </w:p>
        </w:tc>
        <w:tc>
          <w:tcPr>
            <w:tcW w:w="0" w:type="auto"/>
            <w:shd w:val="clear" w:color="auto" w:fill="auto"/>
            <w:vAlign w:val="center"/>
          </w:tcPr>
          <w:p w14:paraId="5CC5252B" w14:textId="77777777" w:rsidR="00C52A2E" w:rsidRPr="006070EA" w:rsidRDefault="00C52A2E" w:rsidP="00AB6B5E">
            <w:pPr>
              <w:autoSpaceDE w:val="0"/>
              <w:autoSpaceDN w:val="0"/>
              <w:adjustRightInd w:val="0"/>
              <w:spacing w:after="0"/>
              <w:jc w:val="center"/>
              <w:rPr>
                <w:rFonts w:asciiTheme="majorHAnsi" w:hAnsiTheme="majorHAnsi" w:cstheme="majorHAnsi"/>
                <w:color w:val="000000"/>
                <w:sz w:val="18"/>
                <w:szCs w:val="18"/>
              </w:rPr>
            </w:pPr>
            <w:r w:rsidRPr="006070EA">
              <w:rPr>
                <w:rFonts w:asciiTheme="majorHAnsi" w:hAnsiTheme="majorHAnsi" w:cstheme="majorHAnsi"/>
                <w:color w:val="000000"/>
                <w:sz w:val="18"/>
                <w:szCs w:val="18"/>
              </w:rPr>
              <w:t>1803,9</w:t>
            </w:r>
          </w:p>
        </w:tc>
      </w:tr>
    </w:tbl>
    <w:p w14:paraId="0E33E47D" w14:textId="77777777" w:rsidR="00C52A2E" w:rsidRPr="006070EA" w:rsidRDefault="00C52A2E" w:rsidP="00EF7B4B">
      <w:pPr>
        <w:autoSpaceDE w:val="0"/>
        <w:autoSpaceDN w:val="0"/>
        <w:adjustRightInd w:val="0"/>
        <w:spacing w:before="120" w:after="120"/>
        <w:jc w:val="both"/>
        <w:rPr>
          <w:rFonts w:asciiTheme="majorHAnsi" w:hAnsiTheme="majorHAnsi" w:cstheme="majorHAnsi"/>
          <w:color w:val="000000"/>
          <w:sz w:val="18"/>
          <w:szCs w:val="18"/>
          <w:u w:val="single"/>
          <w:lang w:eastAsia="cs-CZ"/>
        </w:rPr>
      </w:pPr>
      <w:r w:rsidRPr="006070EA">
        <w:rPr>
          <w:rFonts w:asciiTheme="majorHAnsi" w:hAnsiTheme="majorHAnsi" w:cstheme="majorHAnsi"/>
          <w:bCs/>
          <w:color w:val="000000"/>
          <w:sz w:val="18"/>
          <w:szCs w:val="18"/>
          <w:u w:val="single"/>
          <w:lang w:eastAsia="cs-CZ"/>
        </w:rPr>
        <w:t xml:space="preserve">Zemědělský půdní fond </w:t>
      </w:r>
    </w:p>
    <w:p w14:paraId="77D15085" w14:textId="6245DC86" w:rsidR="00C52A2E" w:rsidRPr="006070EA" w:rsidRDefault="00C52A2E" w:rsidP="00C52A2E">
      <w:pPr>
        <w:autoSpaceDE w:val="0"/>
        <w:autoSpaceDN w:val="0"/>
        <w:adjustRightInd w:val="0"/>
        <w:spacing w:before="120" w:after="120"/>
        <w:jc w:val="both"/>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ab/>
        <w:t>Na území SO ORP Nymburk zemědělství obhospodařuje celkem plochu 24990,8 ha zemědělské půdy, ta představuje 70,29</w:t>
      </w:r>
      <w:r w:rsidR="00E94A62" w:rsidRPr="006070EA">
        <w:rPr>
          <w:rFonts w:asciiTheme="majorHAnsi" w:hAnsiTheme="majorHAnsi" w:cstheme="majorHAnsi"/>
          <w:color w:val="000000"/>
          <w:sz w:val="18"/>
          <w:szCs w:val="18"/>
          <w:lang w:eastAsia="cs-CZ"/>
        </w:rPr>
        <w:t xml:space="preserve"> </w:t>
      </w:r>
      <w:r w:rsidRPr="006070EA">
        <w:rPr>
          <w:rFonts w:asciiTheme="majorHAnsi" w:hAnsiTheme="majorHAnsi" w:cstheme="majorHAnsi"/>
          <w:color w:val="000000"/>
          <w:sz w:val="18"/>
          <w:szCs w:val="18"/>
          <w:lang w:eastAsia="cs-CZ"/>
        </w:rPr>
        <w:t xml:space="preserve">% z celkové rozlohy území SO ORP, což </w:t>
      </w:r>
      <w:r w:rsidR="003F5D13" w:rsidRPr="006070EA">
        <w:rPr>
          <w:rFonts w:asciiTheme="majorHAnsi" w:hAnsiTheme="majorHAnsi" w:cstheme="majorHAnsi"/>
          <w:color w:val="000000"/>
          <w:sz w:val="18"/>
          <w:szCs w:val="18"/>
          <w:lang w:eastAsia="cs-CZ"/>
        </w:rPr>
        <w:t xml:space="preserve">ukazuje na </w:t>
      </w:r>
      <w:r w:rsidRPr="006070EA">
        <w:rPr>
          <w:rFonts w:asciiTheme="majorHAnsi" w:hAnsiTheme="majorHAnsi" w:cstheme="majorHAnsi"/>
          <w:color w:val="000000"/>
          <w:sz w:val="18"/>
          <w:szCs w:val="18"/>
          <w:lang w:eastAsia="cs-CZ"/>
        </w:rPr>
        <w:t>úbytek zemědělské půdy o</w:t>
      </w:r>
      <w:r w:rsidR="00E94A62" w:rsidRPr="006070EA">
        <w:rPr>
          <w:rFonts w:asciiTheme="majorHAnsi" w:hAnsiTheme="majorHAnsi" w:cstheme="majorHAnsi"/>
          <w:color w:val="000000"/>
          <w:sz w:val="18"/>
          <w:szCs w:val="18"/>
          <w:lang w:eastAsia="cs-CZ"/>
        </w:rPr>
        <w:t> </w:t>
      </w:r>
      <w:r w:rsidRPr="006070EA">
        <w:rPr>
          <w:rFonts w:asciiTheme="majorHAnsi" w:hAnsiTheme="majorHAnsi" w:cstheme="majorHAnsi"/>
          <w:color w:val="000000"/>
          <w:sz w:val="18"/>
          <w:szCs w:val="18"/>
          <w:lang w:eastAsia="cs-CZ"/>
        </w:rPr>
        <w:t>22 ha</w:t>
      </w:r>
      <w:r w:rsidR="003F5D13" w:rsidRPr="006070EA">
        <w:rPr>
          <w:rFonts w:asciiTheme="majorHAnsi" w:hAnsiTheme="majorHAnsi" w:cstheme="majorHAnsi"/>
          <w:color w:val="000000"/>
          <w:sz w:val="18"/>
          <w:szCs w:val="18"/>
          <w:lang w:eastAsia="cs-CZ"/>
        </w:rPr>
        <w:t xml:space="preserve"> od 3. úplné aktualizace ÚAP v roce 2014</w:t>
      </w:r>
      <w:r w:rsidRPr="006070EA">
        <w:rPr>
          <w:rFonts w:asciiTheme="majorHAnsi" w:hAnsiTheme="majorHAnsi" w:cstheme="majorHAnsi"/>
          <w:color w:val="000000"/>
          <w:sz w:val="18"/>
          <w:szCs w:val="18"/>
          <w:lang w:eastAsia="cs-CZ"/>
        </w:rPr>
        <w:t>. Charakteristické je vysoké zornění zemědělské půdy, kdy se orná půda podílí 91 % (22747,4 ha) ze zemědělské půdy, orná půda se tak podílí 64 % na celkové výměře SO ORP Nymburk.</w:t>
      </w:r>
      <w:r w:rsidRPr="006070EA">
        <w:rPr>
          <w:rFonts w:asciiTheme="majorHAnsi" w:hAnsiTheme="majorHAnsi" w:cstheme="majorHAnsi"/>
          <w:i/>
          <w:color w:val="000000"/>
          <w:sz w:val="18"/>
          <w:szCs w:val="18"/>
          <w:lang w:eastAsia="cs-CZ"/>
        </w:rPr>
        <w:t xml:space="preserve"> </w:t>
      </w:r>
    </w:p>
    <w:p w14:paraId="340AF89A" w14:textId="462694B9" w:rsidR="00C52A2E" w:rsidRPr="006070EA" w:rsidRDefault="00C52A2E" w:rsidP="00C52A2E">
      <w:pPr>
        <w:autoSpaceDE w:val="0"/>
        <w:autoSpaceDN w:val="0"/>
        <w:adjustRightInd w:val="0"/>
        <w:spacing w:before="120" w:after="120"/>
        <w:jc w:val="both"/>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ab/>
        <w:t xml:space="preserve">V řešeném území Kostomlat nad Labem lze pozorovat podobný trend rozdělení ploch, kdy plocha zemědělské půdy představuje celkem 83 % v území a </w:t>
      </w:r>
      <w:r w:rsidR="003F5D13" w:rsidRPr="006070EA">
        <w:rPr>
          <w:rFonts w:asciiTheme="majorHAnsi" w:hAnsiTheme="majorHAnsi" w:cstheme="majorHAnsi"/>
          <w:color w:val="000000"/>
          <w:sz w:val="18"/>
          <w:szCs w:val="18"/>
          <w:lang w:eastAsia="cs-CZ"/>
        </w:rPr>
        <w:t xml:space="preserve">sestává především z </w:t>
      </w:r>
      <w:r w:rsidRPr="006070EA">
        <w:rPr>
          <w:rFonts w:asciiTheme="majorHAnsi" w:hAnsiTheme="majorHAnsi" w:cstheme="majorHAnsi"/>
          <w:color w:val="000000"/>
          <w:sz w:val="18"/>
          <w:szCs w:val="18"/>
          <w:lang w:eastAsia="cs-CZ"/>
        </w:rPr>
        <w:t>orn</w:t>
      </w:r>
      <w:r w:rsidR="003F5D13" w:rsidRPr="006070EA">
        <w:rPr>
          <w:rFonts w:asciiTheme="majorHAnsi" w:hAnsiTheme="majorHAnsi" w:cstheme="majorHAnsi"/>
          <w:color w:val="000000"/>
          <w:sz w:val="18"/>
          <w:szCs w:val="18"/>
          <w:lang w:eastAsia="cs-CZ"/>
        </w:rPr>
        <w:t>é</w:t>
      </w:r>
      <w:r w:rsidRPr="006070EA">
        <w:rPr>
          <w:rFonts w:asciiTheme="majorHAnsi" w:hAnsiTheme="majorHAnsi" w:cstheme="majorHAnsi"/>
          <w:color w:val="000000"/>
          <w:sz w:val="18"/>
          <w:szCs w:val="18"/>
          <w:lang w:eastAsia="cs-CZ"/>
        </w:rPr>
        <w:t xml:space="preserve"> půd</w:t>
      </w:r>
      <w:r w:rsidR="003F5D13" w:rsidRPr="006070EA">
        <w:rPr>
          <w:rFonts w:asciiTheme="majorHAnsi" w:hAnsiTheme="majorHAnsi" w:cstheme="majorHAnsi"/>
          <w:color w:val="000000"/>
          <w:sz w:val="18"/>
          <w:szCs w:val="18"/>
          <w:lang w:eastAsia="cs-CZ"/>
        </w:rPr>
        <w:t>y</w:t>
      </w:r>
      <w:r w:rsidRPr="006070EA">
        <w:rPr>
          <w:rFonts w:asciiTheme="majorHAnsi" w:hAnsiTheme="majorHAnsi" w:cstheme="majorHAnsi"/>
          <w:color w:val="000000"/>
          <w:sz w:val="18"/>
          <w:szCs w:val="18"/>
          <w:lang w:eastAsia="cs-CZ"/>
        </w:rPr>
        <w:t xml:space="preserve"> </w:t>
      </w:r>
      <w:r w:rsidR="003F5D13" w:rsidRPr="006070EA">
        <w:rPr>
          <w:rFonts w:asciiTheme="majorHAnsi" w:hAnsiTheme="majorHAnsi" w:cstheme="majorHAnsi"/>
          <w:color w:val="000000"/>
          <w:sz w:val="18"/>
          <w:szCs w:val="18"/>
          <w:lang w:eastAsia="cs-CZ"/>
        </w:rPr>
        <w:t>(</w:t>
      </w:r>
      <w:r w:rsidRPr="006070EA">
        <w:rPr>
          <w:rFonts w:asciiTheme="majorHAnsi" w:hAnsiTheme="majorHAnsi" w:cstheme="majorHAnsi"/>
          <w:color w:val="000000"/>
          <w:sz w:val="18"/>
          <w:szCs w:val="18"/>
          <w:lang w:eastAsia="cs-CZ"/>
        </w:rPr>
        <w:t>92,4 % ze zemědělské půdy</w:t>
      </w:r>
      <w:r w:rsidR="003F5D13" w:rsidRPr="006070EA">
        <w:rPr>
          <w:rFonts w:asciiTheme="majorHAnsi" w:hAnsiTheme="majorHAnsi" w:cstheme="majorHAnsi"/>
          <w:color w:val="000000"/>
          <w:sz w:val="18"/>
          <w:szCs w:val="18"/>
          <w:lang w:eastAsia="cs-CZ"/>
        </w:rPr>
        <w:t>)</w:t>
      </w:r>
      <w:r w:rsidRPr="006070EA">
        <w:rPr>
          <w:rFonts w:asciiTheme="majorHAnsi" w:hAnsiTheme="majorHAnsi" w:cstheme="majorHAnsi"/>
          <w:color w:val="000000"/>
          <w:sz w:val="18"/>
          <w:szCs w:val="18"/>
          <w:lang w:eastAsia="cs-CZ"/>
        </w:rPr>
        <w:t>.</w:t>
      </w:r>
    </w:p>
    <w:p w14:paraId="704E5C2D" w14:textId="7091F00C" w:rsidR="00C52A2E" w:rsidRPr="006070EA" w:rsidRDefault="00C52A2E" w:rsidP="003F5D13">
      <w:pPr>
        <w:keepNext/>
        <w:autoSpaceDE w:val="0"/>
        <w:autoSpaceDN w:val="0"/>
        <w:adjustRightInd w:val="0"/>
        <w:spacing w:before="120" w:after="60"/>
        <w:jc w:val="both"/>
        <w:rPr>
          <w:rFonts w:asciiTheme="majorHAnsi" w:hAnsiTheme="majorHAnsi" w:cstheme="majorHAnsi"/>
          <w:i/>
          <w:iCs/>
          <w:color w:val="000000"/>
          <w:sz w:val="18"/>
          <w:szCs w:val="18"/>
        </w:rPr>
      </w:pPr>
      <w:r w:rsidRPr="006070EA">
        <w:rPr>
          <w:rFonts w:asciiTheme="majorHAnsi" w:hAnsiTheme="majorHAnsi" w:cstheme="majorHAnsi"/>
          <w:i/>
          <w:iCs/>
          <w:color w:val="000000"/>
          <w:sz w:val="18"/>
          <w:szCs w:val="18"/>
        </w:rPr>
        <w:t>Tab. Využití pozemků v obci Kostomlaty nad Labem (k 31. 12. 2016, dle ČSÚ)</w:t>
      </w:r>
    </w:p>
    <w:tbl>
      <w:tblPr>
        <w:tblW w:w="0" w:type="auto"/>
        <w:jc w:val="center"/>
        <w:tblBorders>
          <w:insideH w:val="single" w:sz="4" w:space="0" w:color="auto"/>
          <w:insideV w:val="single" w:sz="4" w:space="0" w:color="auto"/>
        </w:tblBorders>
        <w:tblLook w:val="04A0" w:firstRow="1" w:lastRow="0" w:firstColumn="1" w:lastColumn="0" w:noHBand="0" w:noVBand="1"/>
      </w:tblPr>
      <w:tblGrid>
        <w:gridCol w:w="1804"/>
        <w:gridCol w:w="1080"/>
        <w:gridCol w:w="1850"/>
      </w:tblGrid>
      <w:tr w:rsidR="00C52A2E" w:rsidRPr="006070EA" w14:paraId="690BBC63" w14:textId="77777777" w:rsidTr="00543041">
        <w:trPr>
          <w:cantSplit/>
          <w:trHeight w:val="227"/>
          <w:tblHeader/>
          <w:jc w:val="center"/>
        </w:trPr>
        <w:tc>
          <w:tcPr>
            <w:tcW w:w="0" w:type="auto"/>
            <w:tcBorders>
              <w:top w:val="nil"/>
              <w:left w:val="nil"/>
              <w:bottom w:val="single" w:sz="12" w:space="0" w:color="auto"/>
              <w:right w:val="single" w:sz="12" w:space="0" w:color="auto"/>
            </w:tcBorders>
            <w:shd w:val="clear" w:color="auto" w:fill="auto"/>
            <w:vAlign w:val="center"/>
            <w:hideMark/>
          </w:tcPr>
          <w:p w14:paraId="09332622" w14:textId="77777777" w:rsidR="00C52A2E" w:rsidRPr="006070EA" w:rsidRDefault="00C52A2E" w:rsidP="000E35EE">
            <w:pPr>
              <w:pStyle w:val="Bezmezer"/>
              <w:keepNext/>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druh pozemku</w:t>
            </w:r>
          </w:p>
        </w:tc>
        <w:tc>
          <w:tcPr>
            <w:tcW w:w="0" w:type="auto"/>
            <w:tcBorders>
              <w:top w:val="nil"/>
              <w:left w:val="single" w:sz="12" w:space="0" w:color="auto"/>
              <w:bottom w:val="single" w:sz="12" w:space="0" w:color="auto"/>
              <w:right w:val="single" w:sz="12" w:space="0" w:color="auto"/>
            </w:tcBorders>
            <w:shd w:val="clear" w:color="auto" w:fill="auto"/>
            <w:vAlign w:val="center"/>
            <w:hideMark/>
          </w:tcPr>
          <w:p w14:paraId="0A4A9C87" w14:textId="77777777" w:rsidR="00C52A2E" w:rsidRPr="006070EA" w:rsidRDefault="00C52A2E" w:rsidP="00543041">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výměra [ha]</w:t>
            </w:r>
          </w:p>
        </w:tc>
        <w:tc>
          <w:tcPr>
            <w:tcW w:w="0" w:type="auto"/>
            <w:tcBorders>
              <w:top w:val="nil"/>
              <w:left w:val="single" w:sz="12" w:space="0" w:color="auto"/>
              <w:bottom w:val="single" w:sz="12" w:space="0" w:color="auto"/>
              <w:right w:val="nil"/>
            </w:tcBorders>
            <w:shd w:val="clear" w:color="auto" w:fill="auto"/>
            <w:vAlign w:val="center"/>
            <w:hideMark/>
          </w:tcPr>
          <w:p w14:paraId="6B63A708" w14:textId="649A5186" w:rsidR="00C52A2E" w:rsidRPr="006070EA" w:rsidRDefault="00C52A2E" w:rsidP="00543041">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podíl z celkové výměry</w:t>
            </w:r>
          </w:p>
        </w:tc>
      </w:tr>
      <w:tr w:rsidR="00C52A2E" w:rsidRPr="006070EA" w14:paraId="7773BAB6" w14:textId="77777777" w:rsidTr="00543041">
        <w:trPr>
          <w:trHeight w:val="227"/>
          <w:jc w:val="center"/>
        </w:trPr>
        <w:tc>
          <w:tcPr>
            <w:tcW w:w="0" w:type="auto"/>
            <w:tcBorders>
              <w:top w:val="single" w:sz="12" w:space="0" w:color="auto"/>
              <w:left w:val="nil"/>
              <w:bottom w:val="single" w:sz="4" w:space="0" w:color="auto"/>
              <w:right w:val="single" w:sz="4" w:space="0" w:color="auto"/>
            </w:tcBorders>
            <w:shd w:val="clear" w:color="auto" w:fill="auto"/>
            <w:vAlign w:val="center"/>
            <w:hideMark/>
          </w:tcPr>
          <w:p w14:paraId="0247241F" w14:textId="77777777" w:rsidR="00C52A2E" w:rsidRPr="006070EA" w:rsidRDefault="00C52A2E" w:rsidP="000E35EE">
            <w:pPr>
              <w:pStyle w:val="Bezmez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výměra celkem</w:t>
            </w:r>
          </w:p>
        </w:tc>
        <w:tc>
          <w:tcPr>
            <w:tcW w:w="0" w:type="auto"/>
            <w:tcBorders>
              <w:top w:val="single" w:sz="12" w:space="0" w:color="auto"/>
              <w:left w:val="single" w:sz="4" w:space="0" w:color="auto"/>
              <w:bottom w:val="single" w:sz="4" w:space="0" w:color="auto"/>
              <w:right w:val="single" w:sz="4" w:space="0" w:color="auto"/>
            </w:tcBorders>
            <w:shd w:val="clear" w:color="auto" w:fill="auto"/>
            <w:vAlign w:val="center"/>
          </w:tcPr>
          <w:p w14:paraId="7E4159ED" w14:textId="77777777" w:rsidR="00C52A2E" w:rsidRPr="006070EA" w:rsidRDefault="00C52A2E" w:rsidP="00543041">
            <w:pPr>
              <w:pStyle w:val="Bezmezer"/>
              <w:jc w:val="center"/>
              <w:rPr>
                <w:rFonts w:asciiTheme="majorHAnsi" w:hAnsiTheme="majorHAnsi" w:cstheme="majorHAnsi"/>
                <w:b/>
                <w:color w:val="000000"/>
                <w:szCs w:val="18"/>
                <w:lang w:val="cs-CZ"/>
              </w:rPr>
            </w:pPr>
            <w:r w:rsidRPr="006070EA">
              <w:rPr>
                <w:rFonts w:asciiTheme="majorHAnsi" w:hAnsiTheme="majorHAnsi" w:cstheme="majorHAnsi"/>
                <w:color w:val="000000"/>
                <w:szCs w:val="18"/>
                <w:lang w:val="cs-CZ" w:eastAsia="cs-CZ"/>
              </w:rPr>
              <w:t>1 803,90</w:t>
            </w:r>
          </w:p>
        </w:tc>
        <w:tc>
          <w:tcPr>
            <w:tcW w:w="0" w:type="auto"/>
            <w:tcBorders>
              <w:top w:val="single" w:sz="12" w:space="0" w:color="auto"/>
              <w:left w:val="single" w:sz="4" w:space="0" w:color="auto"/>
              <w:bottom w:val="single" w:sz="4" w:space="0" w:color="auto"/>
              <w:right w:val="nil"/>
            </w:tcBorders>
            <w:shd w:val="clear" w:color="auto" w:fill="auto"/>
            <w:vAlign w:val="center"/>
            <w:hideMark/>
          </w:tcPr>
          <w:p w14:paraId="2C23E0CC" w14:textId="77777777" w:rsidR="00C52A2E" w:rsidRPr="006070EA" w:rsidRDefault="00C52A2E" w:rsidP="00543041">
            <w:pPr>
              <w:pStyle w:val="Bezmezer"/>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100 %</w:t>
            </w:r>
          </w:p>
        </w:tc>
      </w:tr>
      <w:tr w:rsidR="00C52A2E" w:rsidRPr="006070EA" w14:paraId="084B165E" w14:textId="77777777" w:rsidTr="00543041">
        <w:trPr>
          <w:trHeight w:val="227"/>
          <w:jc w:val="center"/>
        </w:trPr>
        <w:tc>
          <w:tcPr>
            <w:tcW w:w="0" w:type="auto"/>
            <w:tcBorders>
              <w:top w:val="single" w:sz="4" w:space="0" w:color="auto"/>
              <w:left w:val="nil"/>
              <w:bottom w:val="single" w:sz="4" w:space="0" w:color="auto"/>
              <w:right w:val="single" w:sz="4" w:space="0" w:color="auto"/>
            </w:tcBorders>
            <w:shd w:val="clear" w:color="auto" w:fill="auto"/>
            <w:vAlign w:val="center"/>
            <w:hideMark/>
          </w:tcPr>
          <w:p w14:paraId="2DCED8B2" w14:textId="77777777" w:rsidR="00C52A2E" w:rsidRPr="006070EA" w:rsidRDefault="00C52A2E" w:rsidP="000E35EE">
            <w:pPr>
              <w:pStyle w:val="Bezmez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zemědělská půda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5BF2D0" w14:textId="77777777" w:rsidR="00C52A2E" w:rsidRPr="006070EA" w:rsidRDefault="00C52A2E" w:rsidP="00543041">
            <w:pPr>
              <w:pStyle w:val="Bezmezer"/>
              <w:jc w:val="center"/>
              <w:rPr>
                <w:rFonts w:asciiTheme="majorHAnsi" w:hAnsiTheme="majorHAnsi" w:cstheme="majorHAnsi"/>
                <w:b/>
                <w:color w:val="000000"/>
                <w:szCs w:val="18"/>
                <w:lang w:val="cs-CZ"/>
              </w:rPr>
            </w:pPr>
            <w:r w:rsidRPr="006070EA">
              <w:rPr>
                <w:rFonts w:asciiTheme="majorHAnsi" w:hAnsiTheme="majorHAnsi" w:cstheme="majorHAnsi"/>
                <w:color w:val="000000"/>
                <w:szCs w:val="18"/>
                <w:lang w:val="cs-CZ" w:eastAsia="cs-CZ"/>
              </w:rPr>
              <w:t>1 494,77</w:t>
            </w:r>
          </w:p>
        </w:tc>
        <w:tc>
          <w:tcPr>
            <w:tcW w:w="0" w:type="auto"/>
            <w:tcBorders>
              <w:top w:val="single" w:sz="4" w:space="0" w:color="auto"/>
              <w:left w:val="single" w:sz="4" w:space="0" w:color="auto"/>
              <w:bottom w:val="single" w:sz="4" w:space="0" w:color="auto"/>
              <w:right w:val="nil"/>
            </w:tcBorders>
            <w:shd w:val="clear" w:color="auto" w:fill="auto"/>
            <w:vAlign w:val="center"/>
          </w:tcPr>
          <w:p w14:paraId="297F00B6" w14:textId="77777777" w:rsidR="00C52A2E" w:rsidRPr="006070EA" w:rsidRDefault="00C52A2E" w:rsidP="00543041">
            <w:pPr>
              <w:pStyle w:val="Bezmezer"/>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83 %</w:t>
            </w:r>
          </w:p>
        </w:tc>
      </w:tr>
      <w:tr w:rsidR="00C52A2E" w:rsidRPr="006070EA" w14:paraId="4039497C" w14:textId="77777777" w:rsidTr="00543041">
        <w:trPr>
          <w:trHeight w:val="227"/>
          <w:jc w:val="center"/>
        </w:trPr>
        <w:tc>
          <w:tcPr>
            <w:tcW w:w="0" w:type="auto"/>
            <w:tcBorders>
              <w:top w:val="single" w:sz="4" w:space="0" w:color="auto"/>
              <w:left w:val="nil"/>
              <w:bottom w:val="single" w:sz="4" w:space="0" w:color="auto"/>
              <w:right w:val="single" w:sz="4" w:space="0" w:color="auto"/>
            </w:tcBorders>
            <w:shd w:val="clear" w:color="auto" w:fill="auto"/>
            <w:vAlign w:val="center"/>
            <w:hideMark/>
          </w:tcPr>
          <w:p w14:paraId="43A5DC3B" w14:textId="77777777" w:rsidR="00C52A2E" w:rsidRPr="006070EA" w:rsidRDefault="00C52A2E" w:rsidP="000E35EE">
            <w:pPr>
              <w:pStyle w:val="Bezmez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lastRenderedPageBreak/>
              <w:t xml:space="preserve">   orná půda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FE933B" w14:textId="77777777" w:rsidR="00C52A2E" w:rsidRPr="006070EA" w:rsidRDefault="00C52A2E" w:rsidP="00543041">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eastAsia="cs-CZ"/>
              </w:rPr>
              <w:t>1 380,64</w:t>
            </w:r>
          </w:p>
        </w:tc>
        <w:tc>
          <w:tcPr>
            <w:tcW w:w="0" w:type="auto"/>
            <w:tcBorders>
              <w:top w:val="single" w:sz="4" w:space="0" w:color="auto"/>
              <w:left w:val="single" w:sz="4" w:space="0" w:color="auto"/>
              <w:bottom w:val="single" w:sz="4" w:space="0" w:color="auto"/>
              <w:right w:val="nil"/>
            </w:tcBorders>
            <w:shd w:val="clear" w:color="auto" w:fill="auto"/>
            <w:vAlign w:val="center"/>
          </w:tcPr>
          <w:p w14:paraId="5D63296E" w14:textId="77777777" w:rsidR="00C52A2E" w:rsidRPr="006070EA" w:rsidRDefault="00C52A2E" w:rsidP="00543041">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92,4 %</w:t>
            </w:r>
          </w:p>
        </w:tc>
      </w:tr>
      <w:tr w:rsidR="00C52A2E" w:rsidRPr="006070EA" w14:paraId="20FD8F42" w14:textId="77777777" w:rsidTr="00543041">
        <w:trPr>
          <w:trHeight w:val="227"/>
          <w:jc w:val="center"/>
        </w:trPr>
        <w:tc>
          <w:tcPr>
            <w:tcW w:w="0" w:type="auto"/>
            <w:tcBorders>
              <w:top w:val="single" w:sz="4" w:space="0" w:color="auto"/>
              <w:left w:val="nil"/>
              <w:bottom w:val="single" w:sz="4" w:space="0" w:color="auto"/>
              <w:right w:val="single" w:sz="4" w:space="0" w:color="auto"/>
            </w:tcBorders>
            <w:shd w:val="clear" w:color="auto" w:fill="auto"/>
            <w:vAlign w:val="center"/>
            <w:hideMark/>
          </w:tcPr>
          <w:p w14:paraId="70C502CB" w14:textId="77777777" w:rsidR="00C52A2E" w:rsidRPr="006070EA" w:rsidRDefault="00C52A2E" w:rsidP="000E35EE">
            <w:pPr>
              <w:pStyle w:val="Bezmez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 xml:space="preserve">   zahrady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092366" w14:textId="77777777" w:rsidR="00C52A2E" w:rsidRPr="006070EA" w:rsidRDefault="00C52A2E" w:rsidP="00543041">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eastAsia="cs-CZ"/>
              </w:rPr>
              <w:t>43,84</w:t>
            </w:r>
          </w:p>
        </w:tc>
        <w:tc>
          <w:tcPr>
            <w:tcW w:w="0" w:type="auto"/>
            <w:tcBorders>
              <w:top w:val="single" w:sz="4" w:space="0" w:color="auto"/>
              <w:left w:val="single" w:sz="4" w:space="0" w:color="auto"/>
              <w:bottom w:val="single" w:sz="4" w:space="0" w:color="auto"/>
              <w:right w:val="nil"/>
            </w:tcBorders>
            <w:shd w:val="clear" w:color="auto" w:fill="auto"/>
            <w:vAlign w:val="center"/>
          </w:tcPr>
          <w:p w14:paraId="669FF16B" w14:textId="77777777" w:rsidR="00C52A2E" w:rsidRPr="006070EA" w:rsidRDefault="00C52A2E" w:rsidP="00543041">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3 %</w:t>
            </w:r>
          </w:p>
        </w:tc>
      </w:tr>
      <w:tr w:rsidR="00C52A2E" w:rsidRPr="006070EA" w14:paraId="4F70EAA1" w14:textId="77777777" w:rsidTr="00543041">
        <w:trPr>
          <w:trHeight w:val="227"/>
          <w:jc w:val="center"/>
        </w:trPr>
        <w:tc>
          <w:tcPr>
            <w:tcW w:w="0" w:type="auto"/>
            <w:tcBorders>
              <w:top w:val="single" w:sz="4" w:space="0" w:color="auto"/>
              <w:left w:val="nil"/>
              <w:bottom w:val="single" w:sz="4" w:space="0" w:color="auto"/>
              <w:right w:val="single" w:sz="4" w:space="0" w:color="auto"/>
            </w:tcBorders>
            <w:shd w:val="clear" w:color="auto" w:fill="auto"/>
            <w:vAlign w:val="center"/>
            <w:hideMark/>
          </w:tcPr>
          <w:p w14:paraId="3A6D9458" w14:textId="77777777" w:rsidR="00C52A2E" w:rsidRPr="006070EA" w:rsidRDefault="00C52A2E" w:rsidP="000E35EE">
            <w:pPr>
              <w:pStyle w:val="Bezmez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 xml:space="preserve">   ovocné sady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E0C4BF" w14:textId="77777777" w:rsidR="00C52A2E" w:rsidRPr="006070EA" w:rsidRDefault="00C52A2E" w:rsidP="00543041">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eastAsia="cs-CZ"/>
              </w:rPr>
              <w:t>2,06</w:t>
            </w:r>
          </w:p>
        </w:tc>
        <w:tc>
          <w:tcPr>
            <w:tcW w:w="0" w:type="auto"/>
            <w:tcBorders>
              <w:top w:val="single" w:sz="4" w:space="0" w:color="auto"/>
              <w:left w:val="single" w:sz="4" w:space="0" w:color="auto"/>
              <w:bottom w:val="single" w:sz="4" w:space="0" w:color="auto"/>
              <w:right w:val="nil"/>
            </w:tcBorders>
            <w:shd w:val="clear" w:color="auto" w:fill="auto"/>
            <w:vAlign w:val="center"/>
          </w:tcPr>
          <w:p w14:paraId="01E87F86" w14:textId="77777777" w:rsidR="00C52A2E" w:rsidRPr="006070EA" w:rsidRDefault="00C52A2E" w:rsidP="00543041">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0,1 %</w:t>
            </w:r>
          </w:p>
        </w:tc>
      </w:tr>
      <w:tr w:rsidR="00C52A2E" w:rsidRPr="006070EA" w14:paraId="332C7B35" w14:textId="77777777" w:rsidTr="00543041">
        <w:trPr>
          <w:trHeight w:val="227"/>
          <w:jc w:val="center"/>
        </w:trPr>
        <w:tc>
          <w:tcPr>
            <w:tcW w:w="0" w:type="auto"/>
            <w:tcBorders>
              <w:top w:val="single" w:sz="4" w:space="0" w:color="auto"/>
              <w:left w:val="nil"/>
              <w:bottom w:val="single" w:sz="4" w:space="0" w:color="auto"/>
              <w:right w:val="single" w:sz="4" w:space="0" w:color="auto"/>
            </w:tcBorders>
            <w:shd w:val="clear" w:color="auto" w:fill="auto"/>
            <w:vAlign w:val="center"/>
            <w:hideMark/>
          </w:tcPr>
          <w:p w14:paraId="39E6101D" w14:textId="77777777" w:rsidR="00C52A2E" w:rsidRPr="006070EA" w:rsidRDefault="00C52A2E" w:rsidP="000E35EE">
            <w:pPr>
              <w:pStyle w:val="Bezmez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 xml:space="preserve">   trvalé travní porosty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04E90C" w14:textId="77777777" w:rsidR="00C52A2E" w:rsidRPr="006070EA" w:rsidRDefault="00C52A2E" w:rsidP="00543041">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eastAsia="cs-CZ"/>
              </w:rPr>
              <w:t>68,24</w:t>
            </w:r>
          </w:p>
        </w:tc>
        <w:tc>
          <w:tcPr>
            <w:tcW w:w="0" w:type="auto"/>
            <w:tcBorders>
              <w:top w:val="single" w:sz="4" w:space="0" w:color="auto"/>
              <w:left w:val="single" w:sz="4" w:space="0" w:color="auto"/>
              <w:bottom w:val="single" w:sz="4" w:space="0" w:color="auto"/>
              <w:right w:val="nil"/>
            </w:tcBorders>
            <w:shd w:val="clear" w:color="auto" w:fill="auto"/>
            <w:vAlign w:val="center"/>
          </w:tcPr>
          <w:p w14:paraId="396D5A42" w14:textId="77777777" w:rsidR="00C52A2E" w:rsidRPr="006070EA" w:rsidRDefault="00C52A2E" w:rsidP="00543041">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4,5 %</w:t>
            </w:r>
          </w:p>
        </w:tc>
      </w:tr>
      <w:tr w:rsidR="00C52A2E" w:rsidRPr="006070EA" w14:paraId="32B88F6A" w14:textId="77777777" w:rsidTr="00543041">
        <w:trPr>
          <w:trHeight w:val="227"/>
          <w:jc w:val="center"/>
        </w:trPr>
        <w:tc>
          <w:tcPr>
            <w:tcW w:w="0" w:type="auto"/>
            <w:tcBorders>
              <w:top w:val="single" w:sz="4" w:space="0" w:color="auto"/>
              <w:left w:val="nil"/>
              <w:bottom w:val="single" w:sz="4" w:space="0" w:color="auto"/>
              <w:right w:val="single" w:sz="4" w:space="0" w:color="auto"/>
            </w:tcBorders>
            <w:shd w:val="clear" w:color="auto" w:fill="auto"/>
            <w:vAlign w:val="center"/>
            <w:hideMark/>
          </w:tcPr>
          <w:p w14:paraId="4C7F62F1" w14:textId="77777777" w:rsidR="00C52A2E" w:rsidRPr="006070EA" w:rsidRDefault="00C52A2E" w:rsidP="000E35EE">
            <w:pPr>
              <w:pStyle w:val="Bezmez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nezemědělská půda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03845A" w14:textId="77777777" w:rsidR="00C52A2E" w:rsidRPr="006070EA" w:rsidRDefault="00C52A2E" w:rsidP="00543041">
            <w:pPr>
              <w:pStyle w:val="Bezmezer"/>
              <w:jc w:val="center"/>
              <w:rPr>
                <w:rFonts w:asciiTheme="majorHAnsi" w:hAnsiTheme="majorHAnsi" w:cstheme="majorHAnsi"/>
                <w:b/>
                <w:color w:val="000000"/>
                <w:szCs w:val="18"/>
                <w:lang w:val="cs-CZ"/>
              </w:rPr>
            </w:pPr>
            <w:r w:rsidRPr="006070EA">
              <w:rPr>
                <w:rFonts w:asciiTheme="majorHAnsi" w:hAnsiTheme="majorHAnsi" w:cstheme="majorHAnsi"/>
                <w:color w:val="000000"/>
                <w:szCs w:val="18"/>
                <w:lang w:val="cs-CZ" w:eastAsia="cs-CZ"/>
              </w:rPr>
              <w:t>309,14</w:t>
            </w:r>
          </w:p>
        </w:tc>
        <w:tc>
          <w:tcPr>
            <w:tcW w:w="0" w:type="auto"/>
            <w:tcBorders>
              <w:top w:val="single" w:sz="4" w:space="0" w:color="auto"/>
              <w:left w:val="single" w:sz="4" w:space="0" w:color="auto"/>
              <w:bottom w:val="single" w:sz="4" w:space="0" w:color="auto"/>
              <w:right w:val="nil"/>
            </w:tcBorders>
            <w:shd w:val="clear" w:color="auto" w:fill="auto"/>
            <w:vAlign w:val="center"/>
          </w:tcPr>
          <w:p w14:paraId="77F95180" w14:textId="77777777" w:rsidR="00C52A2E" w:rsidRPr="006070EA" w:rsidRDefault="00C52A2E" w:rsidP="00543041">
            <w:pPr>
              <w:pStyle w:val="Bezmezer"/>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17 %</w:t>
            </w:r>
          </w:p>
        </w:tc>
      </w:tr>
      <w:tr w:rsidR="00C52A2E" w:rsidRPr="006070EA" w14:paraId="4478F028" w14:textId="77777777" w:rsidTr="00543041">
        <w:trPr>
          <w:trHeight w:val="227"/>
          <w:jc w:val="center"/>
        </w:trPr>
        <w:tc>
          <w:tcPr>
            <w:tcW w:w="0" w:type="auto"/>
            <w:tcBorders>
              <w:top w:val="single" w:sz="4" w:space="0" w:color="auto"/>
              <w:left w:val="nil"/>
              <w:bottom w:val="single" w:sz="4" w:space="0" w:color="auto"/>
              <w:right w:val="single" w:sz="4" w:space="0" w:color="auto"/>
            </w:tcBorders>
            <w:shd w:val="clear" w:color="auto" w:fill="auto"/>
            <w:vAlign w:val="center"/>
            <w:hideMark/>
          </w:tcPr>
          <w:p w14:paraId="6D62AF58" w14:textId="77777777" w:rsidR="00C52A2E" w:rsidRPr="006070EA" w:rsidRDefault="00C52A2E" w:rsidP="000E35EE">
            <w:pPr>
              <w:pStyle w:val="Bezmez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 xml:space="preserve">   lesní půda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EDBB00" w14:textId="77777777" w:rsidR="00C52A2E" w:rsidRPr="006070EA" w:rsidRDefault="00C52A2E" w:rsidP="00543041">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eastAsia="cs-CZ"/>
              </w:rPr>
              <w:t>99,00</w:t>
            </w:r>
          </w:p>
        </w:tc>
        <w:tc>
          <w:tcPr>
            <w:tcW w:w="0" w:type="auto"/>
            <w:tcBorders>
              <w:top w:val="single" w:sz="4" w:space="0" w:color="auto"/>
              <w:left w:val="single" w:sz="4" w:space="0" w:color="auto"/>
              <w:bottom w:val="single" w:sz="4" w:space="0" w:color="auto"/>
              <w:right w:val="nil"/>
            </w:tcBorders>
            <w:shd w:val="clear" w:color="auto" w:fill="auto"/>
            <w:vAlign w:val="center"/>
          </w:tcPr>
          <w:p w14:paraId="242BEEE8" w14:textId="77777777" w:rsidR="00C52A2E" w:rsidRPr="006070EA" w:rsidRDefault="00C52A2E" w:rsidP="00543041">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32 %</w:t>
            </w:r>
          </w:p>
        </w:tc>
      </w:tr>
      <w:tr w:rsidR="00C52A2E" w:rsidRPr="006070EA" w14:paraId="4C1543C2" w14:textId="77777777" w:rsidTr="00543041">
        <w:trPr>
          <w:trHeight w:val="227"/>
          <w:jc w:val="center"/>
        </w:trPr>
        <w:tc>
          <w:tcPr>
            <w:tcW w:w="0" w:type="auto"/>
            <w:tcBorders>
              <w:top w:val="single" w:sz="4" w:space="0" w:color="auto"/>
              <w:left w:val="nil"/>
              <w:bottom w:val="single" w:sz="4" w:space="0" w:color="auto"/>
              <w:right w:val="single" w:sz="4" w:space="0" w:color="auto"/>
            </w:tcBorders>
            <w:shd w:val="clear" w:color="auto" w:fill="auto"/>
            <w:vAlign w:val="center"/>
            <w:hideMark/>
          </w:tcPr>
          <w:p w14:paraId="6EA1F902" w14:textId="77777777" w:rsidR="00C52A2E" w:rsidRPr="006070EA" w:rsidRDefault="00C52A2E" w:rsidP="000E35EE">
            <w:pPr>
              <w:pStyle w:val="Bezmez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 xml:space="preserve">   vodní plochy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DAB0B2" w14:textId="77777777" w:rsidR="00C52A2E" w:rsidRPr="006070EA" w:rsidRDefault="00C52A2E" w:rsidP="00543041">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eastAsia="cs-CZ"/>
              </w:rPr>
              <w:t>50,59</w:t>
            </w:r>
          </w:p>
        </w:tc>
        <w:tc>
          <w:tcPr>
            <w:tcW w:w="0" w:type="auto"/>
            <w:tcBorders>
              <w:top w:val="single" w:sz="4" w:space="0" w:color="auto"/>
              <w:left w:val="single" w:sz="4" w:space="0" w:color="auto"/>
              <w:bottom w:val="single" w:sz="4" w:space="0" w:color="auto"/>
              <w:right w:val="nil"/>
            </w:tcBorders>
            <w:shd w:val="clear" w:color="auto" w:fill="auto"/>
            <w:vAlign w:val="center"/>
          </w:tcPr>
          <w:p w14:paraId="1EB976F4" w14:textId="77777777" w:rsidR="00C52A2E" w:rsidRPr="006070EA" w:rsidRDefault="00C52A2E" w:rsidP="00543041">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16,4 %</w:t>
            </w:r>
          </w:p>
        </w:tc>
      </w:tr>
      <w:tr w:rsidR="00C52A2E" w:rsidRPr="006070EA" w14:paraId="0128F7E0" w14:textId="77777777" w:rsidTr="00543041">
        <w:trPr>
          <w:trHeight w:val="227"/>
          <w:jc w:val="center"/>
        </w:trPr>
        <w:tc>
          <w:tcPr>
            <w:tcW w:w="0" w:type="auto"/>
            <w:tcBorders>
              <w:top w:val="single" w:sz="4" w:space="0" w:color="auto"/>
              <w:left w:val="nil"/>
              <w:bottom w:val="single" w:sz="4" w:space="0" w:color="auto"/>
              <w:right w:val="single" w:sz="4" w:space="0" w:color="auto"/>
            </w:tcBorders>
            <w:shd w:val="clear" w:color="auto" w:fill="auto"/>
            <w:vAlign w:val="center"/>
            <w:hideMark/>
          </w:tcPr>
          <w:p w14:paraId="66D55080" w14:textId="77777777" w:rsidR="00C52A2E" w:rsidRPr="006070EA" w:rsidRDefault="00C52A2E" w:rsidP="000E35EE">
            <w:pPr>
              <w:pStyle w:val="Bezmez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 xml:space="preserve">   zastavěné plochy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7E3557" w14:textId="77777777" w:rsidR="00C52A2E" w:rsidRPr="006070EA" w:rsidRDefault="00C52A2E" w:rsidP="00543041">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eastAsia="cs-CZ"/>
              </w:rPr>
              <w:t>45,55</w:t>
            </w:r>
          </w:p>
        </w:tc>
        <w:tc>
          <w:tcPr>
            <w:tcW w:w="0" w:type="auto"/>
            <w:tcBorders>
              <w:top w:val="single" w:sz="4" w:space="0" w:color="auto"/>
              <w:left w:val="single" w:sz="4" w:space="0" w:color="auto"/>
              <w:bottom w:val="single" w:sz="4" w:space="0" w:color="auto"/>
              <w:right w:val="nil"/>
            </w:tcBorders>
            <w:shd w:val="clear" w:color="auto" w:fill="auto"/>
            <w:vAlign w:val="center"/>
          </w:tcPr>
          <w:p w14:paraId="24D1013B" w14:textId="77777777" w:rsidR="00C52A2E" w:rsidRPr="006070EA" w:rsidRDefault="00C52A2E" w:rsidP="00543041">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14,7 %</w:t>
            </w:r>
          </w:p>
        </w:tc>
      </w:tr>
      <w:tr w:rsidR="00C52A2E" w:rsidRPr="006070EA" w14:paraId="5734D0B4" w14:textId="77777777" w:rsidTr="00543041">
        <w:trPr>
          <w:trHeight w:val="227"/>
          <w:jc w:val="center"/>
        </w:trPr>
        <w:tc>
          <w:tcPr>
            <w:tcW w:w="0" w:type="auto"/>
            <w:tcBorders>
              <w:top w:val="single" w:sz="4" w:space="0" w:color="auto"/>
              <w:left w:val="nil"/>
              <w:bottom w:val="nil"/>
              <w:right w:val="single" w:sz="4" w:space="0" w:color="auto"/>
            </w:tcBorders>
            <w:shd w:val="clear" w:color="auto" w:fill="auto"/>
            <w:vAlign w:val="center"/>
            <w:hideMark/>
          </w:tcPr>
          <w:p w14:paraId="1BB9EBC6" w14:textId="77777777" w:rsidR="00C52A2E" w:rsidRPr="006070EA" w:rsidRDefault="00C52A2E" w:rsidP="000E35EE">
            <w:pPr>
              <w:pStyle w:val="Bezmez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 xml:space="preserve">   ostatní plochy</w:t>
            </w:r>
          </w:p>
        </w:tc>
        <w:tc>
          <w:tcPr>
            <w:tcW w:w="0" w:type="auto"/>
            <w:tcBorders>
              <w:top w:val="single" w:sz="4" w:space="0" w:color="auto"/>
              <w:left w:val="single" w:sz="4" w:space="0" w:color="auto"/>
              <w:bottom w:val="nil"/>
              <w:right w:val="single" w:sz="4" w:space="0" w:color="auto"/>
            </w:tcBorders>
            <w:shd w:val="clear" w:color="auto" w:fill="auto"/>
            <w:vAlign w:val="center"/>
          </w:tcPr>
          <w:p w14:paraId="4696C287" w14:textId="77777777" w:rsidR="00C52A2E" w:rsidRPr="006070EA" w:rsidRDefault="00C52A2E" w:rsidP="00543041">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eastAsia="cs-CZ"/>
              </w:rPr>
              <w:t>114,00</w:t>
            </w:r>
          </w:p>
        </w:tc>
        <w:tc>
          <w:tcPr>
            <w:tcW w:w="0" w:type="auto"/>
            <w:tcBorders>
              <w:top w:val="single" w:sz="4" w:space="0" w:color="auto"/>
              <w:left w:val="single" w:sz="4" w:space="0" w:color="auto"/>
              <w:bottom w:val="nil"/>
              <w:right w:val="nil"/>
            </w:tcBorders>
            <w:shd w:val="clear" w:color="auto" w:fill="auto"/>
            <w:vAlign w:val="center"/>
          </w:tcPr>
          <w:p w14:paraId="20B191D8" w14:textId="77777777" w:rsidR="00C52A2E" w:rsidRPr="006070EA" w:rsidRDefault="00C52A2E" w:rsidP="00543041">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36,9 %</w:t>
            </w:r>
          </w:p>
        </w:tc>
      </w:tr>
    </w:tbl>
    <w:p w14:paraId="06F52AF9" w14:textId="77777777" w:rsidR="00C52A2E" w:rsidRPr="006070EA" w:rsidRDefault="00C52A2E" w:rsidP="00D430EF">
      <w:pPr>
        <w:keepNext/>
        <w:autoSpaceDE w:val="0"/>
        <w:autoSpaceDN w:val="0"/>
        <w:adjustRightInd w:val="0"/>
        <w:spacing w:before="120" w:after="60"/>
        <w:jc w:val="both"/>
        <w:rPr>
          <w:rFonts w:asciiTheme="majorHAnsi" w:hAnsiTheme="majorHAnsi" w:cstheme="majorHAnsi"/>
          <w:i/>
          <w:iCs/>
          <w:color w:val="000000"/>
          <w:sz w:val="18"/>
          <w:szCs w:val="18"/>
        </w:rPr>
      </w:pPr>
      <w:r w:rsidRPr="006070EA">
        <w:rPr>
          <w:rFonts w:asciiTheme="majorHAnsi" w:hAnsiTheme="majorHAnsi" w:cstheme="majorHAnsi"/>
          <w:i/>
          <w:iCs/>
          <w:color w:val="000000"/>
          <w:sz w:val="18"/>
          <w:szCs w:val="18"/>
        </w:rPr>
        <w:t>Graf: Plošné zastoupení jednotlivých typů pozemků ve správním území Kostomlaty nad Labem</w:t>
      </w:r>
    </w:p>
    <w:p w14:paraId="067E4663" w14:textId="721944E9" w:rsidR="00C52A2E" w:rsidRPr="006070EA" w:rsidRDefault="00C52A2E" w:rsidP="00681F86">
      <w:pPr>
        <w:pStyle w:val="Anadpispodtren"/>
        <w:jc w:val="center"/>
        <w:rPr>
          <w:rFonts w:asciiTheme="majorHAnsi" w:hAnsiTheme="majorHAnsi" w:cstheme="majorHAnsi"/>
          <w:noProof/>
          <w:color w:val="000000"/>
          <w:szCs w:val="18"/>
          <w:u w:val="none"/>
          <w:lang w:eastAsia="cs-CZ"/>
        </w:rPr>
      </w:pPr>
      <w:r w:rsidRPr="006070EA">
        <w:rPr>
          <w:rFonts w:asciiTheme="majorHAnsi" w:hAnsiTheme="majorHAnsi" w:cstheme="majorHAnsi"/>
          <w:noProof/>
          <w:color w:val="000000"/>
          <w:szCs w:val="18"/>
          <w:u w:val="none"/>
        </w:rPr>
        <w:drawing>
          <wp:inline distT="0" distB="0" distL="0" distR="0" wp14:anchorId="01F46BB9" wp14:editId="51F950B7">
            <wp:extent cx="4381500" cy="2486025"/>
            <wp:effectExtent l="0" t="0" r="0" b="0"/>
            <wp:docPr id="58" name="Obrázek 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f 1"/>
                    <pic:cNvPicPr>
                      <a:picLocks noChangeArrowheads="1"/>
                    </pic:cNvPicPr>
                  </pic:nvPicPr>
                  <pic:blipFill rotWithShape="1">
                    <a:blip r:embed="rId55">
                      <a:extLst>
                        <a:ext uri="{28A0092B-C50C-407E-A947-70E740481C1C}">
                          <a14:useLocalDpi xmlns:a14="http://schemas.microsoft.com/office/drawing/2010/main" val="0"/>
                        </a:ext>
                      </a:extLst>
                    </a:blip>
                    <a:srcRect l="1663" t="4150" r="2730" b="5580"/>
                    <a:stretch/>
                  </pic:blipFill>
                  <pic:spPr bwMode="auto">
                    <a:xfrm>
                      <a:off x="0" y="0"/>
                      <a:ext cx="4381500" cy="2486025"/>
                    </a:xfrm>
                    <a:prstGeom prst="rect">
                      <a:avLst/>
                    </a:prstGeom>
                    <a:noFill/>
                    <a:ln>
                      <a:noFill/>
                    </a:ln>
                    <a:extLst>
                      <a:ext uri="{53640926-AAD7-44D8-BBD7-CCE9431645EC}">
                        <a14:shadowObscured xmlns:a14="http://schemas.microsoft.com/office/drawing/2010/main"/>
                      </a:ext>
                    </a:extLst>
                  </pic:spPr>
                </pic:pic>
              </a:graphicData>
            </a:graphic>
          </wp:inline>
        </w:drawing>
      </w:r>
    </w:p>
    <w:p w14:paraId="48E077EA" w14:textId="77777777" w:rsidR="009E33CB" w:rsidRPr="006070EA" w:rsidRDefault="009E33CB" w:rsidP="003A4B1E">
      <w:pPr>
        <w:pStyle w:val="Odstavecseseznamem"/>
        <w:keepNext/>
        <w:numPr>
          <w:ilvl w:val="2"/>
          <w:numId w:val="31"/>
        </w:numPr>
        <w:spacing w:before="160" w:after="120" w:line="240" w:lineRule="auto"/>
        <w:ind w:left="709" w:hanging="709"/>
        <w:contextualSpacing w:val="0"/>
        <w:jc w:val="both"/>
        <w:outlineLvl w:val="2"/>
        <w:rPr>
          <w:rFonts w:asciiTheme="majorHAnsi" w:hAnsiTheme="majorHAnsi" w:cstheme="majorHAnsi"/>
          <w:b/>
        </w:rPr>
      </w:pPr>
      <w:bookmarkStart w:id="447" w:name="_Toc204678228"/>
      <w:r w:rsidRPr="006070EA">
        <w:rPr>
          <w:rFonts w:asciiTheme="majorHAnsi" w:hAnsiTheme="majorHAnsi" w:cstheme="majorHAnsi"/>
          <w:b/>
        </w:rPr>
        <w:t>Pedologické podmínky, uspořádání ZPF v území</w:t>
      </w:r>
      <w:bookmarkEnd w:id="447"/>
    </w:p>
    <w:p w14:paraId="3FF9C0B1" w14:textId="2ECE0C4A" w:rsidR="00C52A2E" w:rsidRPr="006070EA" w:rsidRDefault="00C52A2E" w:rsidP="009E724A">
      <w:pPr>
        <w:pStyle w:val="Atext"/>
        <w:rPr>
          <w:rFonts w:asciiTheme="majorHAnsi" w:hAnsiTheme="majorHAnsi" w:cstheme="majorHAnsi"/>
        </w:rPr>
      </w:pPr>
      <w:bookmarkStart w:id="448" w:name="_Toc424119876"/>
      <w:bookmarkStart w:id="449" w:name="_Toc424119875"/>
      <w:r w:rsidRPr="006070EA">
        <w:rPr>
          <w:rFonts w:asciiTheme="majorHAnsi" w:hAnsiTheme="majorHAnsi" w:cstheme="majorHAnsi"/>
        </w:rPr>
        <w:t xml:space="preserve">Plošně nejrozšířenějším půdním typem jsou černice, vyskytující se především v severovýchodní části území a také jižně od města Sadská. Druhým nejrozšířenějším typem půd jsou černozemě bezprostředně navazující na rozšíření černice. Podél toku řeky Labe a dalších i menších toků jsou zastoupeny typické fluvizemě a regozemě. Ostrůvkovitě se v SO ORP vyskytují také pararendziny, hojněji jsou zastoupeny západně od města Nymburk. </w:t>
      </w:r>
      <w:r w:rsidR="00543041" w:rsidRPr="006070EA">
        <w:rPr>
          <w:rFonts w:asciiTheme="majorHAnsi" w:hAnsiTheme="majorHAnsi" w:cstheme="majorHAnsi"/>
        </w:rPr>
        <w:t xml:space="preserve">Místy </w:t>
      </w:r>
      <w:r w:rsidRPr="006070EA">
        <w:rPr>
          <w:rFonts w:asciiTheme="majorHAnsi" w:hAnsiTheme="majorHAnsi" w:cstheme="majorHAnsi"/>
        </w:rPr>
        <w:t>se vyskytují také půdy na píscích. Z</w:t>
      </w:r>
      <w:r w:rsidR="00543041" w:rsidRPr="006070EA">
        <w:rPr>
          <w:rFonts w:asciiTheme="majorHAnsi" w:hAnsiTheme="majorHAnsi" w:cstheme="majorHAnsi"/>
        </w:rPr>
        <w:t> </w:t>
      </w:r>
      <w:r w:rsidRPr="006070EA">
        <w:rPr>
          <w:rFonts w:asciiTheme="majorHAnsi" w:hAnsiTheme="majorHAnsi" w:cstheme="majorHAnsi"/>
        </w:rPr>
        <w:t>hlediska půdně klimatických podmínek se území řadí téměř výhradně do zemědělské výrobní oblasti řepařské.</w:t>
      </w:r>
    </w:p>
    <w:p w14:paraId="5F587906" w14:textId="77777777" w:rsidR="00213A5E" w:rsidRPr="006070EA" w:rsidRDefault="00213A5E" w:rsidP="009E724A">
      <w:pPr>
        <w:spacing w:before="120" w:after="120" w:line="240" w:lineRule="auto"/>
        <w:ind w:firstLine="709"/>
        <w:jc w:val="both"/>
        <w:rPr>
          <w:rFonts w:asciiTheme="majorHAnsi" w:hAnsiTheme="majorHAnsi" w:cstheme="majorHAnsi"/>
          <w:sz w:val="18"/>
          <w:szCs w:val="20"/>
        </w:rPr>
      </w:pPr>
      <w:r w:rsidRPr="006070EA">
        <w:rPr>
          <w:rFonts w:asciiTheme="majorHAnsi" w:hAnsiTheme="majorHAnsi" w:cstheme="majorHAnsi"/>
          <w:sz w:val="18"/>
          <w:szCs w:val="20"/>
        </w:rPr>
        <w:t xml:space="preserve">Bonitované půdně ekologické jednotky (BPEJ) jsou výchozím podkladem pro ochranu půdního fondu při územně plánovací činnosti. Kód BPEJ se skládá z kódu klimatického regionu (číslo na první pozici), kódu hlavní půdní jednotky (následující 2 číslice) a označení vedlejší půdní jednotky (poslední 2 číslice). </w:t>
      </w:r>
    </w:p>
    <w:p w14:paraId="6B621160" w14:textId="44CECF07" w:rsidR="00C52A2E" w:rsidRPr="006070EA" w:rsidRDefault="00C52A2E" w:rsidP="009E724A">
      <w:pPr>
        <w:pStyle w:val="Atext"/>
        <w:rPr>
          <w:rFonts w:asciiTheme="majorHAnsi" w:hAnsiTheme="majorHAnsi" w:cstheme="majorHAnsi"/>
        </w:rPr>
      </w:pPr>
      <w:r w:rsidRPr="006070EA">
        <w:rPr>
          <w:rFonts w:asciiTheme="majorHAnsi" w:hAnsiTheme="majorHAnsi" w:cstheme="majorHAnsi"/>
        </w:rPr>
        <w:t>Hodnocení z hlediska kvality půd probíhá na základě vymezení 5 tříd ochrany, které vycházejí z kódů mapy BPEJ. Zemědělskou půdu je nutno odnímat pro nezemědělské účely přednostně z tříd 5., 4 a 3. Do 1. třídy ochrany jsou zařazeny bonitně nejcennější půdy v jednotlivých klimatických regionech, které je možno odejmout ze ZPF pouze výjimečně, a to převážně na záměry související s obnovou ekologické stability krajiny, případně pro liniové stavby zásadního významu. Do</w:t>
      </w:r>
      <w:r w:rsidR="009E724A" w:rsidRPr="006070EA">
        <w:rPr>
          <w:rFonts w:asciiTheme="majorHAnsi" w:hAnsiTheme="majorHAnsi" w:cstheme="majorHAnsi"/>
        </w:rPr>
        <w:t> </w:t>
      </w:r>
      <w:r w:rsidRPr="006070EA">
        <w:rPr>
          <w:rFonts w:asciiTheme="majorHAnsi" w:hAnsiTheme="majorHAnsi" w:cstheme="majorHAnsi"/>
        </w:rPr>
        <w:t>2.</w:t>
      </w:r>
      <w:r w:rsidR="009E724A" w:rsidRPr="006070EA">
        <w:rPr>
          <w:rFonts w:asciiTheme="majorHAnsi" w:hAnsiTheme="majorHAnsi" w:cstheme="majorHAnsi"/>
        </w:rPr>
        <w:t> </w:t>
      </w:r>
      <w:r w:rsidRPr="006070EA">
        <w:rPr>
          <w:rFonts w:asciiTheme="majorHAnsi" w:hAnsiTheme="majorHAnsi" w:cstheme="majorHAnsi"/>
        </w:rPr>
        <w:t xml:space="preserve">třídy ochrany jsou situovány zemědělské půdy, které mají v rámci jednotlivých klimatických regionů nadprůměrnou produkční schopnost. </w:t>
      </w:r>
    </w:p>
    <w:p w14:paraId="2C41903B" w14:textId="583F93E3" w:rsidR="00C52A2E" w:rsidRPr="006070EA" w:rsidRDefault="00C52A2E" w:rsidP="009E724A">
      <w:pPr>
        <w:pStyle w:val="Atext"/>
        <w:rPr>
          <w:rFonts w:asciiTheme="majorHAnsi" w:hAnsiTheme="majorHAnsi" w:cstheme="majorHAnsi"/>
        </w:rPr>
      </w:pPr>
      <w:r w:rsidRPr="006070EA">
        <w:rPr>
          <w:rFonts w:asciiTheme="majorHAnsi" w:hAnsiTheme="majorHAnsi" w:cstheme="majorHAnsi"/>
        </w:rPr>
        <w:t>Ve vztahu k ochraně ZPF jde o půdy vysoce chráněné, jen podmíněně odnímatelné a s ohledem na územní plánování také jen podmíněně zastavitelné. Na území SO ORP spadá do třídy ochrany 1. třídy celkem 7</w:t>
      </w:r>
      <w:r w:rsidR="009E724A" w:rsidRPr="006070EA">
        <w:rPr>
          <w:rFonts w:asciiTheme="majorHAnsi" w:hAnsiTheme="majorHAnsi" w:cstheme="majorHAnsi"/>
        </w:rPr>
        <w:t xml:space="preserve"> </w:t>
      </w:r>
      <w:r w:rsidRPr="006070EA">
        <w:rPr>
          <w:rFonts w:asciiTheme="majorHAnsi" w:hAnsiTheme="majorHAnsi" w:cstheme="majorHAnsi"/>
        </w:rPr>
        <w:t>158 ha zemědělské půdy (tj.</w:t>
      </w:r>
      <w:r w:rsidR="009E724A" w:rsidRPr="006070EA">
        <w:rPr>
          <w:rFonts w:asciiTheme="majorHAnsi" w:hAnsiTheme="majorHAnsi" w:cstheme="majorHAnsi"/>
        </w:rPr>
        <w:t xml:space="preserve"> </w:t>
      </w:r>
      <w:r w:rsidRPr="006070EA">
        <w:rPr>
          <w:rFonts w:asciiTheme="majorHAnsi" w:hAnsiTheme="majorHAnsi" w:cstheme="majorHAnsi"/>
        </w:rPr>
        <w:t>20,13</w:t>
      </w:r>
      <w:r w:rsidR="009E724A" w:rsidRPr="006070EA">
        <w:rPr>
          <w:rFonts w:asciiTheme="majorHAnsi" w:hAnsiTheme="majorHAnsi" w:cstheme="majorHAnsi"/>
        </w:rPr>
        <w:t xml:space="preserve"> </w:t>
      </w:r>
      <w:r w:rsidRPr="006070EA">
        <w:rPr>
          <w:rFonts w:asciiTheme="majorHAnsi" w:hAnsiTheme="majorHAnsi" w:cstheme="majorHAnsi"/>
        </w:rPr>
        <w:t>% z celkové plochy SO ORP) a do 2. třídy ochrany spadá celkem 5</w:t>
      </w:r>
      <w:r w:rsidR="009E724A" w:rsidRPr="006070EA">
        <w:rPr>
          <w:rFonts w:asciiTheme="majorHAnsi" w:hAnsiTheme="majorHAnsi" w:cstheme="majorHAnsi"/>
        </w:rPr>
        <w:t xml:space="preserve"> </w:t>
      </w:r>
      <w:r w:rsidRPr="006070EA">
        <w:rPr>
          <w:rFonts w:asciiTheme="majorHAnsi" w:hAnsiTheme="majorHAnsi" w:cstheme="majorHAnsi"/>
        </w:rPr>
        <w:t>258 ha zemědělské půdy (tj.</w:t>
      </w:r>
      <w:r w:rsidR="009E724A" w:rsidRPr="006070EA">
        <w:rPr>
          <w:rFonts w:asciiTheme="majorHAnsi" w:hAnsiTheme="majorHAnsi" w:cstheme="majorHAnsi"/>
        </w:rPr>
        <w:t xml:space="preserve"> </w:t>
      </w:r>
      <w:r w:rsidRPr="006070EA">
        <w:rPr>
          <w:rFonts w:asciiTheme="majorHAnsi" w:hAnsiTheme="majorHAnsi" w:cstheme="majorHAnsi"/>
        </w:rPr>
        <w:t>14,79</w:t>
      </w:r>
      <w:r w:rsidR="009E724A" w:rsidRPr="006070EA">
        <w:rPr>
          <w:rFonts w:asciiTheme="majorHAnsi" w:hAnsiTheme="majorHAnsi" w:cstheme="majorHAnsi"/>
        </w:rPr>
        <w:t xml:space="preserve"> </w:t>
      </w:r>
      <w:r w:rsidRPr="006070EA">
        <w:rPr>
          <w:rFonts w:asciiTheme="majorHAnsi" w:hAnsiTheme="majorHAnsi" w:cstheme="majorHAnsi"/>
        </w:rPr>
        <w:t>% z</w:t>
      </w:r>
      <w:r w:rsidR="009E724A" w:rsidRPr="006070EA">
        <w:rPr>
          <w:rFonts w:asciiTheme="majorHAnsi" w:hAnsiTheme="majorHAnsi" w:cstheme="majorHAnsi"/>
        </w:rPr>
        <w:t> </w:t>
      </w:r>
      <w:r w:rsidRPr="006070EA">
        <w:rPr>
          <w:rFonts w:asciiTheme="majorHAnsi" w:hAnsiTheme="majorHAnsi" w:cstheme="majorHAnsi"/>
        </w:rPr>
        <w:t>celkové plochy SO ORP). Z uvedeného vyplývá, že výskyt zemědělské půdy, spadající do 1. a 2. třídy ochrany je celkem příznivý, přesto je nutné tyto půdy chránit před větrnou a vodní erozí a před záborem za účelem zástavby.</w:t>
      </w:r>
    </w:p>
    <w:p w14:paraId="3C29243B" w14:textId="7592E7C3" w:rsidR="00C52A2E" w:rsidRPr="006070EA" w:rsidRDefault="009E724A" w:rsidP="009E724A">
      <w:pPr>
        <w:pStyle w:val="Atext"/>
        <w:rPr>
          <w:rFonts w:asciiTheme="majorHAnsi" w:hAnsiTheme="majorHAnsi" w:cstheme="majorHAnsi"/>
          <w:color w:val="000000"/>
        </w:rPr>
      </w:pPr>
      <w:r w:rsidRPr="006070EA">
        <w:rPr>
          <w:rFonts w:asciiTheme="majorHAnsi" w:hAnsiTheme="majorHAnsi" w:cstheme="majorHAnsi"/>
          <w:color w:val="000000"/>
        </w:rPr>
        <w:t>BPEJ v řešeném území a zařazení do jednotlivých tříd ochrany zobrazuje graficky níže uvedený obrázek.</w:t>
      </w:r>
    </w:p>
    <w:p w14:paraId="115FB64A" w14:textId="096CDD88" w:rsidR="00C52A2E" w:rsidRPr="006070EA" w:rsidRDefault="00C52A2E" w:rsidP="00C52A2E">
      <w:pPr>
        <w:pStyle w:val="Atext"/>
        <w:ind w:firstLine="0"/>
        <w:rPr>
          <w:rFonts w:asciiTheme="majorHAnsi" w:hAnsiTheme="majorHAnsi" w:cstheme="majorHAnsi"/>
          <w:color w:val="000000"/>
        </w:rPr>
      </w:pPr>
      <w:r w:rsidRPr="006070EA">
        <w:rPr>
          <w:rFonts w:asciiTheme="majorHAnsi" w:hAnsiTheme="majorHAnsi" w:cstheme="majorHAnsi"/>
          <w:noProof/>
          <w:color w:val="000000"/>
        </w:rPr>
        <w:lastRenderedPageBreak/>
        <w:drawing>
          <wp:inline distT="0" distB="0" distL="0" distR="0" wp14:anchorId="57324E7C" wp14:editId="25189DD2">
            <wp:extent cx="4952571" cy="6480000"/>
            <wp:effectExtent l="0" t="0" r="0" b="0"/>
            <wp:docPr id="59" name="Obrázek 59" descr="Obsah obrázku map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Obrázek 59" descr="Obsah obrázku mapa&#10;&#10;Popis byl vytvořen automaticky"/>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952571" cy="6480000"/>
                    </a:xfrm>
                    <a:prstGeom prst="rect">
                      <a:avLst/>
                    </a:prstGeom>
                    <a:noFill/>
                    <a:ln>
                      <a:noFill/>
                    </a:ln>
                  </pic:spPr>
                </pic:pic>
              </a:graphicData>
            </a:graphic>
          </wp:inline>
        </w:drawing>
      </w:r>
    </w:p>
    <w:p w14:paraId="625200FC" w14:textId="77777777" w:rsidR="009E33CB" w:rsidRPr="006070EA" w:rsidRDefault="009E33CB" w:rsidP="003A4B1E">
      <w:pPr>
        <w:pStyle w:val="Odstavecseseznamem"/>
        <w:keepNext/>
        <w:numPr>
          <w:ilvl w:val="2"/>
          <w:numId w:val="31"/>
        </w:numPr>
        <w:spacing w:before="160" w:after="120" w:line="240" w:lineRule="auto"/>
        <w:ind w:left="709" w:hanging="709"/>
        <w:contextualSpacing w:val="0"/>
        <w:jc w:val="both"/>
        <w:outlineLvl w:val="2"/>
        <w:rPr>
          <w:rFonts w:asciiTheme="majorHAnsi" w:hAnsiTheme="majorHAnsi" w:cstheme="majorHAnsi"/>
          <w:b/>
        </w:rPr>
      </w:pPr>
      <w:bookmarkStart w:id="450" w:name="_Toc204678229"/>
      <w:r w:rsidRPr="006070EA">
        <w:rPr>
          <w:rFonts w:asciiTheme="majorHAnsi" w:hAnsiTheme="majorHAnsi" w:cstheme="majorHAnsi"/>
          <w:b/>
        </w:rPr>
        <w:t>Pozemkové úpravy</w:t>
      </w:r>
      <w:bookmarkEnd w:id="448"/>
      <w:bookmarkEnd w:id="450"/>
    </w:p>
    <w:p w14:paraId="7EFCAC11" w14:textId="7201EBC5" w:rsidR="009F7319" w:rsidRPr="006070EA" w:rsidRDefault="00531B60" w:rsidP="00A76C42">
      <w:pPr>
        <w:spacing w:before="120" w:after="120" w:line="240" w:lineRule="auto"/>
        <w:ind w:firstLine="709"/>
        <w:jc w:val="both"/>
        <w:rPr>
          <w:rFonts w:asciiTheme="majorHAnsi" w:hAnsiTheme="majorHAnsi" w:cstheme="majorHAnsi"/>
          <w:sz w:val="18"/>
          <w:szCs w:val="20"/>
        </w:rPr>
      </w:pPr>
      <w:r w:rsidRPr="006070EA">
        <w:rPr>
          <w:rFonts w:asciiTheme="majorHAnsi" w:hAnsiTheme="majorHAnsi" w:cstheme="majorHAnsi"/>
          <w:sz w:val="18"/>
          <w:szCs w:val="20"/>
        </w:rPr>
        <w:t xml:space="preserve">V řešeném území </w:t>
      </w:r>
      <w:r w:rsidR="002267C0" w:rsidRPr="006070EA">
        <w:rPr>
          <w:rFonts w:asciiTheme="majorHAnsi" w:hAnsiTheme="majorHAnsi" w:cstheme="majorHAnsi"/>
          <w:sz w:val="18"/>
          <w:szCs w:val="20"/>
        </w:rPr>
        <w:t xml:space="preserve">dosud nebyly </w:t>
      </w:r>
      <w:r w:rsidR="009F7319" w:rsidRPr="006070EA">
        <w:rPr>
          <w:rFonts w:asciiTheme="majorHAnsi" w:hAnsiTheme="majorHAnsi" w:cstheme="majorHAnsi"/>
          <w:sz w:val="18"/>
          <w:szCs w:val="20"/>
        </w:rPr>
        <w:t>realizovány</w:t>
      </w:r>
      <w:r w:rsidRPr="006070EA">
        <w:rPr>
          <w:rFonts w:asciiTheme="majorHAnsi" w:hAnsiTheme="majorHAnsi" w:cstheme="majorHAnsi"/>
          <w:sz w:val="18"/>
          <w:szCs w:val="20"/>
        </w:rPr>
        <w:t xml:space="preserve"> </w:t>
      </w:r>
      <w:r w:rsidR="006B04B4" w:rsidRPr="006070EA">
        <w:rPr>
          <w:rFonts w:asciiTheme="majorHAnsi" w:hAnsiTheme="majorHAnsi" w:cstheme="majorHAnsi"/>
          <w:sz w:val="18"/>
          <w:szCs w:val="20"/>
        </w:rPr>
        <w:t>komplexní pozemkové úpravy</w:t>
      </w:r>
      <w:r w:rsidR="002267C0" w:rsidRPr="006070EA">
        <w:rPr>
          <w:rFonts w:asciiTheme="majorHAnsi" w:hAnsiTheme="majorHAnsi" w:cstheme="majorHAnsi"/>
          <w:sz w:val="18"/>
          <w:szCs w:val="20"/>
        </w:rPr>
        <w:t>.</w:t>
      </w:r>
    </w:p>
    <w:p w14:paraId="292F0237" w14:textId="259A46FE" w:rsidR="009E33CB" w:rsidRPr="006070EA" w:rsidRDefault="003F6B6C" w:rsidP="00A76C42">
      <w:pPr>
        <w:spacing w:before="120" w:after="120" w:line="240" w:lineRule="auto"/>
        <w:ind w:firstLine="709"/>
        <w:jc w:val="both"/>
        <w:rPr>
          <w:rFonts w:asciiTheme="majorHAnsi" w:hAnsiTheme="majorHAnsi" w:cstheme="majorHAnsi"/>
          <w:sz w:val="18"/>
          <w:szCs w:val="20"/>
        </w:rPr>
      </w:pPr>
      <w:r w:rsidRPr="006070EA">
        <w:rPr>
          <w:rFonts w:asciiTheme="majorHAnsi" w:hAnsiTheme="majorHAnsi" w:cstheme="majorHAnsi"/>
          <w:sz w:val="18"/>
          <w:szCs w:val="20"/>
        </w:rPr>
        <w:t xml:space="preserve">Dle evidence eagri.cz jsou v k. ú. Kostomlaty nad Labem plánovány komplexní pozemkové úpravy s předpokládaným zahájením v r. 2029. </w:t>
      </w:r>
    </w:p>
    <w:p w14:paraId="0B74C65C" w14:textId="77777777" w:rsidR="009E33CB" w:rsidRPr="006070EA" w:rsidRDefault="009E33CB" w:rsidP="003A4B1E">
      <w:pPr>
        <w:pStyle w:val="Odstavecseseznamem"/>
        <w:keepNext/>
        <w:numPr>
          <w:ilvl w:val="2"/>
          <w:numId w:val="31"/>
        </w:numPr>
        <w:spacing w:before="160" w:after="120" w:line="240" w:lineRule="auto"/>
        <w:ind w:left="709" w:hanging="709"/>
        <w:contextualSpacing w:val="0"/>
        <w:jc w:val="both"/>
        <w:outlineLvl w:val="2"/>
        <w:rPr>
          <w:rFonts w:asciiTheme="majorHAnsi" w:hAnsiTheme="majorHAnsi" w:cstheme="majorHAnsi"/>
          <w:b/>
        </w:rPr>
      </w:pPr>
      <w:bookmarkStart w:id="451" w:name="_Toc424119877"/>
      <w:bookmarkStart w:id="452" w:name="_Toc204678230"/>
      <w:r w:rsidRPr="006070EA">
        <w:rPr>
          <w:rFonts w:asciiTheme="majorHAnsi" w:hAnsiTheme="majorHAnsi" w:cstheme="majorHAnsi"/>
          <w:b/>
        </w:rPr>
        <w:t>Investice do půdy</w:t>
      </w:r>
      <w:bookmarkEnd w:id="451"/>
      <w:bookmarkEnd w:id="452"/>
    </w:p>
    <w:p w14:paraId="2F430EB5" w14:textId="77777777" w:rsidR="00E7718F" w:rsidRPr="006070EA" w:rsidRDefault="00531B60" w:rsidP="00531B60">
      <w:pPr>
        <w:spacing w:before="120" w:after="120" w:line="240" w:lineRule="auto"/>
        <w:ind w:firstLine="709"/>
        <w:jc w:val="both"/>
        <w:rPr>
          <w:rFonts w:asciiTheme="majorHAnsi" w:hAnsiTheme="majorHAnsi" w:cstheme="majorHAnsi"/>
          <w:sz w:val="18"/>
          <w:szCs w:val="20"/>
        </w:rPr>
      </w:pPr>
      <w:r w:rsidRPr="006070EA">
        <w:rPr>
          <w:rFonts w:asciiTheme="majorHAnsi" w:hAnsiTheme="majorHAnsi" w:cstheme="majorHAnsi"/>
          <w:sz w:val="18"/>
          <w:szCs w:val="20"/>
        </w:rPr>
        <w:t>Část zemědělských ploch v území je odvodněna, provedeny jsou meliorace (investice do půdy)</w:t>
      </w:r>
      <w:r w:rsidR="003B79F9" w:rsidRPr="006070EA">
        <w:rPr>
          <w:rFonts w:asciiTheme="majorHAnsi" w:hAnsiTheme="majorHAnsi" w:cstheme="majorHAnsi"/>
          <w:sz w:val="18"/>
          <w:szCs w:val="20"/>
        </w:rPr>
        <w:t xml:space="preserve"> – odvodňovací zařízení plošná a liniová</w:t>
      </w:r>
      <w:r w:rsidRPr="006070EA">
        <w:rPr>
          <w:rFonts w:asciiTheme="majorHAnsi" w:hAnsiTheme="majorHAnsi" w:cstheme="majorHAnsi"/>
          <w:sz w:val="18"/>
          <w:szCs w:val="20"/>
        </w:rPr>
        <w:t xml:space="preserve">. </w:t>
      </w:r>
    </w:p>
    <w:p w14:paraId="74F475D3" w14:textId="2C1C0377" w:rsidR="00E7718F" w:rsidRPr="006070EA" w:rsidRDefault="00E7718F" w:rsidP="00531B60">
      <w:pPr>
        <w:spacing w:before="120" w:after="120" w:line="240" w:lineRule="auto"/>
        <w:ind w:firstLine="709"/>
        <w:jc w:val="both"/>
        <w:rPr>
          <w:rFonts w:asciiTheme="majorHAnsi" w:hAnsiTheme="majorHAnsi" w:cstheme="majorHAnsi"/>
          <w:sz w:val="18"/>
          <w:szCs w:val="20"/>
        </w:rPr>
      </w:pPr>
      <w:r w:rsidRPr="006070EA">
        <w:rPr>
          <w:rFonts w:asciiTheme="majorHAnsi" w:hAnsiTheme="majorHAnsi" w:cstheme="majorHAnsi"/>
          <w:sz w:val="18"/>
          <w:szCs w:val="20"/>
        </w:rPr>
        <w:t>V řešeném území se nacházejí stavby vodních děl – hlavní odvodňovací zařízení (HOZ), které jsou v majetku státu příslušnosti hospodařit Státního pozemkového úřadu (SPÚ) v souladu s § 56 odst. 6 zákona č. 254/2001 Sb., o vodách, v platném znění, a § 4 odst. 2 zákona č. 503/2012 Sb., o Státním pozemkovém úřadu a o změně některých souvisejících zákonů, v platném znění. Lokalizaci melioračních staveb (zákresy průběhů linií stave a umístění bodů staveb vodohospodářských opatření – odvodnění, závlah a protierozních opatření) ve správě SPÚ schematicky znázorňuje níže uvedený obrázek:</w:t>
      </w:r>
    </w:p>
    <w:p w14:paraId="227E249D" w14:textId="6809FE8B" w:rsidR="00E7718F" w:rsidRPr="006070EA" w:rsidRDefault="00AD09DE" w:rsidP="00E7718F">
      <w:pPr>
        <w:spacing w:before="120" w:after="120" w:line="240" w:lineRule="auto"/>
        <w:jc w:val="both"/>
        <w:rPr>
          <w:rFonts w:asciiTheme="majorHAnsi" w:hAnsiTheme="majorHAnsi" w:cstheme="majorHAnsi"/>
          <w:sz w:val="18"/>
          <w:szCs w:val="20"/>
        </w:rPr>
      </w:pPr>
      <w:r w:rsidRPr="006070EA">
        <w:rPr>
          <w:rFonts w:asciiTheme="majorHAnsi" w:hAnsiTheme="majorHAnsi" w:cstheme="majorHAnsi"/>
          <w:noProof/>
          <w:sz w:val="18"/>
          <w:szCs w:val="20"/>
        </w:rPr>
        <w:lastRenderedPageBreak/>
        <w:drawing>
          <wp:inline distT="0" distB="0" distL="0" distR="0" wp14:anchorId="76E10536" wp14:editId="0595B271">
            <wp:extent cx="4680000" cy="6010512"/>
            <wp:effectExtent l="0" t="0" r="6350" b="9525"/>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680000" cy="6010512"/>
                    </a:xfrm>
                    <a:prstGeom prst="rect">
                      <a:avLst/>
                    </a:prstGeom>
                    <a:noFill/>
                    <a:ln>
                      <a:noFill/>
                    </a:ln>
                  </pic:spPr>
                </pic:pic>
              </a:graphicData>
            </a:graphic>
          </wp:inline>
        </w:drawing>
      </w:r>
    </w:p>
    <w:p w14:paraId="13A9D21B" w14:textId="2BC0C65B" w:rsidR="00E7718F" w:rsidRPr="006070EA" w:rsidRDefault="00E7718F" w:rsidP="00FC1E99">
      <w:pPr>
        <w:spacing w:before="120" w:after="120" w:line="240" w:lineRule="auto"/>
        <w:jc w:val="both"/>
        <w:rPr>
          <w:rFonts w:asciiTheme="majorHAnsi" w:hAnsiTheme="majorHAnsi" w:cstheme="majorHAnsi"/>
          <w:i/>
          <w:iCs/>
          <w:sz w:val="18"/>
          <w:szCs w:val="20"/>
        </w:rPr>
      </w:pPr>
      <w:r w:rsidRPr="006070EA">
        <w:rPr>
          <w:rFonts w:asciiTheme="majorHAnsi" w:hAnsiTheme="majorHAnsi" w:cstheme="majorHAnsi"/>
          <w:i/>
          <w:iCs/>
          <w:sz w:val="18"/>
          <w:szCs w:val="20"/>
        </w:rPr>
        <w:t>Obr.: Meliorační stavby ve správě SPÚ v řešeném území (zdroj: geoportal.spucr.cz)</w:t>
      </w:r>
    </w:p>
    <w:p w14:paraId="487E8570" w14:textId="217E0075" w:rsidR="00E7718F" w:rsidRPr="006070EA" w:rsidRDefault="00E7718F" w:rsidP="00531B60">
      <w:pPr>
        <w:spacing w:before="120" w:after="120" w:line="240" w:lineRule="auto"/>
        <w:ind w:firstLine="709"/>
        <w:jc w:val="both"/>
        <w:rPr>
          <w:rFonts w:asciiTheme="majorHAnsi" w:hAnsiTheme="majorHAnsi" w:cstheme="majorHAnsi"/>
          <w:sz w:val="18"/>
          <w:szCs w:val="20"/>
        </w:rPr>
      </w:pPr>
      <w:r w:rsidRPr="006070EA">
        <w:rPr>
          <w:rFonts w:asciiTheme="majorHAnsi" w:hAnsiTheme="majorHAnsi" w:cstheme="majorHAnsi"/>
          <w:sz w:val="18"/>
          <w:szCs w:val="20"/>
        </w:rPr>
        <w:t>Při dotčení staveb HOZ je ze strany SPÚ požadováno:</w:t>
      </w:r>
    </w:p>
    <w:p w14:paraId="27B42888" w14:textId="77777777" w:rsidR="000B6F18" w:rsidRPr="006070EA" w:rsidRDefault="000B6F18" w:rsidP="000B6F18">
      <w:pPr>
        <w:spacing w:before="120" w:after="120" w:line="240" w:lineRule="auto"/>
        <w:ind w:firstLine="709"/>
        <w:jc w:val="both"/>
        <w:rPr>
          <w:rFonts w:asciiTheme="majorHAnsi" w:hAnsiTheme="majorHAnsi" w:cstheme="majorHAnsi"/>
          <w:sz w:val="18"/>
          <w:szCs w:val="20"/>
        </w:rPr>
      </w:pPr>
      <w:r w:rsidRPr="006070EA">
        <w:rPr>
          <w:rFonts w:asciiTheme="majorHAnsi" w:hAnsiTheme="majorHAnsi" w:cstheme="majorHAnsi"/>
          <w:sz w:val="18"/>
          <w:szCs w:val="20"/>
        </w:rPr>
        <w:t>1) Respektování staveb HOZ a zachování jejich funkčnosti.</w:t>
      </w:r>
    </w:p>
    <w:p w14:paraId="4583BDDA" w14:textId="77777777" w:rsidR="000B6F18" w:rsidRPr="006070EA" w:rsidRDefault="000B6F18" w:rsidP="00FC1E99">
      <w:pPr>
        <w:spacing w:before="120" w:after="120" w:line="240" w:lineRule="auto"/>
        <w:ind w:left="709"/>
        <w:jc w:val="both"/>
        <w:rPr>
          <w:rFonts w:asciiTheme="majorHAnsi" w:hAnsiTheme="majorHAnsi" w:cstheme="majorHAnsi"/>
          <w:sz w:val="18"/>
          <w:szCs w:val="20"/>
        </w:rPr>
      </w:pPr>
      <w:r w:rsidRPr="006070EA">
        <w:rPr>
          <w:rFonts w:asciiTheme="majorHAnsi" w:hAnsiTheme="majorHAnsi" w:cstheme="majorHAnsi"/>
          <w:sz w:val="18"/>
          <w:szCs w:val="20"/>
        </w:rPr>
        <w:t>2) Z hlediska umožnění výkonu správy a údržby je nutné zachovat podél zakrytých úseků HOZ nezastavěný manipulační pruh o šíři 4 m od osy potrubí na obě strany a podél otevřených HOZ 6 m oboustranný manipulační pruh.</w:t>
      </w:r>
    </w:p>
    <w:p w14:paraId="6A1722DE" w14:textId="77777777" w:rsidR="000B6F18" w:rsidRPr="006070EA" w:rsidRDefault="000B6F18" w:rsidP="00FC1E99">
      <w:pPr>
        <w:spacing w:before="120" w:after="120" w:line="240" w:lineRule="auto"/>
        <w:ind w:left="709"/>
        <w:jc w:val="both"/>
        <w:rPr>
          <w:rFonts w:asciiTheme="majorHAnsi" w:hAnsiTheme="majorHAnsi" w:cstheme="majorHAnsi"/>
          <w:sz w:val="18"/>
          <w:szCs w:val="20"/>
        </w:rPr>
      </w:pPr>
      <w:r w:rsidRPr="006070EA">
        <w:rPr>
          <w:rFonts w:asciiTheme="majorHAnsi" w:hAnsiTheme="majorHAnsi" w:cstheme="majorHAnsi"/>
          <w:sz w:val="18"/>
          <w:szCs w:val="20"/>
        </w:rPr>
        <w:t>Na uvedených vodních dílech HOZ je zajišťována běžná údržba, např. odstranění splavené ornice, sečení porostů a odstraňování náletů dřevin z průtočného profilu HOZ, v případě zakrytých úseků opravy trubních vedení vč. revizních šachet.</w:t>
      </w:r>
    </w:p>
    <w:p w14:paraId="14A19437" w14:textId="77777777" w:rsidR="000B6F18" w:rsidRPr="006070EA" w:rsidRDefault="000B6F18" w:rsidP="000B6F18">
      <w:pPr>
        <w:spacing w:before="120" w:after="120" w:line="240" w:lineRule="auto"/>
        <w:ind w:firstLine="709"/>
        <w:jc w:val="both"/>
        <w:rPr>
          <w:rFonts w:asciiTheme="majorHAnsi" w:hAnsiTheme="majorHAnsi" w:cstheme="majorHAnsi"/>
          <w:sz w:val="18"/>
          <w:szCs w:val="20"/>
        </w:rPr>
      </w:pPr>
      <w:r w:rsidRPr="006070EA">
        <w:rPr>
          <w:rFonts w:asciiTheme="majorHAnsi" w:hAnsiTheme="majorHAnsi" w:cstheme="majorHAnsi"/>
          <w:sz w:val="18"/>
          <w:szCs w:val="20"/>
        </w:rPr>
        <w:t>3) Do HOZ nebudou vypouštěny žádné odpadní ani dešťové vody.</w:t>
      </w:r>
    </w:p>
    <w:p w14:paraId="15BFB53C" w14:textId="77777777" w:rsidR="000B6F18" w:rsidRPr="006070EA" w:rsidRDefault="000B6F18" w:rsidP="00FC1E99">
      <w:pPr>
        <w:spacing w:before="120" w:after="120" w:line="240" w:lineRule="auto"/>
        <w:ind w:left="709"/>
        <w:jc w:val="both"/>
        <w:rPr>
          <w:rFonts w:asciiTheme="majorHAnsi" w:hAnsiTheme="majorHAnsi" w:cstheme="majorHAnsi"/>
          <w:sz w:val="18"/>
          <w:szCs w:val="20"/>
        </w:rPr>
      </w:pPr>
      <w:r w:rsidRPr="006070EA">
        <w:rPr>
          <w:rFonts w:asciiTheme="majorHAnsi" w:hAnsiTheme="majorHAnsi" w:cstheme="majorHAnsi"/>
          <w:sz w:val="18"/>
          <w:szCs w:val="20"/>
        </w:rPr>
        <w:t>4) V případě provádění jednotlivých výsadeb okolo HOZ požadujeme výsadbu pouze po jedné straně ve vzdálenosti min. 3 m od vrchní hrany u otevřených HOZ, a u zakrytých ve vzdálenosti min. 4 m od osy potrubí.</w:t>
      </w:r>
    </w:p>
    <w:p w14:paraId="79E44B7D" w14:textId="76987B90" w:rsidR="00E7718F" w:rsidRPr="006070EA" w:rsidRDefault="000B6F18" w:rsidP="000B6F18">
      <w:pPr>
        <w:spacing w:before="120" w:after="120" w:line="240" w:lineRule="auto"/>
        <w:ind w:firstLine="709"/>
        <w:jc w:val="both"/>
        <w:rPr>
          <w:rFonts w:asciiTheme="majorHAnsi" w:hAnsiTheme="majorHAnsi" w:cstheme="majorHAnsi"/>
          <w:sz w:val="18"/>
          <w:szCs w:val="20"/>
        </w:rPr>
      </w:pPr>
      <w:r w:rsidRPr="006070EA">
        <w:rPr>
          <w:rFonts w:asciiTheme="majorHAnsi" w:hAnsiTheme="majorHAnsi" w:cstheme="majorHAnsi"/>
          <w:sz w:val="18"/>
          <w:szCs w:val="20"/>
        </w:rPr>
        <w:t>5) Podél stavby HOZ nebude navržen žádný nový prvek systému ekologické stability krajiny.</w:t>
      </w:r>
    </w:p>
    <w:p w14:paraId="19EA6AC0" w14:textId="03C6C003" w:rsidR="00531B60" w:rsidRPr="006070EA" w:rsidRDefault="00531B60" w:rsidP="00531B60">
      <w:pPr>
        <w:spacing w:before="120" w:after="120" w:line="240" w:lineRule="auto"/>
        <w:ind w:firstLine="709"/>
        <w:jc w:val="both"/>
        <w:rPr>
          <w:rFonts w:asciiTheme="majorHAnsi" w:hAnsiTheme="majorHAnsi" w:cstheme="majorHAnsi"/>
          <w:sz w:val="18"/>
          <w:szCs w:val="20"/>
        </w:rPr>
      </w:pPr>
      <w:r w:rsidRPr="006070EA">
        <w:rPr>
          <w:rFonts w:asciiTheme="majorHAnsi" w:hAnsiTheme="majorHAnsi" w:cstheme="majorHAnsi"/>
          <w:sz w:val="18"/>
          <w:szCs w:val="20"/>
        </w:rPr>
        <w:t xml:space="preserve">Rozsah melioračních opatření </w:t>
      </w:r>
      <w:r w:rsidR="00E7718F" w:rsidRPr="006070EA">
        <w:rPr>
          <w:rFonts w:asciiTheme="majorHAnsi" w:hAnsiTheme="majorHAnsi" w:cstheme="majorHAnsi"/>
          <w:sz w:val="18"/>
          <w:szCs w:val="20"/>
        </w:rPr>
        <w:t xml:space="preserve">v detailu dle aktuálních dat ÚAP </w:t>
      </w:r>
      <w:r w:rsidRPr="006070EA">
        <w:rPr>
          <w:rFonts w:asciiTheme="majorHAnsi" w:hAnsiTheme="majorHAnsi" w:cstheme="majorHAnsi"/>
          <w:sz w:val="18"/>
          <w:szCs w:val="20"/>
        </w:rPr>
        <w:t xml:space="preserve">je zobrazen </w:t>
      </w:r>
      <w:r w:rsidRPr="006070EA">
        <w:rPr>
          <w:rFonts w:asciiTheme="majorHAnsi" w:hAnsiTheme="majorHAnsi" w:cstheme="majorHAnsi"/>
          <w:sz w:val="18"/>
        </w:rPr>
        <w:t xml:space="preserve">ve výkrese </w:t>
      </w:r>
      <w:r w:rsidR="003F5D13" w:rsidRPr="006070EA">
        <w:rPr>
          <w:rFonts w:asciiTheme="majorHAnsi" w:hAnsiTheme="majorHAnsi" w:cstheme="majorHAnsi"/>
          <w:i/>
          <w:sz w:val="18"/>
        </w:rPr>
        <w:t>6</w:t>
      </w:r>
      <w:r w:rsidRPr="006070EA">
        <w:rPr>
          <w:rFonts w:asciiTheme="majorHAnsi" w:hAnsiTheme="majorHAnsi" w:cstheme="majorHAnsi"/>
          <w:i/>
          <w:sz w:val="18"/>
        </w:rPr>
        <w:t xml:space="preserve"> Výkres předpokládaných záborů půdního fondu </w:t>
      </w:r>
      <w:r w:rsidRPr="006070EA">
        <w:rPr>
          <w:rFonts w:asciiTheme="majorHAnsi" w:hAnsiTheme="majorHAnsi" w:cstheme="majorHAnsi"/>
          <w:sz w:val="18"/>
        </w:rPr>
        <w:t xml:space="preserve">grafické části Odůvodnění ÚP </w:t>
      </w:r>
      <w:r w:rsidR="00F777AD" w:rsidRPr="006070EA">
        <w:rPr>
          <w:rFonts w:asciiTheme="majorHAnsi" w:hAnsiTheme="majorHAnsi" w:cstheme="majorHAnsi"/>
          <w:sz w:val="18"/>
        </w:rPr>
        <w:t>Kostomlaty nad Labem</w:t>
      </w:r>
      <w:r w:rsidRPr="006070EA">
        <w:rPr>
          <w:rFonts w:asciiTheme="majorHAnsi" w:hAnsiTheme="majorHAnsi" w:cstheme="majorHAnsi"/>
          <w:sz w:val="18"/>
        </w:rPr>
        <w:t>.</w:t>
      </w:r>
    </w:p>
    <w:p w14:paraId="510E0B7C" w14:textId="77777777" w:rsidR="009E33CB" w:rsidRPr="006070EA" w:rsidRDefault="009E33CB" w:rsidP="003A4B1E">
      <w:pPr>
        <w:pStyle w:val="Odstavecseseznamem"/>
        <w:keepNext/>
        <w:numPr>
          <w:ilvl w:val="2"/>
          <w:numId w:val="31"/>
        </w:numPr>
        <w:spacing w:before="160" w:after="120" w:line="240" w:lineRule="auto"/>
        <w:ind w:left="709" w:hanging="709"/>
        <w:contextualSpacing w:val="0"/>
        <w:jc w:val="both"/>
        <w:outlineLvl w:val="2"/>
        <w:rPr>
          <w:rFonts w:asciiTheme="majorHAnsi" w:hAnsiTheme="majorHAnsi" w:cstheme="majorHAnsi"/>
          <w:b/>
        </w:rPr>
      </w:pPr>
      <w:bookmarkStart w:id="453" w:name="_Toc424119878"/>
      <w:bookmarkStart w:id="454" w:name="_Toc204678231"/>
      <w:r w:rsidRPr="006070EA">
        <w:rPr>
          <w:rFonts w:asciiTheme="majorHAnsi" w:hAnsiTheme="majorHAnsi" w:cstheme="majorHAnsi"/>
          <w:b/>
        </w:rPr>
        <w:lastRenderedPageBreak/>
        <w:t>Opatření k zajištění ekologické stability, protierozní opatření</w:t>
      </w:r>
      <w:bookmarkEnd w:id="453"/>
      <w:bookmarkEnd w:id="454"/>
    </w:p>
    <w:p w14:paraId="22DB75AE" w14:textId="36F1577C" w:rsidR="00531B60" w:rsidRPr="006070EA" w:rsidRDefault="00531B60" w:rsidP="00003BBA">
      <w:pPr>
        <w:pStyle w:val="Atext"/>
        <w:rPr>
          <w:rFonts w:asciiTheme="majorHAnsi" w:hAnsiTheme="majorHAnsi" w:cstheme="majorHAnsi"/>
        </w:rPr>
      </w:pPr>
      <w:r w:rsidRPr="006070EA">
        <w:rPr>
          <w:rFonts w:asciiTheme="majorHAnsi" w:hAnsiTheme="majorHAnsi" w:cstheme="majorHAnsi"/>
        </w:rPr>
        <w:t>Územním plánem jsou vymezeny skladebné části územního systému ekologické stability regionálního a</w:t>
      </w:r>
      <w:r w:rsidR="005A4878" w:rsidRPr="006070EA">
        <w:rPr>
          <w:rFonts w:asciiTheme="majorHAnsi" w:hAnsiTheme="majorHAnsi" w:cstheme="majorHAnsi"/>
        </w:rPr>
        <w:t> </w:t>
      </w:r>
      <w:r w:rsidRPr="006070EA">
        <w:rPr>
          <w:rFonts w:asciiTheme="majorHAnsi" w:hAnsiTheme="majorHAnsi" w:cstheme="majorHAnsi"/>
        </w:rPr>
        <w:t>lokálního významu, které jsou lokalizovány především na</w:t>
      </w:r>
      <w:r w:rsidR="004A3D17" w:rsidRPr="006070EA">
        <w:rPr>
          <w:rFonts w:asciiTheme="majorHAnsi" w:hAnsiTheme="majorHAnsi" w:cstheme="majorHAnsi"/>
        </w:rPr>
        <w:t xml:space="preserve"> zemědělských a </w:t>
      </w:r>
      <w:r w:rsidR="005976F5" w:rsidRPr="006070EA">
        <w:rPr>
          <w:rFonts w:asciiTheme="majorHAnsi" w:hAnsiTheme="majorHAnsi" w:cstheme="majorHAnsi"/>
        </w:rPr>
        <w:t>lesních pozemcích</w:t>
      </w:r>
      <w:r w:rsidRPr="006070EA">
        <w:rPr>
          <w:rFonts w:asciiTheme="majorHAnsi" w:hAnsiTheme="majorHAnsi" w:cstheme="majorHAnsi"/>
        </w:rPr>
        <w:t xml:space="preserve">. Vymezení ÚSES v řešeném území je podrobně popsáno a zdůvodněno v kapitole </w:t>
      </w:r>
      <w:r w:rsidRPr="006070EA">
        <w:rPr>
          <w:rFonts w:asciiTheme="majorHAnsi" w:hAnsiTheme="majorHAnsi" w:cstheme="majorHAnsi"/>
          <w:i/>
        </w:rPr>
        <w:t>11.</w:t>
      </w:r>
      <w:r w:rsidR="005A4878" w:rsidRPr="006070EA">
        <w:rPr>
          <w:rFonts w:asciiTheme="majorHAnsi" w:hAnsiTheme="majorHAnsi" w:cstheme="majorHAnsi"/>
          <w:i/>
        </w:rPr>
        <w:t>5.</w:t>
      </w:r>
      <w:r w:rsidR="00EF7B4B" w:rsidRPr="006070EA">
        <w:rPr>
          <w:rFonts w:asciiTheme="majorHAnsi" w:hAnsiTheme="majorHAnsi" w:cstheme="majorHAnsi"/>
          <w:i/>
        </w:rPr>
        <w:t>5</w:t>
      </w:r>
      <w:r w:rsidRPr="006070EA">
        <w:rPr>
          <w:rFonts w:asciiTheme="majorHAnsi" w:hAnsiTheme="majorHAnsi" w:cstheme="majorHAnsi"/>
          <w:i/>
        </w:rPr>
        <w:t xml:space="preserve"> Odůvodnění vymezení územního systému ekologické stability</w:t>
      </w:r>
      <w:r w:rsidRPr="006070EA">
        <w:rPr>
          <w:rFonts w:asciiTheme="majorHAnsi" w:hAnsiTheme="majorHAnsi" w:cstheme="majorHAnsi"/>
        </w:rPr>
        <w:t xml:space="preserve">. </w:t>
      </w:r>
    </w:p>
    <w:p w14:paraId="583E61B0" w14:textId="42813707" w:rsidR="00531B60" w:rsidRPr="006070EA" w:rsidRDefault="00003BBA" w:rsidP="00003BBA">
      <w:pPr>
        <w:pStyle w:val="Atext"/>
        <w:rPr>
          <w:rFonts w:asciiTheme="majorHAnsi" w:hAnsiTheme="majorHAnsi" w:cstheme="majorHAnsi"/>
        </w:rPr>
      </w:pPr>
      <w:r w:rsidRPr="006070EA">
        <w:rPr>
          <w:rFonts w:asciiTheme="majorHAnsi" w:hAnsiTheme="majorHAnsi" w:cstheme="majorHAnsi"/>
        </w:rPr>
        <w:t xml:space="preserve">Zábor zemědělské půdy se předpokládá pouze u některých skladebných částí ÚSES. Jedná se zejména o doplnění stávajících částečně funkčních nebo nefunkčních skladebných částí ÚSES. K záborům zemědělské půdy dojde prakticky v případech zakládání a doplňování krajinné zeleně. </w:t>
      </w:r>
      <w:r w:rsidR="00F777AD" w:rsidRPr="006070EA">
        <w:rPr>
          <w:rFonts w:asciiTheme="majorHAnsi" w:hAnsiTheme="majorHAnsi" w:cstheme="majorHAnsi"/>
        </w:rPr>
        <w:t>P</w:t>
      </w:r>
      <w:r w:rsidR="00531B60" w:rsidRPr="006070EA">
        <w:rPr>
          <w:rFonts w:asciiTheme="majorHAnsi" w:hAnsiTheme="majorHAnsi" w:cstheme="majorHAnsi"/>
        </w:rPr>
        <w:t>lochy</w:t>
      </w:r>
      <w:r w:rsidR="00F777AD" w:rsidRPr="006070EA">
        <w:rPr>
          <w:rFonts w:asciiTheme="majorHAnsi" w:hAnsiTheme="majorHAnsi" w:cstheme="majorHAnsi"/>
        </w:rPr>
        <w:t xml:space="preserve"> změn v krajině, vymezené za účelem zajištění funkčnosti ÚSES jako součásti jednotlivých skladebných částí, jsou vyhodnoceny z hlediska záboru půdního fondu společně s ostatními plochami změn v Příloze 1. Jedná se o plochy Změn v krajině K</w:t>
      </w:r>
      <w:r w:rsidR="003F5D13" w:rsidRPr="006070EA">
        <w:rPr>
          <w:rFonts w:asciiTheme="majorHAnsi" w:hAnsiTheme="majorHAnsi" w:cstheme="majorHAnsi"/>
        </w:rPr>
        <w:t>.</w:t>
      </w:r>
      <w:r w:rsidR="00F777AD" w:rsidRPr="006070EA">
        <w:rPr>
          <w:rFonts w:asciiTheme="majorHAnsi" w:hAnsiTheme="majorHAnsi" w:cstheme="majorHAnsi"/>
        </w:rPr>
        <w:t>01 (</w:t>
      </w:r>
      <w:r w:rsidR="003F5D13" w:rsidRPr="006070EA">
        <w:rPr>
          <w:rFonts w:asciiTheme="majorHAnsi" w:hAnsiTheme="majorHAnsi" w:cstheme="majorHAnsi"/>
        </w:rPr>
        <w:t>MU.zp</w:t>
      </w:r>
      <w:r w:rsidR="00F777AD" w:rsidRPr="006070EA">
        <w:rPr>
          <w:rFonts w:asciiTheme="majorHAnsi" w:hAnsiTheme="majorHAnsi" w:cstheme="majorHAnsi"/>
        </w:rPr>
        <w:t>), K</w:t>
      </w:r>
      <w:r w:rsidR="003F5D13" w:rsidRPr="006070EA">
        <w:rPr>
          <w:rFonts w:asciiTheme="majorHAnsi" w:hAnsiTheme="majorHAnsi" w:cstheme="majorHAnsi"/>
        </w:rPr>
        <w:t>.</w:t>
      </w:r>
      <w:r w:rsidR="00F777AD" w:rsidRPr="006070EA">
        <w:rPr>
          <w:rFonts w:asciiTheme="majorHAnsi" w:hAnsiTheme="majorHAnsi" w:cstheme="majorHAnsi"/>
        </w:rPr>
        <w:t>02 (N</w:t>
      </w:r>
      <w:r w:rsidR="003F5D13" w:rsidRPr="006070EA">
        <w:rPr>
          <w:rFonts w:asciiTheme="majorHAnsi" w:hAnsiTheme="majorHAnsi" w:cstheme="majorHAnsi"/>
        </w:rPr>
        <w:t>U</w:t>
      </w:r>
      <w:r w:rsidR="00F777AD" w:rsidRPr="006070EA">
        <w:rPr>
          <w:rFonts w:asciiTheme="majorHAnsi" w:hAnsiTheme="majorHAnsi" w:cstheme="majorHAnsi"/>
        </w:rPr>
        <w:t>), K</w:t>
      </w:r>
      <w:r w:rsidR="003F5D13" w:rsidRPr="006070EA">
        <w:rPr>
          <w:rFonts w:asciiTheme="majorHAnsi" w:hAnsiTheme="majorHAnsi" w:cstheme="majorHAnsi"/>
        </w:rPr>
        <w:t>.</w:t>
      </w:r>
      <w:r w:rsidR="00F777AD" w:rsidRPr="006070EA">
        <w:rPr>
          <w:rFonts w:asciiTheme="majorHAnsi" w:hAnsiTheme="majorHAnsi" w:cstheme="majorHAnsi"/>
        </w:rPr>
        <w:t>03 (N</w:t>
      </w:r>
      <w:r w:rsidR="003F5D13" w:rsidRPr="006070EA">
        <w:rPr>
          <w:rFonts w:asciiTheme="majorHAnsi" w:hAnsiTheme="majorHAnsi" w:cstheme="majorHAnsi"/>
        </w:rPr>
        <w:t>U</w:t>
      </w:r>
      <w:r w:rsidR="00F777AD" w:rsidRPr="006070EA">
        <w:rPr>
          <w:rFonts w:asciiTheme="majorHAnsi" w:hAnsiTheme="majorHAnsi" w:cstheme="majorHAnsi"/>
        </w:rPr>
        <w:t>), K</w:t>
      </w:r>
      <w:r w:rsidR="003F5D13" w:rsidRPr="006070EA">
        <w:rPr>
          <w:rFonts w:asciiTheme="majorHAnsi" w:hAnsiTheme="majorHAnsi" w:cstheme="majorHAnsi"/>
        </w:rPr>
        <w:t>.</w:t>
      </w:r>
      <w:r w:rsidR="00F777AD" w:rsidRPr="006070EA">
        <w:rPr>
          <w:rFonts w:asciiTheme="majorHAnsi" w:hAnsiTheme="majorHAnsi" w:cstheme="majorHAnsi"/>
        </w:rPr>
        <w:t>04 (N</w:t>
      </w:r>
      <w:r w:rsidR="003F5D13" w:rsidRPr="006070EA">
        <w:rPr>
          <w:rFonts w:asciiTheme="majorHAnsi" w:hAnsiTheme="majorHAnsi" w:cstheme="majorHAnsi"/>
        </w:rPr>
        <w:t>U</w:t>
      </w:r>
      <w:r w:rsidR="00F777AD" w:rsidRPr="006070EA">
        <w:rPr>
          <w:rFonts w:asciiTheme="majorHAnsi" w:hAnsiTheme="majorHAnsi" w:cstheme="majorHAnsi"/>
        </w:rPr>
        <w:t>) a K</w:t>
      </w:r>
      <w:r w:rsidR="003F5D13" w:rsidRPr="006070EA">
        <w:rPr>
          <w:rFonts w:asciiTheme="majorHAnsi" w:hAnsiTheme="majorHAnsi" w:cstheme="majorHAnsi"/>
        </w:rPr>
        <w:t>.</w:t>
      </w:r>
      <w:r w:rsidR="00F777AD" w:rsidRPr="006070EA">
        <w:rPr>
          <w:rFonts w:asciiTheme="majorHAnsi" w:hAnsiTheme="majorHAnsi" w:cstheme="majorHAnsi"/>
        </w:rPr>
        <w:t>05 (N</w:t>
      </w:r>
      <w:r w:rsidR="003F5D13" w:rsidRPr="006070EA">
        <w:rPr>
          <w:rFonts w:asciiTheme="majorHAnsi" w:hAnsiTheme="majorHAnsi" w:cstheme="majorHAnsi"/>
        </w:rPr>
        <w:t>U</w:t>
      </w:r>
      <w:r w:rsidR="00F777AD" w:rsidRPr="006070EA">
        <w:rPr>
          <w:rFonts w:asciiTheme="majorHAnsi" w:hAnsiTheme="majorHAnsi" w:cstheme="majorHAnsi"/>
        </w:rPr>
        <w:t>).</w:t>
      </w:r>
      <w:r w:rsidR="00531B60" w:rsidRPr="006070EA">
        <w:rPr>
          <w:rFonts w:asciiTheme="majorHAnsi" w:hAnsiTheme="majorHAnsi" w:cstheme="majorHAnsi"/>
        </w:rPr>
        <w:t xml:space="preserve"> </w:t>
      </w:r>
    </w:p>
    <w:p w14:paraId="7F694E1E" w14:textId="355F52B8" w:rsidR="009E33CB" w:rsidRPr="006070EA" w:rsidRDefault="009E33CB" w:rsidP="00003BBA">
      <w:pPr>
        <w:spacing w:before="120" w:after="120" w:line="240" w:lineRule="auto"/>
        <w:ind w:firstLine="709"/>
        <w:jc w:val="both"/>
        <w:rPr>
          <w:rFonts w:asciiTheme="majorHAnsi" w:hAnsiTheme="majorHAnsi" w:cstheme="majorHAnsi"/>
          <w:sz w:val="18"/>
          <w:szCs w:val="20"/>
        </w:rPr>
      </w:pPr>
      <w:r w:rsidRPr="006070EA">
        <w:rPr>
          <w:rFonts w:asciiTheme="majorHAnsi" w:hAnsiTheme="majorHAnsi" w:cstheme="majorHAnsi"/>
          <w:sz w:val="18"/>
          <w:szCs w:val="20"/>
        </w:rPr>
        <w:t xml:space="preserve">Územní systém ekologické stability je dále doplněn plochami významné zeleně plnícími funkci interakčních prvků (doplňkové opatření ÚSES), </w:t>
      </w:r>
      <w:r w:rsidR="00003BBA" w:rsidRPr="006070EA">
        <w:rPr>
          <w:rFonts w:asciiTheme="majorHAnsi" w:hAnsiTheme="majorHAnsi" w:cstheme="majorHAnsi"/>
          <w:sz w:val="18"/>
          <w:szCs w:val="20"/>
        </w:rPr>
        <w:t>a to</w:t>
      </w:r>
      <w:r w:rsidRPr="006070EA">
        <w:rPr>
          <w:rFonts w:asciiTheme="majorHAnsi" w:hAnsiTheme="majorHAnsi" w:cstheme="majorHAnsi"/>
          <w:sz w:val="18"/>
          <w:szCs w:val="20"/>
        </w:rPr>
        <w:t xml:space="preserve"> ve vazbě na liniové prvky v území. Realizace těchto prvků spočívá převážně v obnově a</w:t>
      </w:r>
      <w:r w:rsidR="00003BBA" w:rsidRPr="006070EA">
        <w:rPr>
          <w:rFonts w:asciiTheme="majorHAnsi" w:hAnsiTheme="majorHAnsi" w:cstheme="majorHAnsi"/>
          <w:sz w:val="18"/>
          <w:szCs w:val="20"/>
        </w:rPr>
        <w:t> </w:t>
      </w:r>
      <w:r w:rsidRPr="006070EA">
        <w:rPr>
          <w:rFonts w:asciiTheme="majorHAnsi" w:hAnsiTheme="majorHAnsi" w:cstheme="majorHAnsi"/>
          <w:sz w:val="18"/>
          <w:szCs w:val="20"/>
        </w:rPr>
        <w:t xml:space="preserve">doplnění liniových výsadeb stromů a keřů podél </w:t>
      </w:r>
      <w:r w:rsidR="004A3D17" w:rsidRPr="006070EA">
        <w:rPr>
          <w:rFonts w:asciiTheme="majorHAnsi" w:hAnsiTheme="majorHAnsi" w:cstheme="majorHAnsi"/>
          <w:sz w:val="18"/>
          <w:szCs w:val="20"/>
        </w:rPr>
        <w:t xml:space="preserve">silnic, </w:t>
      </w:r>
      <w:r w:rsidRPr="006070EA">
        <w:rPr>
          <w:rFonts w:asciiTheme="majorHAnsi" w:hAnsiTheme="majorHAnsi" w:cstheme="majorHAnsi"/>
          <w:sz w:val="18"/>
          <w:szCs w:val="20"/>
        </w:rPr>
        <w:t xml:space="preserve">místních komunikací, polních cest a vodotečí ve volné krajině s minimálními nároky na zábory zemědělské půdy. Plochy významné zeleně jsou součástí zejména </w:t>
      </w:r>
      <w:r w:rsidRPr="006070EA">
        <w:rPr>
          <w:rFonts w:asciiTheme="majorHAnsi" w:hAnsiTheme="majorHAnsi" w:cstheme="majorHAnsi"/>
          <w:iCs/>
          <w:sz w:val="18"/>
          <w:szCs w:val="20"/>
        </w:rPr>
        <w:t>ploch</w:t>
      </w:r>
      <w:r w:rsidRPr="006070EA">
        <w:rPr>
          <w:rFonts w:asciiTheme="majorHAnsi" w:hAnsiTheme="majorHAnsi" w:cstheme="majorHAnsi"/>
          <w:i/>
          <w:sz w:val="18"/>
          <w:szCs w:val="20"/>
        </w:rPr>
        <w:t xml:space="preserve"> </w:t>
      </w:r>
      <w:r w:rsidR="004A3D17" w:rsidRPr="006070EA">
        <w:rPr>
          <w:rFonts w:asciiTheme="majorHAnsi" w:hAnsiTheme="majorHAnsi" w:cstheme="majorHAnsi"/>
          <w:i/>
          <w:sz w:val="18"/>
          <w:szCs w:val="20"/>
        </w:rPr>
        <w:t>zemědělských</w:t>
      </w:r>
      <w:r w:rsidR="003611D5" w:rsidRPr="006070EA">
        <w:rPr>
          <w:rFonts w:asciiTheme="majorHAnsi" w:hAnsiTheme="majorHAnsi" w:cstheme="majorHAnsi"/>
          <w:i/>
          <w:sz w:val="18"/>
          <w:szCs w:val="20"/>
        </w:rPr>
        <w:t xml:space="preserve"> všeobecných</w:t>
      </w:r>
      <w:r w:rsidR="004A3D17" w:rsidRPr="006070EA">
        <w:rPr>
          <w:rFonts w:asciiTheme="majorHAnsi" w:hAnsiTheme="majorHAnsi" w:cstheme="majorHAnsi"/>
          <w:sz w:val="18"/>
          <w:szCs w:val="20"/>
        </w:rPr>
        <w:t xml:space="preserve"> (</w:t>
      </w:r>
      <w:r w:rsidR="003611D5" w:rsidRPr="006070EA">
        <w:rPr>
          <w:rFonts w:asciiTheme="majorHAnsi" w:hAnsiTheme="majorHAnsi" w:cstheme="majorHAnsi"/>
          <w:sz w:val="18"/>
          <w:szCs w:val="20"/>
        </w:rPr>
        <w:t>AU</w:t>
      </w:r>
      <w:r w:rsidR="004A3D17" w:rsidRPr="006070EA">
        <w:rPr>
          <w:rFonts w:asciiTheme="majorHAnsi" w:hAnsiTheme="majorHAnsi" w:cstheme="majorHAnsi"/>
          <w:sz w:val="18"/>
          <w:szCs w:val="20"/>
        </w:rPr>
        <w:t xml:space="preserve">), </w:t>
      </w:r>
      <w:r w:rsidR="005A4878" w:rsidRPr="006070EA">
        <w:rPr>
          <w:rFonts w:asciiTheme="majorHAnsi" w:hAnsiTheme="majorHAnsi" w:cstheme="majorHAnsi"/>
          <w:i/>
          <w:sz w:val="18"/>
          <w:szCs w:val="20"/>
        </w:rPr>
        <w:t>smíšených nezastavěného území</w:t>
      </w:r>
      <w:r w:rsidRPr="006070EA">
        <w:rPr>
          <w:rFonts w:asciiTheme="majorHAnsi" w:hAnsiTheme="majorHAnsi" w:cstheme="majorHAnsi"/>
          <w:i/>
          <w:sz w:val="18"/>
          <w:szCs w:val="20"/>
        </w:rPr>
        <w:t xml:space="preserve"> </w:t>
      </w:r>
      <w:r w:rsidR="003611D5" w:rsidRPr="006070EA">
        <w:rPr>
          <w:rFonts w:asciiTheme="majorHAnsi" w:hAnsiTheme="majorHAnsi" w:cstheme="majorHAnsi"/>
          <w:i/>
          <w:sz w:val="18"/>
          <w:szCs w:val="20"/>
        </w:rPr>
        <w:t>–</w:t>
      </w:r>
      <w:r w:rsidR="005A4878" w:rsidRPr="006070EA">
        <w:rPr>
          <w:rFonts w:asciiTheme="majorHAnsi" w:hAnsiTheme="majorHAnsi" w:cstheme="majorHAnsi"/>
          <w:i/>
          <w:sz w:val="18"/>
          <w:szCs w:val="20"/>
        </w:rPr>
        <w:t xml:space="preserve"> zeměděls</w:t>
      </w:r>
      <w:r w:rsidR="003611D5" w:rsidRPr="006070EA">
        <w:rPr>
          <w:rFonts w:asciiTheme="majorHAnsi" w:hAnsiTheme="majorHAnsi" w:cstheme="majorHAnsi"/>
          <w:i/>
          <w:sz w:val="18"/>
          <w:szCs w:val="20"/>
        </w:rPr>
        <w:t>tví extenzivní</w:t>
      </w:r>
      <w:r w:rsidR="005A4878" w:rsidRPr="006070EA">
        <w:rPr>
          <w:rFonts w:asciiTheme="majorHAnsi" w:hAnsiTheme="majorHAnsi" w:cstheme="majorHAnsi"/>
          <w:i/>
          <w:sz w:val="18"/>
          <w:szCs w:val="20"/>
        </w:rPr>
        <w:t>, přírodní</w:t>
      </w:r>
      <w:r w:rsidR="003611D5" w:rsidRPr="006070EA">
        <w:rPr>
          <w:rFonts w:asciiTheme="majorHAnsi" w:hAnsiTheme="majorHAnsi" w:cstheme="majorHAnsi"/>
          <w:i/>
          <w:sz w:val="18"/>
          <w:szCs w:val="20"/>
        </w:rPr>
        <w:t xml:space="preserve"> priority</w:t>
      </w:r>
      <w:r w:rsidR="005A4878" w:rsidRPr="006070EA">
        <w:rPr>
          <w:rFonts w:asciiTheme="majorHAnsi" w:hAnsiTheme="majorHAnsi" w:cstheme="majorHAnsi"/>
          <w:sz w:val="18"/>
          <w:szCs w:val="20"/>
        </w:rPr>
        <w:t xml:space="preserve"> </w:t>
      </w:r>
      <w:r w:rsidRPr="006070EA">
        <w:rPr>
          <w:rFonts w:asciiTheme="majorHAnsi" w:hAnsiTheme="majorHAnsi" w:cstheme="majorHAnsi"/>
          <w:sz w:val="18"/>
          <w:szCs w:val="20"/>
        </w:rPr>
        <w:t>(</w:t>
      </w:r>
      <w:r w:rsidR="003611D5" w:rsidRPr="006070EA">
        <w:rPr>
          <w:rFonts w:asciiTheme="majorHAnsi" w:hAnsiTheme="majorHAnsi" w:cstheme="majorHAnsi"/>
          <w:sz w:val="18"/>
          <w:szCs w:val="20"/>
        </w:rPr>
        <w:t>MU.zp</w:t>
      </w:r>
      <w:r w:rsidRPr="006070EA">
        <w:rPr>
          <w:rFonts w:asciiTheme="majorHAnsi" w:hAnsiTheme="majorHAnsi" w:cstheme="majorHAnsi"/>
          <w:sz w:val="18"/>
          <w:szCs w:val="20"/>
        </w:rPr>
        <w:t xml:space="preserve">), </w:t>
      </w:r>
      <w:r w:rsidR="00003BBA" w:rsidRPr="006070EA">
        <w:rPr>
          <w:rFonts w:asciiTheme="majorHAnsi" w:hAnsiTheme="majorHAnsi" w:cstheme="majorHAnsi"/>
          <w:i/>
          <w:iCs/>
          <w:sz w:val="18"/>
          <w:szCs w:val="20"/>
        </w:rPr>
        <w:t>smíšených nezastavěného území – rekrea</w:t>
      </w:r>
      <w:r w:rsidR="003611D5" w:rsidRPr="006070EA">
        <w:rPr>
          <w:rFonts w:asciiTheme="majorHAnsi" w:hAnsiTheme="majorHAnsi" w:cstheme="majorHAnsi"/>
          <w:i/>
          <w:iCs/>
          <w:sz w:val="18"/>
          <w:szCs w:val="20"/>
        </w:rPr>
        <w:t>ce nepobytová</w:t>
      </w:r>
      <w:r w:rsidR="00003BBA" w:rsidRPr="006070EA">
        <w:rPr>
          <w:rFonts w:asciiTheme="majorHAnsi" w:hAnsiTheme="majorHAnsi" w:cstheme="majorHAnsi"/>
          <w:i/>
          <w:iCs/>
          <w:sz w:val="18"/>
          <w:szCs w:val="20"/>
        </w:rPr>
        <w:t xml:space="preserve"> </w:t>
      </w:r>
      <w:r w:rsidR="00003BBA" w:rsidRPr="006070EA">
        <w:rPr>
          <w:rFonts w:asciiTheme="majorHAnsi" w:hAnsiTheme="majorHAnsi" w:cstheme="majorHAnsi"/>
          <w:sz w:val="18"/>
          <w:szCs w:val="20"/>
        </w:rPr>
        <w:t>(</w:t>
      </w:r>
      <w:r w:rsidR="003611D5" w:rsidRPr="006070EA">
        <w:rPr>
          <w:rFonts w:asciiTheme="majorHAnsi" w:hAnsiTheme="majorHAnsi" w:cstheme="majorHAnsi"/>
          <w:sz w:val="18"/>
          <w:szCs w:val="20"/>
        </w:rPr>
        <w:t>MU.r</w:t>
      </w:r>
      <w:r w:rsidR="00003BBA" w:rsidRPr="006070EA">
        <w:rPr>
          <w:rFonts w:asciiTheme="majorHAnsi" w:hAnsiTheme="majorHAnsi" w:cstheme="majorHAnsi"/>
          <w:sz w:val="18"/>
          <w:szCs w:val="20"/>
        </w:rPr>
        <w:t xml:space="preserve">), </w:t>
      </w:r>
      <w:r w:rsidR="003611D5" w:rsidRPr="006070EA">
        <w:rPr>
          <w:rFonts w:asciiTheme="majorHAnsi" w:hAnsiTheme="majorHAnsi" w:cstheme="majorHAnsi"/>
          <w:i/>
          <w:sz w:val="18"/>
          <w:szCs w:val="20"/>
        </w:rPr>
        <w:t xml:space="preserve">dopravy </w:t>
      </w:r>
      <w:r w:rsidR="005A4878" w:rsidRPr="006070EA">
        <w:rPr>
          <w:rFonts w:asciiTheme="majorHAnsi" w:hAnsiTheme="majorHAnsi" w:cstheme="majorHAnsi"/>
          <w:i/>
          <w:sz w:val="18"/>
          <w:szCs w:val="20"/>
        </w:rPr>
        <w:t>silniční</w:t>
      </w:r>
      <w:r w:rsidRPr="006070EA">
        <w:rPr>
          <w:rFonts w:asciiTheme="majorHAnsi" w:hAnsiTheme="majorHAnsi" w:cstheme="majorHAnsi"/>
          <w:sz w:val="18"/>
          <w:szCs w:val="20"/>
        </w:rPr>
        <w:t xml:space="preserve"> (DS) a </w:t>
      </w:r>
      <w:r w:rsidRPr="006070EA">
        <w:rPr>
          <w:rFonts w:asciiTheme="majorHAnsi" w:hAnsiTheme="majorHAnsi" w:cstheme="majorHAnsi"/>
          <w:i/>
          <w:sz w:val="18"/>
          <w:szCs w:val="20"/>
        </w:rPr>
        <w:t>veřejných prostranství</w:t>
      </w:r>
      <w:r w:rsidR="003611D5" w:rsidRPr="006070EA">
        <w:rPr>
          <w:rFonts w:asciiTheme="majorHAnsi" w:hAnsiTheme="majorHAnsi" w:cstheme="majorHAnsi"/>
          <w:i/>
          <w:sz w:val="18"/>
          <w:szCs w:val="20"/>
        </w:rPr>
        <w:t xml:space="preserve"> všeobecných</w:t>
      </w:r>
      <w:r w:rsidRPr="006070EA">
        <w:rPr>
          <w:rFonts w:asciiTheme="majorHAnsi" w:hAnsiTheme="majorHAnsi" w:cstheme="majorHAnsi"/>
          <w:sz w:val="18"/>
          <w:szCs w:val="20"/>
        </w:rPr>
        <w:t xml:space="preserve"> (P</w:t>
      </w:r>
      <w:r w:rsidR="003611D5" w:rsidRPr="006070EA">
        <w:rPr>
          <w:rFonts w:asciiTheme="majorHAnsi" w:hAnsiTheme="majorHAnsi" w:cstheme="majorHAnsi"/>
          <w:sz w:val="18"/>
          <w:szCs w:val="20"/>
        </w:rPr>
        <w:t>U</w:t>
      </w:r>
      <w:r w:rsidRPr="006070EA">
        <w:rPr>
          <w:rFonts w:asciiTheme="majorHAnsi" w:hAnsiTheme="majorHAnsi" w:cstheme="majorHAnsi"/>
          <w:sz w:val="18"/>
          <w:szCs w:val="20"/>
        </w:rPr>
        <w:t>).</w:t>
      </w:r>
    </w:p>
    <w:p w14:paraId="05E6D867" w14:textId="26DC49E8" w:rsidR="009E33CB" w:rsidRPr="006070EA" w:rsidRDefault="009E33CB" w:rsidP="00003BBA">
      <w:pPr>
        <w:spacing w:before="120" w:after="120" w:line="240" w:lineRule="auto"/>
        <w:ind w:firstLine="709"/>
        <w:jc w:val="both"/>
        <w:rPr>
          <w:rFonts w:asciiTheme="majorHAnsi" w:hAnsiTheme="majorHAnsi" w:cstheme="majorHAnsi"/>
          <w:sz w:val="18"/>
          <w:szCs w:val="20"/>
        </w:rPr>
      </w:pPr>
      <w:r w:rsidRPr="006070EA">
        <w:rPr>
          <w:rFonts w:asciiTheme="majorHAnsi" w:hAnsiTheme="majorHAnsi" w:cstheme="majorHAnsi"/>
          <w:sz w:val="18"/>
          <w:szCs w:val="20"/>
        </w:rPr>
        <w:t xml:space="preserve">Další </w:t>
      </w:r>
      <w:r w:rsidR="005F62AB" w:rsidRPr="006070EA">
        <w:rPr>
          <w:rFonts w:asciiTheme="majorHAnsi" w:hAnsiTheme="majorHAnsi" w:cstheme="majorHAnsi"/>
          <w:sz w:val="18"/>
          <w:szCs w:val="20"/>
        </w:rPr>
        <w:t>ekologicko-stabilizační</w:t>
      </w:r>
      <w:r w:rsidRPr="006070EA">
        <w:rPr>
          <w:rFonts w:asciiTheme="majorHAnsi" w:hAnsiTheme="majorHAnsi" w:cstheme="majorHAnsi"/>
          <w:sz w:val="18"/>
          <w:szCs w:val="20"/>
        </w:rPr>
        <w:t xml:space="preserve"> opatření je možné realizovat v rámci ploch s rozdílným způsobem využití, zejména v</w:t>
      </w:r>
      <w:r w:rsidR="004A3D17" w:rsidRPr="006070EA">
        <w:rPr>
          <w:rFonts w:asciiTheme="majorHAnsi" w:hAnsiTheme="majorHAnsi" w:cstheme="majorHAnsi"/>
          <w:sz w:val="18"/>
          <w:szCs w:val="20"/>
        </w:rPr>
        <w:t> </w:t>
      </w:r>
      <w:r w:rsidRPr="006070EA">
        <w:rPr>
          <w:rFonts w:asciiTheme="majorHAnsi" w:hAnsiTheme="majorHAnsi" w:cstheme="majorHAnsi"/>
          <w:iCs/>
          <w:sz w:val="18"/>
          <w:szCs w:val="20"/>
        </w:rPr>
        <w:t>plochách</w:t>
      </w:r>
      <w:r w:rsidR="004A3D17" w:rsidRPr="006070EA">
        <w:rPr>
          <w:rFonts w:asciiTheme="majorHAnsi" w:hAnsiTheme="majorHAnsi" w:cstheme="majorHAnsi"/>
          <w:i/>
          <w:sz w:val="18"/>
          <w:szCs w:val="20"/>
        </w:rPr>
        <w:t xml:space="preserve"> zemědělských</w:t>
      </w:r>
      <w:r w:rsidR="003611D5" w:rsidRPr="006070EA">
        <w:rPr>
          <w:rFonts w:asciiTheme="majorHAnsi" w:hAnsiTheme="majorHAnsi" w:cstheme="majorHAnsi"/>
          <w:i/>
          <w:sz w:val="18"/>
          <w:szCs w:val="20"/>
        </w:rPr>
        <w:t xml:space="preserve"> všeobecných</w:t>
      </w:r>
      <w:r w:rsidR="004A3D17" w:rsidRPr="006070EA">
        <w:rPr>
          <w:rFonts w:asciiTheme="majorHAnsi" w:hAnsiTheme="majorHAnsi" w:cstheme="majorHAnsi"/>
          <w:sz w:val="18"/>
          <w:szCs w:val="20"/>
        </w:rPr>
        <w:t xml:space="preserve"> (</w:t>
      </w:r>
      <w:r w:rsidR="003611D5" w:rsidRPr="006070EA">
        <w:rPr>
          <w:rFonts w:asciiTheme="majorHAnsi" w:hAnsiTheme="majorHAnsi" w:cstheme="majorHAnsi"/>
          <w:sz w:val="18"/>
          <w:szCs w:val="20"/>
        </w:rPr>
        <w:t>AU</w:t>
      </w:r>
      <w:r w:rsidR="004A3D17" w:rsidRPr="006070EA">
        <w:rPr>
          <w:rFonts w:asciiTheme="majorHAnsi" w:hAnsiTheme="majorHAnsi" w:cstheme="majorHAnsi"/>
          <w:sz w:val="18"/>
          <w:szCs w:val="20"/>
        </w:rPr>
        <w:t>),</w:t>
      </w:r>
      <w:r w:rsidRPr="006070EA">
        <w:rPr>
          <w:rFonts w:asciiTheme="majorHAnsi" w:hAnsiTheme="majorHAnsi" w:cstheme="majorHAnsi"/>
          <w:sz w:val="18"/>
          <w:szCs w:val="20"/>
        </w:rPr>
        <w:t xml:space="preserve"> </w:t>
      </w:r>
      <w:r w:rsidR="005F62AB" w:rsidRPr="006070EA">
        <w:rPr>
          <w:rFonts w:asciiTheme="majorHAnsi" w:hAnsiTheme="majorHAnsi" w:cstheme="majorHAnsi"/>
          <w:i/>
          <w:sz w:val="18"/>
          <w:szCs w:val="20"/>
        </w:rPr>
        <w:t xml:space="preserve">smíšených nezastavěného území </w:t>
      </w:r>
      <w:r w:rsidR="005F62AB" w:rsidRPr="006070EA">
        <w:rPr>
          <w:rFonts w:asciiTheme="majorHAnsi" w:hAnsiTheme="majorHAnsi" w:cstheme="majorHAnsi"/>
          <w:sz w:val="18"/>
          <w:szCs w:val="20"/>
        </w:rPr>
        <w:t>(</w:t>
      </w:r>
      <w:r w:rsidR="003611D5" w:rsidRPr="006070EA">
        <w:rPr>
          <w:rFonts w:asciiTheme="majorHAnsi" w:hAnsiTheme="majorHAnsi" w:cstheme="majorHAnsi"/>
          <w:sz w:val="18"/>
          <w:szCs w:val="20"/>
        </w:rPr>
        <w:t>MU.zp</w:t>
      </w:r>
      <w:r w:rsidR="00003BBA" w:rsidRPr="006070EA">
        <w:rPr>
          <w:rFonts w:asciiTheme="majorHAnsi" w:hAnsiTheme="majorHAnsi" w:cstheme="majorHAnsi"/>
          <w:sz w:val="18"/>
          <w:szCs w:val="20"/>
        </w:rPr>
        <w:t xml:space="preserve">, </w:t>
      </w:r>
      <w:r w:rsidR="003611D5" w:rsidRPr="006070EA">
        <w:rPr>
          <w:rFonts w:asciiTheme="majorHAnsi" w:hAnsiTheme="majorHAnsi" w:cstheme="majorHAnsi"/>
          <w:sz w:val="18"/>
          <w:szCs w:val="20"/>
        </w:rPr>
        <w:t>MU.r</w:t>
      </w:r>
      <w:r w:rsidR="00003BBA" w:rsidRPr="006070EA">
        <w:rPr>
          <w:rFonts w:asciiTheme="majorHAnsi" w:hAnsiTheme="majorHAnsi" w:cstheme="majorHAnsi"/>
          <w:sz w:val="18"/>
          <w:szCs w:val="20"/>
        </w:rPr>
        <w:t xml:space="preserve">, </w:t>
      </w:r>
      <w:r w:rsidR="003611D5" w:rsidRPr="006070EA">
        <w:rPr>
          <w:rFonts w:asciiTheme="majorHAnsi" w:hAnsiTheme="majorHAnsi" w:cstheme="majorHAnsi"/>
          <w:sz w:val="18"/>
          <w:szCs w:val="20"/>
        </w:rPr>
        <w:t>MU.s</w:t>
      </w:r>
      <w:r w:rsidR="005F62AB" w:rsidRPr="006070EA">
        <w:rPr>
          <w:rFonts w:asciiTheme="majorHAnsi" w:hAnsiTheme="majorHAnsi" w:cstheme="majorHAnsi"/>
          <w:sz w:val="18"/>
          <w:szCs w:val="20"/>
        </w:rPr>
        <w:t xml:space="preserve">) a </w:t>
      </w:r>
      <w:r w:rsidR="005F62AB" w:rsidRPr="006070EA">
        <w:rPr>
          <w:rFonts w:asciiTheme="majorHAnsi" w:hAnsiTheme="majorHAnsi" w:cstheme="majorHAnsi"/>
          <w:i/>
          <w:sz w:val="18"/>
          <w:szCs w:val="20"/>
        </w:rPr>
        <w:t>přírodních</w:t>
      </w:r>
      <w:r w:rsidR="003611D5" w:rsidRPr="006070EA">
        <w:rPr>
          <w:rFonts w:asciiTheme="majorHAnsi" w:hAnsiTheme="majorHAnsi" w:cstheme="majorHAnsi"/>
          <w:i/>
          <w:sz w:val="18"/>
          <w:szCs w:val="20"/>
        </w:rPr>
        <w:t xml:space="preserve"> všeobecných</w:t>
      </w:r>
      <w:r w:rsidR="005F62AB" w:rsidRPr="006070EA">
        <w:rPr>
          <w:rFonts w:asciiTheme="majorHAnsi" w:hAnsiTheme="majorHAnsi" w:cstheme="majorHAnsi"/>
          <w:sz w:val="18"/>
          <w:szCs w:val="20"/>
        </w:rPr>
        <w:t xml:space="preserve"> (N</w:t>
      </w:r>
      <w:r w:rsidR="003611D5" w:rsidRPr="006070EA">
        <w:rPr>
          <w:rFonts w:asciiTheme="majorHAnsi" w:hAnsiTheme="majorHAnsi" w:cstheme="majorHAnsi"/>
          <w:sz w:val="18"/>
          <w:szCs w:val="20"/>
        </w:rPr>
        <w:t>U</w:t>
      </w:r>
      <w:r w:rsidR="005F62AB" w:rsidRPr="006070EA">
        <w:rPr>
          <w:rFonts w:asciiTheme="majorHAnsi" w:hAnsiTheme="majorHAnsi" w:cstheme="majorHAnsi"/>
          <w:sz w:val="18"/>
          <w:szCs w:val="20"/>
        </w:rPr>
        <w:t>)</w:t>
      </w:r>
      <w:r w:rsidRPr="006070EA">
        <w:rPr>
          <w:rFonts w:asciiTheme="majorHAnsi" w:hAnsiTheme="majorHAnsi" w:cstheme="majorHAnsi"/>
          <w:sz w:val="18"/>
          <w:szCs w:val="20"/>
        </w:rPr>
        <w:t>. V těchto plochách, které zahrnují převážnou část ZPF na území obce, jsou v rámci podmínek využití vytvořeny podmínky pro realizaci ochranných, ekologicko-stabilizačních, protierozních a revitalizačních opatření (těmi mohou být např. úprava velikosti a tvaru pozemku, průlehy zatravněné a</w:t>
      </w:r>
      <w:r w:rsidR="005F62AB" w:rsidRPr="006070EA">
        <w:rPr>
          <w:rFonts w:asciiTheme="majorHAnsi" w:hAnsiTheme="majorHAnsi" w:cstheme="majorHAnsi"/>
          <w:sz w:val="18"/>
          <w:szCs w:val="20"/>
        </w:rPr>
        <w:t> </w:t>
      </w:r>
      <w:r w:rsidRPr="006070EA">
        <w:rPr>
          <w:rFonts w:asciiTheme="majorHAnsi" w:hAnsiTheme="majorHAnsi" w:cstheme="majorHAnsi"/>
          <w:sz w:val="18"/>
          <w:szCs w:val="20"/>
        </w:rPr>
        <w:t>obdělávané, terénní úpravy, urovnávky, hloubkové kypření, protierozní osevní postupy, pásové střídání plodin, vrstevnicové obdělávání půdy, výsev do strniště, pěstování ochranných plodin, důlkování a</w:t>
      </w:r>
      <w:r w:rsidR="005A4878" w:rsidRPr="006070EA">
        <w:rPr>
          <w:rFonts w:asciiTheme="majorHAnsi" w:hAnsiTheme="majorHAnsi" w:cstheme="majorHAnsi"/>
          <w:sz w:val="18"/>
          <w:szCs w:val="20"/>
        </w:rPr>
        <w:t> </w:t>
      </w:r>
      <w:r w:rsidRPr="006070EA">
        <w:rPr>
          <w:rFonts w:asciiTheme="majorHAnsi" w:hAnsiTheme="majorHAnsi" w:cstheme="majorHAnsi"/>
          <w:sz w:val="18"/>
          <w:szCs w:val="20"/>
        </w:rPr>
        <w:t>přerušování brázdování, mulčování, protivětrné zábrany, ochranné zatravnění, obnova drnu apod.). Tato opatření nebudou mít negativní vliv na stav ZPF v území a nepředstavují předpokládané zábory.</w:t>
      </w:r>
    </w:p>
    <w:p w14:paraId="04089281" w14:textId="77777777" w:rsidR="009E33CB" w:rsidRPr="006070EA" w:rsidRDefault="009E33CB" w:rsidP="003A4B1E">
      <w:pPr>
        <w:pStyle w:val="Odstavecseseznamem"/>
        <w:keepNext/>
        <w:numPr>
          <w:ilvl w:val="2"/>
          <w:numId w:val="31"/>
        </w:numPr>
        <w:spacing w:before="160" w:after="120" w:line="240" w:lineRule="auto"/>
        <w:ind w:left="709" w:hanging="709"/>
        <w:contextualSpacing w:val="0"/>
        <w:jc w:val="both"/>
        <w:outlineLvl w:val="2"/>
        <w:rPr>
          <w:rFonts w:asciiTheme="majorHAnsi" w:hAnsiTheme="majorHAnsi" w:cstheme="majorHAnsi"/>
          <w:b/>
        </w:rPr>
      </w:pPr>
      <w:bookmarkStart w:id="455" w:name="_Toc424119879"/>
      <w:bookmarkStart w:id="456" w:name="_Toc204678232"/>
      <w:r w:rsidRPr="006070EA">
        <w:rPr>
          <w:rFonts w:asciiTheme="majorHAnsi" w:hAnsiTheme="majorHAnsi" w:cstheme="majorHAnsi"/>
          <w:b/>
        </w:rPr>
        <w:t>Prostupnost krajiny a zemědělské účelové komunikace</w:t>
      </w:r>
      <w:bookmarkEnd w:id="455"/>
      <w:bookmarkEnd w:id="456"/>
    </w:p>
    <w:p w14:paraId="57E92359" w14:textId="5EC8272C" w:rsidR="009E33CB" w:rsidRPr="006070EA" w:rsidRDefault="009E33CB" w:rsidP="00003BBA">
      <w:pPr>
        <w:spacing w:before="120" w:after="120" w:line="240" w:lineRule="auto"/>
        <w:ind w:firstLine="709"/>
        <w:jc w:val="both"/>
        <w:rPr>
          <w:rFonts w:asciiTheme="majorHAnsi" w:hAnsiTheme="majorHAnsi" w:cstheme="majorHAnsi"/>
          <w:i/>
          <w:sz w:val="18"/>
          <w:szCs w:val="20"/>
        </w:rPr>
      </w:pPr>
      <w:r w:rsidRPr="006070EA">
        <w:rPr>
          <w:rFonts w:asciiTheme="majorHAnsi" w:hAnsiTheme="majorHAnsi" w:cstheme="majorHAnsi"/>
          <w:sz w:val="18"/>
          <w:szCs w:val="20"/>
        </w:rPr>
        <w:t xml:space="preserve">Zajištění prostupnosti krajiny v řešeném území je podrobně popsáno a zdůvodněno v kapitole </w:t>
      </w:r>
      <w:r w:rsidR="005202E3" w:rsidRPr="006070EA">
        <w:rPr>
          <w:rFonts w:asciiTheme="majorHAnsi" w:hAnsiTheme="majorHAnsi" w:cstheme="majorHAnsi"/>
          <w:i/>
          <w:sz w:val="18"/>
          <w:szCs w:val="20"/>
        </w:rPr>
        <w:t>11.5.</w:t>
      </w:r>
      <w:r w:rsidR="00EF7B4B" w:rsidRPr="006070EA">
        <w:rPr>
          <w:rFonts w:asciiTheme="majorHAnsi" w:hAnsiTheme="majorHAnsi" w:cstheme="majorHAnsi"/>
          <w:i/>
          <w:sz w:val="18"/>
          <w:szCs w:val="20"/>
        </w:rPr>
        <w:t xml:space="preserve">6 </w:t>
      </w:r>
      <w:r w:rsidRPr="006070EA">
        <w:rPr>
          <w:rFonts w:asciiTheme="majorHAnsi" w:hAnsiTheme="majorHAnsi" w:cstheme="majorHAnsi"/>
          <w:i/>
          <w:sz w:val="18"/>
          <w:szCs w:val="20"/>
        </w:rPr>
        <w:t xml:space="preserve">Odůvodnění </w:t>
      </w:r>
      <w:r w:rsidR="005202E3" w:rsidRPr="006070EA">
        <w:rPr>
          <w:rFonts w:asciiTheme="majorHAnsi" w:hAnsiTheme="majorHAnsi" w:cstheme="majorHAnsi"/>
          <w:i/>
          <w:sz w:val="18"/>
          <w:szCs w:val="20"/>
        </w:rPr>
        <w:t>zásad zajištění</w:t>
      </w:r>
      <w:r w:rsidRPr="006070EA">
        <w:rPr>
          <w:rFonts w:asciiTheme="majorHAnsi" w:hAnsiTheme="majorHAnsi" w:cstheme="majorHAnsi"/>
          <w:i/>
          <w:sz w:val="18"/>
          <w:szCs w:val="20"/>
        </w:rPr>
        <w:t xml:space="preserve"> prostupnosti krajiny.</w:t>
      </w:r>
    </w:p>
    <w:p w14:paraId="25FDE7EC" w14:textId="50AA5948" w:rsidR="005F62AB" w:rsidRPr="006070EA" w:rsidRDefault="005F62AB" w:rsidP="00003BBA">
      <w:pPr>
        <w:spacing w:before="120" w:after="120" w:line="240" w:lineRule="auto"/>
        <w:ind w:firstLine="709"/>
        <w:jc w:val="both"/>
        <w:rPr>
          <w:rFonts w:asciiTheme="majorHAnsi" w:hAnsiTheme="majorHAnsi" w:cstheme="majorHAnsi"/>
          <w:sz w:val="18"/>
          <w:szCs w:val="20"/>
        </w:rPr>
      </w:pPr>
      <w:r w:rsidRPr="006070EA">
        <w:rPr>
          <w:rFonts w:asciiTheme="majorHAnsi" w:hAnsiTheme="majorHAnsi" w:cstheme="majorHAnsi"/>
          <w:sz w:val="18"/>
          <w:szCs w:val="20"/>
        </w:rPr>
        <w:t xml:space="preserve">Systém zemědělských účelových komunikací není územním plánem dotčen. Jako stávající plochy veřejných prostranství jsou vymezeny stabilizované nebo navrhované cesty ve volné krajině nutné k zajištění minimální prostupnosti území. ÚP </w:t>
      </w:r>
      <w:r w:rsidR="00003BBA" w:rsidRPr="006070EA">
        <w:rPr>
          <w:rFonts w:asciiTheme="majorHAnsi" w:hAnsiTheme="majorHAnsi" w:cstheme="majorHAnsi"/>
          <w:sz w:val="18"/>
          <w:szCs w:val="20"/>
        </w:rPr>
        <w:t>Kostomlaty nad Labem</w:t>
      </w:r>
      <w:r w:rsidRPr="006070EA">
        <w:rPr>
          <w:rFonts w:asciiTheme="majorHAnsi" w:hAnsiTheme="majorHAnsi" w:cstheme="majorHAnsi"/>
          <w:sz w:val="18"/>
          <w:szCs w:val="20"/>
        </w:rPr>
        <w:t xml:space="preserve"> vytváří podmínky pro rozvoj cestní sítě ve volné krajině; případná realizace nezbytných přístupových komunikací je územním plánem umožněna v rámci jednotlivých ploch s rozdílným způsobem využití, zejména v plochách </w:t>
      </w:r>
      <w:r w:rsidR="00E512AF" w:rsidRPr="006070EA">
        <w:rPr>
          <w:rFonts w:asciiTheme="majorHAnsi" w:hAnsiTheme="majorHAnsi" w:cstheme="majorHAnsi"/>
          <w:sz w:val="18"/>
          <w:szCs w:val="20"/>
        </w:rPr>
        <w:t>zemědělských</w:t>
      </w:r>
      <w:r w:rsidR="000E2721" w:rsidRPr="006070EA">
        <w:rPr>
          <w:rFonts w:asciiTheme="majorHAnsi" w:hAnsiTheme="majorHAnsi" w:cstheme="majorHAnsi"/>
          <w:sz w:val="18"/>
          <w:szCs w:val="20"/>
        </w:rPr>
        <w:t xml:space="preserve"> všeobecných</w:t>
      </w:r>
      <w:r w:rsidR="00E512AF" w:rsidRPr="006070EA">
        <w:rPr>
          <w:rFonts w:asciiTheme="majorHAnsi" w:hAnsiTheme="majorHAnsi" w:cstheme="majorHAnsi"/>
          <w:sz w:val="18"/>
          <w:szCs w:val="20"/>
        </w:rPr>
        <w:t xml:space="preserve"> (</w:t>
      </w:r>
      <w:r w:rsidR="000E2721" w:rsidRPr="006070EA">
        <w:rPr>
          <w:rFonts w:asciiTheme="majorHAnsi" w:hAnsiTheme="majorHAnsi" w:cstheme="majorHAnsi"/>
          <w:sz w:val="18"/>
          <w:szCs w:val="20"/>
        </w:rPr>
        <w:t>AU</w:t>
      </w:r>
      <w:r w:rsidR="00E512AF" w:rsidRPr="006070EA">
        <w:rPr>
          <w:rFonts w:asciiTheme="majorHAnsi" w:hAnsiTheme="majorHAnsi" w:cstheme="majorHAnsi"/>
          <w:sz w:val="18"/>
          <w:szCs w:val="20"/>
        </w:rPr>
        <w:t xml:space="preserve">) a v plochách </w:t>
      </w:r>
      <w:r w:rsidR="005976F5" w:rsidRPr="006070EA">
        <w:rPr>
          <w:rFonts w:asciiTheme="majorHAnsi" w:hAnsiTheme="majorHAnsi" w:cstheme="majorHAnsi"/>
          <w:sz w:val="18"/>
          <w:szCs w:val="20"/>
        </w:rPr>
        <w:t xml:space="preserve">smíšených nezastavěného území </w:t>
      </w:r>
      <w:r w:rsidRPr="006070EA">
        <w:rPr>
          <w:rFonts w:asciiTheme="majorHAnsi" w:hAnsiTheme="majorHAnsi" w:cstheme="majorHAnsi"/>
          <w:sz w:val="18"/>
          <w:szCs w:val="20"/>
        </w:rPr>
        <w:t>(</w:t>
      </w:r>
      <w:r w:rsidR="000E2721" w:rsidRPr="006070EA">
        <w:rPr>
          <w:rFonts w:asciiTheme="majorHAnsi" w:hAnsiTheme="majorHAnsi" w:cstheme="majorHAnsi"/>
          <w:sz w:val="18"/>
          <w:szCs w:val="20"/>
        </w:rPr>
        <w:t>MU.zp</w:t>
      </w:r>
      <w:r w:rsidR="00003BBA" w:rsidRPr="006070EA">
        <w:rPr>
          <w:rFonts w:asciiTheme="majorHAnsi" w:hAnsiTheme="majorHAnsi" w:cstheme="majorHAnsi"/>
          <w:sz w:val="18"/>
          <w:szCs w:val="20"/>
        </w:rPr>
        <w:t xml:space="preserve">, </w:t>
      </w:r>
      <w:r w:rsidR="000E2721" w:rsidRPr="006070EA">
        <w:rPr>
          <w:rFonts w:asciiTheme="majorHAnsi" w:hAnsiTheme="majorHAnsi" w:cstheme="majorHAnsi"/>
          <w:sz w:val="18"/>
          <w:szCs w:val="20"/>
        </w:rPr>
        <w:t>MU.s</w:t>
      </w:r>
      <w:r w:rsidR="00003BBA" w:rsidRPr="006070EA">
        <w:rPr>
          <w:rFonts w:asciiTheme="majorHAnsi" w:hAnsiTheme="majorHAnsi" w:cstheme="majorHAnsi"/>
          <w:sz w:val="18"/>
          <w:szCs w:val="20"/>
        </w:rPr>
        <w:t xml:space="preserve">, </w:t>
      </w:r>
      <w:r w:rsidR="000E2721" w:rsidRPr="006070EA">
        <w:rPr>
          <w:rFonts w:asciiTheme="majorHAnsi" w:hAnsiTheme="majorHAnsi" w:cstheme="majorHAnsi"/>
          <w:sz w:val="18"/>
          <w:szCs w:val="20"/>
        </w:rPr>
        <w:t>MU.r</w:t>
      </w:r>
      <w:r w:rsidRPr="006070EA">
        <w:rPr>
          <w:rFonts w:asciiTheme="majorHAnsi" w:hAnsiTheme="majorHAnsi" w:cstheme="majorHAnsi"/>
          <w:sz w:val="18"/>
          <w:szCs w:val="20"/>
        </w:rPr>
        <w:t>).</w:t>
      </w:r>
    </w:p>
    <w:p w14:paraId="18B7135E" w14:textId="77777777" w:rsidR="009E33CB" w:rsidRPr="006070EA" w:rsidRDefault="009E33CB" w:rsidP="00003BBA">
      <w:pPr>
        <w:spacing w:before="120" w:after="120" w:line="240" w:lineRule="auto"/>
        <w:ind w:firstLine="709"/>
        <w:jc w:val="both"/>
        <w:rPr>
          <w:rFonts w:asciiTheme="majorHAnsi" w:hAnsiTheme="majorHAnsi" w:cstheme="majorHAnsi"/>
          <w:sz w:val="18"/>
          <w:szCs w:val="20"/>
        </w:rPr>
      </w:pPr>
      <w:r w:rsidRPr="006070EA">
        <w:rPr>
          <w:rFonts w:asciiTheme="majorHAnsi" w:hAnsiTheme="majorHAnsi" w:cstheme="majorHAnsi"/>
          <w:sz w:val="18"/>
          <w:szCs w:val="20"/>
        </w:rPr>
        <w:t xml:space="preserve">Řešením ÚP není narušena celistvost stávajících zemědělských bloků, tedy ani účelové komunikace, nebo cesty užívané (zvykové) ve volné krajině nejsou řešením dotčeny. </w:t>
      </w:r>
    </w:p>
    <w:p w14:paraId="426EAD54" w14:textId="77777777" w:rsidR="009E33CB" w:rsidRPr="006070EA" w:rsidRDefault="009E33CB" w:rsidP="003A4B1E">
      <w:pPr>
        <w:pStyle w:val="Odstavecseseznamem"/>
        <w:keepNext/>
        <w:numPr>
          <w:ilvl w:val="2"/>
          <w:numId w:val="31"/>
        </w:numPr>
        <w:spacing w:before="160" w:after="120" w:line="240" w:lineRule="auto"/>
        <w:ind w:left="709" w:hanging="709"/>
        <w:contextualSpacing w:val="0"/>
        <w:jc w:val="both"/>
        <w:outlineLvl w:val="2"/>
        <w:rPr>
          <w:rFonts w:asciiTheme="majorHAnsi" w:hAnsiTheme="majorHAnsi" w:cstheme="majorHAnsi"/>
          <w:b/>
        </w:rPr>
      </w:pPr>
      <w:bookmarkStart w:id="457" w:name="_Toc424119880"/>
      <w:bookmarkStart w:id="458" w:name="_Toc204678233"/>
      <w:r w:rsidRPr="006070EA">
        <w:rPr>
          <w:rFonts w:asciiTheme="majorHAnsi" w:hAnsiTheme="majorHAnsi" w:cstheme="majorHAnsi"/>
          <w:b/>
        </w:rPr>
        <w:t>Zemědělská prvovýroba</w:t>
      </w:r>
      <w:bookmarkEnd w:id="457"/>
      <w:bookmarkEnd w:id="458"/>
    </w:p>
    <w:p w14:paraId="2A692750" w14:textId="418E1173" w:rsidR="009E33CB" w:rsidRPr="006070EA" w:rsidRDefault="00E512AF" w:rsidP="009E33CB">
      <w:pPr>
        <w:spacing w:after="60" w:line="240" w:lineRule="auto"/>
        <w:ind w:firstLine="709"/>
        <w:jc w:val="both"/>
        <w:rPr>
          <w:rFonts w:asciiTheme="majorHAnsi" w:hAnsiTheme="majorHAnsi" w:cstheme="majorHAnsi"/>
          <w:sz w:val="18"/>
          <w:szCs w:val="20"/>
        </w:rPr>
      </w:pPr>
      <w:r w:rsidRPr="006070EA">
        <w:rPr>
          <w:rFonts w:asciiTheme="majorHAnsi" w:hAnsiTheme="majorHAnsi" w:cstheme="majorHAnsi"/>
          <w:sz w:val="18"/>
          <w:szCs w:val="20"/>
        </w:rPr>
        <w:t xml:space="preserve">Stávající areály </w:t>
      </w:r>
      <w:r w:rsidR="005976F5" w:rsidRPr="006070EA">
        <w:rPr>
          <w:rFonts w:asciiTheme="majorHAnsi" w:hAnsiTheme="majorHAnsi" w:cstheme="majorHAnsi"/>
          <w:sz w:val="18"/>
          <w:szCs w:val="20"/>
        </w:rPr>
        <w:t xml:space="preserve">koncentrované </w:t>
      </w:r>
      <w:r w:rsidR="009E33CB" w:rsidRPr="006070EA">
        <w:rPr>
          <w:rFonts w:asciiTheme="majorHAnsi" w:hAnsiTheme="majorHAnsi" w:cstheme="majorHAnsi"/>
          <w:sz w:val="18"/>
          <w:szCs w:val="20"/>
        </w:rPr>
        <w:t xml:space="preserve">zemědělské výroby </w:t>
      </w:r>
      <w:r w:rsidRPr="006070EA">
        <w:rPr>
          <w:rFonts w:asciiTheme="majorHAnsi" w:hAnsiTheme="majorHAnsi" w:cstheme="majorHAnsi"/>
          <w:sz w:val="18"/>
          <w:szCs w:val="20"/>
        </w:rPr>
        <w:t xml:space="preserve">na území obce jsou územním plánem stabilizovány jejich vymezením v rámci ploch s rozdílným způsobem využití </w:t>
      </w:r>
      <w:r w:rsidRPr="006070EA">
        <w:rPr>
          <w:rFonts w:asciiTheme="majorHAnsi" w:hAnsiTheme="majorHAnsi" w:cstheme="majorHAnsi"/>
          <w:i/>
          <w:sz w:val="18"/>
          <w:szCs w:val="20"/>
        </w:rPr>
        <w:t xml:space="preserve">výroba zemědělská </w:t>
      </w:r>
      <w:r w:rsidR="000E2721" w:rsidRPr="006070EA">
        <w:rPr>
          <w:rFonts w:asciiTheme="majorHAnsi" w:hAnsiTheme="majorHAnsi" w:cstheme="majorHAnsi"/>
          <w:i/>
          <w:sz w:val="18"/>
          <w:szCs w:val="20"/>
        </w:rPr>
        <w:t xml:space="preserve">a lesnická </w:t>
      </w:r>
      <w:r w:rsidRPr="006070EA">
        <w:rPr>
          <w:rFonts w:asciiTheme="majorHAnsi" w:hAnsiTheme="majorHAnsi" w:cstheme="majorHAnsi"/>
          <w:iCs/>
          <w:sz w:val="18"/>
          <w:szCs w:val="20"/>
        </w:rPr>
        <w:t>(VZ)</w:t>
      </w:r>
      <w:r w:rsidRPr="006070EA">
        <w:rPr>
          <w:rFonts w:asciiTheme="majorHAnsi" w:hAnsiTheme="majorHAnsi" w:cstheme="majorHAnsi"/>
          <w:sz w:val="18"/>
          <w:szCs w:val="20"/>
        </w:rPr>
        <w:t>.</w:t>
      </w:r>
      <w:r w:rsidR="00003BBA" w:rsidRPr="006070EA">
        <w:rPr>
          <w:rFonts w:asciiTheme="majorHAnsi" w:hAnsiTheme="majorHAnsi" w:cstheme="majorHAnsi"/>
          <w:sz w:val="18"/>
          <w:szCs w:val="20"/>
        </w:rPr>
        <w:t xml:space="preserve"> </w:t>
      </w:r>
      <w:r w:rsidR="009E33CB" w:rsidRPr="006070EA">
        <w:rPr>
          <w:rFonts w:asciiTheme="majorHAnsi" w:hAnsiTheme="majorHAnsi" w:cstheme="majorHAnsi"/>
          <w:sz w:val="18"/>
          <w:szCs w:val="20"/>
        </w:rPr>
        <w:t xml:space="preserve">Vzhledem k charakteru </w:t>
      </w:r>
      <w:r w:rsidR="00003BBA" w:rsidRPr="006070EA">
        <w:rPr>
          <w:rFonts w:asciiTheme="majorHAnsi" w:hAnsiTheme="majorHAnsi" w:cstheme="majorHAnsi"/>
          <w:sz w:val="18"/>
          <w:szCs w:val="20"/>
        </w:rPr>
        <w:t xml:space="preserve">řešeného území </w:t>
      </w:r>
      <w:r w:rsidR="009E33CB" w:rsidRPr="006070EA">
        <w:rPr>
          <w:rFonts w:asciiTheme="majorHAnsi" w:hAnsiTheme="majorHAnsi" w:cstheme="majorHAnsi"/>
          <w:sz w:val="18"/>
          <w:szCs w:val="20"/>
        </w:rPr>
        <w:t xml:space="preserve">je drobná zemědělská výroba, která nemá negativní vliv na okolní zástavbu, umožněna </w:t>
      </w:r>
      <w:r w:rsidRPr="006070EA">
        <w:rPr>
          <w:rFonts w:asciiTheme="majorHAnsi" w:hAnsiTheme="majorHAnsi" w:cstheme="majorHAnsi"/>
          <w:sz w:val="18"/>
          <w:szCs w:val="20"/>
        </w:rPr>
        <w:t xml:space="preserve">také </w:t>
      </w:r>
      <w:r w:rsidR="009E33CB" w:rsidRPr="006070EA">
        <w:rPr>
          <w:rFonts w:asciiTheme="majorHAnsi" w:hAnsiTheme="majorHAnsi" w:cstheme="majorHAnsi"/>
          <w:sz w:val="18"/>
          <w:szCs w:val="20"/>
        </w:rPr>
        <w:t xml:space="preserve">v rámci </w:t>
      </w:r>
      <w:r w:rsidR="005976F5" w:rsidRPr="006070EA">
        <w:rPr>
          <w:rFonts w:asciiTheme="majorHAnsi" w:hAnsiTheme="majorHAnsi" w:cstheme="majorHAnsi"/>
          <w:sz w:val="18"/>
          <w:szCs w:val="20"/>
        </w:rPr>
        <w:t xml:space="preserve">daných </w:t>
      </w:r>
      <w:r w:rsidR="009E33CB" w:rsidRPr="006070EA">
        <w:rPr>
          <w:rFonts w:asciiTheme="majorHAnsi" w:hAnsiTheme="majorHAnsi" w:cstheme="majorHAnsi"/>
          <w:sz w:val="18"/>
          <w:szCs w:val="20"/>
        </w:rPr>
        <w:t xml:space="preserve">ploch s rozdílným způsobem využití, zejm. v rámci ploch </w:t>
      </w:r>
      <w:r w:rsidR="005976F5" w:rsidRPr="006070EA">
        <w:rPr>
          <w:rFonts w:asciiTheme="majorHAnsi" w:hAnsiTheme="majorHAnsi" w:cstheme="majorHAnsi"/>
          <w:i/>
          <w:sz w:val="18"/>
          <w:szCs w:val="20"/>
        </w:rPr>
        <w:t>smíšených obytných</w:t>
      </w:r>
      <w:r w:rsidR="005F62AB" w:rsidRPr="006070EA">
        <w:rPr>
          <w:rFonts w:asciiTheme="majorHAnsi" w:hAnsiTheme="majorHAnsi" w:cstheme="majorHAnsi"/>
          <w:i/>
          <w:sz w:val="18"/>
          <w:szCs w:val="20"/>
        </w:rPr>
        <w:t xml:space="preserve"> </w:t>
      </w:r>
      <w:r w:rsidR="005976F5" w:rsidRPr="006070EA">
        <w:rPr>
          <w:rFonts w:asciiTheme="majorHAnsi" w:hAnsiTheme="majorHAnsi" w:cstheme="majorHAnsi"/>
          <w:i/>
          <w:sz w:val="18"/>
          <w:szCs w:val="20"/>
        </w:rPr>
        <w:t xml:space="preserve">venkovských </w:t>
      </w:r>
      <w:r w:rsidR="005976F5" w:rsidRPr="006070EA">
        <w:rPr>
          <w:rFonts w:asciiTheme="majorHAnsi" w:hAnsiTheme="majorHAnsi" w:cstheme="majorHAnsi"/>
          <w:iCs/>
          <w:sz w:val="18"/>
          <w:szCs w:val="20"/>
        </w:rPr>
        <w:t>(S</w:t>
      </w:r>
      <w:r w:rsidR="009E33CB" w:rsidRPr="006070EA">
        <w:rPr>
          <w:rFonts w:asciiTheme="majorHAnsi" w:hAnsiTheme="majorHAnsi" w:cstheme="majorHAnsi"/>
          <w:iCs/>
          <w:sz w:val="18"/>
          <w:szCs w:val="20"/>
        </w:rPr>
        <w:t>V)</w:t>
      </w:r>
      <w:r w:rsidR="009E33CB" w:rsidRPr="006070EA">
        <w:rPr>
          <w:rFonts w:asciiTheme="majorHAnsi" w:hAnsiTheme="majorHAnsi" w:cstheme="majorHAnsi"/>
          <w:sz w:val="18"/>
          <w:szCs w:val="20"/>
        </w:rPr>
        <w:t>.</w:t>
      </w:r>
    </w:p>
    <w:p w14:paraId="1F15E5CE" w14:textId="77777777" w:rsidR="009E33CB" w:rsidRPr="006070EA" w:rsidRDefault="009E33CB" w:rsidP="003A4B1E">
      <w:pPr>
        <w:pStyle w:val="Odstavecseseznamem"/>
        <w:keepNext/>
        <w:numPr>
          <w:ilvl w:val="2"/>
          <w:numId w:val="31"/>
        </w:numPr>
        <w:spacing w:before="160" w:after="120" w:line="240" w:lineRule="auto"/>
        <w:ind w:left="709" w:hanging="709"/>
        <w:contextualSpacing w:val="0"/>
        <w:jc w:val="both"/>
        <w:outlineLvl w:val="2"/>
        <w:rPr>
          <w:rFonts w:asciiTheme="majorHAnsi" w:hAnsiTheme="majorHAnsi" w:cstheme="majorHAnsi"/>
          <w:b/>
        </w:rPr>
      </w:pPr>
      <w:bookmarkStart w:id="459" w:name="_Toc204678234"/>
      <w:r w:rsidRPr="006070EA">
        <w:rPr>
          <w:rFonts w:asciiTheme="majorHAnsi" w:hAnsiTheme="majorHAnsi" w:cstheme="majorHAnsi"/>
          <w:b/>
        </w:rPr>
        <w:t>Vyhodnocení záborů zemědělského půdního fondu</w:t>
      </w:r>
      <w:bookmarkEnd w:id="459"/>
    </w:p>
    <w:p w14:paraId="6F685F06" w14:textId="32F3DFE9" w:rsidR="00BA0668" w:rsidRPr="006070EA" w:rsidRDefault="00BA0668" w:rsidP="00BA0668">
      <w:pPr>
        <w:pStyle w:val="Atext"/>
        <w:rPr>
          <w:rFonts w:asciiTheme="majorHAnsi" w:hAnsiTheme="majorHAnsi" w:cstheme="majorHAnsi"/>
        </w:rPr>
      </w:pPr>
      <w:r w:rsidRPr="006070EA">
        <w:rPr>
          <w:rFonts w:asciiTheme="majorHAnsi" w:hAnsiTheme="majorHAnsi" w:cstheme="majorHAnsi"/>
        </w:rPr>
        <w:t>Vyhodnocení předpokládaných důsledků navrhovaného řešení na ZPF, resp. vyhodnocení záborů ZPF, bylo zpracováno pro všechny zastavitelné plochy, plochy změn v krajině a koridory, vyjma ploch a koridorů bez záboru ZPF (pozemky ZPF vymezením těchto ploch nejsou dotčeny).</w:t>
      </w:r>
    </w:p>
    <w:p w14:paraId="121269D6" w14:textId="77456DB0" w:rsidR="00BA0668" w:rsidRPr="006070EA" w:rsidRDefault="00BA0668" w:rsidP="00BA0668">
      <w:pPr>
        <w:pStyle w:val="Atext"/>
        <w:rPr>
          <w:rFonts w:asciiTheme="majorHAnsi" w:hAnsiTheme="majorHAnsi" w:cstheme="majorHAnsi"/>
        </w:rPr>
      </w:pPr>
      <w:r w:rsidRPr="006070EA">
        <w:rPr>
          <w:rFonts w:asciiTheme="majorHAnsi" w:hAnsiTheme="majorHAnsi" w:cstheme="majorHAnsi"/>
        </w:rPr>
        <w:t xml:space="preserve">Vyhodnocení záborů ZPF je zobrazeno v grafické části Odůvodnění ÚP Kostomlaty nad Labem ve výkrese </w:t>
      </w:r>
      <w:r w:rsidR="000E2721" w:rsidRPr="006070EA">
        <w:rPr>
          <w:rFonts w:asciiTheme="majorHAnsi" w:hAnsiTheme="majorHAnsi" w:cstheme="majorHAnsi"/>
          <w:i/>
          <w:iCs w:val="0"/>
        </w:rPr>
        <w:t>6</w:t>
      </w:r>
      <w:r w:rsidRPr="006070EA">
        <w:rPr>
          <w:rFonts w:asciiTheme="majorHAnsi" w:hAnsiTheme="majorHAnsi" w:cstheme="majorHAnsi"/>
          <w:i/>
          <w:iCs w:val="0"/>
        </w:rPr>
        <w:t xml:space="preserve"> </w:t>
      </w:r>
      <w:r w:rsidRPr="006070EA">
        <w:rPr>
          <w:rFonts w:asciiTheme="majorHAnsi" w:hAnsiTheme="majorHAnsi" w:cstheme="majorHAnsi"/>
          <w:i/>
        </w:rPr>
        <w:t>Výkres předpokládaných záborů půdního fondu</w:t>
      </w:r>
      <w:r w:rsidRPr="006070EA">
        <w:rPr>
          <w:rFonts w:asciiTheme="majorHAnsi" w:hAnsiTheme="majorHAnsi" w:cstheme="majorHAnsi"/>
        </w:rPr>
        <w:t>.</w:t>
      </w:r>
    </w:p>
    <w:p w14:paraId="6772E592" w14:textId="77777777" w:rsidR="00BA0668" w:rsidRPr="006070EA" w:rsidRDefault="00BA0668" w:rsidP="00BA0668">
      <w:pPr>
        <w:pStyle w:val="Anadpistun"/>
        <w:rPr>
          <w:rFonts w:asciiTheme="majorHAnsi" w:hAnsiTheme="majorHAnsi" w:cstheme="majorHAnsi"/>
        </w:rPr>
      </w:pPr>
      <w:r w:rsidRPr="006070EA">
        <w:rPr>
          <w:rFonts w:asciiTheme="majorHAnsi" w:hAnsiTheme="majorHAnsi" w:cstheme="majorHAnsi"/>
        </w:rPr>
        <w:t>Vyhodnocení záborů ZPF v rámci zastavitelných ploch, ploch přestavby a ploch změn v krajině</w:t>
      </w:r>
    </w:p>
    <w:p w14:paraId="3DDE0009" w14:textId="2360825D" w:rsidR="00BA0668" w:rsidRPr="006070EA" w:rsidRDefault="00BA0668" w:rsidP="00BA0668">
      <w:pPr>
        <w:pStyle w:val="Atext"/>
        <w:rPr>
          <w:rFonts w:asciiTheme="majorHAnsi" w:hAnsiTheme="majorHAnsi" w:cstheme="majorHAnsi"/>
        </w:rPr>
      </w:pPr>
      <w:r w:rsidRPr="006070EA">
        <w:rPr>
          <w:rFonts w:asciiTheme="majorHAnsi" w:hAnsiTheme="majorHAnsi" w:cstheme="majorHAnsi"/>
          <w:b/>
          <w:bCs w:val="0"/>
        </w:rPr>
        <w:t xml:space="preserve">Podrobné vyhodnocení záborů ZPF v rámci zastavitelných ploch a ploch změn v krajině </w:t>
      </w:r>
      <w:r w:rsidRPr="006070EA">
        <w:rPr>
          <w:rFonts w:asciiTheme="majorHAnsi" w:hAnsiTheme="majorHAnsi" w:cstheme="majorHAnsi"/>
        </w:rPr>
        <w:t>vymezených ÚP Kostomlaty nad Labem je zpracováno v samostatné tabulce</w:t>
      </w:r>
      <w:r w:rsidRPr="006070EA">
        <w:rPr>
          <w:rFonts w:asciiTheme="majorHAnsi" w:hAnsiTheme="majorHAnsi" w:cstheme="majorHAnsi"/>
          <w:i/>
        </w:rPr>
        <w:t xml:space="preserve"> Vyhodnocení předpokládaných důsledků navrhovaného řešení na zemědělský půdní fond</w:t>
      </w:r>
      <w:r w:rsidRPr="006070EA">
        <w:rPr>
          <w:rFonts w:asciiTheme="majorHAnsi" w:hAnsiTheme="majorHAnsi" w:cstheme="majorHAnsi"/>
        </w:rPr>
        <w:t xml:space="preserve">, která je obsahem Přílohy č. 2 tohoto odůvodnění. </w:t>
      </w:r>
    </w:p>
    <w:p w14:paraId="08B425A0" w14:textId="4875F3E4" w:rsidR="00BA0668" w:rsidRPr="006070EA" w:rsidRDefault="00BA0668" w:rsidP="00BA0668">
      <w:pPr>
        <w:pStyle w:val="Atext"/>
        <w:rPr>
          <w:rFonts w:asciiTheme="majorHAnsi" w:hAnsiTheme="majorHAnsi" w:cstheme="majorHAnsi"/>
        </w:rPr>
      </w:pPr>
      <w:r w:rsidRPr="006070EA">
        <w:rPr>
          <w:rFonts w:asciiTheme="majorHAnsi" w:hAnsiTheme="majorHAnsi" w:cstheme="majorHAnsi"/>
        </w:rPr>
        <w:t xml:space="preserve">Souhrn vyhodnocení předpokládaných důsledků navrhovaného řešení na zemědělský půdní fond v rámci zastavitelných ploch a ploch změn v krajině je uveden v následující tabulce: </w:t>
      </w:r>
    </w:p>
    <w:tbl>
      <w:tblPr>
        <w:tblW w:w="9070" w:type="dxa"/>
        <w:jc w:val="center"/>
        <w:tblLayout w:type="fixed"/>
        <w:tblCellMar>
          <w:left w:w="70" w:type="dxa"/>
          <w:right w:w="70" w:type="dxa"/>
        </w:tblCellMar>
        <w:tblLook w:val="04A0" w:firstRow="1" w:lastRow="0" w:firstColumn="1" w:lastColumn="0" w:noHBand="0" w:noVBand="1"/>
      </w:tblPr>
      <w:tblGrid>
        <w:gridCol w:w="2977"/>
        <w:gridCol w:w="1132"/>
        <w:gridCol w:w="992"/>
        <w:gridCol w:w="993"/>
        <w:gridCol w:w="992"/>
        <w:gridCol w:w="992"/>
        <w:gridCol w:w="992"/>
      </w:tblGrid>
      <w:tr w:rsidR="00BA0668" w:rsidRPr="006070EA" w14:paraId="246AF525" w14:textId="77777777" w:rsidTr="00041EBB">
        <w:trPr>
          <w:trHeight w:val="20"/>
          <w:jc w:val="center"/>
        </w:trPr>
        <w:tc>
          <w:tcPr>
            <w:tcW w:w="2977" w:type="dxa"/>
            <w:vMerge w:val="restart"/>
            <w:tcBorders>
              <w:top w:val="single" w:sz="8" w:space="0" w:color="auto"/>
              <w:left w:val="single" w:sz="8" w:space="0" w:color="auto"/>
              <w:bottom w:val="single" w:sz="8" w:space="0" w:color="000000"/>
              <w:right w:val="single" w:sz="4" w:space="0" w:color="auto"/>
            </w:tcBorders>
            <w:shd w:val="clear" w:color="auto" w:fill="F2F2F2"/>
            <w:vAlign w:val="center"/>
            <w:hideMark/>
          </w:tcPr>
          <w:p w14:paraId="02142220" w14:textId="77777777" w:rsidR="00BA0668" w:rsidRPr="006070EA" w:rsidRDefault="00BA0668" w:rsidP="00ED4388">
            <w:pPr>
              <w:pStyle w:val="Atext"/>
              <w:keepNext/>
              <w:keepLines/>
              <w:spacing w:before="40" w:after="40"/>
              <w:ind w:firstLine="17"/>
              <w:jc w:val="left"/>
              <w:rPr>
                <w:rFonts w:asciiTheme="majorHAnsi" w:eastAsia="Calibri" w:hAnsiTheme="majorHAnsi" w:cstheme="majorHAnsi"/>
                <w:b/>
              </w:rPr>
            </w:pPr>
            <w:r w:rsidRPr="006070EA">
              <w:rPr>
                <w:rFonts w:asciiTheme="majorHAnsi" w:eastAsia="Calibri" w:hAnsiTheme="majorHAnsi" w:cstheme="majorHAnsi"/>
                <w:b/>
              </w:rPr>
              <w:lastRenderedPageBreak/>
              <w:t>Typ využití</w:t>
            </w:r>
          </w:p>
        </w:tc>
        <w:tc>
          <w:tcPr>
            <w:tcW w:w="1132" w:type="dxa"/>
            <w:vMerge w:val="restart"/>
            <w:tcBorders>
              <w:top w:val="single" w:sz="8" w:space="0" w:color="auto"/>
              <w:left w:val="single" w:sz="4" w:space="0" w:color="auto"/>
              <w:bottom w:val="single" w:sz="8" w:space="0" w:color="000000"/>
              <w:right w:val="single" w:sz="4" w:space="0" w:color="auto"/>
            </w:tcBorders>
            <w:shd w:val="clear" w:color="auto" w:fill="F2F2F2"/>
            <w:vAlign w:val="center"/>
            <w:hideMark/>
          </w:tcPr>
          <w:p w14:paraId="596DE58A" w14:textId="77777777" w:rsidR="00BA0668" w:rsidRPr="006070EA" w:rsidRDefault="00BA0668" w:rsidP="00BA0668">
            <w:pPr>
              <w:pStyle w:val="Atext"/>
              <w:keepNext/>
              <w:keepLines/>
              <w:spacing w:before="40" w:after="40"/>
              <w:ind w:firstLine="17"/>
              <w:jc w:val="center"/>
              <w:rPr>
                <w:rFonts w:asciiTheme="majorHAnsi" w:eastAsia="Calibri" w:hAnsiTheme="majorHAnsi" w:cstheme="majorHAnsi"/>
                <w:b/>
              </w:rPr>
            </w:pPr>
            <w:r w:rsidRPr="006070EA">
              <w:rPr>
                <w:rFonts w:asciiTheme="majorHAnsi" w:eastAsia="Calibri" w:hAnsiTheme="majorHAnsi" w:cstheme="majorHAnsi"/>
                <w:b/>
              </w:rPr>
              <w:t>Odhad výměry záboru ZPF (ha)</w:t>
            </w:r>
          </w:p>
        </w:tc>
        <w:tc>
          <w:tcPr>
            <w:tcW w:w="4961" w:type="dxa"/>
            <w:gridSpan w:val="5"/>
            <w:tcBorders>
              <w:top w:val="single" w:sz="8" w:space="0" w:color="auto"/>
              <w:left w:val="nil"/>
              <w:bottom w:val="single" w:sz="4" w:space="0" w:color="auto"/>
              <w:right w:val="single" w:sz="4" w:space="0" w:color="auto"/>
            </w:tcBorders>
            <w:shd w:val="clear" w:color="auto" w:fill="F2F2F2"/>
            <w:vAlign w:val="center"/>
            <w:hideMark/>
          </w:tcPr>
          <w:p w14:paraId="680BB6A6" w14:textId="77777777" w:rsidR="00BA0668" w:rsidRPr="006070EA" w:rsidRDefault="00BA0668" w:rsidP="00ED4388">
            <w:pPr>
              <w:pStyle w:val="Atext"/>
              <w:keepNext/>
              <w:keepLines/>
              <w:spacing w:before="40" w:after="40"/>
              <w:ind w:firstLine="17"/>
              <w:jc w:val="center"/>
              <w:rPr>
                <w:rFonts w:asciiTheme="majorHAnsi" w:eastAsia="Calibri" w:hAnsiTheme="majorHAnsi" w:cstheme="majorHAnsi"/>
                <w:b/>
              </w:rPr>
            </w:pPr>
            <w:r w:rsidRPr="006070EA">
              <w:rPr>
                <w:rFonts w:asciiTheme="majorHAnsi" w:eastAsia="Calibri" w:hAnsiTheme="majorHAnsi" w:cstheme="majorHAnsi"/>
                <w:b/>
              </w:rPr>
              <w:t>Odhad výměry záboru podle tříd ochrany (ha)</w:t>
            </w:r>
          </w:p>
        </w:tc>
      </w:tr>
      <w:tr w:rsidR="00BA0668" w:rsidRPr="006070EA" w14:paraId="576AE046" w14:textId="77777777" w:rsidTr="00041EBB">
        <w:trPr>
          <w:trHeight w:val="20"/>
          <w:jc w:val="center"/>
        </w:trPr>
        <w:tc>
          <w:tcPr>
            <w:tcW w:w="2977" w:type="dxa"/>
            <w:vMerge/>
            <w:tcBorders>
              <w:top w:val="single" w:sz="8" w:space="0" w:color="auto"/>
              <w:left w:val="single" w:sz="8" w:space="0" w:color="auto"/>
              <w:bottom w:val="single" w:sz="8" w:space="0" w:color="000000"/>
              <w:right w:val="single" w:sz="4" w:space="0" w:color="auto"/>
            </w:tcBorders>
            <w:vAlign w:val="center"/>
            <w:hideMark/>
          </w:tcPr>
          <w:p w14:paraId="364B4311" w14:textId="77777777" w:rsidR="00BA0668" w:rsidRPr="006070EA" w:rsidRDefault="00BA0668" w:rsidP="00ED4388">
            <w:pPr>
              <w:pStyle w:val="Atext"/>
              <w:keepNext/>
              <w:keepLines/>
              <w:spacing w:before="40" w:after="40"/>
              <w:ind w:firstLine="17"/>
              <w:rPr>
                <w:rFonts w:asciiTheme="majorHAnsi" w:eastAsia="Calibri" w:hAnsiTheme="majorHAnsi" w:cstheme="majorHAnsi"/>
                <w:b/>
              </w:rPr>
            </w:pPr>
          </w:p>
        </w:tc>
        <w:tc>
          <w:tcPr>
            <w:tcW w:w="1132" w:type="dxa"/>
            <w:vMerge/>
            <w:tcBorders>
              <w:top w:val="single" w:sz="8" w:space="0" w:color="auto"/>
              <w:left w:val="single" w:sz="4" w:space="0" w:color="auto"/>
              <w:bottom w:val="single" w:sz="8" w:space="0" w:color="000000"/>
              <w:right w:val="single" w:sz="4" w:space="0" w:color="auto"/>
            </w:tcBorders>
            <w:vAlign w:val="center"/>
            <w:hideMark/>
          </w:tcPr>
          <w:p w14:paraId="0058A69E" w14:textId="77777777" w:rsidR="00BA0668" w:rsidRPr="006070EA" w:rsidRDefault="00BA0668" w:rsidP="00BA0668">
            <w:pPr>
              <w:pStyle w:val="Atext"/>
              <w:keepNext/>
              <w:keepLines/>
              <w:spacing w:before="40" w:after="40"/>
              <w:ind w:firstLine="17"/>
              <w:jc w:val="center"/>
              <w:rPr>
                <w:rFonts w:asciiTheme="majorHAnsi" w:eastAsia="Calibri" w:hAnsiTheme="majorHAnsi" w:cstheme="majorHAnsi"/>
                <w:b/>
              </w:rPr>
            </w:pPr>
          </w:p>
        </w:tc>
        <w:tc>
          <w:tcPr>
            <w:tcW w:w="992" w:type="dxa"/>
            <w:tcBorders>
              <w:top w:val="nil"/>
              <w:left w:val="nil"/>
              <w:bottom w:val="single" w:sz="8" w:space="0" w:color="auto"/>
              <w:right w:val="single" w:sz="4" w:space="0" w:color="auto"/>
            </w:tcBorders>
            <w:shd w:val="clear" w:color="auto" w:fill="F2F2F2"/>
            <w:noWrap/>
            <w:vAlign w:val="center"/>
            <w:hideMark/>
          </w:tcPr>
          <w:p w14:paraId="63FC9ACB" w14:textId="77777777" w:rsidR="00BA0668" w:rsidRPr="006070EA" w:rsidRDefault="00BA0668" w:rsidP="00ED4388">
            <w:pPr>
              <w:pStyle w:val="Atext"/>
              <w:keepNext/>
              <w:keepLines/>
              <w:spacing w:before="40" w:after="40"/>
              <w:ind w:firstLine="17"/>
              <w:jc w:val="center"/>
              <w:rPr>
                <w:rFonts w:asciiTheme="majorHAnsi" w:eastAsia="Calibri" w:hAnsiTheme="majorHAnsi" w:cstheme="majorHAnsi"/>
                <w:b/>
              </w:rPr>
            </w:pPr>
            <w:r w:rsidRPr="006070EA">
              <w:rPr>
                <w:rFonts w:asciiTheme="majorHAnsi" w:eastAsia="Calibri" w:hAnsiTheme="majorHAnsi" w:cstheme="majorHAnsi"/>
                <w:b/>
              </w:rPr>
              <w:t>I.</w:t>
            </w:r>
          </w:p>
        </w:tc>
        <w:tc>
          <w:tcPr>
            <w:tcW w:w="993" w:type="dxa"/>
            <w:tcBorders>
              <w:top w:val="nil"/>
              <w:left w:val="nil"/>
              <w:bottom w:val="single" w:sz="8" w:space="0" w:color="auto"/>
              <w:right w:val="single" w:sz="4" w:space="0" w:color="auto"/>
            </w:tcBorders>
            <w:shd w:val="clear" w:color="auto" w:fill="F2F2F2"/>
            <w:noWrap/>
            <w:vAlign w:val="center"/>
            <w:hideMark/>
          </w:tcPr>
          <w:p w14:paraId="6CCB3BB5" w14:textId="77777777" w:rsidR="00BA0668" w:rsidRPr="006070EA" w:rsidRDefault="00BA0668" w:rsidP="00ED4388">
            <w:pPr>
              <w:pStyle w:val="Atext"/>
              <w:keepNext/>
              <w:keepLines/>
              <w:spacing w:before="40" w:after="40"/>
              <w:ind w:firstLine="17"/>
              <w:jc w:val="center"/>
              <w:rPr>
                <w:rFonts w:asciiTheme="majorHAnsi" w:eastAsia="Calibri" w:hAnsiTheme="majorHAnsi" w:cstheme="majorHAnsi"/>
                <w:b/>
              </w:rPr>
            </w:pPr>
            <w:r w:rsidRPr="006070EA">
              <w:rPr>
                <w:rFonts w:asciiTheme="majorHAnsi" w:eastAsia="Calibri" w:hAnsiTheme="majorHAnsi" w:cstheme="majorHAnsi"/>
                <w:b/>
              </w:rPr>
              <w:t>II.</w:t>
            </w:r>
          </w:p>
        </w:tc>
        <w:tc>
          <w:tcPr>
            <w:tcW w:w="992" w:type="dxa"/>
            <w:tcBorders>
              <w:top w:val="nil"/>
              <w:left w:val="nil"/>
              <w:bottom w:val="single" w:sz="8" w:space="0" w:color="auto"/>
              <w:right w:val="single" w:sz="4" w:space="0" w:color="auto"/>
            </w:tcBorders>
            <w:shd w:val="clear" w:color="auto" w:fill="F2F2F2"/>
            <w:noWrap/>
            <w:vAlign w:val="center"/>
            <w:hideMark/>
          </w:tcPr>
          <w:p w14:paraId="4BBE6E70" w14:textId="77777777" w:rsidR="00BA0668" w:rsidRPr="006070EA" w:rsidRDefault="00BA0668" w:rsidP="00ED4388">
            <w:pPr>
              <w:pStyle w:val="Atext"/>
              <w:keepNext/>
              <w:keepLines/>
              <w:spacing w:before="40" w:after="40"/>
              <w:ind w:firstLine="17"/>
              <w:jc w:val="center"/>
              <w:rPr>
                <w:rFonts w:asciiTheme="majorHAnsi" w:eastAsia="Calibri" w:hAnsiTheme="majorHAnsi" w:cstheme="majorHAnsi"/>
                <w:b/>
              </w:rPr>
            </w:pPr>
            <w:r w:rsidRPr="006070EA">
              <w:rPr>
                <w:rFonts w:asciiTheme="majorHAnsi" w:eastAsia="Calibri" w:hAnsiTheme="majorHAnsi" w:cstheme="majorHAnsi"/>
                <w:b/>
              </w:rPr>
              <w:t>III.</w:t>
            </w:r>
          </w:p>
        </w:tc>
        <w:tc>
          <w:tcPr>
            <w:tcW w:w="992" w:type="dxa"/>
            <w:tcBorders>
              <w:top w:val="nil"/>
              <w:left w:val="nil"/>
              <w:bottom w:val="single" w:sz="8" w:space="0" w:color="auto"/>
              <w:right w:val="single" w:sz="4" w:space="0" w:color="auto"/>
            </w:tcBorders>
            <w:shd w:val="clear" w:color="auto" w:fill="F2F2F2"/>
            <w:noWrap/>
            <w:vAlign w:val="center"/>
            <w:hideMark/>
          </w:tcPr>
          <w:p w14:paraId="639F96E0" w14:textId="77777777" w:rsidR="00BA0668" w:rsidRPr="006070EA" w:rsidRDefault="00BA0668" w:rsidP="00ED4388">
            <w:pPr>
              <w:pStyle w:val="Atext"/>
              <w:keepNext/>
              <w:keepLines/>
              <w:spacing w:before="40" w:after="40"/>
              <w:ind w:firstLine="17"/>
              <w:jc w:val="center"/>
              <w:rPr>
                <w:rFonts w:asciiTheme="majorHAnsi" w:eastAsia="Calibri" w:hAnsiTheme="majorHAnsi" w:cstheme="majorHAnsi"/>
                <w:b/>
              </w:rPr>
            </w:pPr>
            <w:r w:rsidRPr="006070EA">
              <w:rPr>
                <w:rFonts w:asciiTheme="majorHAnsi" w:eastAsia="Calibri" w:hAnsiTheme="majorHAnsi" w:cstheme="majorHAnsi"/>
                <w:b/>
              </w:rPr>
              <w:t>IV.</w:t>
            </w:r>
          </w:p>
        </w:tc>
        <w:tc>
          <w:tcPr>
            <w:tcW w:w="992" w:type="dxa"/>
            <w:tcBorders>
              <w:top w:val="nil"/>
              <w:left w:val="nil"/>
              <w:bottom w:val="single" w:sz="8" w:space="0" w:color="auto"/>
              <w:right w:val="single" w:sz="4" w:space="0" w:color="auto"/>
            </w:tcBorders>
            <w:shd w:val="clear" w:color="auto" w:fill="F2F2F2"/>
            <w:noWrap/>
            <w:vAlign w:val="center"/>
            <w:hideMark/>
          </w:tcPr>
          <w:p w14:paraId="7C6C078E" w14:textId="77777777" w:rsidR="00BA0668" w:rsidRPr="006070EA" w:rsidRDefault="00BA0668" w:rsidP="00ED4388">
            <w:pPr>
              <w:pStyle w:val="Atext"/>
              <w:keepNext/>
              <w:keepLines/>
              <w:spacing w:before="40" w:after="40"/>
              <w:ind w:firstLine="17"/>
              <w:jc w:val="center"/>
              <w:rPr>
                <w:rFonts w:asciiTheme="majorHAnsi" w:eastAsia="Calibri" w:hAnsiTheme="majorHAnsi" w:cstheme="majorHAnsi"/>
                <w:b/>
              </w:rPr>
            </w:pPr>
            <w:r w:rsidRPr="006070EA">
              <w:rPr>
                <w:rFonts w:asciiTheme="majorHAnsi" w:eastAsia="Calibri" w:hAnsiTheme="majorHAnsi" w:cstheme="majorHAnsi"/>
                <w:b/>
              </w:rPr>
              <w:t>V.</w:t>
            </w:r>
          </w:p>
        </w:tc>
      </w:tr>
      <w:tr w:rsidR="00BA0668" w:rsidRPr="006070EA" w14:paraId="168E83AB" w14:textId="77777777" w:rsidTr="00041EBB">
        <w:trPr>
          <w:trHeight w:val="300"/>
          <w:jc w:val="center"/>
        </w:trPr>
        <w:tc>
          <w:tcPr>
            <w:tcW w:w="9070" w:type="dxa"/>
            <w:gridSpan w:val="7"/>
            <w:tcBorders>
              <w:top w:val="single" w:sz="8" w:space="0" w:color="auto"/>
              <w:left w:val="single" w:sz="8" w:space="0" w:color="auto"/>
              <w:bottom w:val="single" w:sz="4" w:space="0" w:color="auto"/>
              <w:right w:val="single" w:sz="8" w:space="0" w:color="000000"/>
            </w:tcBorders>
            <w:shd w:val="clear" w:color="auto" w:fill="FCE4D6"/>
            <w:noWrap/>
            <w:vAlign w:val="center"/>
            <w:hideMark/>
          </w:tcPr>
          <w:p w14:paraId="3A2AC9DA" w14:textId="77777777" w:rsidR="00BA0668" w:rsidRPr="006070EA" w:rsidRDefault="00BA0668" w:rsidP="00BA0668">
            <w:pPr>
              <w:pStyle w:val="Atext"/>
              <w:keepNext/>
              <w:spacing w:before="40" w:after="40"/>
              <w:ind w:firstLine="17"/>
              <w:jc w:val="center"/>
              <w:rPr>
                <w:rFonts w:asciiTheme="majorHAnsi" w:eastAsia="Calibri" w:hAnsiTheme="majorHAnsi" w:cstheme="majorHAnsi"/>
                <w:b/>
              </w:rPr>
            </w:pPr>
            <w:r w:rsidRPr="006070EA">
              <w:rPr>
                <w:rFonts w:asciiTheme="majorHAnsi" w:eastAsia="Calibri" w:hAnsiTheme="majorHAnsi" w:cstheme="majorHAnsi"/>
                <w:b/>
              </w:rPr>
              <w:t>PLOCHY ZMĚN</w:t>
            </w:r>
          </w:p>
        </w:tc>
      </w:tr>
      <w:tr w:rsidR="007F4A1A" w:rsidRPr="006070EA" w14:paraId="5F6FDF44" w14:textId="77777777" w:rsidTr="00041EBB">
        <w:trPr>
          <w:trHeight w:val="300"/>
          <w:jc w:val="center"/>
        </w:trPr>
        <w:tc>
          <w:tcPr>
            <w:tcW w:w="2977" w:type="dxa"/>
            <w:tcBorders>
              <w:top w:val="single" w:sz="4" w:space="0" w:color="auto"/>
              <w:left w:val="single" w:sz="4" w:space="0" w:color="auto"/>
              <w:bottom w:val="single" w:sz="4" w:space="0" w:color="auto"/>
              <w:right w:val="single" w:sz="4" w:space="0" w:color="auto"/>
            </w:tcBorders>
            <w:noWrap/>
            <w:vAlign w:val="center"/>
            <w:hideMark/>
          </w:tcPr>
          <w:p w14:paraId="745DF7EE" w14:textId="77777777" w:rsidR="007F4A1A" w:rsidRPr="006070EA" w:rsidRDefault="007F4A1A" w:rsidP="007F4A1A">
            <w:pPr>
              <w:pStyle w:val="Atext"/>
              <w:spacing w:before="40" w:after="40"/>
              <w:ind w:firstLine="17"/>
              <w:jc w:val="left"/>
              <w:rPr>
                <w:rFonts w:asciiTheme="majorHAnsi" w:eastAsia="Calibri" w:hAnsiTheme="majorHAnsi" w:cstheme="majorHAnsi"/>
              </w:rPr>
            </w:pPr>
            <w:r w:rsidRPr="006070EA">
              <w:rPr>
                <w:rFonts w:asciiTheme="majorHAnsi" w:eastAsia="Calibri" w:hAnsiTheme="majorHAnsi" w:cstheme="majorHAnsi"/>
              </w:rPr>
              <w:t>plochy bydlení</w:t>
            </w:r>
          </w:p>
        </w:tc>
        <w:tc>
          <w:tcPr>
            <w:tcW w:w="1132" w:type="dxa"/>
            <w:tcBorders>
              <w:top w:val="single" w:sz="4" w:space="0" w:color="auto"/>
              <w:left w:val="nil"/>
              <w:bottom w:val="single" w:sz="4" w:space="0" w:color="auto"/>
              <w:right w:val="single" w:sz="4" w:space="0" w:color="auto"/>
            </w:tcBorders>
            <w:noWrap/>
          </w:tcPr>
          <w:p w14:paraId="53FD6A3C" w14:textId="551336F6" w:rsidR="007F4A1A" w:rsidRPr="007F4A1A" w:rsidRDefault="007F4A1A" w:rsidP="007F4A1A">
            <w:pPr>
              <w:pStyle w:val="Atext"/>
              <w:spacing w:before="40" w:after="40"/>
              <w:ind w:firstLine="17"/>
              <w:jc w:val="center"/>
              <w:rPr>
                <w:rFonts w:asciiTheme="majorHAnsi" w:eastAsia="Calibri" w:hAnsiTheme="majorHAnsi" w:cstheme="majorHAnsi"/>
              </w:rPr>
            </w:pPr>
            <w:r w:rsidRPr="007F4A1A">
              <w:rPr>
                <w:rFonts w:asciiTheme="majorHAnsi" w:hAnsiTheme="majorHAnsi" w:cstheme="majorHAnsi"/>
              </w:rPr>
              <w:t>10,0113</w:t>
            </w:r>
          </w:p>
        </w:tc>
        <w:tc>
          <w:tcPr>
            <w:tcW w:w="992" w:type="dxa"/>
            <w:tcBorders>
              <w:top w:val="single" w:sz="4" w:space="0" w:color="auto"/>
              <w:left w:val="nil"/>
              <w:bottom w:val="single" w:sz="4" w:space="0" w:color="auto"/>
              <w:right w:val="single" w:sz="4" w:space="0" w:color="auto"/>
            </w:tcBorders>
            <w:noWrap/>
          </w:tcPr>
          <w:p w14:paraId="3BE1548B" w14:textId="24CE2692" w:rsidR="007F4A1A" w:rsidRPr="007F4A1A" w:rsidRDefault="007F4A1A" w:rsidP="007F4A1A">
            <w:pPr>
              <w:pStyle w:val="Atext"/>
              <w:spacing w:before="40" w:after="40"/>
              <w:ind w:firstLine="17"/>
              <w:jc w:val="center"/>
              <w:rPr>
                <w:rFonts w:asciiTheme="majorHAnsi" w:eastAsia="Calibri" w:hAnsiTheme="majorHAnsi" w:cstheme="majorHAnsi"/>
              </w:rPr>
            </w:pPr>
            <w:r w:rsidRPr="007F4A1A">
              <w:rPr>
                <w:rFonts w:asciiTheme="majorHAnsi" w:hAnsiTheme="majorHAnsi" w:cstheme="majorHAnsi"/>
              </w:rPr>
              <w:t>8,0091</w:t>
            </w:r>
          </w:p>
        </w:tc>
        <w:tc>
          <w:tcPr>
            <w:tcW w:w="993" w:type="dxa"/>
            <w:tcBorders>
              <w:top w:val="single" w:sz="4" w:space="0" w:color="auto"/>
              <w:left w:val="nil"/>
              <w:bottom w:val="single" w:sz="4" w:space="0" w:color="auto"/>
              <w:right w:val="single" w:sz="4" w:space="0" w:color="auto"/>
            </w:tcBorders>
            <w:noWrap/>
          </w:tcPr>
          <w:p w14:paraId="4E751CAE" w14:textId="0E0A6BAB" w:rsidR="007F4A1A" w:rsidRPr="007F4A1A" w:rsidRDefault="007F4A1A" w:rsidP="007F4A1A">
            <w:pPr>
              <w:pStyle w:val="Atext"/>
              <w:spacing w:before="40" w:after="40"/>
              <w:ind w:firstLine="17"/>
              <w:jc w:val="center"/>
              <w:rPr>
                <w:rFonts w:asciiTheme="majorHAnsi" w:eastAsia="Calibri" w:hAnsiTheme="majorHAnsi" w:cstheme="majorHAnsi"/>
              </w:rPr>
            </w:pPr>
            <w:r w:rsidRPr="007F4A1A">
              <w:rPr>
                <w:rFonts w:asciiTheme="majorHAnsi" w:hAnsiTheme="majorHAnsi" w:cstheme="majorHAnsi"/>
              </w:rPr>
              <w:t>0</w:t>
            </w:r>
          </w:p>
        </w:tc>
        <w:tc>
          <w:tcPr>
            <w:tcW w:w="992" w:type="dxa"/>
            <w:tcBorders>
              <w:top w:val="single" w:sz="4" w:space="0" w:color="auto"/>
              <w:left w:val="nil"/>
              <w:bottom w:val="single" w:sz="4" w:space="0" w:color="auto"/>
              <w:right w:val="single" w:sz="4" w:space="0" w:color="auto"/>
            </w:tcBorders>
            <w:noWrap/>
          </w:tcPr>
          <w:p w14:paraId="7DDA2449" w14:textId="336116D6" w:rsidR="007F4A1A" w:rsidRPr="007F4A1A" w:rsidRDefault="007F4A1A" w:rsidP="007F4A1A">
            <w:pPr>
              <w:pStyle w:val="Atext"/>
              <w:spacing w:before="40" w:after="40"/>
              <w:ind w:firstLine="17"/>
              <w:jc w:val="center"/>
              <w:rPr>
                <w:rFonts w:asciiTheme="majorHAnsi" w:eastAsia="Calibri" w:hAnsiTheme="majorHAnsi" w:cstheme="majorHAnsi"/>
              </w:rPr>
            </w:pPr>
            <w:r w:rsidRPr="007F4A1A">
              <w:rPr>
                <w:rFonts w:asciiTheme="majorHAnsi" w:hAnsiTheme="majorHAnsi" w:cstheme="majorHAnsi"/>
              </w:rPr>
              <w:t>0,342</w:t>
            </w:r>
          </w:p>
        </w:tc>
        <w:tc>
          <w:tcPr>
            <w:tcW w:w="992" w:type="dxa"/>
            <w:tcBorders>
              <w:top w:val="single" w:sz="4" w:space="0" w:color="auto"/>
              <w:left w:val="nil"/>
              <w:bottom w:val="single" w:sz="4" w:space="0" w:color="auto"/>
              <w:right w:val="single" w:sz="4" w:space="0" w:color="auto"/>
            </w:tcBorders>
            <w:noWrap/>
          </w:tcPr>
          <w:p w14:paraId="34AF05FF" w14:textId="0F98DB4D" w:rsidR="007F4A1A" w:rsidRPr="007F4A1A" w:rsidRDefault="007F4A1A" w:rsidP="007F4A1A">
            <w:pPr>
              <w:pStyle w:val="Atext"/>
              <w:spacing w:before="40" w:after="40"/>
              <w:ind w:firstLine="17"/>
              <w:jc w:val="center"/>
              <w:rPr>
                <w:rFonts w:asciiTheme="majorHAnsi" w:eastAsia="Calibri" w:hAnsiTheme="majorHAnsi" w:cstheme="majorHAnsi"/>
              </w:rPr>
            </w:pPr>
            <w:r w:rsidRPr="007F4A1A">
              <w:rPr>
                <w:rFonts w:asciiTheme="majorHAnsi" w:hAnsiTheme="majorHAnsi" w:cstheme="majorHAnsi"/>
              </w:rPr>
              <w:t>1,6602</w:t>
            </w:r>
          </w:p>
        </w:tc>
        <w:tc>
          <w:tcPr>
            <w:tcW w:w="992" w:type="dxa"/>
            <w:tcBorders>
              <w:top w:val="single" w:sz="4" w:space="0" w:color="auto"/>
              <w:left w:val="nil"/>
              <w:bottom w:val="single" w:sz="4" w:space="0" w:color="auto"/>
              <w:right w:val="single" w:sz="4" w:space="0" w:color="auto"/>
            </w:tcBorders>
            <w:noWrap/>
          </w:tcPr>
          <w:p w14:paraId="3985DCAE" w14:textId="0B3CB77A" w:rsidR="007F4A1A" w:rsidRPr="007F4A1A" w:rsidRDefault="007F4A1A" w:rsidP="007F4A1A">
            <w:pPr>
              <w:pStyle w:val="Atext"/>
              <w:spacing w:before="40" w:after="40"/>
              <w:ind w:firstLine="17"/>
              <w:jc w:val="center"/>
              <w:rPr>
                <w:rFonts w:asciiTheme="majorHAnsi" w:eastAsia="Calibri" w:hAnsiTheme="majorHAnsi" w:cstheme="majorHAnsi"/>
              </w:rPr>
            </w:pPr>
            <w:r w:rsidRPr="007F4A1A">
              <w:rPr>
                <w:rFonts w:asciiTheme="majorHAnsi" w:hAnsiTheme="majorHAnsi" w:cstheme="majorHAnsi"/>
              </w:rPr>
              <w:t>0</w:t>
            </w:r>
          </w:p>
        </w:tc>
      </w:tr>
      <w:tr w:rsidR="007F4A1A" w:rsidRPr="006070EA" w14:paraId="66641C4F" w14:textId="77777777" w:rsidTr="00041EBB">
        <w:trPr>
          <w:trHeight w:val="300"/>
          <w:jc w:val="center"/>
        </w:trPr>
        <w:tc>
          <w:tcPr>
            <w:tcW w:w="2977" w:type="dxa"/>
            <w:tcBorders>
              <w:top w:val="single" w:sz="4" w:space="0" w:color="auto"/>
              <w:left w:val="single" w:sz="4" w:space="0" w:color="auto"/>
              <w:bottom w:val="single" w:sz="4" w:space="0" w:color="auto"/>
              <w:right w:val="single" w:sz="4" w:space="0" w:color="auto"/>
            </w:tcBorders>
            <w:noWrap/>
            <w:vAlign w:val="center"/>
          </w:tcPr>
          <w:p w14:paraId="3BE461B7" w14:textId="77777777" w:rsidR="007F4A1A" w:rsidRPr="006070EA" w:rsidRDefault="007F4A1A" w:rsidP="007F4A1A">
            <w:pPr>
              <w:pStyle w:val="Atext"/>
              <w:spacing w:before="40" w:after="40"/>
              <w:ind w:firstLine="17"/>
              <w:jc w:val="left"/>
              <w:rPr>
                <w:rFonts w:asciiTheme="majorHAnsi" w:eastAsia="Calibri" w:hAnsiTheme="majorHAnsi" w:cstheme="majorHAnsi"/>
              </w:rPr>
            </w:pPr>
            <w:r w:rsidRPr="006070EA">
              <w:rPr>
                <w:rFonts w:asciiTheme="majorHAnsi" w:eastAsia="Calibri" w:hAnsiTheme="majorHAnsi" w:cstheme="majorHAnsi"/>
              </w:rPr>
              <w:t>plochy veřejných prostranství</w:t>
            </w:r>
          </w:p>
        </w:tc>
        <w:tc>
          <w:tcPr>
            <w:tcW w:w="1132" w:type="dxa"/>
            <w:tcBorders>
              <w:top w:val="single" w:sz="4" w:space="0" w:color="auto"/>
              <w:left w:val="nil"/>
              <w:bottom w:val="single" w:sz="4" w:space="0" w:color="auto"/>
              <w:right w:val="single" w:sz="4" w:space="0" w:color="auto"/>
            </w:tcBorders>
            <w:noWrap/>
          </w:tcPr>
          <w:p w14:paraId="43856F50" w14:textId="73EDE8CA" w:rsidR="007F4A1A" w:rsidRPr="007F4A1A" w:rsidRDefault="007F4A1A" w:rsidP="007F4A1A">
            <w:pPr>
              <w:pStyle w:val="Atext"/>
              <w:spacing w:before="40" w:after="40"/>
              <w:ind w:firstLine="17"/>
              <w:jc w:val="center"/>
              <w:rPr>
                <w:rFonts w:asciiTheme="majorHAnsi" w:eastAsia="Calibri" w:hAnsiTheme="majorHAnsi" w:cstheme="majorHAnsi"/>
              </w:rPr>
            </w:pPr>
            <w:r w:rsidRPr="007F4A1A">
              <w:rPr>
                <w:rFonts w:asciiTheme="majorHAnsi" w:hAnsiTheme="majorHAnsi" w:cstheme="majorHAnsi"/>
              </w:rPr>
              <w:t>0,1827</w:t>
            </w:r>
          </w:p>
        </w:tc>
        <w:tc>
          <w:tcPr>
            <w:tcW w:w="992" w:type="dxa"/>
            <w:tcBorders>
              <w:top w:val="single" w:sz="4" w:space="0" w:color="auto"/>
              <w:left w:val="nil"/>
              <w:bottom w:val="single" w:sz="4" w:space="0" w:color="auto"/>
              <w:right w:val="single" w:sz="4" w:space="0" w:color="auto"/>
            </w:tcBorders>
            <w:noWrap/>
          </w:tcPr>
          <w:p w14:paraId="710C34FD" w14:textId="2754EEDE" w:rsidR="007F4A1A" w:rsidRPr="007F4A1A" w:rsidRDefault="007F4A1A" w:rsidP="007F4A1A">
            <w:pPr>
              <w:pStyle w:val="Atext"/>
              <w:spacing w:before="40" w:after="40"/>
              <w:ind w:firstLine="17"/>
              <w:jc w:val="center"/>
              <w:rPr>
                <w:rFonts w:asciiTheme="majorHAnsi" w:eastAsia="Calibri" w:hAnsiTheme="majorHAnsi" w:cstheme="majorHAnsi"/>
              </w:rPr>
            </w:pPr>
            <w:r w:rsidRPr="007F4A1A">
              <w:rPr>
                <w:rFonts w:asciiTheme="majorHAnsi" w:hAnsiTheme="majorHAnsi" w:cstheme="majorHAnsi"/>
              </w:rPr>
              <w:t>0</w:t>
            </w:r>
          </w:p>
        </w:tc>
        <w:tc>
          <w:tcPr>
            <w:tcW w:w="993" w:type="dxa"/>
            <w:tcBorders>
              <w:top w:val="single" w:sz="4" w:space="0" w:color="auto"/>
              <w:left w:val="nil"/>
              <w:bottom w:val="single" w:sz="4" w:space="0" w:color="auto"/>
              <w:right w:val="single" w:sz="4" w:space="0" w:color="auto"/>
            </w:tcBorders>
            <w:noWrap/>
          </w:tcPr>
          <w:p w14:paraId="7C59C172" w14:textId="753BB052" w:rsidR="007F4A1A" w:rsidRPr="007F4A1A" w:rsidRDefault="007F4A1A" w:rsidP="007F4A1A">
            <w:pPr>
              <w:pStyle w:val="Atext"/>
              <w:spacing w:before="40" w:after="40"/>
              <w:ind w:firstLine="17"/>
              <w:jc w:val="center"/>
              <w:rPr>
                <w:rFonts w:asciiTheme="majorHAnsi" w:eastAsia="Calibri" w:hAnsiTheme="majorHAnsi" w:cstheme="majorHAnsi"/>
              </w:rPr>
            </w:pPr>
            <w:r w:rsidRPr="007F4A1A">
              <w:rPr>
                <w:rFonts w:asciiTheme="majorHAnsi" w:hAnsiTheme="majorHAnsi" w:cstheme="majorHAnsi"/>
              </w:rPr>
              <w:t>0</w:t>
            </w:r>
          </w:p>
        </w:tc>
        <w:tc>
          <w:tcPr>
            <w:tcW w:w="992" w:type="dxa"/>
            <w:tcBorders>
              <w:top w:val="single" w:sz="4" w:space="0" w:color="auto"/>
              <w:left w:val="nil"/>
              <w:bottom w:val="single" w:sz="4" w:space="0" w:color="auto"/>
              <w:right w:val="single" w:sz="4" w:space="0" w:color="auto"/>
            </w:tcBorders>
            <w:noWrap/>
          </w:tcPr>
          <w:p w14:paraId="1A5F3637" w14:textId="1E3FA547" w:rsidR="007F4A1A" w:rsidRPr="007F4A1A" w:rsidRDefault="007F4A1A" w:rsidP="007F4A1A">
            <w:pPr>
              <w:pStyle w:val="Atext"/>
              <w:spacing w:before="40" w:after="40"/>
              <w:ind w:firstLine="17"/>
              <w:jc w:val="center"/>
              <w:rPr>
                <w:rFonts w:asciiTheme="majorHAnsi" w:eastAsia="Calibri" w:hAnsiTheme="majorHAnsi" w:cstheme="majorHAnsi"/>
              </w:rPr>
            </w:pPr>
            <w:r w:rsidRPr="007F4A1A">
              <w:rPr>
                <w:rFonts w:asciiTheme="majorHAnsi" w:hAnsiTheme="majorHAnsi" w:cstheme="majorHAnsi"/>
              </w:rPr>
              <w:t>0,164</w:t>
            </w:r>
          </w:p>
        </w:tc>
        <w:tc>
          <w:tcPr>
            <w:tcW w:w="992" w:type="dxa"/>
            <w:tcBorders>
              <w:top w:val="single" w:sz="4" w:space="0" w:color="auto"/>
              <w:left w:val="nil"/>
              <w:bottom w:val="single" w:sz="4" w:space="0" w:color="auto"/>
              <w:right w:val="single" w:sz="4" w:space="0" w:color="auto"/>
            </w:tcBorders>
            <w:noWrap/>
          </w:tcPr>
          <w:p w14:paraId="51AFA2F0" w14:textId="438CD67C" w:rsidR="007F4A1A" w:rsidRPr="007F4A1A" w:rsidRDefault="007F4A1A" w:rsidP="007F4A1A">
            <w:pPr>
              <w:pStyle w:val="Atext"/>
              <w:spacing w:before="40" w:after="40"/>
              <w:ind w:firstLine="17"/>
              <w:jc w:val="center"/>
              <w:rPr>
                <w:rFonts w:asciiTheme="majorHAnsi" w:eastAsia="Calibri" w:hAnsiTheme="majorHAnsi" w:cstheme="majorHAnsi"/>
              </w:rPr>
            </w:pPr>
            <w:r w:rsidRPr="007F4A1A">
              <w:rPr>
                <w:rFonts w:asciiTheme="majorHAnsi" w:hAnsiTheme="majorHAnsi" w:cstheme="majorHAnsi"/>
              </w:rPr>
              <w:t>0</w:t>
            </w:r>
          </w:p>
        </w:tc>
        <w:tc>
          <w:tcPr>
            <w:tcW w:w="992" w:type="dxa"/>
            <w:tcBorders>
              <w:top w:val="single" w:sz="4" w:space="0" w:color="auto"/>
              <w:left w:val="nil"/>
              <w:bottom w:val="single" w:sz="4" w:space="0" w:color="auto"/>
              <w:right w:val="single" w:sz="4" w:space="0" w:color="auto"/>
            </w:tcBorders>
            <w:noWrap/>
          </w:tcPr>
          <w:p w14:paraId="5A0AAB8D" w14:textId="4E8B261C" w:rsidR="007F4A1A" w:rsidRPr="007F4A1A" w:rsidRDefault="007F4A1A" w:rsidP="007F4A1A">
            <w:pPr>
              <w:pStyle w:val="Atext"/>
              <w:spacing w:before="40" w:after="40"/>
              <w:ind w:firstLine="17"/>
              <w:jc w:val="center"/>
              <w:rPr>
                <w:rFonts w:asciiTheme="majorHAnsi" w:eastAsia="Calibri" w:hAnsiTheme="majorHAnsi" w:cstheme="majorHAnsi"/>
              </w:rPr>
            </w:pPr>
            <w:r w:rsidRPr="007F4A1A">
              <w:rPr>
                <w:rFonts w:asciiTheme="majorHAnsi" w:hAnsiTheme="majorHAnsi" w:cstheme="majorHAnsi"/>
              </w:rPr>
              <w:t>0,0187</w:t>
            </w:r>
          </w:p>
        </w:tc>
      </w:tr>
      <w:tr w:rsidR="007F4A1A" w:rsidRPr="006070EA" w14:paraId="2118998E" w14:textId="77777777" w:rsidTr="00041EBB">
        <w:trPr>
          <w:trHeight w:val="300"/>
          <w:jc w:val="center"/>
        </w:trPr>
        <w:tc>
          <w:tcPr>
            <w:tcW w:w="2977" w:type="dxa"/>
            <w:tcBorders>
              <w:top w:val="single" w:sz="4" w:space="0" w:color="auto"/>
              <w:left w:val="single" w:sz="4" w:space="0" w:color="auto"/>
              <w:bottom w:val="single" w:sz="4" w:space="0" w:color="auto"/>
              <w:right w:val="single" w:sz="4" w:space="0" w:color="auto"/>
            </w:tcBorders>
            <w:noWrap/>
            <w:vAlign w:val="center"/>
          </w:tcPr>
          <w:p w14:paraId="5581EDFD" w14:textId="39A53539" w:rsidR="007F4A1A" w:rsidRPr="006070EA" w:rsidRDefault="007F4A1A" w:rsidP="007F4A1A">
            <w:pPr>
              <w:pStyle w:val="Atext"/>
              <w:spacing w:before="40" w:after="40"/>
              <w:ind w:firstLine="17"/>
              <w:jc w:val="left"/>
              <w:rPr>
                <w:rFonts w:asciiTheme="majorHAnsi" w:eastAsia="Calibri" w:hAnsiTheme="majorHAnsi" w:cstheme="majorHAnsi"/>
              </w:rPr>
            </w:pPr>
            <w:r>
              <w:rPr>
                <w:rFonts w:asciiTheme="majorHAnsi" w:eastAsia="Calibri" w:hAnsiTheme="majorHAnsi" w:cstheme="majorHAnsi"/>
              </w:rPr>
              <w:t>plochy zeleně</w:t>
            </w:r>
          </w:p>
        </w:tc>
        <w:tc>
          <w:tcPr>
            <w:tcW w:w="1132" w:type="dxa"/>
            <w:tcBorders>
              <w:top w:val="single" w:sz="4" w:space="0" w:color="auto"/>
              <w:left w:val="nil"/>
              <w:bottom w:val="single" w:sz="4" w:space="0" w:color="auto"/>
              <w:right w:val="single" w:sz="4" w:space="0" w:color="auto"/>
            </w:tcBorders>
            <w:noWrap/>
          </w:tcPr>
          <w:p w14:paraId="7493F52C" w14:textId="246E24E5" w:rsidR="007F4A1A" w:rsidRPr="007F4A1A" w:rsidRDefault="007F4A1A" w:rsidP="007F4A1A">
            <w:pPr>
              <w:pStyle w:val="Atext"/>
              <w:spacing w:before="40" w:after="40"/>
              <w:ind w:firstLine="17"/>
              <w:jc w:val="center"/>
              <w:rPr>
                <w:rFonts w:asciiTheme="majorHAnsi" w:hAnsiTheme="majorHAnsi" w:cstheme="majorHAnsi"/>
              </w:rPr>
            </w:pPr>
            <w:r w:rsidRPr="007F4A1A">
              <w:rPr>
                <w:rFonts w:asciiTheme="majorHAnsi" w:hAnsiTheme="majorHAnsi" w:cstheme="majorHAnsi"/>
              </w:rPr>
              <w:t>0,6427</w:t>
            </w:r>
          </w:p>
        </w:tc>
        <w:tc>
          <w:tcPr>
            <w:tcW w:w="992" w:type="dxa"/>
            <w:tcBorders>
              <w:top w:val="single" w:sz="4" w:space="0" w:color="auto"/>
              <w:left w:val="nil"/>
              <w:bottom w:val="single" w:sz="4" w:space="0" w:color="auto"/>
              <w:right w:val="single" w:sz="4" w:space="0" w:color="auto"/>
            </w:tcBorders>
            <w:noWrap/>
          </w:tcPr>
          <w:p w14:paraId="6B319942" w14:textId="308A234F" w:rsidR="007F4A1A" w:rsidRPr="007F4A1A" w:rsidRDefault="007F4A1A" w:rsidP="007F4A1A">
            <w:pPr>
              <w:pStyle w:val="Atext"/>
              <w:spacing w:before="40" w:after="40"/>
              <w:ind w:firstLine="17"/>
              <w:jc w:val="center"/>
              <w:rPr>
                <w:rFonts w:asciiTheme="majorHAnsi" w:hAnsiTheme="majorHAnsi" w:cstheme="majorHAnsi"/>
              </w:rPr>
            </w:pPr>
            <w:r w:rsidRPr="007F4A1A">
              <w:rPr>
                <w:rFonts w:asciiTheme="majorHAnsi" w:hAnsiTheme="majorHAnsi" w:cstheme="majorHAnsi"/>
              </w:rPr>
              <w:t>0,2195</w:t>
            </w:r>
          </w:p>
        </w:tc>
        <w:tc>
          <w:tcPr>
            <w:tcW w:w="993" w:type="dxa"/>
            <w:tcBorders>
              <w:top w:val="single" w:sz="4" w:space="0" w:color="auto"/>
              <w:left w:val="nil"/>
              <w:bottom w:val="single" w:sz="4" w:space="0" w:color="auto"/>
              <w:right w:val="single" w:sz="4" w:space="0" w:color="auto"/>
            </w:tcBorders>
            <w:noWrap/>
          </w:tcPr>
          <w:p w14:paraId="68D177FA" w14:textId="3E79576E" w:rsidR="007F4A1A" w:rsidRPr="007F4A1A" w:rsidRDefault="007F4A1A" w:rsidP="007F4A1A">
            <w:pPr>
              <w:pStyle w:val="Atext"/>
              <w:spacing w:before="40" w:after="40"/>
              <w:ind w:firstLine="17"/>
              <w:jc w:val="center"/>
              <w:rPr>
                <w:rFonts w:asciiTheme="majorHAnsi" w:hAnsiTheme="majorHAnsi" w:cstheme="majorHAnsi"/>
              </w:rPr>
            </w:pPr>
            <w:r w:rsidRPr="007F4A1A">
              <w:rPr>
                <w:rFonts w:asciiTheme="majorHAnsi" w:hAnsiTheme="majorHAnsi" w:cstheme="majorHAnsi"/>
              </w:rPr>
              <w:t>0</w:t>
            </w:r>
          </w:p>
        </w:tc>
        <w:tc>
          <w:tcPr>
            <w:tcW w:w="992" w:type="dxa"/>
            <w:tcBorders>
              <w:top w:val="single" w:sz="4" w:space="0" w:color="auto"/>
              <w:left w:val="nil"/>
              <w:bottom w:val="single" w:sz="4" w:space="0" w:color="auto"/>
              <w:right w:val="single" w:sz="4" w:space="0" w:color="auto"/>
            </w:tcBorders>
            <w:noWrap/>
          </w:tcPr>
          <w:p w14:paraId="46F4AD87" w14:textId="501BE69C" w:rsidR="007F4A1A" w:rsidRPr="007F4A1A" w:rsidRDefault="007F4A1A" w:rsidP="007F4A1A">
            <w:pPr>
              <w:pStyle w:val="Atext"/>
              <w:spacing w:before="40" w:after="40"/>
              <w:ind w:firstLine="17"/>
              <w:jc w:val="center"/>
              <w:rPr>
                <w:rFonts w:asciiTheme="majorHAnsi" w:hAnsiTheme="majorHAnsi" w:cstheme="majorHAnsi"/>
              </w:rPr>
            </w:pPr>
            <w:r w:rsidRPr="007F4A1A">
              <w:rPr>
                <w:rFonts w:asciiTheme="majorHAnsi" w:hAnsiTheme="majorHAnsi" w:cstheme="majorHAnsi"/>
              </w:rPr>
              <w:t>0,4232</w:t>
            </w:r>
          </w:p>
        </w:tc>
        <w:tc>
          <w:tcPr>
            <w:tcW w:w="992" w:type="dxa"/>
            <w:tcBorders>
              <w:top w:val="single" w:sz="4" w:space="0" w:color="auto"/>
              <w:left w:val="nil"/>
              <w:bottom w:val="single" w:sz="4" w:space="0" w:color="auto"/>
              <w:right w:val="single" w:sz="4" w:space="0" w:color="auto"/>
            </w:tcBorders>
            <w:noWrap/>
          </w:tcPr>
          <w:p w14:paraId="33B1E99D" w14:textId="596ACBBB" w:rsidR="007F4A1A" w:rsidRPr="007F4A1A" w:rsidRDefault="007F4A1A" w:rsidP="007F4A1A">
            <w:pPr>
              <w:pStyle w:val="Atext"/>
              <w:spacing w:before="40" w:after="40"/>
              <w:ind w:firstLine="17"/>
              <w:jc w:val="center"/>
              <w:rPr>
                <w:rFonts w:asciiTheme="majorHAnsi" w:hAnsiTheme="majorHAnsi" w:cstheme="majorHAnsi"/>
              </w:rPr>
            </w:pPr>
            <w:r w:rsidRPr="007F4A1A">
              <w:rPr>
                <w:rFonts w:asciiTheme="majorHAnsi" w:hAnsiTheme="majorHAnsi" w:cstheme="majorHAnsi"/>
              </w:rPr>
              <w:t>0</w:t>
            </w:r>
          </w:p>
        </w:tc>
        <w:tc>
          <w:tcPr>
            <w:tcW w:w="992" w:type="dxa"/>
            <w:tcBorders>
              <w:top w:val="single" w:sz="4" w:space="0" w:color="auto"/>
              <w:left w:val="nil"/>
              <w:bottom w:val="single" w:sz="4" w:space="0" w:color="auto"/>
              <w:right w:val="single" w:sz="4" w:space="0" w:color="auto"/>
            </w:tcBorders>
            <w:noWrap/>
          </w:tcPr>
          <w:p w14:paraId="4B5BF025" w14:textId="7116B5B3" w:rsidR="007F4A1A" w:rsidRPr="007F4A1A" w:rsidRDefault="007F4A1A" w:rsidP="007F4A1A">
            <w:pPr>
              <w:pStyle w:val="Atext"/>
              <w:spacing w:before="40" w:after="40"/>
              <w:ind w:firstLine="17"/>
              <w:jc w:val="center"/>
              <w:rPr>
                <w:rFonts w:asciiTheme="majorHAnsi" w:hAnsiTheme="majorHAnsi" w:cstheme="majorHAnsi"/>
              </w:rPr>
            </w:pPr>
            <w:r w:rsidRPr="007F4A1A">
              <w:rPr>
                <w:rFonts w:asciiTheme="majorHAnsi" w:hAnsiTheme="majorHAnsi" w:cstheme="majorHAnsi"/>
              </w:rPr>
              <w:t>0</w:t>
            </w:r>
          </w:p>
        </w:tc>
      </w:tr>
      <w:tr w:rsidR="007F4A1A" w:rsidRPr="00A76411" w14:paraId="2372764B" w14:textId="77777777" w:rsidTr="00041EBB">
        <w:trPr>
          <w:trHeight w:val="300"/>
          <w:jc w:val="center"/>
        </w:trPr>
        <w:tc>
          <w:tcPr>
            <w:tcW w:w="2977" w:type="dxa"/>
            <w:tcBorders>
              <w:top w:val="single" w:sz="4" w:space="0" w:color="auto"/>
              <w:left w:val="single" w:sz="4" w:space="0" w:color="auto"/>
              <w:bottom w:val="single" w:sz="4" w:space="0" w:color="auto"/>
              <w:right w:val="single" w:sz="4" w:space="0" w:color="auto"/>
            </w:tcBorders>
            <w:noWrap/>
            <w:vAlign w:val="center"/>
          </w:tcPr>
          <w:p w14:paraId="299EE59B" w14:textId="77777777" w:rsidR="007F4A1A" w:rsidRPr="00A76411" w:rsidRDefault="007F4A1A" w:rsidP="007F4A1A">
            <w:pPr>
              <w:pStyle w:val="Atext"/>
              <w:spacing w:before="40" w:after="40"/>
              <w:ind w:firstLine="17"/>
              <w:jc w:val="left"/>
              <w:rPr>
                <w:rFonts w:asciiTheme="majorHAnsi" w:eastAsia="Calibri" w:hAnsiTheme="majorHAnsi" w:cstheme="majorHAnsi"/>
              </w:rPr>
            </w:pPr>
            <w:r w:rsidRPr="00A76411">
              <w:rPr>
                <w:rFonts w:asciiTheme="majorHAnsi" w:eastAsia="Calibri" w:hAnsiTheme="majorHAnsi" w:cstheme="majorHAnsi"/>
              </w:rPr>
              <w:t>plochy smíšené obytné</w:t>
            </w:r>
          </w:p>
        </w:tc>
        <w:tc>
          <w:tcPr>
            <w:tcW w:w="1132" w:type="dxa"/>
            <w:tcBorders>
              <w:top w:val="single" w:sz="4" w:space="0" w:color="auto"/>
              <w:left w:val="nil"/>
              <w:bottom w:val="single" w:sz="4" w:space="0" w:color="auto"/>
              <w:right w:val="single" w:sz="4" w:space="0" w:color="auto"/>
            </w:tcBorders>
            <w:noWrap/>
          </w:tcPr>
          <w:p w14:paraId="4FDB3C28" w14:textId="14EC2592" w:rsidR="007F4A1A" w:rsidRPr="00A76411" w:rsidRDefault="005922F8" w:rsidP="007F4A1A">
            <w:pPr>
              <w:pStyle w:val="Atext"/>
              <w:spacing w:before="40" w:after="40"/>
              <w:ind w:firstLine="17"/>
              <w:jc w:val="center"/>
              <w:rPr>
                <w:rFonts w:asciiTheme="majorHAnsi" w:eastAsia="Calibri" w:hAnsiTheme="majorHAnsi" w:cstheme="majorHAnsi"/>
              </w:rPr>
            </w:pPr>
            <w:r>
              <w:rPr>
                <w:rFonts w:asciiTheme="majorHAnsi" w:hAnsiTheme="majorHAnsi" w:cstheme="majorHAnsi"/>
              </w:rPr>
              <w:t>7,4677</w:t>
            </w:r>
          </w:p>
        </w:tc>
        <w:tc>
          <w:tcPr>
            <w:tcW w:w="992" w:type="dxa"/>
            <w:tcBorders>
              <w:top w:val="single" w:sz="4" w:space="0" w:color="auto"/>
              <w:left w:val="nil"/>
              <w:bottom w:val="single" w:sz="4" w:space="0" w:color="auto"/>
              <w:right w:val="single" w:sz="4" w:space="0" w:color="auto"/>
            </w:tcBorders>
            <w:noWrap/>
          </w:tcPr>
          <w:p w14:paraId="289FA3FF" w14:textId="67266697" w:rsidR="007F4A1A" w:rsidRPr="00A76411" w:rsidRDefault="005922F8" w:rsidP="007F4A1A">
            <w:pPr>
              <w:pStyle w:val="Atext"/>
              <w:spacing w:before="40" w:after="40"/>
              <w:ind w:firstLine="17"/>
              <w:jc w:val="center"/>
              <w:rPr>
                <w:rFonts w:asciiTheme="majorHAnsi" w:eastAsia="Calibri" w:hAnsiTheme="majorHAnsi" w:cstheme="majorHAnsi"/>
              </w:rPr>
            </w:pPr>
            <w:r>
              <w:rPr>
                <w:rFonts w:asciiTheme="majorHAnsi" w:hAnsiTheme="majorHAnsi" w:cstheme="majorHAnsi"/>
              </w:rPr>
              <w:t>5,2485</w:t>
            </w:r>
          </w:p>
        </w:tc>
        <w:tc>
          <w:tcPr>
            <w:tcW w:w="993" w:type="dxa"/>
            <w:tcBorders>
              <w:top w:val="single" w:sz="4" w:space="0" w:color="auto"/>
              <w:left w:val="nil"/>
              <w:bottom w:val="single" w:sz="4" w:space="0" w:color="auto"/>
              <w:right w:val="single" w:sz="4" w:space="0" w:color="auto"/>
            </w:tcBorders>
            <w:noWrap/>
          </w:tcPr>
          <w:p w14:paraId="0F6342D5" w14:textId="463E82E3" w:rsidR="007F4A1A" w:rsidRPr="00A76411" w:rsidRDefault="007F4A1A" w:rsidP="007F4A1A">
            <w:pPr>
              <w:pStyle w:val="Atext"/>
              <w:spacing w:before="40" w:after="40"/>
              <w:ind w:firstLine="17"/>
              <w:jc w:val="center"/>
              <w:rPr>
                <w:rFonts w:asciiTheme="majorHAnsi" w:eastAsia="Calibri" w:hAnsiTheme="majorHAnsi" w:cstheme="majorHAnsi"/>
              </w:rPr>
            </w:pPr>
            <w:r w:rsidRPr="00A76411">
              <w:rPr>
                <w:rFonts w:asciiTheme="majorHAnsi" w:hAnsiTheme="majorHAnsi" w:cstheme="majorHAnsi"/>
              </w:rPr>
              <w:t>0,6455</w:t>
            </w:r>
          </w:p>
        </w:tc>
        <w:tc>
          <w:tcPr>
            <w:tcW w:w="992" w:type="dxa"/>
            <w:tcBorders>
              <w:top w:val="single" w:sz="4" w:space="0" w:color="auto"/>
              <w:left w:val="nil"/>
              <w:bottom w:val="single" w:sz="4" w:space="0" w:color="auto"/>
              <w:right w:val="single" w:sz="4" w:space="0" w:color="auto"/>
            </w:tcBorders>
            <w:noWrap/>
          </w:tcPr>
          <w:p w14:paraId="6E07AD02" w14:textId="39554EB3" w:rsidR="007F4A1A" w:rsidRPr="00A76411" w:rsidRDefault="007F4A1A" w:rsidP="007F4A1A">
            <w:pPr>
              <w:pStyle w:val="Atext"/>
              <w:spacing w:before="40" w:after="40"/>
              <w:ind w:firstLine="17"/>
              <w:jc w:val="center"/>
              <w:rPr>
                <w:rFonts w:asciiTheme="majorHAnsi" w:eastAsia="Calibri" w:hAnsiTheme="majorHAnsi" w:cstheme="majorHAnsi"/>
              </w:rPr>
            </w:pPr>
            <w:r w:rsidRPr="00A76411">
              <w:rPr>
                <w:rFonts w:asciiTheme="majorHAnsi" w:hAnsiTheme="majorHAnsi" w:cstheme="majorHAnsi"/>
              </w:rPr>
              <w:t>0</w:t>
            </w:r>
          </w:p>
        </w:tc>
        <w:tc>
          <w:tcPr>
            <w:tcW w:w="992" w:type="dxa"/>
            <w:tcBorders>
              <w:top w:val="single" w:sz="4" w:space="0" w:color="auto"/>
              <w:left w:val="nil"/>
              <w:bottom w:val="single" w:sz="4" w:space="0" w:color="auto"/>
              <w:right w:val="single" w:sz="4" w:space="0" w:color="auto"/>
            </w:tcBorders>
            <w:noWrap/>
          </w:tcPr>
          <w:p w14:paraId="37851871" w14:textId="0DB284AF" w:rsidR="007F4A1A" w:rsidRPr="00A76411" w:rsidRDefault="007F4A1A" w:rsidP="007F4A1A">
            <w:pPr>
              <w:pStyle w:val="Atext"/>
              <w:spacing w:before="40" w:after="40"/>
              <w:ind w:firstLine="17"/>
              <w:jc w:val="center"/>
              <w:rPr>
                <w:rFonts w:asciiTheme="majorHAnsi" w:eastAsia="Calibri" w:hAnsiTheme="majorHAnsi" w:cstheme="majorHAnsi"/>
              </w:rPr>
            </w:pPr>
            <w:r w:rsidRPr="00A76411">
              <w:rPr>
                <w:rFonts w:asciiTheme="majorHAnsi" w:hAnsiTheme="majorHAnsi" w:cstheme="majorHAnsi"/>
              </w:rPr>
              <w:t>1,5737</w:t>
            </w:r>
          </w:p>
        </w:tc>
        <w:tc>
          <w:tcPr>
            <w:tcW w:w="992" w:type="dxa"/>
            <w:tcBorders>
              <w:top w:val="single" w:sz="4" w:space="0" w:color="auto"/>
              <w:left w:val="nil"/>
              <w:bottom w:val="single" w:sz="4" w:space="0" w:color="auto"/>
              <w:right w:val="single" w:sz="4" w:space="0" w:color="auto"/>
            </w:tcBorders>
            <w:noWrap/>
          </w:tcPr>
          <w:p w14:paraId="0807847D" w14:textId="49D5EC2F" w:rsidR="007F4A1A" w:rsidRPr="00A76411" w:rsidRDefault="007F4A1A" w:rsidP="007F4A1A">
            <w:pPr>
              <w:pStyle w:val="Atext"/>
              <w:spacing w:before="40" w:after="40"/>
              <w:ind w:firstLine="17"/>
              <w:jc w:val="center"/>
              <w:rPr>
                <w:rFonts w:asciiTheme="majorHAnsi" w:eastAsia="Calibri" w:hAnsiTheme="majorHAnsi" w:cstheme="majorHAnsi"/>
              </w:rPr>
            </w:pPr>
            <w:r w:rsidRPr="00A76411">
              <w:rPr>
                <w:rFonts w:asciiTheme="majorHAnsi" w:hAnsiTheme="majorHAnsi" w:cstheme="majorHAnsi"/>
              </w:rPr>
              <w:t>0</w:t>
            </w:r>
          </w:p>
        </w:tc>
      </w:tr>
      <w:tr w:rsidR="007F4A1A" w:rsidRPr="00A76411" w14:paraId="647C7BBD" w14:textId="77777777" w:rsidTr="00041EBB">
        <w:trPr>
          <w:trHeight w:val="300"/>
          <w:jc w:val="center"/>
        </w:trPr>
        <w:tc>
          <w:tcPr>
            <w:tcW w:w="2977" w:type="dxa"/>
            <w:tcBorders>
              <w:top w:val="single" w:sz="4" w:space="0" w:color="auto"/>
              <w:left w:val="single" w:sz="4" w:space="0" w:color="auto"/>
              <w:bottom w:val="single" w:sz="4" w:space="0" w:color="auto"/>
              <w:right w:val="single" w:sz="4" w:space="0" w:color="auto"/>
            </w:tcBorders>
            <w:noWrap/>
            <w:vAlign w:val="center"/>
          </w:tcPr>
          <w:p w14:paraId="241044A6" w14:textId="77777777" w:rsidR="007F4A1A" w:rsidRPr="00A76411" w:rsidRDefault="007F4A1A" w:rsidP="007F4A1A">
            <w:pPr>
              <w:pStyle w:val="Atext"/>
              <w:spacing w:before="40" w:after="40"/>
              <w:ind w:firstLine="17"/>
              <w:jc w:val="left"/>
              <w:rPr>
                <w:rFonts w:asciiTheme="majorHAnsi" w:eastAsia="Calibri" w:hAnsiTheme="majorHAnsi" w:cstheme="majorHAnsi"/>
              </w:rPr>
            </w:pPr>
            <w:r w:rsidRPr="00A76411">
              <w:rPr>
                <w:rFonts w:asciiTheme="majorHAnsi" w:eastAsia="Calibri" w:hAnsiTheme="majorHAnsi" w:cstheme="majorHAnsi"/>
              </w:rPr>
              <w:t>plochy technické infrastruktury</w:t>
            </w:r>
          </w:p>
        </w:tc>
        <w:tc>
          <w:tcPr>
            <w:tcW w:w="1132" w:type="dxa"/>
            <w:tcBorders>
              <w:top w:val="single" w:sz="4" w:space="0" w:color="auto"/>
              <w:left w:val="nil"/>
              <w:bottom w:val="single" w:sz="4" w:space="0" w:color="auto"/>
              <w:right w:val="single" w:sz="4" w:space="0" w:color="auto"/>
            </w:tcBorders>
            <w:noWrap/>
          </w:tcPr>
          <w:p w14:paraId="1F265F89" w14:textId="0BBD886E" w:rsidR="007F4A1A" w:rsidRPr="00A76411" w:rsidRDefault="007F4A1A" w:rsidP="007F4A1A">
            <w:pPr>
              <w:pStyle w:val="Atext"/>
              <w:spacing w:before="40" w:after="40"/>
              <w:ind w:firstLine="17"/>
              <w:jc w:val="center"/>
              <w:rPr>
                <w:rFonts w:asciiTheme="majorHAnsi" w:eastAsia="Calibri" w:hAnsiTheme="majorHAnsi" w:cstheme="majorHAnsi"/>
              </w:rPr>
            </w:pPr>
            <w:r w:rsidRPr="00A76411">
              <w:rPr>
                <w:rFonts w:asciiTheme="majorHAnsi" w:hAnsiTheme="majorHAnsi" w:cstheme="majorHAnsi"/>
              </w:rPr>
              <w:t>0,0068</w:t>
            </w:r>
          </w:p>
        </w:tc>
        <w:tc>
          <w:tcPr>
            <w:tcW w:w="992" w:type="dxa"/>
            <w:tcBorders>
              <w:top w:val="single" w:sz="4" w:space="0" w:color="auto"/>
              <w:left w:val="nil"/>
              <w:bottom w:val="single" w:sz="4" w:space="0" w:color="auto"/>
              <w:right w:val="single" w:sz="4" w:space="0" w:color="auto"/>
            </w:tcBorders>
            <w:noWrap/>
          </w:tcPr>
          <w:p w14:paraId="1E2BCC56" w14:textId="6936BAD8" w:rsidR="007F4A1A" w:rsidRPr="00A76411" w:rsidRDefault="007F4A1A" w:rsidP="007F4A1A">
            <w:pPr>
              <w:pStyle w:val="Atext"/>
              <w:spacing w:before="40" w:after="40"/>
              <w:ind w:firstLine="17"/>
              <w:jc w:val="center"/>
              <w:rPr>
                <w:rFonts w:asciiTheme="majorHAnsi" w:eastAsia="Calibri" w:hAnsiTheme="majorHAnsi" w:cstheme="majorHAnsi"/>
              </w:rPr>
            </w:pPr>
            <w:r w:rsidRPr="00A76411">
              <w:rPr>
                <w:rFonts w:asciiTheme="majorHAnsi" w:hAnsiTheme="majorHAnsi" w:cstheme="majorHAnsi"/>
              </w:rPr>
              <w:t>0</w:t>
            </w:r>
          </w:p>
        </w:tc>
        <w:tc>
          <w:tcPr>
            <w:tcW w:w="993" w:type="dxa"/>
            <w:tcBorders>
              <w:top w:val="single" w:sz="4" w:space="0" w:color="auto"/>
              <w:left w:val="nil"/>
              <w:bottom w:val="single" w:sz="4" w:space="0" w:color="auto"/>
              <w:right w:val="single" w:sz="4" w:space="0" w:color="auto"/>
            </w:tcBorders>
            <w:noWrap/>
          </w:tcPr>
          <w:p w14:paraId="114AB040" w14:textId="7FAEF5D1" w:rsidR="007F4A1A" w:rsidRPr="00A76411" w:rsidRDefault="007F4A1A" w:rsidP="007F4A1A">
            <w:pPr>
              <w:pStyle w:val="Atext"/>
              <w:spacing w:before="40" w:after="40"/>
              <w:ind w:firstLine="17"/>
              <w:jc w:val="center"/>
              <w:rPr>
                <w:rFonts w:asciiTheme="majorHAnsi" w:eastAsia="Calibri" w:hAnsiTheme="majorHAnsi" w:cstheme="majorHAnsi"/>
              </w:rPr>
            </w:pPr>
            <w:r w:rsidRPr="00A76411">
              <w:rPr>
                <w:rFonts w:asciiTheme="majorHAnsi" w:hAnsiTheme="majorHAnsi" w:cstheme="majorHAnsi"/>
              </w:rPr>
              <w:t>0</w:t>
            </w:r>
          </w:p>
        </w:tc>
        <w:tc>
          <w:tcPr>
            <w:tcW w:w="992" w:type="dxa"/>
            <w:tcBorders>
              <w:top w:val="single" w:sz="4" w:space="0" w:color="auto"/>
              <w:left w:val="nil"/>
              <w:bottom w:val="single" w:sz="4" w:space="0" w:color="auto"/>
              <w:right w:val="single" w:sz="4" w:space="0" w:color="auto"/>
            </w:tcBorders>
            <w:noWrap/>
          </w:tcPr>
          <w:p w14:paraId="795832C8" w14:textId="4258049A" w:rsidR="007F4A1A" w:rsidRPr="00A76411" w:rsidRDefault="007F4A1A" w:rsidP="007F4A1A">
            <w:pPr>
              <w:pStyle w:val="Atext"/>
              <w:spacing w:before="40" w:after="40"/>
              <w:ind w:firstLine="17"/>
              <w:jc w:val="center"/>
              <w:rPr>
                <w:rFonts w:asciiTheme="majorHAnsi" w:eastAsia="Calibri" w:hAnsiTheme="majorHAnsi" w:cstheme="majorHAnsi"/>
              </w:rPr>
            </w:pPr>
            <w:r w:rsidRPr="00A76411">
              <w:rPr>
                <w:rFonts w:asciiTheme="majorHAnsi" w:hAnsiTheme="majorHAnsi" w:cstheme="majorHAnsi"/>
              </w:rPr>
              <w:t>0</w:t>
            </w:r>
          </w:p>
        </w:tc>
        <w:tc>
          <w:tcPr>
            <w:tcW w:w="992" w:type="dxa"/>
            <w:tcBorders>
              <w:top w:val="single" w:sz="4" w:space="0" w:color="auto"/>
              <w:left w:val="nil"/>
              <w:bottom w:val="single" w:sz="4" w:space="0" w:color="auto"/>
              <w:right w:val="single" w:sz="4" w:space="0" w:color="auto"/>
            </w:tcBorders>
            <w:noWrap/>
          </w:tcPr>
          <w:p w14:paraId="47A110F3" w14:textId="587B4474" w:rsidR="007F4A1A" w:rsidRPr="00A76411" w:rsidRDefault="007F4A1A" w:rsidP="007F4A1A">
            <w:pPr>
              <w:pStyle w:val="Atext"/>
              <w:spacing w:before="40" w:after="40"/>
              <w:ind w:firstLine="17"/>
              <w:jc w:val="center"/>
              <w:rPr>
                <w:rFonts w:asciiTheme="majorHAnsi" w:eastAsia="Calibri" w:hAnsiTheme="majorHAnsi" w:cstheme="majorHAnsi"/>
              </w:rPr>
            </w:pPr>
            <w:r w:rsidRPr="00A76411">
              <w:rPr>
                <w:rFonts w:asciiTheme="majorHAnsi" w:hAnsiTheme="majorHAnsi" w:cstheme="majorHAnsi"/>
              </w:rPr>
              <w:t>0,0068</w:t>
            </w:r>
          </w:p>
        </w:tc>
        <w:tc>
          <w:tcPr>
            <w:tcW w:w="992" w:type="dxa"/>
            <w:tcBorders>
              <w:top w:val="single" w:sz="4" w:space="0" w:color="auto"/>
              <w:left w:val="nil"/>
              <w:bottom w:val="single" w:sz="4" w:space="0" w:color="auto"/>
              <w:right w:val="single" w:sz="4" w:space="0" w:color="auto"/>
            </w:tcBorders>
            <w:noWrap/>
          </w:tcPr>
          <w:p w14:paraId="09142282" w14:textId="275108D7" w:rsidR="007F4A1A" w:rsidRPr="00A76411" w:rsidRDefault="007F4A1A" w:rsidP="007F4A1A">
            <w:pPr>
              <w:pStyle w:val="Atext"/>
              <w:spacing w:before="40" w:after="40"/>
              <w:ind w:firstLine="17"/>
              <w:jc w:val="center"/>
              <w:rPr>
                <w:rFonts w:asciiTheme="majorHAnsi" w:eastAsia="Calibri" w:hAnsiTheme="majorHAnsi" w:cstheme="majorHAnsi"/>
              </w:rPr>
            </w:pPr>
            <w:r w:rsidRPr="00A76411">
              <w:rPr>
                <w:rFonts w:asciiTheme="majorHAnsi" w:hAnsiTheme="majorHAnsi" w:cstheme="majorHAnsi"/>
              </w:rPr>
              <w:t>0</w:t>
            </w:r>
          </w:p>
        </w:tc>
      </w:tr>
      <w:tr w:rsidR="007F4A1A" w:rsidRPr="00A76411" w14:paraId="1619F316" w14:textId="77777777" w:rsidTr="00041EBB">
        <w:trPr>
          <w:trHeight w:val="300"/>
          <w:jc w:val="center"/>
        </w:trPr>
        <w:tc>
          <w:tcPr>
            <w:tcW w:w="2977" w:type="dxa"/>
            <w:tcBorders>
              <w:top w:val="single" w:sz="4" w:space="0" w:color="auto"/>
              <w:left w:val="single" w:sz="4" w:space="0" w:color="auto"/>
              <w:bottom w:val="single" w:sz="4" w:space="0" w:color="auto"/>
              <w:right w:val="single" w:sz="4" w:space="0" w:color="auto"/>
            </w:tcBorders>
            <w:noWrap/>
            <w:vAlign w:val="center"/>
          </w:tcPr>
          <w:p w14:paraId="16A3E970" w14:textId="77777777" w:rsidR="007F4A1A" w:rsidRPr="00A76411" w:rsidRDefault="007F4A1A" w:rsidP="007F4A1A">
            <w:pPr>
              <w:pStyle w:val="Atext"/>
              <w:spacing w:before="40" w:after="40"/>
              <w:ind w:firstLine="17"/>
              <w:jc w:val="left"/>
              <w:rPr>
                <w:rFonts w:asciiTheme="majorHAnsi" w:eastAsia="Calibri" w:hAnsiTheme="majorHAnsi" w:cstheme="majorHAnsi"/>
              </w:rPr>
            </w:pPr>
            <w:r w:rsidRPr="00A76411">
              <w:rPr>
                <w:rFonts w:asciiTheme="majorHAnsi" w:eastAsia="Calibri" w:hAnsiTheme="majorHAnsi" w:cstheme="majorHAnsi"/>
              </w:rPr>
              <w:t>plochy výroby a skladování</w:t>
            </w:r>
          </w:p>
        </w:tc>
        <w:tc>
          <w:tcPr>
            <w:tcW w:w="1132" w:type="dxa"/>
            <w:tcBorders>
              <w:top w:val="single" w:sz="4" w:space="0" w:color="auto"/>
              <w:left w:val="nil"/>
              <w:bottom w:val="single" w:sz="4" w:space="0" w:color="auto"/>
              <w:right w:val="single" w:sz="4" w:space="0" w:color="auto"/>
            </w:tcBorders>
            <w:noWrap/>
          </w:tcPr>
          <w:p w14:paraId="293F371E" w14:textId="359550B6" w:rsidR="007F4A1A" w:rsidRPr="00A76411" w:rsidRDefault="005922F8" w:rsidP="007F4A1A">
            <w:pPr>
              <w:pStyle w:val="Atext"/>
              <w:spacing w:before="40" w:after="40"/>
              <w:ind w:firstLine="17"/>
              <w:jc w:val="center"/>
              <w:rPr>
                <w:rFonts w:asciiTheme="majorHAnsi" w:eastAsia="Calibri" w:hAnsiTheme="majorHAnsi" w:cstheme="majorHAnsi"/>
              </w:rPr>
            </w:pPr>
            <w:r>
              <w:rPr>
                <w:rFonts w:asciiTheme="majorHAnsi" w:hAnsiTheme="majorHAnsi" w:cstheme="majorHAnsi"/>
              </w:rPr>
              <w:t>2,1064</w:t>
            </w:r>
          </w:p>
        </w:tc>
        <w:tc>
          <w:tcPr>
            <w:tcW w:w="992" w:type="dxa"/>
            <w:tcBorders>
              <w:top w:val="single" w:sz="4" w:space="0" w:color="auto"/>
              <w:left w:val="nil"/>
              <w:bottom w:val="single" w:sz="4" w:space="0" w:color="auto"/>
              <w:right w:val="single" w:sz="4" w:space="0" w:color="auto"/>
            </w:tcBorders>
            <w:noWrap/>
          </w:tcPr>
          <w:p w14:paraId="79325409" w14:textId="0E0E6660" w:rsidR="007F4A1A" w:rsidRPr="00A76411" w:rsidRDefault="005922F8" w:rsidP="007F4A1A">
            <w:pPr>
              <w:pStyle w:val="Atext"/>
              <w:spacing w:before="40" w:after="40"/>
              <w:ind w:firstLine="17"/>
              <w:jc w:val="center"/>
              <w:rPr>
                <w:rFonts w:asciiTheme="majorHAnsi" w:eastAsia="Calibri" w:hAnsiTheme="majorHAnsi" w:cstheme="majorHAnsi"/>
              </w:rPr>
            </w:pPr>
            <w:r>
              <w:rPr>
                <w:rFonts w:asciiTheme="majorHAnsi" w:hAnsiTheme="majorHAnsi" w:cstheme="majorHAnsi"/>
              </w:rPr>
              <w:t>0,5943</w:t>
            </w:r>
          </w:p>
        </w:tc>
        <w:tc>
          <w:tcPr>
            <w:tcW w:w="993" w:type="dxa"/>
            <w:tcBorders>
              <w:top w:val="single" w:sz="4" w:space="0" w:color="auto"/>
              <w:left w:val="nil"/>
              <w:bottom w:val="single" w:sz="4" w:space="0" w:color="auto"/>
              <w:right w:val="single" w:sz="4" w:space="0" w:color="auto"/>
            </w:tcBorders>
            <w:noWrap/>
          </w:tcPr>
          <w:p w14:paraId="1ACECAD1" w14:textId="3A2CBF45" w:rsidR="007F4A1A" w:rsidRPr="00A76411" w:rsidRDefault="007F4A1A" w:rsidP="007F4A1A">
            <w:pPr>
              <w:pStyle w:val="Atext"/>
              <w:spacing w:before="40" w:after="40"/>
              <w:ind w:firstLine="17"/>
              <w:jc w:val="center"/>
              <w:rPr>
                <w:rFonts w:asciiTheme="majorHAnsi" w:eastAsia="Calibri" w:hAnsiTheme="majorHAnsi" w:cstheme="majorHAnsi"/>
              </w:rPr>
            </w:pPr>
            <w:r w:rsidRPr="00A76411">
              <w:rPr>
                <w:rFonts w:asciiTheme="majorHAnsi" w:hAnsiTheme="majorHAnsi" w:cstheme="majorHAnsi"/>
              </w:rPr>
              <w:t>0</w:t>
            </w:r>
          </w:p>
        </w:tc>
        <w:tc>
          <w:tcPr>
            <w:tcW w:w="992" w:type="dxa"/>
            <w:tcBorders>
              <w:top w:val="single" w:sz="4" w:space="0" w:color="auto"/>
              <w:left w:val="nil"/>
              <w:bottom w:val="single" w:sz="4" w:space="0" w:color="auto"/>
              <w:right w:val="single" w:sz="4" w:space="0" w:color="auto"/>
            </w:tcBorders>
            <w:noWrap/>
          </w:tcPr>
          <w:p w14:paraId="0A477CFC" w14:textId="1A044252" w:rsidR="007F4A1A" w:rsidRPr="00A76411" w:rsidRDefault="005922F8" w:rsidP="007F4A1A">
            <w:pPr>
              <w:pStyle w:val="Atext"/>
              <w:spacing w:before="40" w:after="40"/>
              <w:ind w:firstLine="17"/>
              <w:jc w:val="center"/>
              <w:rPr>
                <w:rFonts w:asciiTheme="majorHAnsi" w:eastAsia="Calibri" w:hAnsiTheme="majorHAnsi" w:cstheme="majorHAnsi"/>
              </w:rPr>
            </w:pPr>
            <w:r>
              <w:rPr>
                <w:rFonts w:asciiTheme="majorHAnsi" w:hAnsiTheme="majorHAnsi" w:cstheme="majorHAnsi"/>
              </w:rPr>
              <w:t>0,9231</w:t>
            </w:r>
          </w:p>
        </w:tc>
        <w:tc>
          <w:tcPr>
            <w:tcW w:w="992" w:type="dxa"/>
            <w:tcBorders>
              <w:top w:val="single" w:sz="4" w:space="0" w:color="auto"/>
              <w:left w:val="nil"/>
              <w:bottom w:val="single" w:sz="4" w:space="0" w:color="auto"/>
              <w:right w:val="single" w:sz="4" w:space="0" w:color="auto"/>
            </w:tcBorders>
            <w:noWrap/>
          </w:tcPr>
          <w:p w14:paraId="739286D7" w14:textId="2CAAF0FA" w:rsidR="007F4A1A" w:rsidRPr="00A76411" w:rsidRDefault="007F4A1A" w:rsidP="007F4A1A">
            <w:pPr>
              <w:pStyle w:val="Atext"/>
              <w:spacing w:before="40" w:after="40"/>
              <w:ind w:firstLine="17"/>
              <w:jc w:val="center"/>
              <w:rPr>
                <w:rFonts w:asciiTheme="majorHAnsi" w:eastAsia="Calibri" w:hAnsiTheme="majorHAnsi" w:cstheme="majorHAnsi"/>
              </w:rPr>
            </w:pPr>
            <w:r w:rsidRPr="00A76411">
              <w:rPr>
                <w:rFonts w:asciiTheme="majorHAnsi" w:hAnsiTheme="majorHAnsi" w:cstheme="majorHAnsi"/>
              </w:rPr>
              <w:t>0,589</w:t>
            </w:r>
          </w:p>
        </w:tc>
        <w:tc>
          <w:tcPr>
            <w:tcW w:w="992" w:type="dxa"/>
            <w:tcBorders>
              <w:top w:val="single" w:sz="4" w:space="0" w:color="auto"/>
              <w:left w:val="nil"/>
              <w:bottom w:val="single" w:sz="4" w:space="0" w:color="auto"/>
              <w:right w:val="single" w:sz="4" w:space="0" w:color="auto"/>
            </w:tcBorders>
            <w:noWrap/>
          </w:tcPr>
          <w:p w14:paraId="574BE841" w14:textId="4724428D" w:rsidR="007F4A1A" w:rsidRPr="00A76411" w:rsidRDefault="007F4A1A" w:rsidP="007F4A1A">
            <w:pPr>
              <w:pStyle w:val="Atext"/>
              <w:spacing w:before="40" w:after="40"/>
              <w:ind w:firstLine="17"/>
              <w:jc w:val="center"/>
              <w:rPr>
                <w:rFonts w:asciiTheme="majorHAnsi" w:eastAsia="Calibri" w:hAnsiTheme="majorHAnsi" w:cstheme="majorHAnsi"/>
              </w:rPr>
            </w:pPr>
            <w:r w:rsidRPr="00A76411">
              <w:rPr>
                <w:rFonts w:asciiTheme="majorHAnsi" w:hAnsiTheme="majorHAnsi" w:cstheme="majorHAnsi"/>
              </w:rPr>
              <w:t>0</w:t>
            </w:r>
          </w:p>
        </w:tc>
      </w:tr>
      <w:tr w:rsidR="007F4A1A" w:rsidRPr="00A76411" w14:paraId="12F8193B" w14:textId="77777777" w:rsidTr="00041EBB">
        <w:trPr>
          <w:trHeight w:val="300"/>
          <w:jc w:val="center"/>
        </w:trPr>
        <w:tc>
          <w:tcPr>
            <w:tcW w:w="2977" w:type="dxa"/>
            <w:tcBorders>
              <w:top w:val="single" w:sz="4" w:space="0" w:color="auto"/>
              <w:left w:val="single" w:sz="4" w:space="0" w:color="auto"/>
              <w:bottom w:val="single" w:sz="4" w:space="0" w:color="auto"/>
              <w:right w:val="single" w:sz="4" w:space="0" w:color="auto"/>
            </w:tcBorders>
            <w:noWrap/>
            <w:vAlign w:val="center"/>
          </w:tcPr>
          <w:p w14:paraId="15B303C5" w14:textId="77777777" w:rsidR="007F4A1A" w:rsidRPr="00A76411" w:rsidRDefault="007F4A1A" w:rsidP="007F4A1A">
            <w:pPr>
              <w:pStyle w:val="Atext"/>
              <w:spacing w:before="40" w:after="40"/>
              <w:ind w:firstLine="17"/>
              <w:jc w:val="left"/>
              <w:rPr>
                <w:rFonts w:asciiTheme="majorHAnsi" w:eastAsia="Calibri" w:hAnsiTheme="majorHAnsi" w:cstheme="majorHAnsi"/>
              </w:rPr>
            </w:pPr>
            <w:r w:rsidRPr="00A76411">
              <w:rPr>
                <w:rFonts w:asciiTheme="majorHAnsi" w:eastAsia="Calibri" w:hAnsiTheme="majorHAnsi" w:cstheme="majorHAnsi"/>
              </w:rPr>
              <w:t>plochy smíšené nezastavěného území</w:t>
            </w:r>
          </w:p>
        </w:tc>
        <w:tc>
          <w:tcPr>
            <w:tcW w:w="1132" w:type="dxa"/>
            <w:tcBorders>
              <w:top w:val="single" w:sz="4" w:space="0" w:color="auto"/>
              <w:left w:val="nil"/>
              <w:bottom w:val="single" w:sz="4" w:space="0" w:color="auto"/>
              <w:right w:val="single" w:sz="4" w:space="0" w:color="auto"/>
            </w:tcBorders>
            <w:noWrap/>
          </w:tcPr>
          <w:p w14:paraId="0FA457C3" w14:textId="6D91BB0A" w:rsidR="007F4A1A" w:rsidRPr="00A76411" w:rsidRDefault="007F4A1A" w:rsidP="007F4A1A">
            <w:pPr>
              <w:pStyle w:val="Atext"/>
              <w:spacing w:before="40" w:after="40"/>
              <w:ind w:firstLine="17"/>
              <w:jc w:val="center"/>
              <w:rPr>
                <w:rFonts w:asciiTheme="majorHAnsi" w:eastAsia="Calibri" w:hAnsiTheme="majorHAnsi" w:cstheme="majorHAnsi"/>
              </w:rPr>
            </w:pPr>
            <w:r w:rsidRPr="00A76411">
              <w:rPr>
                <w:rFonts w:asciiTheme="majorHAnsi" w:hAnsiTheme="majorHAnsi" w:cstheme="majorHAnsi"/>
              </w:rPr>
              <w:t>0,3703</w:t>
            </w:r>
          </w:p>
        </w:tc>
        <w:tc>
          <w:tcPr>
            <w:tcW w:w="992" w:type="dxa"/>
            <w:tcBorders>
              <w:top w:val="single" w:sz="4" w:space="0" w:color="auto"/>
              <w:left w:val="nil"/>
              <w:bottom w:val="single" w:sz="4" w:space="0" w:color="auto"/>
              <w:right w:val="single" w:sz="4" w:space="0" w:color="auto"/>
            </w:tcBorders>
            <w:noWrap/>
          </w:tcPr>
          <w:p w14:paraId="2EC79A59" w14:textId="3858D561" w:rsidR="007F4A1A" w:rsidRPr="00A76411" w:rsidRDefault="007F4A1A" w:rsidP="007F4A1A">
            <w:pPr>
              <w:pStyle w:val="Atext"/>
              <w:spacing w:before="40" w:after="40"/>
              <w:ind w:firstLine="17"/>
              <w:jc w:val="center"/>
              <w:rPr>
                <w:rFonts w:asciiTheme="majorHAnsi" w:eastAsia="Calibri" w:hAnsiTheme="majorHAnsi" w:cstheme="majorHAnsi"/>
              </w:rPr>
            </w:pPr>
            <w:r w:rsidRPr="00A76411">
              <w:rPr>
                <w:rFonts w:asciiTheme="majorHAnsi" w:hAnsiTheme="majorHAnsi" w:cstheme="majorHAnsi"/>
              </w:rPr>
              <w:t>0</w:t>
            </w:r>
          </w:p>
        </w:tc>
        <w:tc>
          <w:tcPr>
            <w:tcW w:w="993" w:type="dxa"/>
            <w:tcBorders>
              <w:top w:val="single" w:sz="4" w:space="0" w:color="auto"/>
              <w:left w:val="nil"/>
              <w:bottom w:val="single" w:sz="4" w:space="0" w:color="auto"/>
              <w:right w:val="single" w:sz="4" w:space="0" w:color="auto"/>
            </w:tcBorders>
            <w:noWrap/>
          </w:tcPr>
          <w:p w14:paraId="3A791F40" w14:textId="406D7F31" w:rsidR="007F4A1A" w:rsidRPr="00A76411" w:rsidRDefault="007F4A1A" w:rsidP="007F4A1A">
            <w:pPr>
              <w:pStyle w:val="Atext"/>
              <w:spacing w:before="40" w:after="40"/>
              <w:ind w:firstLine="17"/>
              <w:jc w:val="center"/>
              <w:rPr>
                <w:rFonts w:asciiTheme="majorHAnsi" w:eastAsia="Calibri" w:hAnsiTheme="majorHAnsi" w:cstheme="majorHAnsi"/>
              </w:rPr>
            </w:pPr>
            <w:r w:rsidRPr="00A76411">
              <w:rPr>
                <w:rFonts w:asciiTheme="majorHAnsi" w:hAnsiTheme="majorHAnsi" w:cstheme="majorHAnsi"/>
              </w:rPr>
              <w:t>0</w:t>
            </w:r>
          </w:p>
        </w:tc>
        <w:tc>
          <w:tcPr>
            <w:tcW w:w="992" w:type="dxa"/>
            <w:tcBorders>
              <w:top w:val="single" w:sz="4" w:space="0" w:color="auto"/>
              <w:left w:val="nil"/>
              <w:bottom w:val="single" w:sz="4" w:space="0" w:color="auto"/>
              <w:right w:val="single" w:sz="4" w:space="0" w:color="auto"/>
            </w:tcBorders>
            <w:noWrap/>
          </w:tcPr>
          <w:p w14:paraId="53B0A8B3" w14:textId="1D4F16D5" w:rsidR="007F4A1A" w:rsidRPr="00A76411" w:rsidRDefault="007F4A1A" w:rsidP="007F4A1A">
            <w:pPr>
              <w:pStyle w:val="Atext"/>
              <w:spacing w:before="40" w:after="40"/>
              <w:ind w:firstLine="17"/>
              <w:jc w:val="center"/>
              <w:rPr>
                <w:rFonts w:asciiTheme="majorHAnsi" w:eastAsia="Calibri" w:hAnsiTheme="majorHAnsi" w:cstheme="majorHAnsi"/>
              </w:rPr>
            </w:pPr>
            <w:r w:rsidRPr="00A76411">
              <w:rPr>
                <w:rFonts w:asciiTheme="majorHAnsi" w:hAnsiTheme="majorHAnsi" w:cstheme="majorHAnsi"/>
              </w:rPr>
              <w:t>0</w:t>
            </w:r>
          </w:p>
        </w:tc>
        <w:tc>
          <w:tcPr>
            <w:tcW w:w="992" w:type="dxa"/>
            <w:tcBorders>
              <w:top w:val="single" w:sz="4" w:space="0" w:color="auto"/>
              <w:left w:val="nil"/>
              <w:bottom w:val="single" w:sz="4" w:space="0" w:color="auto"/>
              <w:right w:val="single" w:sz="4" w:space="0" w:color="auto"/>
            </w:tcBorders>
            <w:noWrap/>
          </w:tcPr>
          <w:p w14:paraId="3B44BBAF" w14:textId="6BB71D83" w:rsidR="007F4A1A" w:rsidRPr="00A76411" w:rsidRDefault="007F4A1A" w:rsidP="007F4A1A">
            <w:pPr>
              <w:pStyle w:val="Atext"/>
              <w:spacing w:before="40" w:after="40"/>
              <w:ind w:firstLine="17"/>
              <w:jc w:val="center"/>
              <w:rPr>
                <w:rFonts w:asciiTheme="majorHAnsi" w:eastAsia="Calibri" w:hAnsiTheme="majorHAnsi" w:cstheme="majorHAnsi"/>
              </w:rPr>
            </w:pPr>
            <w:r w:rsidRPr="00A76411">
              <w:rPr>
                <w:rFonts w:asciiTheme="majorHAnsi" w:hAnsiTheme="majorHAnsi" w:cstheme="majorHAnsi"/>
              </w:rPr>
              <w:t>0,3703</w:t>
            </w:r>
          </w:p>
        </w:tc>
        <w:tc>
          <w:tcPr>
            <w:tcW w:w="992" w:type="dxa"/>
            <w:tcBorders>
              <w:top w:val="single" w:sz="4" w:space="0" w:color="auto"/>
              <w:left w:val="nil"/>
              <w:bottom w:val="single" w:sz="4" w:space="0" w:color="auto"/>
              <w:right w:val="single" w:sz="4" w:space="0" w:color="auto"/>
            </w:tcBorders>
            <w:noWrap/>
          </w:tcPr>
          <w:p w14:paraId="56E10E8D" w14:textId="2FED2F9A" w:rsidR="007F4A1A" w:rsidRPr="00A76411" w:rsidRDefault="007F4A1A" w:rsidP="007F4A1A">
            <w:pPr>
              <w:pStyle w:val="Atext"/>
              <w:spacing w:before="40" w:after="40"/>
              <w:ind w:firstLine="17"/>
              <w:jc w:val="center"/>
              <w:rPr>
                <w:rFonts w:asciiTheme="majorHAnsi" w:eastAsia="Calibri" w:hAnsiTheme="majorHAnsi" w:cstheme="majorHAnsi"/>
              </w:rPr>
            </w:pPr>
            <w:r w:rsidRPr="00A76411">
              <w:rPr>
                <w:rFonts w:asciiTheme="majorHAnsi" w:hAnsiTheme="majorHAnsi" w:cstheme="majorHAnsi"/>
              </w:rPr>
              <w:t>0</w:t>
            </w:r>
          </w:p>
        </w:tc>
      </w:tr>
      <w:tr w:rsidR="007F4A1A" w:rsidRPr="00A76411" w14:paraId="5FA6B4B4" w14:textId="77777777" w:rsidTr="00041EBB">
        <w:trPr>
          <w:trHeight w:val="300"/>
          <w:jc w:val="center"/>
        </w:trPr>
        <w:tc>
          <w:tcPr>
            <w:tcW w:w="2977" w:type="dxa"/>
            <w:tcBorders>
              <w:top w:val="single" w:sz="4" w:space="0" w:color="auto"/>
              <w:left w:val="single" w:sz="4" w:space="0" w:color="auto"/>
              <w:bottom w:val="single" w:sz="4" w:space="0" w:color="auto"/>
              <w:right w:val="single" w:sz="4" w:space="0" w:color="auto"/>
            </w:tcBorders>
            <w:noWrap/>
            <w:vAlign w:val="center"/>
          </w:tcPr>
          <w:p w14:paraId="61C41127" w14:textId="105C7999" w:rsidR="007F4A1A" w:rsidRPr="00A76411" w:rsidRDefault="007F4A1A" w:rsidP="007F4A1A">
            <w:pPr>
              <w:pStyle w:val="Atext"/>
              <w:spacing w:before="40" w:after="40"/>
              <w:ind w:firstLine="17"/>
              <w:jc w:val="left"/>
              <w:rPr>
                <w:rFonts w:asciiTheme="majorHAnsi" w:eastAsia="Calibri" w:hAnsiTheme="majorHAnsi" w:cstheme="majorHAnsi"/>
              </w:rPr>
            </w:pPr>
            <w:r w:rsidRPr="00A76411">
              <w:rPr>
                <w:rFonts w:asciiTheme="majorHAnsi" w:eastAsia="Calibri" w:hAnsiTheme="majorHAnsi" w:cstheme="majorHAnsi"/>
              </w:rPr>
              <w:t>plochy přírodní</w:t>
            </w:r>
          </w:p>
        </w:tc>
        <w:tc>
          <w:tcPr>
            <w:tcW w:w="1132" w:type="dxa"/>
            <w:tcBorders>
              <w:top w:val="single" w:sz="4" w:space="0" w:color="auto"/>
              <w:left w:val="nil"/>
              <w:bottom w:val="single" w:sz="4" w:space="0" w:color="auto"/>
              <w:right w:val="single" w:sz="4" w:space="0" w:color="auto"/>
            </w:tcBorders>
            <w:noWrap/>
          </w:tcPr>
          <w:p w14:paraId="39D2FA5C" w14:textId="586AA617" w:rsidR="007F4A1A" w:rsidRPr="00A76411" w:rsidRDefault="007F4A1A" w:rsidP="007F4A1A">
            <w:pPr>
              <w:pStyle w:val="Atext"/>
              <w:spacing w:before="40" w:after="40"/>
              <w:ind w:firstLine="17"/>
              <w:jc w:val="center"/>
              <w:rPr>
                <w:rFonts w:asciiTheme="majorHAnsi" w:hAnsiTheme="majorHAnsi" w:cstheme="majorHAnsi"/>
              </w:rPr>
            </w:pPr>
            <w:r w:rsidRPr="00A76411">
              <w:rPr>
                <w:rFonts w:asciiTheme="majorHAnsi" w:hAnsiTheme="majorHAnsi" w:cstheme="majorHAnsi"/>
              </w:rPr>
              <w:t>6,1257</w:t>
            </w:r>
          </w:p>
        </w:tc>
        <w:tc>
          <w:tcPr>
            <w:tcW w:w="992" w:type="dxa"/>
            <w:tcBorders>
              <w:top w:val="single" w:sz="4" w:space="0" w:color="auto"/>
              <w:left w:val="nil"/>
              <w:bottom w:val="single" w:sz="4" w:space="0" w:color="auto"/>
              <w:right w:val="single" w:sz="4" w:space="0" w:color="auto"/>
            </w:tcBorders>
            <w:noWrap/>
          </w:tcPr>
          <w:p w14:paraId="6DDB5DA8" w14:textId="5DC5FF82" w:rsidR="007F4A1A" w:rsidRPr="00A76411" w:rsidRDefault="007F4A1A" w:rsidP="007F4A1A">
            <w:pPr>
              <w:pStyle w:val="Atext"/>
              <w:spacing w:before="40" w:after="40"/>
              <w:ind w:firstLine="17"/>
              <w:jc w:val="center"/>
              <w:rPr>
                <w:rFonts w:asciiTheme="majorHAnsi" w:hAnsiTheme="majorHAnsi" w:cstheme="majorHAnsi"/>
              </w:rPr>
            </w:pPr>
            <w:r w:rsidRPr="00A76411">
              <w:rPr>
                <w:rFonts w:asciiTheme="majorHAnsi" w:hAnsiTheme="majorHAnsi" w:cstheme="majorHAnsi"/>
              </w:rPr>
              <w:t>6,1257</w:t>
            </w:r>
          </w:p>
        </w:tc>
        <w:tc>
          <w:tcPr>
            <w:tcW w:w="993" w:type="dxa"/>
            <w:tcBorders>
              <w:top w:val="single" w:sz="4" w:space="0" w:color="auto"/>
              <w:left w:val="nil"/>
              <w:bottom w:val="single" w:sz="4" w:space="0" w:color="auto"/>
              <w:right w:val="single" w:sz="4" w:space="0" w:color="auto"/>
            </w:tcBorders>
            <w:noWrap/>
          </w:tcPr>
          <w:p w14:paraId="13A4E5C1" w14:textId="5174F23A" w:rsidR="007F4A1A" w:rsidRPr="00A76411" w:rsidRDefault="007F4A1A" w:rsidP="007F4A1A">
            <w:pPr>
              <w:pStyle w:val="Atext"/>
              <w:spacing w:before="40" w:after="40"/>
              <w:ind w:firstLine="17"/>
              <w:jc w:val="center"/>
              <w:rPr>
                <w:rFonts w:asciiTheme="majorHAnsi" w:hAnsiTheme="majorHAnsi" w:cstheme="majorHAnsi"/>
              </w:rPr>
            </w:pPr>
            <w:r w:rsidRPr="00A76411">
              <w:rPr>
                <w:rFonts w:asciiTheme="majorHAnsi" w:hAnsiTheme="majorHAnsi" w:cstheme="majorHAnsi"/>
              </w:rPr>
              <w:t>0</w:t>
            </w:r>
          </w:p>
        </w:tc>
        <w:tc>
          <w:tcPr>
            <w:tcW w:w="992" w:type="dxa"/>
            <w:tcBorders>
              <w:top w:val="single" w:sz="4" w:space="0" w:color="auto"/>
              <w:left w:val="nil"/>
              <w:bottom w:val="single" w:sz="4" w:space="0" w:color="auto"/>
              <w:right w:val="single" w:sz="4" w:space="0" w:color="auto"/>
            </w:tcBorders>
            <w:noWrap/>
          </w:tcPr>
          <w:p w14:paraId="380EC9FF" w14:textId="7DDE219B" w:rsidR="007F4A1A" w:rsidRPr="00A76411" w:rsidRDefault="007F4A1A" w:rsidP="007F4A1A">
            <w:pPr>
              <w:pStyle w:val="Atext"/>
              <w:spacing w:before="40" w:after="40"/>
              <w:ind w:firstLine="17"/>
              <w:jc w:val="center"/>
              <w:rPr>
                <w:rFonts w:asciiTheme="majorHAnsi" w:hAnsiTheme="majorHAnsi" w:cstheme="majorHAnsi"/>
              </w:rPr>
            </w:pPr>
            <w:r w:rsidRPr="00A76411">
              <w:rPr>
                <w:rFonts w:asciiTheme="majorHAnsi" w:hAnsiTheme="majorHAnsi" w:cstheme="majorHAnsi"/>
              </w:rPr>
              <w:t>0</w:t>
            </w:r>
          </w:p>
        </w:tc>
        <w:tc>
          <w:tcPr>
            <w:tcW w:w="992" w:type="dxa"/>
            <w:tcBorders>
              <w:top w:val="single" w:sz="4" w:space="0" w:color="auto"/>
              <w:left w:val="nil"/>
              <w:bottom w:val="single" w:sz="4" w:space="0" w:color="auto"/>
              <w:right w:val="single" w:sz="4" w:space="0" w:color="auto"/>
            </w:tcBorders>
            <w:noWrap/>
          </w:tcPr>
          <w:p w14:paraId="2A680DE9" w14:textId="49066A33" w:rsidR="007F4A1A" w:rsidRPr="00A76411" w:rsidRDefault="007F4A1A" w:rsidP="007F4A1A">
            <w:pPr>
              <w:pStyle w:val="Atext"/>
              <w:spacing w:before="40" w:after="40"/>
              <w:ind w:firstLine="17"/>
              <w:jc w:val="center"/>
              <w:rPr>
                <w:rFonts w:asciiTheme="majorHAnsi" w:hAnsiTheme="majorHAnsi" w:cstheme="majorHAnsi"/>
              </w:rPr>
            </w:pPr>
            <w:r w:rsidRPr="00A76411">
              <w:rPr>
                <w:rFonts w:asciiTheme="majorHAnsi" w:hAnsiTheme="majorHAnsi" w:cstheme="majorHAnsi"/>
              </w:rPr>
              <w:t>0</w:t>
            </w:r>
          </w:p>
        </w:tc>
        <w:tc>
          <w:tcPr>
            <w:tcW w:w="992" w:type="dxa"/>
            <w:tcBorders>
              <w:top w:val="single" w:sz="4" w:space="0" w:color="auto"/>
              <w:left w:val="nil"/>
              <w:bottom w:val="single" w:sz="4" w:space="0" w:color="auto"/>
              <w:right w:val="single" w:sz="4" w:space="0" w:color="auto"/>
            </w:tcBorders>
            <w:noWrap/>
          </w:tcPr>
          <w:p w14:paraId="74EA680D" w14:textId="2302198A" w:rsidR="007F4A1A" w:rsidRPr="00A76411" w:rsidRDefault="007F4A1A" w:rsidP="007F4A1A">
            <w:pPr>
              <w:pStyle w:val="Atext"/>
              <w:spacing w:before="40" w:after="40"/>
              <w:ind w:firstLine="17"/>
              <w:jc w:val="center"/>
              <w:rPr>
                <w:rFonts w:asciiTheme="majorHAnsi" w:hAnsiTheme="majorHAnsi" w:cstheme="majorHAnsi"/>
              </w:rPr>
            </w:pPr>
            <w:r w:rsidRPr="00A76411">
              <w:rPr>
                <w:rFonts w:asciiTheme="majorHAnsi" w:hAnsiTheme="majorHAnsi" w:cstheme="majorHAnsi"/>
              </w:rPr>
              <w:t>0</w:t>
            </w:r>
          </w:p>
        </w:tc>
      </w:tr>
      <w:tr w:rsidR="007F4A1A" w:rsidRPr="00A76411" w14:paraId="6890D773" w14:textId="77777777" w:rsidTr="00041EBB">
        <w:trPr>
          <w:trHeight w:val="300"/>
          <w:jc w:val="center"/>
        </w:trPr>
        <w:tc>
          <w:tcPr>
            <w:tcW w:w="2977" w:type="dxa"/>
            <w:tcBorders>
              <w:top w:val="single" w:sz="4" w:space="0" w:color="auto"/>
              <w:left w:val="single" w:sz="4" w:space="0" w:color="auto"/>
              <w:bottom w:val="single" w:sz="4" w:space="0" w:color="auto"/>
              <w:right w:val="single" w:sz="4" w:space="0" w:color="auto"/>
            </w:tcBorders>
            <w:noWrap/>
            <w:vAlign w:val="center"/>
            <w:hideMark/>
          </w:tcPr>
          <w:p w14:paraId="52ECB663" w14:textId="39C7A876" w:rsidR="007F4A1A" w:rsidRPr="00A76411" w:rsidRDefault="007F4A1A" w:rsidP="007F4A1A">
            <w:pPr>
              <w:pStyle w:val="Atext"/>
              <w:spacing w:before="40" w:after="40"/>
              <w:ind w:firstLine="17"/>
              <w:jc w:val="left"/>
              <w:rPr>
                <w:rFonts w:asciiTheme="majorHAnsi" w:eastAsia="Calibri" w:hAnsiTheme="majorHAnsi" w:cstheme="majorHAnsi"/>
                <w:b/>
                <w:i/>
                <w:iCs w:val="0"/>
              </w:rPr>
            </w:pPr>
            <w:r w:rsidRPr="00A76411">
              <w:rPr>
                <w:rFonts w:asciiTheme="majorHAnsi" w:eastAsia="Calibri" w:hAnsiTheme="majorHAnsi" w:cstheme="majorHAnsi"/>
                <w:b/>
                <w:i/>
                <w:iCs w:val="0"/>
              </w:rPr>
              <w:t>Celkem</w:t>
            </w:r>
          </w:p>
        </w:tc>
        <w:tc>
          <w:tcPr>
            <w:tcW w:w="1132" w:type="dxa"/>
            <w:tcBorders>
              <w:top w:val="single" w:sz="4" w:space="0" w:color="auto"/>
              <w:left w:val="nil"/>
              <w:bottom w:val="single" w:sz="4" w:space="0" w:color="auto"/>
              <w:right w:val="single" w:sz="4" w:space="0" w:color="auto"/>
            </w:tcBorders>
            <w:noWrap/>
          </w:tcPr>
          <w:p w14:paraId="5E1DD884" w14:textId="7EDF7A7C" w:rsidR="007F4A1A" w:rsidRPr="00A76411" w:rsidRDefault="005922F8" w:rsidP="007F4A1A">
            <w:pPr>
              <w:pStyle w:val="Atext"/>
              <w:spacing w:before="40" w:after="40"/>
              <w:ind w:firstLine="17"/>
              <w:jc w:val="center"/>
              <w:rPr>
                <w:rFonts w:asciiTheme="majorHAnsi" w:eastAsia="Calibri" w:hAnsiTheme="majorHAnsi" w:cstheme="majorHAnsi"/>
                <w:b/>
                <w:i/>
                <w:iCs w:val="0"/>
              </w:rPr>
            </w:pPr>
            <w:r>
              <w:rPr>
                <w:rFonts w:asciiTheme="majorHAnsi" w:hAnsiTheme="majorHAnsi" w:cstheme="majorHAnsi"/>
                <w:b/>
                <w:i/>
                <w:iCs w:val="0"/>
              </w:rPr>
              <w:t>26,9136</w:t>
            </w:r>
          </w:p>
        </w:tc>
        <w:tc>
          <w:tcPr>
            <w:tcW w:w="992" w:type="dxa"/>
            <w:tcBorders>
              <w:top w:val="single" w:sz="4" w:space="0" w:color="auto"/>
              <w:left w:val="nil"/>
              <w:bottom w:val="single" w:sz="4" w:space="0" w:color="auto"/>
              <w:right w:val="single" w:sz="4" w:space="0" w:color="auto"/>
            </w:tcBorders>
            <w:noWrap/>
          </w:tcPr>
          <w:p w14:paraId="3A083704" w14:textId="2B99AABC" w:rsidR="007F4A1A" w:rsidRPr="00A76411" w:rsidRDefault="005922F8" w:rsidP="007F4A1A">
            <w:pPr>
              <w:pStyle w:val="Atext"/>
              <w:spacing w:before="40" w:after="40"/>
              <w:ind w:firstLine="17"/>
              <w:jc w:val="center"/>
              <w:rPr>
                <w:rFonts w:asciiTheme="majorHAnsi" w:eastAsia="Calibri" w:hAnsiTheme="majorHAnsi" w:cstheme="majorHAnsi"/>
                <w:b/>
                <w:i/>
                <w:iCs w:val="0"/>
              </w:rPr>
            </w:pPr>
            <w:r>
              <w:rPr>
                <w:rFonts w:asciiTheme="majorHAnsi" w:hAnsiTheme="majorHAnsi" w:cstheme="majorHAnsi"/>
                <w:b/>
                <w:i/>
                <w:iCs w:val="0"/>
              </w:rPr>
              <w:t>20,1971</w:t>
            </w:r>
          </w:p>
        </w:tc>
        <w:tc>
          <w:tcPr>
            <w:tcW w:w="993" w:type="dxa"/>
            <w:tcBorders>
              <w:top w:val="single" w:sz="4" w:space="0" w:color="auto"/>
              <w:left w:val="nil"/>
              <w:bottom w:val="single" w:sz="4" w:space="0" w:color="auto"/>
              <w:right w:val="single" w:sz="4" w:space="0" w:color="auto"/>
            </w:tcBorders>
            <w:noWrap/>
          </w:tcPr>
          <w:p w14:paraId="68335FFB" w14:textId="2278C470" w:rsidR="007F4A1A" w:rsidRPr="00A76411" w:rsidRDefault="005922F8" w:rsidP="007F4A1A">
            <w:pPr>
              <w:pStyle w:val="Atext"/>
              <w:spacing w:before="40" w:after="40"/>
              <w:ind w:firstLine="17"/>
              <w:jc w:val="center"/>
              <w:rPr>
                <w:rFonts w:asciiTheme="majorHAnsi" w:eastAsia="Calibri" w:hAnsiTheme="majorHAnsi" w:cstheme="majorHAnsi"/>
                <w:b/>
                <w:i/>
                <w:iCs w:val="0"/>
              </w:rPr>
            </w:pPr>
            <w:r>
              <w:rPr>
                <w:rFonts w:asciiTheme="majorHAnsi" w:hAnsiTheme="majorHAnsi" w:cstheme="majorHAnsi"/>
                <w:b/>
                <w:i/>
                <w:iCs w:val="0"/>
              </w:rPr>
              <w:t>0,6455</w:t>
            </w:r>
          </w:p>
        </w:tc>
        <w:tc>
          <w:tcPr>
            <w:tcW w:w="992" w:type="dxa"/>
            <w:tcBorders>
              <w:top w:val="single" w:sz="4" w:space="0" w:color="auto"/>
              <w:left w:val="nil"/>
              <w:bottom w:val="single" w:sz="4" w:space="0" w:color="auto"/>
              <w:right w:val="single" w:sz="4" w:space="0" w:color="auto"/>
            </w:tcBorders>
            <w:noWrap/>
          </w:tcPr>
          <w:p w14:paraId="15F5FD9F" w14:textId="464E0924" w:rsidR="007F4A1A" w:rsidRPr="00A76411" w:rsidRDefault="005922F8" w:rsidP="007F4A1A">
            <w:pPr>
              <w:pStyle w:val="Atext"/>
              <w:spacing w:before="40" w:after="40"/>
              <w:ind w:firstLine="17"/>
              <w:jc w:val="center"/>
              <w:rPr>
                <w:rFonts w:asciiTheme="majorHAnsi" w:eastAsia="Calibri" w:hAnsiTheme="majorHAnsi" w:cstheme="majorHAnsi"/>
                <w:b/>
                <w:i/>
                <w:iCs w:val="0"/>
              </w:rPr>
            </w:pPr>
            <w:r>
              <w:rPr>
                <w:rFonts w:asciiTheme="majorHAnsi" w:hAnsiTheme="majorHAnsi" w:cstheme="majorHAnsi"/>
                <w:b/>
                <w:i/>
                <w:iCs w:val="0"/>
              </w:rPr>
              <w:t>1,8523</w:t>
            </w:r>
          </w:p>
        </w:tc>
        <w:tc>
          <w:tcPr>
            <w:tcW w:w="992" w:type="dxa"/>
            <w:tcBorders>
              <w:top w:val="single" w:sz="4" w:space="0" w:color="auto"/>
              <w:left w:val="nil"/>
              <w:bottom w:val="single" w:sz="4" w:space="0" w:color="auto"/>
              <w:right w:val="single" w:sz="4" w:space="0" w:color="auto"/>
            </w:tcBorders>
            <w:noWrap/>
          </w:tcPr>
          <w:p w14:paraId="190F83A6" w14:textId="3384BD61" w:rsidR="007F4A1A" w:rsidRPr="00A76411" w:rsidRDefault="007F4A1A" w:rsidP="007F4A1A">
            <w:pPr>
              <w:pStyle w:val="Atext"/>
              <w:spacing w:before="40" w:after="40"/>
              <w:ind w:firstLine="17"/>
              <w:jc w:val="center"/>
              <w:rPr>
                <w:rFonts w:asciiTheme="majorHAnsi" w:eastAsia="Calibri" w:hAnsiTheme="majorHAnsi" w:cstheme="majorHAnsi"/>
                <w:b/>
                <w:i/>
                <w:iCs w:val="0"/>
              </w:rPr>
            </w:pPr>
            <w:r w:rsidRPr="00A76411">
              <w:rPr>
                <w:rFonts w:asciiTheme="majorHAnsi" w:hAnsiTheme="majorHAnsi" w:cstheme="majorHAnsi"/>
                <w:b/>
                <w:i/>
                <w:iCs w:val="0"/>
              </w:rPr>
              <w:t>4,2</w:t>
            </w:r>
          </w:p>
        </w:tc>
        <w:tc>
          <w:tcPr>
            <w:tcW w:w="992" w:type="dxa"/>
            <w:tcBorders>
              <w:top w:val="single" w:sz="4" w:space="0" w:color="auto"/>
              <w:left w:val="nil"/>
              <w:bottom w:val="single" w:sz="4" w:space="0" w:color="auto"/>
              <w:right w:val="single" w:sz="4" w:space="0" w:color="auto"/>
            </w:tcBorders>
            <w:noWrap/>
          </w:tcPr>
          <w:p w14:paraId="033A2457" w14:textId="7673FB1B" w:rsidR="007F4A1A" w:rsidRPr="00A76411" w:rsidRDefault="007F4A1A" w:rsidP="007F4A1A">
            <w:pPr>
              <w:pStyle w:val="Atext"/>
              <w:spacing w:before="40" w:after="40"/>
              <w:ind w:firstLine="17"/>
              <w:jc w:val="center"/>
              <w:rPr>
                <w:rFonts w:asciiTheme="majorHAnsi" w:eastAsia="Calibri" w:hAnsiTheme="majorHAnsi" w:cstheme="majorHAnsi"/>
                <w:b/>
                <w:i/>
                <w:iCs w:val="0"/>
              </w:rPr>
            </w:pPr>
            <w:r w:rsidRPr="00A76411">
              <w:rPr>
                <w:rFonts w:asciiTheme="majorHAnsi" w:hAnsiTheme="majorHAnsi" w:cstheme="majorHAnsi"/>
                <w:b/>
                <w:i/>
                <w:iCs w:val="0"/>
              </w:rPr>
              <w:t>0,0187</w:t>
            </w:r>
          </w:p>
        </w:tc>
      </w:tr>
    </w:tbl>
    <w:p w14:paraId="6A5DCA5D" w14:textId="77777777" w:rsidR="00041EBB" w:rsidRPr="00A76411" w:rsidRDefault="00041EBB" w:rsidP="00041EBB">
      <w:pPr>
        <w:pStyle w:val="Anadpistun"/>
        <w:rPr>
          <w:rFonts w:asciiTheme="majorHAnsi" w:hAnsiTheme="majorHAnsi" w:cstheme="majorHAnsi"/>
        </w:rPr>
      </w:pPr>
      <w:r w:rsidRPr="00A76411">
        <w:rPr>
          <w:rFonts w:asciiTheme="majorHAnsi" w:hAnsiTheme="majorHAnsi" w:cstheme="majorHAnsi"/>
        </w:rPr>
        <w:t>Vyhodnocení záborů ZPF v rámci koridorů</w:t>
      </w:r>
    </w:p>
    <w:p w14:paraId="786E71AA" w14:textId="2C313B79" w:rsidR="002932D0" w:rsidRPr="006070EA" w:rsidRDefault="00041EBB" w:rsidP="00041EBB">
      <w:pPr>
        <w:pStyle w:val="Atext"/>
        <w:rPr>
          <w:rFonts w:asciiTheme="majorHAnsi" w:eastAsia="Calibri" w:hAnsiTheme="majorHAnsi" w:cstheme="majorHAnsi"/>
        </w:rPr>
      </w:pPr>
      <w:r w:rsidRPr="00A76411">
        <w:rPr>
          <w:rFonts w:asciiTheme="majorHAnsi" w:eastAsia="Calibri" w:hAnsiTheme="majorHAnsi" w:cstheme="majorHAnsi"/>
        </w:rPr>
        <w:t xml:space="preserve">Další zábor ZPF si vyžádá realizace záměrů, pro něž jsou v ÚP Kostomlaty nad Labem vymezeny koridory. Jedná se o koridory nadmístního významu – koridor dopravní infrastruktury </w:t>
      </w:r>
      <w:r w:rsidR="000E2721" w:rsidRPr="00A76411">
        <w:rPr>
          <w:rFonts w:asciiTheme="majorHAnsi" w:eastAsia="Calibri" w:hAnsiTheme="majorHAnsi" w:cstheme="majorHAnsi"/>
        </w:rPr>
        <w:t>CN</w:t>
      </w:r>
      <w:r w:rsidR="007F4A1A" w:rsidRPr="00A76411">
        <w:rPr>
          <w:rFonts w:asciiTheme="majorHAnsi" w:eastAsia="Calibri" w:hAnsiTheme="majorHAnsi" w:cstheme="majorHAnsi"/>
        </w:rPr>
        <w:t>Z</w:t>
      </w:r>
      <w:r w:rsidR="000E2721" w:rsidRPr="00A76411">
        <w:rPr>
          <w:rFonts w:asciiTheme="majorHAnsi" w:eastAsia="Calibri" w:hAnsiTheme="majorHAnsi" w:cstheme="majorHAnsi"/>
        </w:rPr>
        <w:t>.</w:t>
      </w:r>
      <w:r w:rsidR="007F4A1A" w:rsidRPr="00A76411">
        <w:rPr>
          <w:rFonts w:asciiTheme="majorHAnsi" w:eastAsia="Calibri" w:hAnsiTheme="majorHAnsi" w:cstheme="majorHAnsi"/>
        </w:rPr>
        <w:t>D322</w:t>
      </w:r>
      <w:r w:rsidRPr="00A76411">
        <w:rPr>
          <w:rFonts w:asciiTheme="majorHAnsi" w:eastAsia="Calibri" w:hAnsiTheme="majorHAnsi" w:cstheme="majorHAnsi"/>
        </w:rPr>
        <w:t xml:space="preserve"> pro modernizaci železniční trati a </w:t>
      </w:r>
      <w:r w:rsidR="007F4A1A" w:rsidRPr="00A76411">
        <w:rPr>
          <w:rFonts w:asciiTheme="majorHAnsi" w:eastAsia="Calibri" w:hAnsiTheme="majorHAnsi" w:cstheme="majorHAnsi"/>
        </w:rPr>
        <w:t>koridory CNU.KD1</w:t>
      </w:r>
      <w:r w:rsidR="00C208DE" w:rsidRPr="00A76411">
        <w:rPr>
          <w:rFonts w:asciiTheme="majorHAnsi" w:eastAsia="Calibri" w:hAnsiTheme="majorHAnsi" w:cstheme="majorHAnsi"/>
        </w:rPr>
        <w:t>,</w:t>
      </w:r>
      <w:r w:rsidR="007F4A1A" w:rsidRPr="00A76411">
        <w:rPr>
          <w:rFonts w:asciiTheme="majorHAnsi" w:eastAsia="Calibri" w:hAnsiTheme="majorHAnsi" w:cstheme="majorHAnsi"/>
        </w:rPr>
        <w:t xml:space="preserve"> CNU.KD2</w:t>
      </w:r>
      <w:r w:rsidR="00C208DE" w:rsidRPr="00A76411">
        <w:rPr>
          <w:rFonts w:asciiTheme="majorHAnsi" w:eastAsia="Calibri" w:hAnsiTheme="majorHAnsi" w:cstheme="majorHAnsi"/>
        </w:rPr>
        <w:t xml:space="preserve"> a CNU.KD3</w:t>
      </w:r>
      <w:r w:rsidR="007F4A1A" w:rsidRPr="00A76411">
        <w:rPr>
          <w:rFonts w:asciiTheme="majorHAnsi" w:eastAsia="Calibri" w:hAnsiTheme="majorHAnsi" w:cstheme="majorHAnsi"/>
        </w:rPr>
        <w:t xml:space="preserve"> pro </w:t>
      </w:r>
      <w:r w:rsidRPr="00A76411">
        <w:rPr>
          <w:rFonts w:asciiTheme="majorHAnsi" w:eastAsia="Calibri" w:hAnsiTheme="majorHAnsi" w:cstheme="majorHAnsi"/>
        </w:rPr>
        <w:t>související dopravní stavby (včetně přeložky silnice III. třídy)</w:t>
      </w:r>
      <w:r w:rsidR="007F4A1A" w:rsidRPr="00A76411">
        <w:rPr>
          <w:rFonts w:asciiTheme="majorHAnsi" w:eastAsia="Calibri" w:hAnsiTheme="majorHAnsi" w:cstheme="majorHAnsi"/>
        </w:rPr>
        <w:t>, a dále</w:t>
      </w:r>
      <w:r w:rsidRPr="00A76411">
        <w:rPr>
          <w:rFonts w:asciiTheme="majorHAnsi" w:eastAsia="Calibri" w:hAnsiTheme="majorHAnsi" w:cstheme="majorHAnsi"/>
        </w:rPr>
        <w:t xml:space="preserve"> koridor dopravní infrastruktury vodní </w:t>
      </w:r>
      <w:r w:rsidR="000E2721" w:rsidRPr="00A76411">
        <w:rPr>
          <w:rFonts w:asciiTheme="majorHAnsi" w:eastAsia="Calibri" w:hAnsiTheme="majorHAnsi" w:cstheme="majorHAnsi"/>
        </w:rPr>
        <w:t>CNZ.</w:t>
      </w:r>
      <w:r w:rsidR="007F4A1A" w:rsidRPr="00A76411">
        <w:rPr>
          <w:rFonts w:asciiTheme="majorHAnsi" w:eastAsia="Calibri" w:hAnsiTheme="majorHAnsi" w:cstheme="majorHAnsi"/>
        </w:rPr>
        <w:t>VD</w:t>
      </w:r>
      <w:r w:rsidRPr="00A76411">
        <w:rPr>
          <w:rFonts w:asciiTheme="majorHAnsi" w:eastAsia="Calibri" w:hAnsiTheme="majorHAnsi" w:cstheme="majorHAnsi"/>
        </w:rPr>
        <w:t>1 pro Labskou vodní cestu (dle PÚR ČR</w:t>
      </w:r>
      <w:r w:rsidR="007F4A1A" w:rsidRPr="00A76411">
        <w:rPr>
          <w:rFonts w:asciiTheme="majorHAnsi" w:eastAsia="Calibri" w:hAnsiTheme="majorHAnsi" w:cstheme="majorHAnsi"/>
        </w:rPr>
        <w:t xml:space="preserve"> a ZÚR SK</w:t>
      </w:r>
      <w:r w:rsidRPr="00A76411">
        <w:rPr>
          <w:rFonts w:asciiTheme="majorHAnsi" w:eastAsia="Calibri" w:hAnsiTheme="majorHAnsi" w:cstheme="majorHAnsi"/>
        </w:rPr>
        <w:t xml:space="preserve">). </w:t>
      </w:r>
    </w:p>
    <w:p w14:paraId="11B3463E" w14:textId="77777777" w:rsidR="002932D0" w:rsidRPr="006070EA" w:rsidRDefault="00041EBB" w:rsidP="00041EBB">
      <w:pPr>
        <w:pStyle w:val="Atext"/>
        <w:rPr>
          <w:rFonts w:asciiTheme="majorHAnsi" w:eastAsia="Calibri" w:hAnsiTheme="majorHAnsi" w:cstheme="majorHAnsi"/>
        </w:rPr>
      </w:pPr>
      <w:r w:rsidRPr="006070EA">
        <w:rPr>
          <w:rFonts w:asciiTheme="majorHAnsi" w:eastAsia="Calibri" w:hAnsiTheme="majorHAnsi" w:cstheme="majorHAnsi"/>
        </w:rPr>
        <w:t>Dále jsou územním plánem vymezeny koridor</w:t>
      </w:r>
      <w:r w:rsidR="002932D0" w:rsidRPr="006070EA">
        <w:rPr>
          <w:rFonts w:asciiTheme="majorHAnsi" w:eastAsia="Calibri" w:hAnsiTheme="majorHAnsi" w:cstheme="majorHAnsi"/>
        </w:rPr>
        <w:t>y místního významu:</w:t>
      </w:r>
      <w:r w:rsidRPr="006070EA">
        <w:rPr>
          <w:rFonts w:asciiTheme="majorHAnsi" w:eastAsia="Calibri" w:hAnsiTheme="majorHAnsi" w:cstheme="majorHAnsi"/>
        </w:rPr>
        <w:t xml:space="preserve"> </w:t>
      </w:r>
    </w:p>
    <w:p w14:paraId="6D130546" w14:textId="32BFE7CC" w:rsidR="002932D0" w:rsidRPr="006070EA" w:rsidRDefault="002932D0" w:rsidP="00EB05CF">
      <w:pPr>
        <w:pStyle w:val="Atext"/>
        <w:numPr>
          <w:ilvl w:val="1"/>
          <w:numId w:val="33"/>
        </w:numPr>
        <w:rPr>
          <w:rFonts w:asciiTheme="majorHAnsi" w:eastAsia="Calibri" w:hAnsiTheme="majorHAnsi" w:cstheme="majorHAnsi"/>
        </w:rPr>
      </w:pPr>
      <w:r w:rsidRPr="006070EA">
        <w:rPr>
          <w:rFonts w:asciiTheme="majorHAnsi" w:eastAsia="Calibri" w:hAnsiTheme="majorHAnsi" w:cstheme="majorHAnsi"/>
        </w:rPr>
        <w:t xml:space="preserve">Koridor </w:t>
      </w:r>
      <w:r w:rsidR="00041EBB" w:rsidRPr="006070EA">
        <w:rPr>
          <w:rFonts w:asciiTheme="majorHAnsi" w:eastAsia="Calibri" w:hAnsiTheme="majorHAnsi" w:cstheme="majorHAnsi"/>
        </w:rPr>
        <w:t xml:space="preserve">dopravní infrastruktury – nemotorové </w:t>
      </w:r>
      <w:r w:rsidR="000E2721" w:rsidRPr="006070EA">
        <w:rPr>
          <w:rFonts w:asciiTheme="majorHAnsi" w:eastAsia="Calibri" w:hAnsiTheme="majorHAnsi" w:cstheme="majorHAnsi"/>
        </w:rPr>
        <w:t>CNU.</w:t>
      </w:r>
      <w:r w:rsidR="00041EBB" w:rsidRPr="006070EA">
        <w:rPr>
          <w:rFonts w:asciiTheme="majorHAnsi" w:eastAsia="Calibri" w:hAnsiTheme="majorHAnsi" w:cstheme="majorHAnsi"/>
        </w:rPr>
        <w:t>KDN1 pro umístění lávky přes řeku Labe s cyklostezkou / cyklotrasou</w:t>
      </w:r>
    </w:p>
    <w:p w14:paraId="49CBE851" w14:textId="13EB251D" w:rsidR="002932D0" w:rsidRPr="006070EA" w:rsidRDefault="002932D0" w:rsidP="00EB05CF">
      <w:pPr>
        <w:pStyle w:val="Atext"/>
        <w:numPr>
          <w:ilvl w:val="1"/>
          <w:numId w:val="33"/>
        </w:numPr>
        <w:rPr>
          <w:rFonts w:asciiTheme="majorHAnsi" w:eastAsia="Calibri" w:hAnsiTheme="majorHAnsi" w:cstheme="majorHAnsi"/>
        </w:rPr>
      </w:pPr>
      <w:r w:rsidRPr="006070EA">
        <w:rPr>
          <w:rFonts w:asciiTheme="majorHAnsi" w:eastAsia="Calibri" w:hAnsiTheme="majorHAnsi" w:cstheme="majorHAnsi"/>
        </w:rPr>
        <w:t>K</w:t>
      </w:r>
      <w:r w:rsidR="00041EBB" w:rsidRPr="006070EA">
        <w:rPr>
          <w:rFonts w:asciiTheme="majorHAnsi" w:eastAsia="Calibri" w:hAnsiTheme="majorHAnsi" w:cstheme="majorHAnsi"/>
        </w:rPr>
        <w:t xml:space="preserve">oridor technické infrastruktury </w:t>
      </w:r>
      <w:r w:rsidR="000E2721" w:rsidRPr="006070EA">
        <w:rPr>
          <w:rFonts w:asciiTheme="majorHAnsi" w:eastAsia="Calibri" w:hAnsiTheme="majorHAnsi" w:cstheme="majorHAnsi"/>
        </w:rPr>
        <w:t>CNU.</w:t>
      </w:r>
      <w:r w:rsidR="00041EBB" w:rsidRPr="006070EA">
        <w:rPr>
          <w:rFonts w:asciiTheme="majorHAnsi" w:eastAsia="Calibri" w:hAnsiTheme="majorHAnsi" w:cstheme="majorHAnsi"/>
        </w:rPr>
        <w:t xml:space="preserve">KTI1 </w:t>
      </w:r>
      <w:r w:rsidRPr="006070EA">
        <w:rPr>
          <w:rFonts w:asciiTheme="majorHAnsi" w:eastAsia="Calibri" w:hAnsiTheme="majorHAnsi" w:cstheme="majorHAnsi"/>
        </w:rPr>
        <w:t>pro vodovod a kanalizaci</w:t>
      </w:r>
    </w:p>
    <w:p w14:paraId="453F1782" w14:textId="1141D555" w:rsidR="00937B2D" w:rsidRPr="006070EA" w:rsidRDefault="00041EBB" w:rsidP="00041EBB">
      <w:pPr>
        <w:pStyle w:val="Atext"/>
        <w:rPr>
          <w:rFonts w:asciiTheme="majorHAnsi" w:hAnsiTheme="majorHAnsi" w:cstheme="majorHAnsi"/>
        </w:rPr>
      </w:pPr>
      <w:r w:rsidRPr="006070EA">
        <w:rPr>
          <w:rFonts w:asciiTheme="majorHAnsi" w:eastAsia="Calibri" w:hAnsiTheme="majorHAnsi" w:cstheme="majorHAnsi"/>
        </w:rPr>
        <w:t xml:space="preserve">V koridorech nelze v současnosti stanovit konkrétní plošné výměry ani přesné umístění jednotlivých staveb, upřesnění záboru bude provedeno v navazujících projektových pracích. </w:t>
      </w:r>
      <w:r w:rsidRPr="006070EA">
        <w:rPr>
          <w:rFonts w:asciiTheme="majorHAnsi" w:hAnsiTheme="majorHAnsi" w:cstheme="majorHAnsi"/>
        </w:rPr>
        <w:t>Vyhodnocení záborů ZPF v</w:t>
      </w:r>
      <w:r w:rsidR="00A25D55" w:rsidRPr="006070EA">
        <w:rPr>
          <w:rFonts w:asciiTheme="majorHAnsi" w:hAnsiTheme="majorHAnsi" w:cstheme="majorHAnsi"/>
        </w:rPr>
        <w:t> </w:t>
      </w:r>
      <w:r w:rsidRPr="006070EA">
        <w:rPr>
          <w:rFonts w:asciiTheme="majorHAnsi" w:hAnsiTheme="majorHAnsi" w:cstheme="majorHAnsi"/>
        </w:rPr>
        <w:t>koridorech</w:t>
      </w:r>
      <w:r w:rsidR="00A25D55" w:rsidRPr="006070EA">
        <w:rPr>
          <w:rFonts w:asciiTheme="majorHAnsi" w:hAnsiTheme="majorHAnsi" w:cstheme="majorHAnsi"/>
        </w:rPr>
        <w:t xml:space="preserve"> </w:t>
      </w:r>
      <w:r w:rsidR="000E2721" w:rsidRPr="006070EA">
        <w:rPr>
          <w:rFonts w:asciiTheme="majorHAnsi" w:hAnsiTheme="majorHAnsi" w:cstheme="majorHAnsi"/>
        </w:rPr>
        <w:t>CNU.</w:t>
      </w:r>
      <w:r w:rsidR="0097451F">
        <w:rPr>
          <w:rFonts w:asciiTheme="majorHAnsi" w:hAnsiTheme="majorHAnsi" w:cstheme="majorHAnsi"/>
        </w:rPr>
        <w:t>VD</w:t>
      </w:r>
      <w:r w:rsidR="00A25D55" w:rsidRPr="006070EA">
        <w:rPr>
          <w:rFonts w:asciiTheme="majorHAnsi" w:hAnsiTheme="majorHAnsi" w:cstheme="majorHAnsi"/>
        </w:rPr>
        <w:t xml:space="preserve">1, </w:t>
      </w:r>
      <w:r w:rsidR="000E2721" w:rsidRPr="006070EA">
        <w:rPr>
          <w:rFonts w:asciiTheme="majorHAnsi" w:hAnsiTheme="majorHAnsi" w:cstheme="majorHAnsi"/>
        </w:rPr>
        <w:t>CNU.</w:t>
      </w:r>
      <w:r w:rsidR="00A25D55" w:rsidRPr="006070EA">
        <w:rPr>
          <w:rFonts w:asciiTheme="majorHAnsi" w:hAnsiTheme="majorHAnsi" w:cstheme="majorHAnsi"/>
        </w:rPr>
        <w:t xml:space="preserve">KDN1 a </w:t>
      </w:r>
      <w:r w:rsidR="000E2721" w:rsidRPr="006070EA">
        <w:rPr>
          <w:rFonts w:asciiTheme="majorHAnsi" w:hAnsiTheme="majorHAnsi" w:cstheme="majorHAnsi"/>
        </w:rPr>
        <w:t>CNU.</w:t>
      </w:r>
      <w:r w:rsidR="00A25D55" w:rsidRPr="006070EA">
        <w:rPr>
          <w:rFonts w:asciiTheme="majorHAnsi" w:hAnsiTheme="majorHAnsi" w:cstheme="majorHAnsi"/>
        </w:rPr>
        <w:t>KTI1</w:t>
      </w:r>
      <w:r w:rsidRPr="006070EA">
        <w:rPr>
          <w:rFonts w:asciiTheme="majorHAnsi" w:hAnsiTheme="majorHAnsi" w:cstheme="majorHAnsi"/>
        </w:rPr>
        <w:t xml:space="preserve"> je</w:t>
      </w:r>
      <w:r w:rsidR="002932D0" w:rsidRPr="006070EA">
        <w:rPr>
          <w:rFonts w:asciiTheme="majorHAnsi" w:hAnsiTheme="majorHAnsi" w:cstheme="majorHAnsi"/>
        </w:rPr>
        <w:t xml:space="preserve"> uvedeno v plném rozsahu koridorů, přestože </w:t>
      </w:r>
      <w:r w:rsidRPr="006070EA">
        <w:rPr>
          <w:rFonts w:asciiTheme="majorHAnsi" w:hAnsiTheme="majorHAnsi" w:cstheme="majorHAnsi"/>
        </w:rPr>
        <w:t xml:space="preserve">koridory jsou širší než výsledná stavba nebo opatření, pro něž jsou vymezeny. Z toho důvodu je </w:t>
      </w:r>
      <w:r w:rsidR="002932D0" w:rsidRPr="006070EA">
        <w:rPr>
          <w:rFonts w:asciiTheme="majorHAnsi" w:hAnsiTheme="majorHAnsi" w:cstheme="majorHAnsi"/>
        </w:rPr>
        <w:t xml:space="preserve">uvedený </w:t>
      </w:r>
      <w:r w:rsidRPr="006070EA">
        <w:rPr>
          <w:rFonts w:asciiTheme="majorHAnsi" w:hAnsiTheme="majorHAnsi" w:cstheme="majorHAnsi"/>
        </w:rPr>
        <w:t xml:space="preserve">předpokládaný zábor ZPF </w:t>
      </w:r>
      <w:r w:rsidR="002932D0" w:rsidRPr="006070EA">
        <w:rPr>
          <w:rFonts w:asciiTheme="majorHAnsi" w:hAnsiTheme="majorHAnsi" w:cstheme="majorHAnsi"/>
        </w:rPr>
        <w:t>stanoven jako maximální. V reálné situaci bude významně nižší.</w:t>
      </w:r>
    </w:p>
    <w:p w14:paraId="30CF5865" w14:textId="16382CD2" w:rsidR="00A25D55" w:rsidRPr="00A76411" w:rsidRDefault="00A25D55" w:rsidP="00A25D55">
      <w:pPr>
        <w:pStyle w:val="Atext"/>
        <w:rPr>
          <w:rFonts w:asciiTheme="majorHAnsi" w:hAnsiTheme="majorHAnsi" w:cstheme="majorHAnsi"/>
        </w:rPr>
      </w:pPr>
      <w:r w:rsidRPr="00A76411">
        <w:rPr>
          <w:rFonts w:asciiTheme="majorHAnsi" w:hAnsiTheme="majorHAnsi" w:cstheme="majorHAnsi"/>
        </w:rPr>
        <w:t xml:space="preserve">Koridor </w:t>
      </w:r>
      <w:r w:rsidR="000E2721" w:rsidRPr="00A76411">
        <w:rPr>
          <w:rFonts w:asciiTheme="majorHAnsi" w:hAnsiTheme="majorHAnsi" w:cstheme="majorHAnsi"/>
        </w:rPr>
        <w:t>CN</w:t>
      </w:r>
      <w:r w:rsidR="007F4A1A" w:rsidRPr="00A76411">
        <w:rPr>
          <w:rFonts w:asciiTheme="majorHAnsi" w:hAnsiTheme="majorHAnsi" w:cstheme="majorHAnsi"/>
        </w:rPr>
        <w:t>Z</w:t>
      </w:r>
      <w:r w:rsidR="000E2721" w:rsidRPr="00A76411">
        <w:rPr>
          <w:rFonts w:asciiTheme="majorHAnsi" w:hAnsiTheme="majorHAnsi" w:cstheme="majorHAnsi"/>
        </w:rPr>
        <w:t>.</w:t>
      </w:r>
      <w:r w:rsidR="007F4A1A" w:rsidRPr="00A76411">
        <w:rPr>
          <w:rFonts w:asciiTheme="majorHAnsi" w:hAnsiTheme="majorHAnsi" w:cstheme="majorHAnsi"/>
        </w:rPr>
        <w:t>D322</w:t>
      </w:r>
      <w:r w:rsidRPr="00A76411">
        <w:rPr>
          <w:rFonts w:asciiTheme="majorHAnsi" w:hAnsiTheme="majorHAnsi" w:cstheme="majorHAnsi"/>
        </w:rPr>
        <w:t xml:space="preserve"> </w:t>
      </w:r>
      <w:r w:rsidR="007F4A1A" w:rsidRPr="00A76411">
        <w:rPr>
          <w:rFonts w:asciiTheme="majorHAnsi" w:hAnsiTheme="majorHAnsi" w:cstheme="majorHAnsi"/>
        </w:rPr>
        <w:t xml:space="preserve">je vymezen dle ZÚR SK </w:t>
      </w:r>
      <w:r w:rsidRPr="00A76411">
        <w:rPr>
          <w:rFonts w:asciiTheme="majorHAnsi" w:hAnsiTheme="majorHAnsi" w:cstheme="majorHAnsi"/>
        </w:rPr>
        <w:t>pro modernizaci železniční trati</w:t>
      </w:r>
      <w:r w:rsidR="007F4A1A" w:rsidRPr="00A76411">
        <w:rPr>
          <w:rFonts w:asciiTheme="majorHAnsi" w:hAnsiTheme="majorHAnsi" w:cstheme="majorHAnsi"/>
        </w:rPr>
        <w:t>. Koridory CNU.KD1</w:t>
      </w:r>
      <w:r w:rsidR="00C208DE" w:rsidRPr="00A76411">
        <w:rPr>
          <w:rFonts w:asciiTheme="majorHAnsi" w:hAnsiTheme="majorHAnsi" w:cstheme="majorHAnsi"/>
        </w:rPr>
        <w:t>,</w:t>
      </w:r>
      <w:r w:rsidR="007F4A1A" w:rsidRPr="00A76411">
        <w:rPr>
          <w:rFonts w:asciiTheme="majorHAnsi" w:hAnsiTheme="majorHAnsi" w:cstheme="majorHAnsi"/>
        </w:rPr>
        <w:t xml:space="preserve"> CNU.KD2 </w:t>
      </w:r>
      <w:r w:rsidR="00C208DE" w:rsidRPr="00A76411">
        <w:rPr>
          <w:rFonts w:asciiTheme="majorHAnsi" w:hAnsiTheme="majorHAnsi" w:cstheme="majorHAnsi"/>
        </w:rPr>
        <w:t xml:space="preserve">a CNU.KD3 </w:t>
      </w:r>
      <w:r w:rsidR="007F4A1A" w:rsidRPr="00A76411">
        <w:rPr>
          <w:rFonts w:asciiTheme="majorHAnsi" w:hAnsiTheme="majorHAnsi" w:cstheme="majorHAnsi"/>
        </w:rPr>
        <w:t>jsou vymezeny pro související stavby, zahrnující</w:t>
      </w:r>
      <w:r w:rsidRPr="00A76411">
        <w:rPr>
          <w:rFonts w:asciiTheme="majorHAnsi" w:hAnsiTheme="majorHAnsi" w:cstheme="majorHAnsi"/>
        </w:rPr>
        <w:t xml:space="preserve"> variantní řešení přeložky silnice III/3317</w:t>
      </w:r>
      <w:r w:rsidR="00C13078" w:rsidRPr="00A76411">
        <w:rPr>
          <w:rFonts w:asciiTheme="majorHAnsi" w:hAnsiTheme="majorHAnsi" w:cstheme="majorHAnsi"/>
        </w:rPr>
        <w:t>. P</w:t>
      </w:r>
      <w:r w:rsidRPr="00A76411">
        <w:rPr>
          <w:rFonts w:asciiTheme="majorHAnsi" w:hAnsiTheme="majorHAnsi" w:cstheme="majorHAnsi"/>
        </w:rPr>
        <w:t xml:space="preserve">ři realizaci záměru ve výsledné zvolené variantě pozbývají </w:t>
      </w:r>
      <w:r w:rsidR="00C13078" w:rsidRPr="00A76411">
        <w:rPr>
          <w:rFonts w:asciiTheme="majorHAnsi" w:hAnsiTheme="majorHAnsi" w:cstheme="majorHAnsi"/>
        </w:rPr>
        <w:t xml:space="preserve">dle ustanovení územního plánu </w:t>
      </w:r>
      <w:r w:rsidRPr="00A76411">
        <w:rPr>
          <w:rFonts w:asciiTheme="majorHAnsi" w:hAnsiTheme="majorHAnsi" w:cstheme="majorHAnsi"/>
        </w:rPr>
        <w:t xml:space="preserve">podmínky pro rozhodování v koridoru </w:t>
      </w:r>
      <w:r w:rsidR="000E2721" w:rsidRPr="00A76411">
        <w:rPr>
          <w:rFonts w:asciiTheme="majorHAnsi" w:hAnsiTheme="majorHAnsi" w:cstheme="majorHAnsi"/>
        </w:rPr>
        <w:t>CNU.</w:t>
      </w:r>
      <w:r w:rsidRPr="00A76411">
        <w:rPr>
          <w:rFonts w:asciiTheme="majorHAnsi" w:hAnsiTheme="majorHAnsi" w:cstheme="majorHAnsi"/>
        </w:rPr>
        <w:t xml:space="preserve">KD1 platnosti, tzn. že po modernizaci železniční trati a po realizaci přeložky silnice III/3317 nebude možné </w:t>
      </w:r>
      <w:r w:rsidR="007F4A1A" w:rsidRPr="00A76411">
        <w:rPr>
          <w:rFonts w:asciiTheme="majorHAnsi" w:hAnsiTheme="majorHAnsi" w:cstheme="majorHAnsi"/>
        </w:rPr>
        <w:t xml:space="preserve">zbylé části vymezených </w:t>
      </w:r>
      <w:r w:rsidRPr="00A76411">
        <w:rPr>
          <w:rFonts w:asciiTheme="majorHAnsi" w:hAnsiTheme="majorHAnsi" w:cstheme="majorHAnsi"/>
        </w:rPr>
        <w:t>koridor</w:t>
      </w:r>
      <w:r w:rsidR="007F4A1A" w:rsidRPr="00A76411">
        <w:rPr>
          <w:rFonts w:asciiTheme="majorHAnsi" w:hAnsiTheme="majorHAnsi" w:cstheme="majorHAnsi"/>
        </w:rPr>
        <w:t>ů</w:t>
      </w:r>
      <w:r w:rsidRPr="00A76411">
        <w:rPr>
          <w:rFonts w:asciiTheme="majorHAnsi" w:hAnsiTheme="majorHAnsi" w:cstheme="majorHAnsi"/>
        </w:rPr>
        <w:t xml:space="preserve"> využít pro další záměr a nový zábor ZPF. Potenciální zábor</w:t>
      </w:r>
      <w:r w:rsidR="007F4A1A" w:rsidRPr="00A76411">
        <w:rPr>
          <w:rFonts w:asciiTheme="majorHAnsi" w:hAnsiTheme="majorHAnsi" w:cstheme="majorHAnsi"/>
        </w:rPr>
        <w:t>y</w:t>
      </w:r>
      <w:r w:rsidRPr="00A76411">
        <w:rPr>
          <w:rFonts w:asciiTheme="majorHAnsi" w:hAnsiTheme="majorHAnsi" w:cstheme="majorHAnsi"/>
        </w:rPr>
        <w:t xml:space="preserve"> v koridor</w:t>
      </w:r>
      <w:r w:rsidR="007F4A1A" w:rsidRPr="00A76411">
        <w:rPr>
          <w:rFonts w:asciiTheme="majorHAnsi" w:hAnsiTheme="majorHAnsi" w:cstheme="majorHAnsi"/>
        </w:rPr>
        <w:t>ech</w:t>
      </w:r>
      <w:r w:rsidRPr="00A76411">
        <w:rPr>
          <w:rFonts w:asciiTheme="majorHAnsi" w:hAnsiTheme="majorHAnsi" w:cstheme="majorHAnsi"/>
        </w:rPr>
        <w:t xml:space="preserve"> j</w:t>
      </w:r>
      <w:r w:rsidR="007F4A1A" w:rsidRPr="00A76411">
        <w:rPr>
          <w:rFonts w:asciiTheme="majorHAnsi" w:hAnsiTheme="majorHAnsi" w:cstheme="majorHAnsi"/>
        </w:rPr>
        <w:t>sou</w:t>
      </w:r>
      <w:r w:rsidRPr="00A76411">
        <w:rPr>
          <w:rFonts w:asciiTheme="majorHAnsi" w:hAnsiTheme="majorHAnsi" w:cstheme="majorHAnsi"/>
        </w:rPr>
        <w:t xml:space="preserve"> </w:t>
      </w:r>
      <w:r w:rsidR="00C13078" w:rsidRPr="00A76411">
        <w:rPr>
          <w:rFonts w:asciiTheme="majorHAnsi" w:hAnsiTheme="majorHAnsi" w:cstheme="majorHAnsi"/>
        </w:rPr>
        <w:t xml:space="preserve">pro účely vyhodnocení </w:t>
      </w:r>
      <w:r w:rsidRPr="00A76411">
        <w:rPr>
          <w:rFonts w:asciiTheme="majorHAnsi" w:hAnsiTheme="majorHAnsi" w:cstheme="majorHAnsi"/>
        </w:rPr>
        <w:t>odhadnut</w:t>
      </w:r>
      <w:r w:rsidR="007F4A1A" w:rsidRPr="00A76411">
        <w:rPr>
          <w:rFonts w:asciiTheme="majorHAnsi" w:hAnsiTheme="majorHAnsi" w:cstheme="majorHAnsi"/>
        </w:rPr>
        <w:t>y</w:t>
      </w:r>
      <w:r w:rsidRPr="00A76411">
        <w:rPr>
          <w:rFonts w:asciiTheme="majorHAnsi" w:hAnsiTheme="majorHAnsi" w:cstheme="majorHAnsi"/>
        </w:rPr>
        <w:t xml:space="preserve"> na základě výpočtu pro jednotlivé varianty přeložky silnice, jejichž lokalizace je graficky znázorněna ve výkresech </w:t>
      </w:r>
      <w:r w:rsidR="000E2721" w:rsidRPr="00A76411">
        <w:rPr>
          <w:rFonts w:asciiTheme="majorHAnsi" w:hAnsiTheme="majorHAnsi" w:cstheme="majorHAnsi"/>
        </w:rPr>
        <w:t>4</w:t>
      </w:r>
      <w:r w:rsidRPr="00A76411">
        <w:rPr>
          <w:rFonts w:asciiTheme="majorHAnsi" w:hAnsiTheme="majorHAnsi" w:cstheme="majorHAnsi"/>
        </w:rPr>
        <w:t xml:space="preserve"> (koordinační výkres) a </w:t>
      </w:r>
      <w:r w:rsidR="000E2721" w:rsidRPr="00A76411">
        <w:rPr>
          <w:rFonts w:asciiTheme="majorHAnsi" w:hAnsiTheme="majorHAnsi" w:cstheme="majorHAnsi"/>
        </w:rPr>
        <w:t>6</w:t>
      </w:r>
      <w:r w:rsidRPr="00A76411">
        <w:rPr>
          <w:rFonts w:asciiTheme="majorHAnsi" w:hAnsiTheme="majorHAnsi" w:cstheme="majorHAnsi"/>
        </w:rPr>
        <w:t xml:space="preserve"> (výkres předpokládaných záborů půdního fondu) grafické části odůvodnění územního plánu. </w:t>
      </w:r>
    </w:p>
    <w:p w14:paraId="598D204B" w14:textId="77777777" w:rsidR="00C208DE" w:rsidRPr="00A76411" w:rsidRDefault="00A25D55" w:rsidP="00A25D55">
      <w:pPr>
        <w:pStyle w:val="Atext"/>
        <w:rPr>
          <w:rFonts w:asciiTheme="majorHAnsi" w:hAnsiTheme="majorHAnsi" w:cstheme="majorHAnsi"/>
        </w:rPr>
      </w:pPr>
      <w:r w:rsidRPr="00A76411">
        <w:rPr>
          <w:rFonts w:asciiTheme="majorHAnsi" w:hAnsiTheme="majorHAnsi" w:cstheme="majorHAnsi"/>
        </w:rPr>
        <w:t xml:space="preserve">V souladu s § 9, odst. (3) vyhlášky č. 271/2019 Sb., je vyhodnocení předpokládaného rozsahu záboru pro jednotlivé varianty přeložky silnice III/3317 v koridoru </w:t>
      </w:r>
      <w:r w:rsidR="007F4A1A" w:rsidRPr="00A76411">
        <w:rPr>
          <w:rFonts w:asciiTheme="majorHAnsi" w:hAnsiTheme="majorHAnsi" w:cstheme="majorHAnsi"/>
        </w:rPr>
        <w:t>CNU.</w:t>
      </w:r>
      <w:r w:rsidRPr="00A76411">
        <w:rPr>
          <w:rFonts w:asciiTheme="majorHAnsi" w:hAnsiTheme="majorHAnsi" w:cstheme="majorHAnsi"/>
        </w:rPr>
        <w:t xml:space="preserve">KD1 stanoveno vynásobením délky (osy) koridoru s odhadovanou šířkou tělesa stavby včetně započtení odhadované průměrné šíře náspů, zářezů a příkopů včetně ostatních součástí stavby. V případě přeložky silnice </w:t>
      </w:r>
      <w:r w:rsidR="00C13078" w:rsidRPr="00A76411">
        <w:rPr>
          <w:rFonts w:asciiTheme="majorHAnsi" w:hAnsiTheme="majorHAnsi" w:cstheme="majorHAnsi"/>
        </w:rPr>
        <w:t xml:space="preserve">III/3317 </w:t>
      </w:r>
      <w:r w:rsidRPr="00A76411">
        <w:rPr>
          <w:rFonts w:asciiTheme="majorHAnsi" w:hAnsiTheme="majorHAnsi" w:cstheme="majorHAnsi"/>
        </w:rPr>
        <w:t>je uvažována kategorijní šířka komunikace</w:t>
      </w:r>
      <w:r w:rsidR="00C13078" w:rsidRPr="00A76411">
        <w:rPr>
          <w:rFonts w:asciiTheme="majorHAnsi" w:hAnsiTheme="majorHAnsi" w:cstheme="majorHAnsi"/>
        </w:rPr>
        <w:t xml:space="preserve"> 7</w:t>
      </w:r>
      <w:r w:rsidRPr="00A76411">
        <w:rPr>
          <w:rFonts w:asciiTheme="majorHAnsi" w:hAnsiTheme="majorHAnsi" w:cstheme="majorHAnsi"/>
        </w:rPr>
        <w:t xml:space="preserve">,5 m (1+1 pruh), se započítáním rezervy pro související stavební práce je pro </w:t>
      </w:r>
      <w:r w:rsidR="00C13078" w:rsidRPr="00A76411">
        <w:rPr>
          <w:rFonts w:asciiTheme="majorHAnsi" w:hAnsiTheme="majorHAnsi" w:cstheme="majorHAnsi"/>
        </w:rPr>
        <w:t xml:space="preserve">maximální </w:t>
      </w:r>
      <w:r w:rsidRPr="00A76411">
        <w:rPr>
          <w:rFonts w:asciiTheme="majorHAnsi" w:hAnsiTheme="majorHAnsi" w:cstheme="majorHAnsi"/>
        </w:rPr>
        <w:t>zábor ZPF uvažována šířka tělesa stavby 1</w:t>
      </w:r>
      <w:r w:rsidR="00C13078" w:rsidRPr="00A76411">
        <w:rPr>
          <w:rFonts w:asciiTheme="majorHAnsi" w:hAnsiTheme="majorHAnsi" w:cstheme="majorHAnsi"/>
        </w:rPr>
        <w:t>5</w:t>
      </w:r>
      <w:r w:rsidRPr="00A76411">
        <w:rPr>
          <w:rFonts w:asciiTheme="majorHAnsi" w:hAnsiTheme="majorHAnsi" w:cstheme="majorHAnsi"/>
        </w:rPr>
        <w:t xml:space="preserve"> m</w:t>
      </w:r>
      <w:r w:rsidR="00C13078" w:rsidRPr="00A76411">
        <w:rPr>
          <w:rFonts w:asciiTheme="majorHAnsi" w:hAnsiTheme="majorHAnsi" w:cstheme="majorHAnsi"/>
        </w:rPr>
        <w:t>, přičemž kategorijní šířka S 7,5/70 je pro stanovenou kategorii silnic III. třídy dle příslušné ČSN maximální</w:t>
      </w:r>
      <w:r w:rsidRPr="00A76411">
        <w:rPr>
          <w:rFonts w:asciiTheme="majorHAnsi" w:hAnsiTheme="majorHAnsi" w:cstheme="majorHAnsi"/>
        </w:rPr>
        <w:t xml:space="preserve">. </w:t>
      </w:r>
      <w:r w:rsidR="00C13078" w:rsidRPr="00A76411">
        <w:rPr>
          <w:rFonts w:asciiTheme="majorHAnsi" w:hAnsiTheme="majorHAnsi" w:cstheme="majorHAnsi"/>
        </w:rPr>
        <w:t xml:space="preserve">Na základě uvedeného výpočtu byl odhadnut zábor ZPF pro realizaci přeložky silnice III/3317 </w:t>
      </w:r>
      <w:r w:rsidR="0085631A" w:rsidRPr="00A76411">
        <w:rPr>
          <w:rFonts w:asciiTheme="majorHAnsi" w:hAnsiTheme="majorHAnsi" w:cstheme="majorHAnsi"/>
        </w:rPr>
        <w:t xml:space="preserve">v rozsahu </w:t>
      </w:r>
      <w:r w:rsidR="00C13078" w:rsidRPr="00A76411">
        <w:rPr>
          <w:rFonts w:asciiTheme="majorHAnsi" w:hAnsiTheme="majorHAnsi" w:cstheme="majorHAnsi"/>
        </w:rPr>
        <w:t xml:space="preserve">mezi </w:t>
      </w:r>
      <w:r w:rsidR="0085631A" w:rsidRPr="00A76411">
        <w:rPr>
          <w:rFonts w:asciiTheme="majorHAnsi" w:hAnsiTheme="majorHAnsi" w:cstheme="majorHAnsi"/>
        </w:rPr>
        <w:t>1,78 ha (varianta sever)</w:t>
      </w:r>
      <w:r w:rsidR="00C13078" w:rsidRPr="00A76411">
        <w:rPr>
          <w:rFonts w:asciiTheme="majorHAnsi" w:hAnsiTheme="majorHAnsi" w:cstheme="majorHAnsi"/>
        </w:rPr>
        <w:t xml:space="preserve"> a </w:t>
      </w:r>
      <w:r w:rsidR="0085631A" w:rsidRPr="00A76411">
        <w:rPr>
          <w:rFonts w:asciiTheme="majorHAnsi" w:hAnsiTheme="majorHAnsi" w:cstheme="majorHAnsi"/>
        </w:rPr>
        <w:t>1,96</w:t>
      </w:r>
      <w:r w:rsidR="00C13078" w:rsidRPr="00A76411">
        <w:rPr>
          <w:rFonts w:asciiTheme="majorHAnsi" w:hAnsiTheme="majorHAnsi" w:cstheme="majorHAnsi"/>
        </w:rPr>
        <w:t xml:space="preserve"> ha</w:t>
      </w:r>
      <w:r w:rsidR="0085631A" w:rsidRPr="00A76411">
        <w:rPr>
          <w:rFonts w:asciiTheme="majorHAnsi" w:hAnsiTheme="majorHAnsi" w:cstheme="majorHAnsi"/>
        </w:rPr>
        <w:t xml:space="preserve"> (varianta jih)</w:t>
      </w:r>
      <w:r w:rsidR="00C13078" w:rsidRPr="00A76411">
        <w:rPr>
          <w:rFonts w:asciiTheme="majorHAnsi" w:hAnsiTheme="majorHAnsi" w:cstheme="majorHAnsi"/>
        </w:rPr>
        <w:t>, v závislosti na zvolené variantě (podrobně viz Příloha 2 tohoto odůvodnění).</w:t>
      </w:r>
    </w:p>
    <w:p w14:paraId="33939BE6" w14:textId="1F354462" w:rsidR="00C13078" w:rsidRPr="00A76411" w:rsidRDefault="00C208DE" w:rsidP="00A25D55">
      <w:pPr>
        <w:pStyle w:val="Atext"/>
        <w:rPr>
          <w:rFonts w:asciiTheme="majorHAnsi" w:hAnsiTheme="majorHAnsi" w:cstheme="majorHAnsi"/>
        </w:rPr>
      </w:pPr>
      <w:r w:rsidRPr="00A76411">
        <w:rPr>
          <w:rFonts w:asciiTheme="majorHAnsi" w:eastAsia="Calibri" w:hAnsiTheme="majorHAnsi" w:cstheme="majorHAnsi"/>
        </w:rPr>
        <w:t>V koridoru CNU.KD3 se předpokládá realizace záměru na nezemědělských pozemcích a v překryvu se zastavitelnou plochou Z.13, v rámci které je zábor ZPF již vyhodnocen v rámci předpokládaného záboru ZPF v plochách změn.</w:t>
      </w:r>
    </w:p>
    <w:p w14:paraId="41186F40" w14:textId="61816D26" w:rsidR="00A25D55" w:rsidRPr="006070EA" w:rsidRDefault="00A25D55" w:rsidP="00C13078">
      <w:pPr>
        <w:pStyle w:val="Atext"/>
        <w:rPr>
          <w:rFonts w:asciiTheme="majorHAnsi" w:hAnsiTheme="majorHAnsi" w:cstheme="majorHAnsi"/>
        </w:rPr>
      </w:pPr>
      <w:r w:rsidRPr="00A76411">
        <w:rPr>
          <w:rFonts w:asciiTheme="majorHAnsi" w:hAnsiTheme="majorHAnsi" w:cstheme="majorHAnsi"/>
        </w:rPr>
        <w:t xml:space="preserve">Zábor ZPF pro samotnou modernizaci železniční trati </w:t>
      </w:r>
      <w:r w:rsidR="001D44F9" w:rsidRPr="00A76411">
        <w:rPr>
          <w:rFonts w:asciiTheme="majorHAnsi" w:hAnsiTheme="majorHAnsi" w:cstheme="majorHAnsi"/>
        </w:rPr>
        <w:t xml:space="preserve">v koridoru CNZ.D322 </w:t>
      </w:r>
      <w:r w:rsidRPr="00A76411">
        <w:rPr>
          <w:rFonts w:asciiTheme="majorHAnsi" w:hAnsiTheme="majorHAnsi" w:cstheme="majorHAnsi"/>
        </w:rPr>
        <w:t>se nepředpokládá vzhledem ke skutečnosti, že koridor je vymezen převážně v rozsahu stávajících drážních pozemků. Rozsah drážních pozemků dle podkladové studie postačuje pro realizaci záměru.</w:t>
      </w:r>
      <w:r w:rsidRPr="006070EA">
        <w:rPr>
          <w:rFonts w:asciiTheme="majorHAnsi" w:hAnsiTheme="majorHAnsi" w:cstheme="majorHAnsi"/>
        </w:rPr>
        <w:t xml:space="preserve"> </w:t>
      </w:r>
    </w:p>
    <w:p w14:paraId="21ADFEAA" w14:textId="54726ACB" w:rsidR="00041EBB" w:rsidRPr="006070EA" w:rsidRDefault="00041EBB" w:rsidP="00041EBB">
      <w:pPr>
        <w:pStyle w:val="Atext"/>
        <w:rPr>
          <w:rFonts w:asciiTheme="majorHAnsi" w:eastAsia="Calibri" w:hAnsiTheme="majorHAnsi" w:cstheme="majorHAnsi"/>
        </w:rPr>
      </w:pPr>
      <w:r w:rsidRPr="006070EA">
        <w:rPr>
          <w:rFonts w:asciiTheme="majorHAnsi" w:eastAsia="Calibri" w:hAnsiTheme="majorHAnsi" w:cstheme="majorHAnsi"/>
        </w:rPr>
        <w:t xml:space="preserve">Vyhodnocení odhadu </w:t>
      </w:r>
      <w:r w:rsidR="002932D0" w:rsidRPr="006070EA">
        <w:rPr>
          <w:rFonts w:asciiTheme="majorHAnsi" w:eastAsia="Calibri" w:hAnsiTheme="majorHAnsi" w:cstheme="majorHAnsi"/>
        </w:rPr>
        <w:t xml:space="preserve">maximálního </w:t>
      </w:r>
      <w:r w:rsidRPr="006070EA">
        <w:rPr>
          <w:rFonts w:asciiTheme="majorHAnsi" w:eastAsia="Calibri" w:hAnsiTheme="majorHAnsi" w:cstheme="majorHAnsi"/>
        </w:rPr>
        <w:t xml:space="preserve">záboru ZPF </w:t>
      </w:r>
      <w:r w:rsidR="002932D0" w:rsidRPr="006070EA">
        <w:rPr>
          <w:rFonts w:asciiTheme="majorHAnsi" w:eastAsia="Calibri" w:hAnsiTheme="majorHAnsi" w:cstheme="majorHAnsi"/>
        </w:rPr>
        <w:t xml:space="preserve">v </w:t>
      </w:r>
      <w:r w:rsidRPr="006070EA">
        <w:rPr>
          <w:rFonts w:asciiTheme="majorHAnsi" w:eastAsia="Calibri" w:hAnsiTheme="majorHAnsi" w:cstheme="majorHAnsi"/>
        </w:rPr>
        <w:t xml:space="preserve">koridorech </w:t>
      </w:r>
      <w:r w:rsidR="002932D0" w:rsidRPr="006070EA">
        <w:rPr>
          <w:rFonts w:asciiTheme="majorHAnsi" w:eastAsia="Calibri" w:hAnsiTheme="majorHAnsi" w:cstheme="majorHAnsi"/>
        </w:rPr>
        <w:t>vymezených v ÚP Kostomlaty nad Labem</w:t>
      </w:r>
      <w:r w:rsidR="004321A6" w:rsidRPr="006070EA">
        <w:rPr>
          <w:rFonts w:asciiTheme="majorHAnsi" w:eastAsia="Calibri" w:hAnsiTheme="majorHAnsi" w:cstheme="majorHAnsi"/>
        </w:rPr>
        <w:t xml:space="preserve"> je obsahem Přílohy č. 2.</w:t>
      </w:r>
      <w:r w:rsidRPr="006070EA">
        <w:rPr>
          <w:rFonts w:asciiTheme="majorHAnsi" w:eastAsia="Calibri" w:hAnsiTheme="majorHAnsi" w:cstheme="majorHAnsi"/>
        </w:rPr>
        <w:t xml:space="preserve"> </w:t>
      </w:r>
    </w:p>
    <w:p w14:paraId="346CBAE5" w14:textId="77777777" w:rsidR="009E33CB" w:rsidRPr="006070EA" w:rsidRDefault="009E33CB" w:rsidP="003A4B1E">
      <w:pPr>
        <w:pStyle w:val="Odstavecseseznamem"/>
        <w:keepNext/>
        <w:numPr>
          <w:ilvl w:val="2"/>
          <w:numId w:val="31"/>
        </w:numPr>
        <w:spacing w:before="160" w:after="120" w:line="240" w:lineRule="auto"/>
        <w:ind w:left="709" w:hanging="709"/>
        <w:contextualSpacing w:val="0"/>
        <w:jc w:val="both"/>
        <w:outlineLvl w:val="2"/>
        <w:rPr>
          <w:rFonts w:asciiTheme="majorHAnsi" w:hAnsiTheme="majorHAnsi" w:cstheme="majorHAnsi"/>
          <w:b/>
        </w:rPr>
      </w:pPr>
      <w:bookmarkStart w:id="460" w:name="_Toc204678235"/>
      <w:r w:rsidRPr="006070EA">
        <w:rPr>
          <w:rFonts w:asciiTheme="majorHAnsi" w:hAnsiTheme="majorHAnsi" w:cstheme="majorHAnsi"/>
          <w:b/>
        </w:rPr>
        <w:lastRenderedPageBreak/>
        <w:t>Zdůvodnění vhodnosti navrženého řešení oproti jiným variantám</w:t>
      </w:r>
      <w:bookmarkEnd w:id="449"/>
      <w:bookmarkEnd w:id="460"/>
    </w:p>
    <w:p w14:paraId="0A01D441" w14:textId="104359FB" w:rsidR="00041EBB" w:rsidRPr="006070EA" w:rsidRDefault="00041EBB" w:rsidP="00D430EF">
      <w:pPr>
        <w:pStyle w:val="Atext"/>
        <w:keepNext/>
        <w:keepLines/>
        <w:spacing w:before="60" w:after="60"/>
        <w:rPr>
          <w:rFonts w:asciiTheme="majorHAnsi" w:hAnsiTheme="majorHAnsi" w:cstheme="majorHAnsi"/>
        </w:rPr>
      </w:pPr>
      <w:r w:rsidRPr="006070EA">
        <w:rPr>
          <w:rFonts w:asciiTheme="majorHAnsi" w:hAnsiTheme="majorHAnsi" w:cstheme="majorHAnsi"/>
        </w:rPr>
        <w:t xml:space="preserve">Územní plán je koncipován s ohledem na funkční, plošné a prostorové možnosti rozvoje sídel. ÚP </w:t>
      </w:r>
      <w:r w:rsidR="00937B2D" w:rsidRPr="006070EA">
        <w:rPr>
          <w:rFonts w:asciiTheme="majorHAnsi" w:hAnsiTheme="majorHAnsi" w:cstheme="majorHAnsi"/>
        </w:rPr>
        <w:t>Kostomlaty nad Labem</w:t>
      </w:r>
      <w:r w:rsidRPr="006070EA">
        <w:rPr>
          <w:rFonts w:asciiTheme="majorHAnsi" w:hAnsiTheme="majorHAnsi" w:cstheme="majorHAnsi"/>
        </w:rPr>
        <w:t xml:space="preserve"> respektuje stávající sídelní a urbanistickou strukturu, limity využití území, geomorfologické podmínky a zohledňuje výhledové předpoklady </w:t>
      </w:r>
      <w:r w:rsidR="00937B2D" w:rsidRPr="006070EA">
        <w:rPr>
          <w:rFonts w:asciiTheme="majorHAnsi" w:hAnsiTheme="majorHAnsi" w:cstheme="majorHAnsi"/>
        </w:rPr>
        <w:t xml:space="preserve">obce </w:t>
      </w:r>
      <w:r w:rsidRPr="006070EA">
        <w:rPr>
          <w:rFonts w:asciiTheme="majorHAnsi" w:hAnsiTheme="majorHAnsi" w:cstheme="majorHAnsi"/>
        </w:rPr>
        <w:t xml:space="preserve">pro rozvoj. Koncepce rozvoje obce je koordinována s ohledem na aktuální stav a požadavky zejména v oblasti vymezování zastavitelných ploch. Rozsah zastavitelných ploch odpovídá předpokládanému demografickému vývoji území do roku 2035 a potřeb rozvoje území ve vztahu k významu území a v souvislosti s požadavky nadřazených dokumentací a podkladů. </w:t>
      </w:r>
    </w:p>
    <w:p w14:paraId="03388221" w14:textId="4BE4E233" w:rsidR="00041EBB" w:rsidRPr="006070EA" w:rsidRDefault="00041EBB" w:rsidP="00041EBB">
      <w:pPr>
        <w:pStyle w:val="Atext"/>
        <w:spacing w:before="60" w:after="60"/>
        <w:rPr>
          <w:rFonts w:asciiTheme="majorHAnsi" w:hAnsiTheme="majorHAnsi" w:cstheme="majorHAnsi"/>
        </w:rPr>
      </w:pPr>
      <w:r w:rsidRPr="006070EA">
        <w:rPr>
          <w:rFonts w:asciiTheme="majorHAnsi" w:hAnsiTheme="majorHAnsi" w:cstheme="majorHAnsi"/>
        </w:rPr>
        <w:t xml:space="preserve">Podrobně jsou východiska pro stanovení plošného rozsahu pro budoucí rozvoj </w:t>
      </w:r>
      <w:r w:rsidR="003859D5" w:rsidRPr="006070EA">
        <w:rPr>
          <w:rFonts w:asciiTheme="majorHAnsi" w:hAnsiTheme="majorHAnsi" w:cstheme="majorHAnsi"/>
        </w:rPr>
        <w:t>obce</w:t>
      </w:r>
      <w:r w:rsidRPr="006070EA">
        <w:rPr>
          <w:rFonts w:asciiTheme="majorHAnsi" w:hAnsiTheme="majorHAnsi" w:cstheme="majorHAnsi"/>
        </w:rPr>
        <w:t xml:space="preserve"> a s tím související zábory zemědělského půdního fondu uvedena v kapitole </w:t>
      </w:r>
      <w:r w:rsidRPr="006070EA">
        <w:rPr>
          <w:rFonts w:asciiTheme="majorHAnsi" w:hAnsiTheme="majorHAnsi" w:cstheme="majorHAnsi"/>
          <w:i/>
        </w:rPr>
        <w:t>10 Vyhodnocení účelného využití zastavěného území a vyhodnocení potřeby vymezení zastavitelných ploch</w:t>
      </w:r>
      <w:r w:rsidRPr="006070EA">
        <w:rPr>
          <w:rFonts w:asciiTheme="majorHAnsi" w:hAnsiTheme="majorHAnsi" w:cstheme="majorHAnsi"/>
        </w:rPr>
        <w:t xml:space="preserve">. </w:t>
      </w:r>
    </w:p>
    <w:p w14:paraId="29E4EE87" w14:textId="69496314" w:rsidR="00041EBB" w:rsidRPr="006070EA" w:rsidRDefault="00041EBB" w:rsidP="00041EBB">
      <w:pPr>
        <w:pStyle w:val="Atext"/>
        <w:spacing w:before="60" w:after="60"/>
        <w:rPr>
          <w:rFonts w:asciiTheme="majorHAnsi" w:hAnsiTheme="majorHAnsi" w:cstheme="majorHAnsi"/>
        </w:rPr>
      </w:pPr>
      <w:r w:rsidRPr="006070EA">
        <w:rPr>
          <w:rFonts w:asciiTheme="majorHAnsi" w:hAnsiTheme="majorHAnsi" w:cstheme="majorHAnsi"/>
        </w:rPr>
        <w:t xml:space="preserve">Zásady navrženého řešení jsou pak podrobně popsány v kapitole </w:t>
      </w:r>
      <w:r w:rsidRPr="006070EA">
        <w:rPr>
          <w:rFonts w:asciiTheme="majorHAnsi" w:hAnsiTheme="majorHAnsi" w:cstheme="majorHAnsi"/>
          <w:i/>
          <w:iCs w:val="0"/>
        </w:rPr>
        <w:t xml:space="preserve">11.2.2. Odůvodnění koncepce rozvoje území </w:t>
      </w:r>
      <w:r w:rsidR="003859D5" w:rsidRPr="006070EA">
        <w:rPr>
          <w:rFonts w:asciiTheme="majorHAnsi" w:hAnsiTheme="majorHAnsi" w:cstheme="majorHAnsi"/>
          <w:i/>
          <w:iCs w:val="0"/>
        </w:rPr>
        <w:t>obce</w:t>
      </w:r>
      <w:r w:rsidR="00681F86" w:rsidRPr="006070EA">
        <w:rPr>
          <w:rFonts w:asciiTheme="majorHAnsi" w:hAnsiTheme="majorHAnsi" w:cstheme="majorHAnsi"/>
          <w:i/>
          <w:iCs w:val="0"/>
        </w:rPr>
        <w:t xml:space="preserve"> </w:t>
      </w:r>
      <w:r w:rsidRPr="006070EA">
        <w:rPr>
          <w:rFonts w:asciiTheme="majorHAnsi" w:hAnsiTheme="majorHAnsi" w:cstheme="majorHAnsi"/>
        </w:rPr>
        <w:t xml:space="preserve">a </w:t>
      </w:r>
      <w:r w:rsidRPr="006070EA">
        <w:rPr>
          <w:rFonts w:asciiTheme="majorHAnsi" w:hAnsiTheme="majorHAnsi" w:cstheme="majorHAnsi"/>
          <w:i/>
          <w:iCs w:val="0"/>
        </w:rPr>
        <w:t>11.3.1 Odůvodnění urbanistické koncepce a urbanistické kompozice</w:t>
      </w:r>
      <w:r w:rsidRPr="006070EA">
        <w:rPr>
          <w:rFonts w:asciiTheme="majorHAnsi" w:hAnsiTheme="majorHAnsi" w:cstheme="majorHAnsi"/>
        </w:rPr>
        <w:t xml:space="preserve">. </w:t>
      </w:r>
    </w:p>
    <w:p w14:paraId="4E9F6FE9" w14:textId="4C15F1AB" w:rsidR="00041EBB" w:rsidRPr="006070EA" w:rsidRDefault="00041EBB" w:rsidP="00041EBB">
      <w:pPr>
        <w:pStyle w:val="Atext"/>
        <w:spacing w:before="60" w:after="60"/>
        <w:rPr>
          <w:rFonts w:asciiTheme="majorHAnsi" w:hAnsiTheme="majorHAnsi" w:cstheme="majorHAnsi"/>
          <w:szCs w:val="18"/>
        </w:rPr>
      </w:pPr>
      <w:r w:rsidRPr="006070EA">
        <w:rPr>
          <w:rFonts w:asciiTheme="majorHAnsi" w:hAnsiTheme="majorHAnsi" w:cstheme="majorHAnsi"/>
          <w:szCs w:val="18"/>
        </w:rPr>
        <w:t>V souladu s principy udržitelného rozvoje je v územním plánu navržen rozvoj zejména v</w:t>
      </w:r>
      <w:r w:rsidR="003859D5" w:rsidRPr="006070EA">
        <w:rPr>
          <w:rFonts w:asciiTheme="majorHAnsi" w:hAnsiTheme="majorHAnsi" w:cstheme="majorHAnsi"/>
          <w:szCs w:val="18"/>
        </w:rPr>
        <w:t xml:space="preserve"> přímé vazbě na zastavěné území sídel, zejména ve vazbě na hlavní sídlo území – Kostomlaty nad Labem – se </w:t>
      </w:r>
      <w:r w:rsidRPr="006070EA">
        <w:rPr>
          <w:rFonts w:asciiTheme="majorHAnsi" w:hAnsiTheme="majorHAnsi" w:cstheme="majorHAnsi"/>
          <w:szCs w:val="18"/>
        </w:rPr>
        <w:t xml:space="preserve">základní občanskou vybaveností, zajišťující efektivní využití stávající veřejné infrastruktury a eliminující neodůvodněné zastavování volné krajiny. Pro bydlení </w:t>
      </w:r>
      <w:r w:rsidR="003859D5" w:rsidRPr="006070EA">
        <w:rPr>
          <w:rFonts w:asciiTheme="majorHAnsi" w:hAnsiTheme="majorHAnsi" w:cstheme="majorHAnsi"/>
          <w:szCs w:val="18"/>
        </w:rPr>
        <w:t xml:space="preserve">a související využití jsou </w:t>
      </w:r>
      <w:r w:rsidRPr="006070EA">
        <w:rPr>
          <w:rFonts w:asciiTheme="majorHAnsi" w:hAnsiTheme="majorHAnsi" w:cstheme="majorHAnsi"/>
          <w:szCs w:val="18"/>
        </w:rPr>
        <w:t>rovněž rozvíjen</w:t>
      </w:r>
      <w:r w:rsidR="003859D5" w:rsidRPr="006070EA">
        <w:rPr>
          <w:rFonts w:asciiTheme="majorHAnsi" w:hAnsiTheme="majorHAnsi" w:cstheme="majorHAnsi"/>
          <w:szCs w:val="18"/>
        </w:rPr>
        <w:t>a</w:t>
      </w:r>
      <w:r w:rsidRPr="006070EA">
        <w:rPr>
          <w:rFonts w:asciiTheme="majorHAnsi" w:hAnsiTheme="majorHAnsi" w:cstheme="majorHAnsi"/>
          <w:szCs w:val="18"/>
        </w:rPr>
        <w:t xml:space="preserve"> sídl</w:t>
      </w:r>
      <w:r w:rsidR="003859D5" w:rsidRPr="006070EA">
        <w:rPr>
          <w:rFonts w:asciiTheme="majorHAnsi" w:hAnsiTheme="majorHAnsi" w:cstheme="majorHAnsi"/>
          <w:szCs w:val="18"/>
        </w:rPr>
        <w:t>a</w:t>
      </w:r>
      <w:r w:rsidRPr="006070EA">
        <w:rPr>
          <w:rFonts w:asciiTheme="majorHAnsi" w:hAnsiTheme="majorHAnsi" w:cstheme="majorHAnsi"/>
          <w:szCs w:val="18"/>
        </w:rPr>
        <w:t xml:space="preserve"> </w:t>
      </w:r>
      <w:r w:rsidR="003859D5" w:rsidRPr="006070EA">
        <w:rPr>
          <w:rFonts w:asciiTheme="majorHAnsi" w:hAnsiTheme="majorHAnsi" w:cstheme="majorHAnsi"/>
          <w:szCs w:val="18"/>
        </w:rPr>
        <w:t>Hronětice, Lány a Rozkoš</w:t>
      </w:r>
      <w:r w:rsidRPr="006070EA">
        <w:rPr>
          <w:rFonts w:asciiTheme="majorHAnsi" w:hAnsiTheme="majorHAnsi" w:cstheme="majorHAnsi"/>
          <w:szCs w:val="18"/>
        </w:rPr>
        <w:t>.</w:t>
      </w:r>
      <w:r w:rsidR="003859D5" w:rsidRPr="006070EA">
        <w:rPr>
          <w:rFonts w:asciiTheme="majorHAnsi" w:hAnsiTheme="majorHAnsi" w:cstheme="majorHAnsi"/>
          <w:szCs w:val="18"/>
        </w:rPr>
        <w:t xml:space="preserve"> Zachovalá a historicky hodnotná urbanistická struktura sídla Vápenska je chráněna a není narušena novými rozvojovými záměry.</w:t>
      </w:r>
    </w:p>
    <w:p w14:paraId="10CC0D1E" w14:textId="3F6AD640" w:rsidR="00681F86" w:rsidRPr="006070EA" w:rsidRDefault="00041EBB" w:rsidP="00681F86">
      <w:pPr>
        <w:pStyle w:val="Atext"/>
        <w:spacing w:before="60" w:after="60"/>
        <w:rPr>
          <w:rFonts w:asciiTheme="majorHAnsi" w:hAnsiTheme="majorHAnsi" w:cstheme="majorHAnsi"/>
        </w:rPr>
      </w:pPr>
      <w:r w:rsidRPr="006070EA">
        <w:rPr>
          <w:rFonts w:asciiTheme="majorHAnsi" w:hAnsiTheme="majorHAnsi" w:cstheme="majorHAnsi"/>
        </w:rPr>
        <w:t xml:space="preserve">Zastavitelné plochy a plochy přestavby určené pro urbanistický rozvoj </w:t>
      </w:r>
      <w:r w:rsidR="003859D5" w:rsidRPr="006070EA">
        <w:rPr>
          <w:rFonts w:asciiTheme="majorHAnsi" w:hAnsiTheme="majorHAnsi" w:cstheme="majorHAnsi"/>
        </w:rPr>
        <w:t>území</w:t>
      </w:r>
      <w:r w:rsidRPr="006070EA">
        <w:rPr>
          <w:rFonts w:asciiTheme="majorHAnsi" w:hAnsiTheme="majorHAnsi" w:cstheme="majorHAnsi"/>
        </w:rPr>
        <w:t xml:space="preserve"> jsou vymezeny téměř výhradně ve vazbě na zastavěné území a stávající zástavbu s cílem doplnění kompaktního tvaru sídel s ohledem na omezení míry rozrůstání sídel do volné krajiny – doplňují tak existující strukturu zástavby do kompaktního celku, čímž je omezen zásah do celistvosti zemědělských bloků. Zastavitelné plochy respektují charakter sídla a zásadním způsobem nevstupují do volné krajiny.</w:t>
      </w:r>
      <w:r w:rsidR="00681F86" w:rsidRPr="006070EA">
        <w:rPr>
          <w:rFonts w:asciiTheme="majorHAnsi" w:hAnsiTheme="majorHAnsi" w:cstheme="majorHAnsi"/>
        </w:rPr>
        <w:t xml:space="preserve"> Mimo přímý kontakt s existující zástavbou nebo zastavěným územím nejsou vymezovány žádné záměry ve volné krajině na zemědělské půdě.</w:t>
      </w:r>
    </w:p>
    <w:p w14:paraId="654B04CE" w14:textId="6FF3BA2F" w:rsidR="00041EBB" w:rsidRPr="006070EA" w:rsidRDefault="00041EBB" w:rsidP="00041EBB">
      <w:pPr>
        <w:pStyle w:val="Atext"/>
        <w:spacing w:before="60" w:after="60"/>
        <w:rPr>
          <w:rFonts w:asciiTheme="majorHAnsi" w:hAnsiTheme="majorHAnsi" w:cstheme="majorHAnsi"/>
        </w:rPr>
      </w:pPr>
      <w:r w:rsidRPr="006070EA">
        <w:rPr>
          <w:rFonts w:asciiTheme="majorHAnsi" w:hAnsiTheme="majorHAnsi" w:cstheme="majorHAnsi"/>
        </w:rPr>
        <w:t xml:space="preserve">Územní plán je zpracován jako invariantní, a to v souladu se Zadáním ÚP. Z toho důvodu není předloženo porovnání variant řešení ve vztahu k záborům ZPF. Varianty rozvoje města lze posoudit při vzájemném porovnání původního a dosud platného Územního plánu </w:t>
      </w:r>
      <w:r w:rsidR="003859D5" w:rsidRPr="006070EA">
        <w:rPr>
          <w:rFonts w:asciiTheme="majorHAnsi" w:hAnsiTheme="majorHAnsi" w:cstheme="majorHAnsi"/>
        </w:rPr>
        <w:t>obce</w:t>
      </w:r>
      <w:r w:rsidRPr="006070EA">
        <w:rPr>
          <w:rFonts w:asciiTheme="majorHAnsi" w:hAnsiTheme="majorHAnsi" w:cstheme="majorHAnsi"/>
        </w:rPr>
        <w:t xml:space="preserve"> </w:t>
      </w:r>
      <w:r w:rsidR="003859D5" w:rsidRPr="006070EA">
        <w:rPr>
          <w:rFonts w:asciiTheme="majorHAnsi" w:hAnsiTheme="majorHAnsi" w:cstheme="majorHAnsi"/>
        </w:rPr>
        <w:t xml:space="preserve">Kostomlaty nad Labem </w:t>
      </w:r>
      <w:r w:rsidRPr="006070EA">
        <w:rPr>
          <w:rFonts w:asciiTheme="majorHAnsi" w:hAnsiTheme="majorHAnsi" w:cstheme="majorHAnsi"/>
        </w:rPr>
        <w:t>(ÚP</w:t>
      </w:r>
      <w:r w:rsidR="003859D5" w:rsidRPr="006070EA">
        <w:rPr>
          <w:rFonts w:asciiTheme="majorHAnsi" w:hAnsiTheme="majorHAnsi" w:cstheme="majorHAnsi"/>
        </w:rPr>
        <w:t>O</w:t>
      </w:r>
      <w:r w:rsidRPr="006070EA">
        <w:rPr>
          <w:rFonts w:asciiTheme="majorHAnsi" w:hAnsiTheme="majorHAnsi" w:cstheme="majorHAnsi"/>
        </w:rPr>
        <w:t>, 200</w:t>
      </w:r>
      <w:r w:rsidR="003859D5" w:rsidRPr="006070EA">
        <w:rPr>
          <w:rFonts w:asciiTheme="majorHAnsi" w:hAnsiTheme="majorHAnsi" w:cstheme="majorHAnsi"/>
        </w:rPr>
        <w:t>3</w:t>
      </w:r>
      <w:r w:rsidRPr="006070EA">
        <w:rPr>
          <w:rFonts w:asciiTheme="majorHAnsi" w:hAnsiTheme="majorHAnsi" w:cstheme="majorHAnsi"/>
        </w:rPr>
        <w:t xml:space="preserve">) a předkládaného návrhu nového ÚP. </w:t>
      </w:r>
      <w:r w:rsidR="00681F86" w:rsidRPr="006070EA">
        <w:rPr>
          <w:rFonts w:asciiTheme="majorHAnsi" w:hAnsiTheme="majorHAnsi" w:cstheme="majorHAnsi"/>
        </w:rPr>
        <w:t>Návrh řešení nového ÚP vychází ze zevrubného prověření rozsahu zastavitelných ploch ve vztahu k aktuální potřebě vymezení zastavitelných ploch. Územní plán zcela zřejmě respektuje koncepci rozvoje území, stanovenou ve stávající ÚPD, přičemž pro identifikovanou potřebu vymezení zastavitelných ploch primárně využívá dosud nevyužité části rozvojových lokalit z platné ÚPD, které doplňuje především o dostupné pozemky dle aktuální poptávky v území v souvislosti s uplatněnými žádostmi vlastníků pozemků na změny využití území (viz kapitola 10.5).</w:t>
      </w:r>
    </w:p>
    <w:p w14:paraId="728BFE61" w14:textId="77777777" w:rsidR="00AD69B8" w:rsidRPr="006070EA" w:rsidRDefault="00AD69B8" w:rsidP="00AD69B8">
      <w:pPr>
        <w:pStyle w:val="Anadpistun"/>
        <w:rPr>
          <w:rFonts w:asciiTheme="majorHAnsi" w:hAnsiTheme="majorHAnsi" w:cstheme="majorHAnsi"/>
        </w:rPr>
      </w:pPr>
      <w:r w:rsidRPr="006070EA">
        <w:rPr>
          <w:rFonts w:asciiTheme="majorHAnsi" w:hAnsiTheme="majorHAnsi" w:cstheme="majorHAnsi"/>
        </w:rPr>
        <w:t xml:space="preserve">Vyhodnocení souladu se zákonem 334/1992 Sb. </w:t>
      </w:r>
    </w:p>
    <w:p w14:paraId="7FAAB284" w14:textId="77777777" w:rsidR="00AD69B8" w:rsidRPr="006070EA" w:rsidRDefault="00AD69B8" w:rsidP="003D125E">
      <w:pPr>
        <w:pStyle w:val="Atext"/>
        <w:spacing w:before="60" w:after="60"/>
        <w:rPr>
          <w:rFonts w:asciiTheme="majorHAnsi" w:hAnsiTheme="majorHAnsi" w:cstheme="majorHAnsi"/>
        </w:rPr>
      </w:pPr>
      <w:r w:rsidRPr="006070EA">
        <w:rPr>
          <w:rFonts w:asciiTheme="majorHAnsi" w:hAnsiTheme="majorHAnsi" w:cstheme="majorHAnsi"/>
        </w:rPr>
        <w:t>Řešení navrhované územním plánem vychází z maximálního respektování § 4 a 5 zákona č. 334/1992 Sb., o</w:t>
      </w:r>
      <w:r w:rsidR="00650193" w:rsidRPr="006070EA">
        <w:rPr>
          <w:rFonts w:asciiTheme="majorHAnsi" w:hAnsiTheme="majorHAnsi" w:cstheme="majorHAnsi"/>
        </w:rPr>
        <w:t> </w:t>
      </w:r>
      <w:r w:rsidRPr="006070EA">
        <w:rPr>
          <w:rFonts w:asciiTheme="majorHAnsi" w:hAnsiTheme="majorHAnsi" w:cstheme="majorHAnsi"/>
        </w:rPr>
        <w:t>ochraně zemědělského půdního fondu, ve znění pozdějších předpisů (dále též jen „zákon o ochraně</w:t>
      </w:r>
      <w:r w:rsidR="0011181C" w:rsidRPr="006070EA">
        <w:rPr>
          <w:rFonts w:asciiTheme="majorHAnsi" w:hAnsiTheme="majorHAnsi" w:cstheme="majorHAnsi"/>
        </w:rPr>
        <w:t> </w:t>
      </w:r>
      <w:r w:rsidRPr="006070EA">
        <w:rPr>
          <w:rFonts w:asciiTheme="majorHAnsi" w:hAnsiTheme="majorHAnsi" w:cstheme="majorHAnsi"/>
        </w:rPr>
        <w:t xml:space="preserve">ZPF“). </w:t>
      </w:r>
    </w:p>
    <w:p w14:paraId="528F65B7" w14:textId="26FE6931" w:rsidR="00AD69B8" w:rsidRPr="006070EA" w:rsidRDefault="00AD69B8" w:rsidP="003D125E">
      <w:pPr>
        <w:pStyle w:val="Atext"/>
        <w:spacing w:before="60" w:after="60"/>
        <w:rPr>
          <w:rFonts w:asciiTheme="majorHAnsi" w:hAnsiTheme="majorHAnsi" w:cstheme="majorHAnsi"/>
        </w:rPr>
      </w:pPr>
      <w:r w:rsidRPr="006070EA">
        <w:rPr>
          <w:rFonts w:asciiTheme="majorHAnsi" w:hAnsiTheme="majorHAnsi" w:cstheme="majorHAnsi"/>
        </w:rPr>
        <w:t xml:space="preserve">Dle § 4 bodem a) zákona o ochraně ZPF je nutné pro rozvoj využít přednostně zastavitelné plochy vymezené v původní územně plánovací dokumentaci. </w:t>
      </w:r>
      <w:r w:rsidR="00650193" w:rsidRPr="006070EA">
        <w:rPr>
          <w:rFonts w:asciiTheme="majorHAnsi" w:hAnsiTheme="majorHAnsi" w:cstheme="majorHAnsi"/>
        </w:rPr>
        <w:t xml:space="preserve">Tento požadavek ÚP </w:t>
      </w:r>
      <w:r w:rsidR="003E4283" w:rsidRPr="006070EA">
        <w:rPr>
          <w:rFonts w:asciiTheme="majorHAnsi" w:hAnsiTheme="majorHAnsi" w:cstheme="majorHAnsi"/>
        </w:rPr>
        <w:t>Kostomlaty nad Labem</w:t>
      </w:r>
      <w:r w:rsidR="00650193" w:rsidRPr="006070EA">
        <w:rPr>
          <w:rFonts w:asciiTheme="majorHAnsi" w:hAnsiTheme="majorHAnsi" w:cstheme="majorHAnsi"/>
        </w:rPr>
        <w:t xml:space="preserve"> respektuje a vymezuje zejména rozvojové plochy v souladu se stávající ÚPD obce (</w:t>
      </w:r>
      <w:r w:rsidRPr="006070EA">
        <w:rPr>
          <w:rFonts w:asciiTheme="majorHAnsi" w:hAnsiTheme="majorHAnsi" w:cstheme="majorHAnsi"/>
        </w:rPr>
        <w:t xml:space="preserve">viz kapitola </w:t>
      </w:r>
      <w:r w:rsidRPr="006070EA">
        <w:rPr>
          <w:rFonts w:asciiTheme="majorHAnsi" w:hAnsiTheme="majorHAnsi" w:cstheme="majorHAnsi"/>
          <w:i/>
        </w:rPr>
        <w:t>10.</w:t>
      </w:r>
      <w:r w:rsidR="00DF3801" w:rsidRPr="006070EA">
        <w:rPr>
          <w:rFonts w:asciiTheme="majorHAnsi" w:hAnsiTheme="majorHAnsi" w:cstheme="majorHAnsi"/>
          <w:i/>
        </w:rPr>
        <w:t>4</w:t>
      </w:r>
      <w:r w:rsidRPr="006070EA">
        <w:rPr>
          <w:rFonts w:asciiTheme="majorHAnsi" w:hAnsiTheme="majorHAnsi" w:cstheme="majorHAnsi"/>
          <w:i/>
        </w:rPr>
        <w:t xml:space="preserve"> Vyhodnocení využití zastavitelných ploch vymezených ve schválené ÚPD </w:t>
      </w:r>
      <w:r w:rsidR="003E4283" w:rsidRPr="006070EA">
        <w:rPr>
          <w:rFonts w:asciiTheme="majorHAnsi" w:hAnsiTheme="majorHAnsi" w:cstheme="majorHAnsi"/>
          <w:i/>
        </w:rPr>
        <w:t>Kostomlaty nad Labem</w:t>
      </w:r>
      <w:r w:rsidR="00650193" w:rsidRPr="006070EA">
        <w:rPr>
          <w:rFonts w:asciiTheme="majorHAnsi" w:hAnsiTheme="majorHAnsi" w:cstheme="majorHAnsi"/>
        </w:rPr>
        <w:t>)</w:t>
      </w:r>
      <w:r w:rsidRPr="006070EA">
        <w:rPr>
          <w:rFonts w:asciiTheme="majorHAnsi" w:hAnsiTheme="majorHAnsi" w:cstheme="majorHAnsi"/>
        </w:rPr>
        <w:t xml:space="preserve">. </w:t>
      </w:r>
    </w:p>
    <w:p w14:paraId="623E0FBF" w14:textId="20049385" w:rsidR="00DF3801" w:rsidRPr="006070EA" w:rsidRDefault="00A447BF" w:rsidP="00DF3801">
      <w:pPr>
        <w:pStyle w:val="Atext"/>
        <w:spacing w:before="60" w:after="60"/>
        <w:rPr>
          <w:rFonts w:asciiTheme="majorHAnsi" w:hAnsiTheme="majorHAnsi" w:cstheme="majorHAnsi"/>
        </w:rPr>
      </w:pPr>
      <w:r w:rsidRPr="006070EA">
        <w:rPr>
          <w:rFonts w:asciiTheme="majorHAnsi" w:hAnsiTheme="majorHAnsi" w:cstheme="majorHAnsi"/>
        </w:rPr>
        <w:t xml:space="preserve">V řešeném území jsou zastoupeny pozemky ZPF </w:t>
      </w:r>
      <w:r w:rsidR="003E4283" w:rsidRPr="006070EA">
        <w:rPr>
          <w:rFonts w:asciiTheme="majorHAnsi" w:hAnsiTheme="majorHAnsi" w:cstheme="majorHAnsi"/>
        </w:rPr>
        <w:t xml:space="preserve">všech </w:t>
      </w:r>
      <w:r w:rsidRPr="006070EA">
        <w:rPr>
          <w:rFonts w:asciiTheme="majorHAnsi" w:hAnsiTheme="majorHAnsi" w:cstheme="majorHAnsi"/>
        </w:rPr>
        <w:t>tříd ochrany.</w:t>
      </w:r>
      <w:r w:rsidR="00DF3801" w:rsidRPr="006070EA">
        <w:rPr>
          <w:rFonts w:asciiTheme="majorHAnsi" w:hAnsiTheme="majorHAnsi" w:cstheme="majorHAnsi"/>
        </w:rPr>
        <w:t xml:space="preserve"> </w:t>
      </w:r>
      <w:r w:rsidR="003E4283" w:rsidRPr="006070EA">
        <w:rPr>
          <w:rFonts w:asciiTheme="majorHAnsi" w:hAnsiTheme="majorHAnsi" w:cstheme="majorHAnsi"/>
        </w:rPr>
        <w:t xml:space="preserve">Vzhledem k lokalizaci zvláště chráněných zemědělských pozemků v přímé vazbě na zastavěné území nebylo možné vymezit nové zastavitelné plochy bez jejich dotčení. V souladu s principy udržitelného rozvoje je v územním plánu navržen rozvoj zejména v přímé vazbě zejména zastavěné území sídel, čímž je zajištěno efektivní využití stávající veřejné infrastruktury a eliminace neodůvodněného zastavování volné krajiny. </w:t>
      </w:r>
    </w:p>
    <w:p w14:paraId="01EEEC4E" w14:textId="4F40560E" w:rsidR="00AD69B8" w:rsidRPr="006070EA" w:rsidRDefault="00AD69B8" w:rsidP="003D125E">
      <w:pPr>
        <w:pStyle w:val="Atext"/>
        <w:spacing w:before="60" w:after="60"/>
        <w:rPr>
          <w:rFonts w:asciiTheme="majorHAnsi" w:hAnsiTheme="majorHAnsi" w:cstheme="majorHAnsi"/>
        </w:rPr>
      </w:pPr>
      <w:r w:rsidRPr="006070EA">
        <w:rPr>
          <w:rFonts w:asciiTheme="majorHAnsi" w:hAnsiTheme="majorHAnsi" w:cstheme="majorHAnsi"/>
        </w:rPr>
        <w:t xml:space="preserve">V souladu s § 4 bodem c) zákona o ochraně ZPF jsou v ÚP </w:t>
      </w:r>
      <w:r w:rsidR="003E4283" w:rsidRPr="006070EA">
        <w:rPr>
          <w:rFonts w:asciiTheme="majorHAnsi" w:hAnsiTheme="majorHAnsi" w:cstheme="majorHAnsi"/>
        </w:rPr>
        <w:t>Kostomlaty nad Labem</w:t>
      </w:r>
      <w:r w:rsidR="00A447BF" w:rsidRPr="006070EA">
        <w:rPr>
          <w:rFonts w:asciiTheme="majorHAnsi" w:hAnsiTheme="majorHAnsi" w:cstheme="majorHAnsi"/>
        </w:rPr>
        <w:t xml:space="preserve"> </w:t>
      </w:r>
      <w:r w:rsidRPr="006070EA">
        <w:rPr>
          <w:rFonts w:asciiTheme="majorHAnsi" w:hAnsiTheme="majorHAnsi" w:cstheme="majorHAnsi"/>
        </w:rPr>
        <w:t>vymezovány zastavitelné plochy vždy v návaznosti na stabilizovanou zástavbu tak, aby docházelo k postupnému a prostorově kontinuálnímu rozvoji zástavby a</w:t>
      </w:r>
      <w:r w:rsidR="00A447BF" w:rsidRPr="006070EA">
        <w:rPr>
          <w:rFonts w:asciiTheme="majorHAnsi" w:hAnsiTheme="majorHAnsi" w:cstheme="majorHAnsi"/>
        </w:rPr>
        <w:t> </w:t>
      </w:r>
      <w:r w:rsidRPr="006070EA">
        <w:rPr>
          <w:rFonts w:asciiTheme="majorHAnsi" w:hAnsiTheme="majorHAnsi" w:cstheme="majorHAnsi"/>
        </w:rPr>
        <w:t xml:space="preserve">nebyla narušována celistvost bloků a organizace zemědělské půdy, a nebyly narušovány zemědělské účelové komunikace, hydrologické a odtokové poměry. </w:t>
      </w:r>
      <w:r w:rsidR="00A447BF" w:rsidRPr="006070EA">
        <w:rPr>
          <w:rFonts w:asciiTheme="majorHAnsi" w:hAnsiTheme="majorHAnsi" w:cstheme="majorHAnsi"/>
        </w:rPr>
        <w:t>Současně byla při vymezování zastavitelných ploch zohledněna zahájená územní řízení.</w:t>
      </w:r>
    </w:p>
    <w:p w14:paraId="45EC1E9D" w14:textId="77777777" w:rsidR="00AD69B8" w:rsidRPr="006070EA" w:rsidRDefault="00AD69B8" w:rsidP="003D125E">
      <w:pPr>
        <w:pStyle w:val="Atext"/>
        <w:spacing w:before="60" w:after="60"/>
        <w:rPr>
          <w:rFonts w:asciiTheme="majorHAnsi" w:hAnsiTheme="majorHAnsi" w:cstheme="majorHAnsi"/>
        </w:rPr>
      </w:pPr>
      <w:r w:rsidRPr="006070EA">
        <w:rPr>
          <w:rFonts w:asciiTheme="majorHAnsi" w:hAnsiTheme="majorHAnsi" w:cstheme="majorHAnsi"/>
        </w:rPr>
        <w:t xml:space="preserve">V souladu s § 4 bodem d) zákona o ochraně ZPF je odnímána pouze nejnutnější plocha ZPF - potřebnost vymezení zastavitelných ploch je podrobně popsána v kapitole </w:t>
      </w:r>
      <w:r w:rsidRPr="006070EA">
        <w:rPr>
          <w:rFonts w:asciiTheme="majorHAnsi" w:hAnsiTheme="majorHAnsi" w:cstheme="majorHAnsi"/>
          <w:i/>
        </w:rPr>
        <w:t>10 Vyhodnocení účelného využití zastavěného území a vyhodnocení potřeby vymezení zastavitelných ploch</w:t>
      </w:r>
      <w:r w:rsidRPr="006070EA">
        <w:rPr>
          <w:rFonts w:asciiTheme="majorHAnsi" w:hAnsiTheme="majorHAnsi" w:cstheme="majorHAnsi"/>
        </w:rPr>
        <w:t>.</w:t>
      </w:r>
    </w:p>
    <w:p w14:paraId="0E5F424F" w14:textId="77777777" w:rsidR="00A447BF" w:rsidRPr="006070EA" w:rsidRDefault="003D125E" w:rsidP="003D125E">
      <w:pPr>
        <w:pStyle w:val="Atext"/>
        <w:spacing w:before="60" w:after="60"/>
        <w:rPr>
          <w:rFonts w:asciiTheme="majorHAnsi" w:hAnsiTheme="majorHAnsi" w:cstheme="majorHAnsi"/>
        </w:rPr>
      </w:pPr>
      <w:r w:rsidRPr="006070EA">
        <w:rPr>
          <w:rFonts w:asciiTheme="majorHAnsi" w:hAnsiTheme="majorHAnsi" w:cstheme="majorHAnsi"/>
        </w:rPr>
        <w:t xml:space="preserve">Ve vztahu k </w:t>
      </w:r>
      <w:r w:rsidR="00AD69B8" w:rsidRPr="006070EA">
        <w:rPr>
          <w:rFonts w:asciiTheme="majorHAnsi" w:hAnsiTheme="majorHAnsi" w:cstheme="majorHAnsi"/>
        </w:rPr>
        <w:t xml:space="preserve">§ 4 bodem e) zákona o ochraně ZPF jsou jako liniové vymezeny plochy veřejných prostranství (PV) pro </w:t>
      </w:r>
      <w:r w:rsidR="00071E0A" w:rsidRPr="006070EA">
        <w:rPr>
          <w:rFonts w:asciiTheme="majorHAnsi" w:hAnsiTheme="majorHAnsi" w:cstheme="majorHAnsi"/>
        </w:rPr>
        <w:t xml:space="preserve">zachování, </w:t>
      </w:r>
      <w:r w:rsidR="00AD69B8" w:rsidRPr="006070EA">
        <w:rPr>
          <w:rFonts w:asciiTheme="majorHAnsi" w:hAnsiTheme="majorHAnsi" w:cstheme="majorHAnsi"/>
        </w:rPr>
        <w:t xml:space="preserve">obnovu nebo rozvoj cestní sítě. Jejich vymezením nedojde k výraznému narušení celistvosti ZPF, s ohledem na charakter a využití ploch tyto nebudou vytvářet bariéry pro obhospodařování ZPF. </w:t>
      </w:r>
    </w:p>
    <w:p w14:paraId="777F8FF0" w14:textId="77777777" w:rsidR="00AD69B8" w:rsidRPr="006070EA" w:rsidRDefault="00AD69B8" w:rsidP="003D125E">
      <w:pPr>
        <w:pStyle w:val="Atext"/>
        <w:spacing w:before="60" w:after="60"/>
        <w:rPr>
          <w:rFonts w:asciiTheme="majorHAnsi" w:hAnsiTheme="majorHAnsi" w:cstheme="majorHAnsi"/>
        </w:rPr>
      </w:pPr>
      <w:r w:rsidRPr="006070EA">
        <w:rPr>
          <w:rFonts w:asciiTheme="majorHAnsi" w:hAnsiTheme="majorHAnsi" w:cstheme="majorHAnsi"/>
        </w:rPr>
        <w:t xml:space="preserve">Ochrana dle § 4 bodu f) zákona o ochraně ZPF se netýká úrovně územního plánu. </w:t>
      </w:r>
    </w:p>
    <w:p w14:paraId="73C1CFB6" w14:textId="77777777" w:rsidR="00272955" w:rsidRPr="006070EA" w:rsidRDefault="00272955" w:rsidP="00272955">
      <w:pPr>
        <w:pStyle w:val="Anadpistun"/>
        <w:rPr>
          <w:rFonts w:asciiTheme="majorHAnsi" w:hAnsiTheme="majorHAnsi" w:cstheme="majorHAnsi"/>
        </w:rPr>
      </w:pPr>
      <w:r w:rsidRPr="006070EA">
        <w:rPr>
          <w:rFonts w:asciiTheme="majorHAnsi" w:hAnsiTheme="majorHAnsi" w:cstheme="majorHAnsi"/>
        </w:rPr>
        <w:t>Odůvodnění vymezení zastavitelných ploch v nejvyšších třídách ochrany ZPF</w:t>
      </w:r>
    </w:p>
    <w:p w14:paraId="6D4A7E1D" w14:textId="56E062CA" w:rsidR="00272955" w:rsidRPr="006070EA" w:rsidRDefault="00272955" w:rsidP="00272955">
      <w:pPr>
        <w:pStyle w:val="Atext"/>
        <w:spacing w:before="60" w:after="60"/>
        <w:rPr>
          <w:rFonts w:asciiTheme="majorHAnsi" w:hAnsiTheme="majorHAnsi" w:cstheme="majorHAnsi"/>
        </w:rPr>
      </w:pPr>
      <w:r w:rsidRPr="006070EA">
        <w:rPr>
          <w:rFonts w:asciiTheme="majorHAnsi" w:hAnsiTheme="majorHAnsi" w:cstheme="majorHAnsi"/>
        </w:rPr>
        <w:t xml:space="preserve">Územní plán </w:t>
      </w:r>
      <w:r w:rsidR="00225D32" w:rsidRPr="006070EA">
        <w:rPr>
          <w:rFonts w:asciiTheme="majorHAnsi" w:hAnsiTheme="majorHAnsi" w:cstheme="majorHAnsi"/>
        </w:rPr>
        <w:t>Kostomlaty nad Labem</w:t>
      </w:r>
      <w:r w:rsidRPr="006070EA">
        <w:rPr>
          <w:rFonts w:asciiTheme="majorHAnsi" w:hAnsiTheme="majorHAnsi" w:cstheme="majorHAnsi"/>
        </w:rPr>
        <w:t xml:space="preserve"> vymezuje zastavitelné plochy </w:t>
      </w:r>
      <w:r w:rsidR="00225D32" w:rsidRPr="006070EA">
        <w:rPr>
          <w:rFonts w:asciiTheme="majorHAnsi" w:hAnsiTheme="majorHAnsi" w:cstheme="majorHAnsi"/>
        </w:rPr>
        <w:t xml:space="preserve">vzhledem k zastoupení zvláště chráněných zemědělských půd (viz kapitola 12.1.3) </w:t>
      </w:r>
      <w:r w:rsidR="009C2599" w:rsidRPr="006070EA">
        <w:rPr>
          <w:rFonts w:asciiTheme="majorHAnsi" w:hAnsiTheme="majorHAnsi" w:cstheme="majorHAnsi"/>
        </w:rPr>
        <w:t>dominantně</w:t>
      </w:r>
      <w:r w:rsidRPr="006070EA">
        <w:rPr>
          <w:rFonts w:asciiTheme="majorHAnsi" w:hAnsiTheme="majorHAnsi" w:cstheme="majorHAnsi"/>
        </w:rPr>
        <w:t xml:space="preserve"> na </w:t>
      </w:r>
      <w:r w:rsidR="00225D32" w:rsidRPr="006070EA">
        <w:rPr>
          <w:rFonts w:asciiTheme="majorHAnsi" w:hAnsiTheme="majorHAnsi" w:cstheme="majorHAnsi"/>
        </w:rPr>
        <w:t>I. třídy ochrany</w:t>
      </w:r>
      <w:r w:rsidRPr="006070EA">
        <w:rPr>
          <w:rFonts w:asciiTheme="majorHAnsi" w:hAnsiTheme="majorHAnsi" w:cstheme="majorHAnsi"/>
        </w:rPr>
        <w:t xml:space="preserve">. </w:t>
      </w:r>
      <w:r w:rsidR="00225D32" w:rsidRPr="006070EA">
        <w:rPr>
          <w:rFonts w:asciiTheme="majorHAnsi" w:hAnsiTheme="majorHAnsi" w:cstheme="majorHAnsi"/>
        </w:rPr>
        <w:t xml:space="preserve">Dále jsou ve větší míře zabírány také pozemky, zařazené ve IV. třídě ochrany ZPF. </w:t>
      </w:r>
    </w:p>
    <w:p w14:paraId="3F5D00F1" w14:textId="35654BDB" w:rsidR="00272955" w:rsidRPr="006070EA" w:rsidRDefault="00272955" w:rsidP="00225D32">
      <w:pPr>
        <w:pStyle w:val="Atext"/>
        <w:spacing w:before="60" w:after="60"/>
        <w:rPr>
          <w:rFonts w:asciiTheme="majorHAnsi" w:hAnsiTheme="majorHAnsi" w:cstheme="majorHAnsi"/>
        </w:rPr>
      </w:pPr>
      <w:r w:rsidRPr="006070EA">
        <w:rPr>
          <w:rFonts w:asciiTheme="majorHAnsi" w:hAnsiTheme="majorHAnsi" w:cstheme="majorHAnsi"/>
        </w:rPr>
        <w:lastRenderedPageBreak/>
        <w:t>Vzhledem k významnému zastoupení zemědělského půdního fondu nejvyšších tříd ochrany (I. a II.) v</w:t>
      </w:r>
      <w:r w:rsidR="009C2599" w:rsidRPr="006070EA">
        <w:rPr>
          <w:rFonts w:asciiTheme="majorHAnsi" w:hAnsiTheme="majorHAnsi" w:cstheme="majorHAnsi"/>
        </w:rPr>
        <w:t> </w:t>
      </w:r>
      <w:r w:rsidRPr="006070EA">
        <w:rPr>
          <w:rFonts w:asciiTheme="majorHAnsi" w:hAnsiTheme="majorHAnsi" w:cstheme="majorHAnsi"/>
        </w:rPr>
        <w:t>území</w:t>
      </w:r>
      <w:r w:rsidR="009C2599" w:rsidRPr="006070EA">
        <w:rPr>
          <w:rFonts w:asciiTheme="majorHAnsi" w:hAnsiTheme="majorHAnsi" w:cstheme="majorHAnsi"/>
        </w:rPr>
        <w:t xml:space="preserve"> a</w:t>
      </w:r>
      <w:r w:rsidR="00225D32" w:rsidRPr="006070EA">
        <w:rPr>
          <w:rFonts w:asciiTheme="majorHAnsi" w:hAnsiTheme="majorHAnsi" w:cstheme="majorHAnsi"/>
        </w:rPr>
        <w:t> </w:t>
      </w:r>
      <w:r w:rsidR="009C2599" w:rsidRPr="006070EA">
        <w:rPr>
          <w:rFonts w:asciiTheme="majorHAnsi" w:hAnsiTheme="majorHAnsi" w:cstheme="majorHAnsi"/>
        </w:rPr>
        <w:t>s ohledem na jejich zastoupení v přímé vazbě na urbanizované území,</w:t>
      </w:r>
      <w:r w:rsidRPr="006070EA">
        <w:rPr>
          <w:rFonts w:asciiTheme="majorHAnsi" w:hAnsiTheme="majorHAnsi" w:cstheme="majorHAnsi"/>
        </w:rPr>
        <w:t xml:space="preserve"> byla část rozvojových ploch vymezena na pozemcích </w:t>
      </w:r>
      <w:r w:rsidR="009C2599" w:rsidRPr="006070EA">
        <w:rPr>
          <w:rFonts w:asciiTheme="majorHAnsi" w:hAnsiTheme="majorHAnsi" w:cstheme="majorHAnsi"/>
        </w:rPr>
        <w:t xml:space="preserve">vysoké bonity, konkrétně náležících do </w:t>
      </w:r>
      <w:r w:rsidR="00225D32" w:rsidRPr="006070EA">
        <w:rPr>
          <w:rFonts w:asciiTheme="majorHAnsi" w:hAnsiTheme="majorHAnsi" w:cstheme="majorHAnsi"/>
        </w:rPr>
        <w:t xml:space="preserve">I. a </w:t>
      </w:r>
      <w:r w:rsidR="009C2599" w:rsidRPr="006070EA">
        <w:rPr>
          <w:rFonts w:asciiTheme="majorHAnsi" w:hAnsiTheme="majorHAnsi" w:cstheme="majorHAnsi"/>
        </w:rPr>
        <w:t xml:space="preserve">II. třídy ochrany ZPF, </w:t>
      </w:r>
      <w:r w:rsidRPr="006070EA">
        <w:rPr>
          <w:rFonts w:asciiTheme="majorHAnsi" w:hAnsiTheme="majorHAnsi" w:cstheme="majorHAnsi"/>
        </w:rPr>
        <w:t xml:space="preserve">z důvodu nutnosti vytvoření podmínek pro optimální </w:t>
      </w:r>
      <w:r w:rsidR="009C2599" w:rsidRPr="006070EA">
        <w:rPr>
          <w:rFonts w:asciiTheme="majorHAnsi" w:hAnsiTheme="majorHAnsi" w:cstheme="majorHAnsi"/>
        </w:rPr>
        <w:t>a</w:t>
      </w:r>
      <w:r w:rsidR="00225D32" w:rsidRPr="006070EA">
        <w:rPr>
          <w:rFonts w:asciiTheme="majorHAnsi" w:hAnsiTheme="majorHAnsi" w:cstheme="majorHAnsi"/>
        </w:rPr>
        <w:t> </w:t>
      </w:r>
      <w:r w:rsidR="009C2599" w:rsidRPr="006070EA">
        <w:rPr>
          <w:rFonts w:asciiTheme="majorHAnsi" w:hAnsiTheme="majorHAnsi" w:cstheme="majorHAnsi"/>
        </w:rPr>
        <w:t xml:space="preserve">koordinovaný </w:t>
      </w:r>
      <w:r w:rsidRPr="006070EA">
        <w:rPr>
          <w:rFonts w:asciiTheme="majorHAnsi" w:hAnsiTheme="majorHAnsi" w:cstheme="majorHAnsi"/>
        </w:rPr>
        <w:t xml:space="preserve">rozvoj obce, resp. naplnění potřeby vymezení zastavitelných ploch, identifikované v kapitole 10 </w:t>
      </w:r>
      <w:r w:rsidRPr="006070EA">
        <w:rPr>
          <w:rFonts w:asciiTheme="majorHAnsi" w:hAnsiTheme="majorHAnsi" w:cstheme="majorHAnsi"/>
          <w:i/>
        </w:rPr>
        <w:t>Vyhodnocení účelného využití zastavěného území a vyhodnocení potřeby vymezení zastavitelných ploch</w:t>
      </w:r>
      <w:r w:rsidRPr="006070EA">
        <w:rPr>
          <w:rFonts w:asciiTheme="majorHAnsi" w:hAnsiTheme="majorHAnsi" w:cstheme="majorHAnsi"/>
        </w:rPr>
        <w:t>. Plochy, vymezené na nejkvalitnější zemědělské půdě jsou dominantně převzaty ze stávající platné ÚPD obce (ÚPO </w:t>
      </w:r>
      <w:r w:rsidR="00225D32" w:rsidRPr="006070EA">
        <w:rPr>
          <w:rFonts w:asciiTheme="majorHAnsi" w:hAnsiTheme="majorHAnsi" w:cstheme="majorHAnsi"/>
        </w:rPr>
        <w:t>Kostomlaty nad Labem</w:t>
      </w:r>
      <w:r w:rsidRPr="006070EA">
        <w:rPr>
          <w:rFonts w:asciiTheme="majorHAnsi" w:hAnsiTheme="majorHAnsi" w:cstheme="majorHAnsi"/>
        </w:rPr>
        <w:t xml:space="preserve">). </w:t>
      </w:r>
    </w:p>
    <w:p w14:paraId="6DF9EA5A" w14:textId="06E6EB5F" w:rsidR="004307A4" w:rsidRPr="006070EA" w:rsidRDefault="004307A4" w:rsidP="00272955">
      <w:pPr>
        <w:pStyle w:val="Atext"/>
        <w:ind w:firstLine="0"/>
        <w:rPr>
          <w:rFonts w:asciiTheme="majorHAnsi" w:hAnsiTheme="majorHAnsi" w:cstheme="majorHAnsi"/>
        </w:rPr>
      </w:pPr>
      <w:r w:rsidRPr="006070EA">
        <w:rPr>
          <w:rFonts w:asciiTheme="majorHAnsi" w:hAnsiTheme="majorHAnsi" w:cstheme="majorHAnsi"/>
        </w:rPr>
        <w:tab/>
      </w:r>
      <w:r w:rsidR="000255BB" w:rsidRPr="006070EA">
        <w:rPr>
          <w:rFonts w:asciiTheme="majorHAnsi" w:hAnsiTheme="majorHAnsi" w:cstheme="majorHAnsi"/>
        </w:rPr>
        <w:t>Dále</w:t>
      </w:r>
      <w:r w:rsidRPr="006070EA">
        <w:rPr>
          <w:rFonts w:asciiTheme="majorHAnsi" w:hAnsiTheme="majorHAnsi" w:cstheme="majorHAnsi"/>
        </w:rPr>
        <w:t xml:space="preserve"> uvedené odůvodnění dotčení pozemků </w:t>
      </w:r>
      <w:r w:rsidR="00A24201" w:rsidRPr="006070EA">
        <w:rPr>
          <w:rFonts w:asciiTheme="majorHAnsi" w:hAnsiTheme="majorHAnsi" w:cstheme="majorHAnsi"/>
        </w:rPr>
        <w:t xml:space="preserve">I. a </w:t>
      </w:r>
      <w:r w:rsidRPr="006070EA">
        <w:rPr>
          <w:rFonts w:asciiTheme="majorHAnsi" w:hAnsiTheme="majorHAnsi" w:cstheme="majorHAnsi"/>
        </w:rPr>
        <w:t xml:space="preserve">II. třídy ochrany ZPF uvádí důvody pro vymezených zastavitelných ploch, u kterých </w:t>
      </w:r>
      <w:r w:rsidRPr="006070EA">
        <w:rPr>
          <w:rFonts w:asciiTheme="majorHAnsi" w:hAnsiTheme="majorHAnsi" w:cstheme="majorHAnsi"/>
          <w:bCs w:val="0"/>
        </w:rPr>
        <w:t>výrazně převažuje jiný veřejný zájem nad veřejným zájmem ochrany zemědělského půdního fondu.</w:t>
      </w:r>
      <w:r w:rsidR="000255BB" w:rsidRPr="006070EA">
        <w:rPr>
          <w:rFonts w:asciiTheme="majorHAnsi" w:hAnsiTheme="majorHAnsi" w:cstheme="majorHAnsi"/>
        </w:rPr>
        <w:t xml:space="preserve"> </w:t>
      </w:r>
    </w:p>
    <w:p w14:paraId="27A05F81" w14:textId="279F67A0" w:rsidR="00272955" w:rsidRPr="006070EA" w:rsidRDefault="00272955" w:rsidP="000255BB">
      <w:pPr>
        <w:pStyle w:val="Atext"/>
        <w:keepNext/>
        <w:ind w:firstLine="0"/>
        <w:rPr>
          <w:rFonts w:asciiTheme="majorHAnsi" w:hAnsiTheme="majorHAnsi" w:cstheme="majorHAnsi"/>
        </w:rPr>
      </w:pPr>
      <w:r w:rsidRPr="006070EA">
        <w:rPr>
          <w:rFonts w:asciiTheme="majorHAnsi" w:hAnsiTheme="majorHAnsi" w:cstheme="majorHAnsi"/>
          <w:u w:val="single"/>
        </w:rPr>
        <w:t xml:space="preserve">Odůvodnění dotčení </w:t>
      </w:r>
      <w:r w:rsidR="00CB0FD4" w:rsidRPr="006070EA">
        <w:rPr>
          <w:rFonts w:asciiTheme="majorHAnsi" w:hAnsiTheme="majorHAnsi" w:cstheme="majorHAnsi"/>
          <w:u w:val="single"/>
        </w:rPr>
        <w:t xml:space="preserve">I a </w:t>
      </w:r>
      <w:r w:rsidRPr="006070EA">
        <w:rPr>
          <w:rFonts w:asciiTheme="majorHAnsi" w:hAnsiTheme="majorHAnsi" w:cstheme="majorHAnsi"/>
          <w:u w:val="single"/>
        </w:rPr>
        <w:t xml:space="preserve">II. třídy ochrany ZPF zastavitelnými plochami ÚP </w:t>
      </w:r>
      <w:r w:rsidR="00CB0FD4" w:rsidRPr="006070EA">
        <w:rPr>
          <w:rFonts w:asciiTheme="majorHAnsi" w:hAnsiTheme="majorHAnsi" w:cstheme="majorHAnsi"/>
          <w:u w:val="single"/>
        </w:rPr>
        <w:t>Kostomlaty nad Labem</w:t>
      </w:r>
      <w:r w:rsidR="004307A4" w:rsidRPr="006070EA">
        <w:rPr>
          <w:rFonts w:asciiTheme="majorHAnsi" w:hAnsiTheme="majorHAnsi" w:cstheme="majorHAnsi"/>
        </w:rPr>
        <w:t xml:space="preserve">: </w:t>
      </w:r>
    </w:p>
    <w:p w14:paraId="32CBCDD6" w14:textId="05E2A0FA" w:rsidR="00CB0FD4" w:rsidRPr="006070EA" w:rsidRDefault="00CB0FD4" w:rsidP="003A4B1E">
      <w:pPr>
        <w:pStyle w:val="Atext"/>
        <w:numPr>
          <w:ilvl w:val="0"/>
          <w:numId w:val="32"/>
        </w:numPr>
        <w:spacing w:before="0" w:after="0"/>
        <w:rPr>
          <w:rFonts w:asciiTheme="majorHAnsi" w:hAnsiTheme="majorHAnsi" w:cstheme="majorHAnsi"/>
        </w:rPr>
      </w:pPr>
      <w:r w:rsidRPr="006070EA">
        <w:rPr>
          <w:rFonts w:asciiTheme="majorHAnsi" w:hAnsiTheme="majorHAnsi" w:cstheme="majorHAnsi"/>
        </w:rPr>
        <w:t>Koncepce stanovená v platné ÚPD obce – plochy převzaté z ÚPO Kostomlaty nad Labem</w:t>
      </w:r>
    </w:p>
    <w:p w14:paraId="2018F73C" w14:textId="2218E170" w:rsidR="00CB0FD4" w:rsidRPr="006070EA" w:rsidRDefault="00CB0FD4" w:rsidP="00CB0FD4">
      <w:pPr>
        <w:pStyle w:val="Atext"/>
        <w:numPr>
          <w:ilvl w:val="1"/>
          <w:numId w:val="32"/>
        </w:numPr>
        <w:spacing w:before="0" w:after="0"/>
        <w:rPr>
          <w:rFonts w:asciiTheme="majorHAnsi" w:hAnsiTheme="majorHAnsi" w:cstheme="majorHAnsi"/>
        </w:rPr>
      </w:pPr>
      <w:r w:rsidRPr="006070EA">
        <w:rPr>
          <w:rFonts w:asciiTheme="majorHAnsi" w:hAnsiTheme="majorHAnsi" w:cstheme="majorHAnsi"/>
        </w:rPr>
        <w:t>Zastavitelné plochy Z</w:t>
      </w:r>
      <w:r w:rsidR="000E2721" w:rsidRPr="006070EA">
        <w:rPr>
          <w:rFonts w:asciiTheme="majorHAnsi" w:hAnsiTheme="majorHAnsi" w:cstheme="majorHAnsi"/>
        </w:rPr>
        <w:t>.</w:t>
      </w:r>
      <w:r w:rsidRPr="006070EA">
        <w:rPr>
          <w:rFonts w:asciiTheme="majorHAnsi" w:hAnsiTheme="majorHAnsi" w:cstheme="majorHAnsi"/>
        </w:rPr>
        <w:t>14, Z</w:t>
      </w:r>
      <w:r w:rsidR="000E2721" w:rsidRPr="006070EA">
        <w:rPr>
          <w:rFonts w:asciiTheme="majorHAnsi" w:hAnsiTheme="majorHAnsi" w:cstheme="majorHAnsi"/>
        </w:rPr>
        <w:t>.</w:t>
      </w:r>
      <w:r w:rsidRPr="006070EA">
        <w:rPr>
          <w:rFonts w:asciiTheme="majorHAnsi" w:hAnsiTheme="majorHAnsi" w:cstheme="majorHAnsi"/>
        </w:rPr>
        <w:t>16, Z</w:t>
      </w:r>
      <w:r w:rsidR="000E2721" w:rsidRPr="006070EA">
        <w:rPr>
          <w:rFonts w:asciiTheme="majorHAnsi" w:hAnsiTheme="majorHAnsi" w:cstheme="majorHAnsi"/>
        </w:rPr>
        <w:t>.</w:t>
      </w:r>
      <w:r w:rsidRPr="006070EA">
        <w:rPr>
          <w:rFonts w:asciiTheme="majorHAnsi" w:hAnsiTheme="majorHAnsi" w:cstheme="majorHAnsi"/>
        </w:rPr>
        <w:t>18 (částečně), Z</w:t>
      </w:r>
      <w:r w:rsidR="000E2721" w:rsidRPr="006070EA">
        <w:rPr>
          <w:rFonts w:asciiTheme="majorHAnsi" w:hAnsiTheme="majorHAnsi" w:cstheme="majorHAnsi"/>
        </w:rPr>
        <w:t>.</w:t>
      </w:r>
      <w:r w:rsidRPr="006070EA">
        <w:rPr>
          <w:rFonts w:asciiTheme="majorHAnsi" w:hAnsiTheme="majorHAnsi" w:cstheme="majorHAnsi"/>
        </w:rPr>
        <w:t>19 (částečně), Z</w:t>
      </w:r>
      <w:r w:rsidR="000E2721" w:rsidRPr="006070EA">
        <w:rPr>
          <w:rFonts w:asciiTheme="majorHAnsi" w:hAnsiTheme="majorHAnsi" w:cstheme="majorHAnsi"/>
        </w:rPr>
        <w:t>.</w:t>
      </w:r>
      <w:r w:rsidRPr="006070EA">
        <w:rPr>
          <w:rFonts w:asciiTheme="majorHAnsi" w:hAnsiTheme="majorHAnsi" w:cstheme="majorHAnsi"/>
        </w:rPr>
        <w:t>13</w:t>
      </w:r>
    </w:p>
    <w:p w14:paraId="126336CD" w14:textId="39DE11B5" w:rsidR="00CB0FD4" w:rsidRPr="006070EA" w:rsidRDefault="00CB0FD4" w:rsidP="00CB0FD4">
      <w:pPr>
        <w:pStyle w:val="Atext"/>
        <w:numPr>
          <w:ilvl w:val="0"/>
          <w:numId w:val="32"/>
        </w:numPr>
        <w:spacing w:before="0" w:after="0"/>
        <w:rPr>
          <w:rFonts w:asciiTheme="majorHAnsi" w:hAnsiTheme="majorHAnsi" w:cstheme="majorHAnsi"/>
        </w:rPr>
      </w:pPr>
      <w:r w:rsidRPr="006070EA">
        <w:rPr>
          <w:rFonts w:asciiTheme="majorHAnsi" w:hAnsiTheme="majorHAnsi" w:cstheme="majorHAnsi"/>
        </w:rPr>
        <w:t>Koncepce stanovená v platné ÚPD obce – plochy územních rezerv z ÚPO Kostomlaty nad Labem prověřené v rámci zpracování návrhu ÚP Kostomlaty nad Labem a vymezeny jako zastavitelné plochy</w:t>
      </w:r>
    </w:p>
    <w:p w14:paraId="175A2C71" w14:textId="2F8D551D" w:rsidR="00CB0FD4" w:rsidRPr="006070EA" w:rsidRDefault="00CB0FD4" w:rsidP="00CB0FD4">
      <w:pPr>
        <w:pStyle w:val="Atext"/>
        <w:numPr>
          <w:ilvl w:val="1"/>
          <w:numId w:val="32"/>
        </w:numPr>
        <w:spacing w:before="0" w:after="0"/>
        <w:rPr>
          <w:rFonts w:asciiTheme="majorHAnsi" w:hAnsiTheme="majorHAnsi" w:cstheme="majorHAnsi"/>
        </w:rPr>
      </w:pPr>
      <w:r w:rsidRPr="006070EA">
        <w:rPr>
          <w:rFonts w:asciiTheme="majorHAnsi" w:hAnsiTheme="majorHAnsi" w:cstheme="majorHAnsi"/>
        </w:rPr>
        <w:t>Zastavitelná plocha Z</w:t>
      </w:r>
      <w:r w:rsidR="000E2721" w:rsidRPr="006070EA">
        <w:rPr>
          <w:rFonts w:asciiTheme="majorHAnsi" w:hAnsiTheme="majorHAnsi" w:cstheme="majorHAnsi"/>
        </w:rPr>
        <w:t>.</w:t>
      </w:r>
      <w:r w:rsidRPr="006070EA">
        <w:rPr>
          <w:rFonts w:asciiTheme="majorHAnsi" w:hAnsiTheme="majorHAnsi" w:cstheme="majorHAnsi"/>
        </w:rPr>
        <w:t>07</w:t>
      </w:r>
    </w:p>
    <w:p w14:paraId="543F5455" w14:textId="395BDD58" w:rsidR="00CB0FD4" w:rsidRPr="006070EA" w:rsidRDefault="00CB0FD4" w:rsidP="00CB0FD4">
      <w:pPr>
        <w:pStyle w:val="Atext"/>
        <w:numPr>
          <w:ilvl w:val="0"/>
          <w:numId w:val="32"/>
        </w:numPr>
        <w:spacing w:before="0" w:after="0"/>
        <w:rPr>
          <w:rFonts w:asciiTheme="majorHAnsi" w:hAnsiTheme="majorHAnsi" w:cstheme="majorHAnsi"/>
        </w:rPr>
      </w:pPr>
      <w:r w:rsidRPr="006070EA">
        <w:rPr>
          <w:rFonts w:asciiTheme="majorHAnsi" w:hAnsiTheme="majorHAnsi" w:cstheme="majorHAnsi"/>
        </w:rPr>
        <w:t>Plochy pro zajištění ekologické stability území – vymezení ÚSES v ÚP Kostomlaty nad Labem a zajištění jeho funkčnosti</w:t>
      </w:r>
    </w:p>
    <w:p w14:paraId="14473943" w14:textId="1739ACA0" w:rsidR="00CB0FD4" w:rsidRPr="006070EA" w:rsidRDefault="00CB0FD4" w:rsidP="00CB0FD4">
      <w:pPr>
        <w:pStyle w:val="Atext"/>
        <w:numPr>
          <w:ilvl w:val="1"/>
          <w:numId w:val="32"/>
        </w:numPr>
        <w:spacing w:before="0" w:after="0"/>
        <w:rPr>
          <w:rFonts w:asciiTheme="majorHAnsi" w:hAnsiTheme="majorHAnsi" w:cstheme="majorHAnsi"/>
        </w:rPr>
      </w:pPr>
      <w:r w:rsidRPr="006070EA">
        <w:rPr>
          <w:rFonts w:asciiTheme="majorHAnsi" w:hAnsiTheme="majorHAnsi" w:cstheme="majorHAnsi"/>
        </w:rPr>
        <w:t>Plochy změn v krajině K</w:t>
      </w:r>
      <w:r w:rsidR="000E2721" w:rsidRPr="006070EA">
        <w:rPr>
          <w:rFonts w:asciiTheme="majorHAnsi" w:hAnsiTheme="majorHAnsi" w:cstheme="majorHAnsi"/>
        </w:rPr>
        <w:t>.</w:t>
      </w:r>
      <w:r w:rsidRPr="006070EA">
        <w:rPr>
          <w:rFonts w:asciiTheme="majorHAnsi" w:hAnsiTheme="majorHAnsi" w:cstheme="majorHAnsi"/>
        </w:rPr>
        <w:t>02, K</w:t>
      </w:r>
      <w:r w:rsidR="000E2721" w:rsidRPr="006070EA">
        <w:rPr>
          <w:rFonts w:asciiTheme="majorHAnsi" w:hAnsiTheme="majorHAnsi" w:cstheme="majorHAnsi"/>
        </w:rPr>
        <w:t>.</w:t>
      </w:r>
      <w:r w:rsidRPr="006070EA">
        <w:rPr>
          <w:rFonts w:asciiTheme="majorHAnsi" w:hAnsiTheme="majorHAnsi" w:cstheme="majorHAnsi"/>
        </w:rPr>
        <w:t>03, K</w:t>
      </w:r>
      <w:r w:rsidR="000E2721" w:rsidRPr="006070EA">
        <w:rPr>
          <w:rFonts w:asciiTheme="majorHAnsi" w:hAnsiTheme="majorHAnsi" w:cstheme="majorHAnsi"/>
        </w:rPr>
        <w:t>.</w:t>
      </w:r>
      <w:r w:rsidRPr="006070EA">
        <w:rPr>
          <w:rFonts w:asciiTheme="majorHAnsi" w:hAnsiTheme="majorHAnsi" w:cstheme="majorHAnsi"/>
        </w:rPr>
        <w:t>04 a K</w:t>
      </w:r>
      <w:r w:rsidR="000E2721" w:rsidRPr="006070EA">
        <w:rPr>
          <w:rFonts w:asciiTheme="majorHAnsi" w:hAnsiTheme="majorHAnsi" w:cstheme="majorHAnsi"/>
        </w:rPr>
        <w:t>.</w:t>
      </w:r>
      <w:r w:rsidRPr="006070EA">
        <w:rPr>
          <w:rFonts w:asciiTheme="majorHAnsi" w:hAnsiTheme="majorHAnsi" w:cstheme="majorHAnsi"/>
        </w:rPr>
        <w:t>05 – plochy pro zajištění funkčnosti vymezených skladebných částí ÚSES, které byly současně součástí systému ekologické stability také v ÚPO Kostomlaty nad Labem</w:t>
      </w:r>
    </w:p>
    <w:p w14:paraId="55C7ED51" w14:textId="5D040F01" w:rsidR="00DB549E" w:rsidRPr="006070EA" w:rsidRDefault="00DB549E" w:rsidP="00DB549E">
      <w:pPr>
        <w:pStyle w:val="Atext"/>
        <w:numPr>
          <w:ilvl w:val="0"/>
          <w:numId w:val="32"/>
        </w:numPr>
        <w:spacing w:before="0" w:after="0"/>
        <w:rPr>
          <w:rFonts w:asciiTheme="majorHAnsi" w:hAnsiTheme="majorHAnsi" w:cstheme="majorHAnsi"/>
        </w:rPr>
      </w:pPr>
      <w:r w:rsidRPr="006070EA">
        <w:rPr>
          <w:rFonts w:asciiTheme="majorHAnsi" w:hAnsiTheme="majorHAnsi" w:cstheme="majorHAnsi"/>
        </w:rPr>
        <w:t>Vytvoření podmínek pro rozvoj obytné funkce v jednotlivých sídlech řešeného území v souladu s identifikovanou potřebou vymezení zastavitelných ploch pro bydlení (viz kapitola 10)</w:t>
      </w:r>
    </w:p>
    <w:p w14:paraId="4403B311" w14:textId="77777777" w:rsidR="00003BBA" w:rsidRPr="006070EA" w:rsidRDefault="00DB549E" w:rsidP="00F777AD">
      <w:pPr>
        <w:pStyle w:val="Atext"/>
        <w:spacing w:before="0" w:after="0"/>
        <w:ind w:left="709" w:firstLine="11"/>
        <w:rPr>
          <w:rFonts w:asciiTheme="majorHAnsi" w:hAnsiTheme="majorHAnsi" w:cstheme="majorHAnsi"/>
        </w:rPr>
      </w:pPr>
      <w:r w:rsidRPr="006070EA">
        <w:rPr>
          <w:rFonts w:asciiTheme="majorHAnsi" w:hAnsiTheme="majorHAnsi" w:cstheme="majorHAnsi"/>
        </w:rPr>
        <w:t xml:space="preserve">Lokalizace ploch na pozemcích zvláště chráněných tříd ochrany ZPF je dána snahou o zajištění přímé vazby na stávající zastavěné území, zajištění efektivního využití sídla (napojitelnost na veřejnou infrastrukturu), vytvoření urbanisticky vhodného a kompaktního tvaru sídla, </w:t>
      </w:r>
      <w:r w:rsidR="00F777AD" w:rsidRPr="006070EA">
        <w:rPr>
          <w:rFonts w:asciiTheme="majorHAnsi" w:hAnsiTheme="majorHAnsi" w:cstheme="majorHAnsi"/>
        </w:rPr>
        <w:t>a současně o zamezení</w:t>
      </w:r>
      <w:r w:rsidRPr="006070EA">
        <w:rPr>
          <w:rFonts w:asciiTheme="majorHAnsi" w:hAnsiTheme="majorHAnsi" w:cstheme="majorHAnsi"/>
        </w:rPr>
        <w:t xml:space="preserve"> vytvoření enkláv zemědělské krajiny s nemožností efektivního obhospodařování. </w:t>
      </w:r>
    </w:p>
    <w:p w14:paraId="7FC08CAD" w14:textId="486E74AD" w:rsidR="00DB549E" w:rsidRPr="006070EA" w:rsidRDefault="00DB549E" w:rsidP="00F777AD">
      <w:pPr>
        <w:pStyle w:val="Atext"/>
        <w:spacing w:before="0" w:after="0"/>
        <w:ind w:left="709" w:firstLine="11"/>
        <w:rPr>
          <w:rFonts w:asciiTheme="majorHAnsi" w:hAnsiTheme="majorHAnsi" w:cstheme="majorHAnsi"/>
        </w:rPr>
      </w:pPr>
      <w:r w:rsidRPr="006070EA">
        <w:rPr>
          <w:rFonts w:asciiTheme="majorHAnsi" w:hAnsiTheme="majorHAnsi" w:cstheme="majorHAnsi"/>
        </w:rPr>
        <w:t>Pozemky v přímé vazba na zastavěné území sídel jsou situovány dominantně na pozemcích ZPF I. a II. třídy ochrany, viz kapitola 1</w:t>
      </w:r>
      <w:r w:rsidR="00225D32" w:rsidRPr="006070EA">
        <w:rPr>
          <w:rFonts w:asciiTheme="majorHAnsi" w:hAnsiTheme="majorHAnsi" w:cstheme="majorHAnsi"/>
        </w:rPr>
        <w:t>2</w:t>
      </w:r>
      <w:r w:rsidRPr="006070EA">
        <w:rPr>
          <w:rFonts w:asciiTheme="majorHAnsi" w:hAnsiTheme="majorHAnsi" w:cstheme="majorHAnsi"/>
        </w:rPr>
        <w:t>.1.3, přičemž není možné vymezit nové zastavitelné plochy a naplnit tak identifikovanou potřebu pro jejich vymezení</w:t>
      </w:r>
      <w:r w:rsidR="00F777AD" w:rsidRPr="006070EA">
        <w:rPr>
          <w:rFonts w:asciiTheme="majorHAnsi" w:hAnsiTheme="majorHAnsi" w:cstheme="majorHAnsi"/>
        </w:rPr>
        <w:t xml:space="preserve"> (viz kapitola 10) </w:t>
      </w:r>
      <w:r w:rsidRPr="006070EA">
        <w:rPr>
          <w:rFonts w:asciiTheme="majorHAnsi" w:hAnsiTheme="majorHAnsi" w:cstheme="majorHAnsi"/>
        </w:rPr>
        <w:t xml:space="preserve">bez dotčení </w:t>
      </w:r>
      <w:r w:rsidR="00F777AD" w:rsidRPr="006070EA">
        <w:rPr>
          <w:rFonts w:asciiTheme="majorHAnsi" w:hAnsiTheme="majorHAnsi" w:cstheme="majorHAnsi"/>
        </w:rPr>
        <w:t>této (zvláště chráněné) zemědělské půdy.</w:t>
      </w:r>
    </w:p>
    <w:p w14:paraId="246834A8" w14:textId="4F90DC29" w:rsidR="0085631A" w:rsidRPr="00A76411" w:rsidRDefault="00F777AD" w:rsidP="0085631A">
      <w:pPr>
        <w:pStyle w:val="Atext"/>
        <w:numPr>
          <w:ilvl w:val="1"/>
          <w:numId w:val="32"/>
        </w:numPr>
        <w:spacing w:before="0" w:after="0"/>
        <w:rPr>
          <w:rFonts w:asciiTheme="majorHAnsi" w:hAnsiTheme="majorHAnsi" w:cstheme="majorHAnsi"/>
        </w:rPr>
      </w:pPr>
      <w:r w:rsidRPr="00A76411">
        <w:rPr>
          <w:rFonts w:asciiTheme="majorHAnsi" w:hAnsiTheme="majorHAnsi" w:cstheme="majorHAnsi"/>
        </w:rPr>
        <w:t>Zastavitelné plochy Z</w:t>
      </w:r>
      <w:r w:rsidR="000E2721" w:rsidRPr="00A76411">
        <w:rPr>
          <w:rFonts w:asciiTheme="majorHAnsi" w:hAnsiTheme="majorHAnsi" w:cstheme="majorHAnsi"/>
        </w:rPr>
        <w:t>.</w:t>
      </w:r>
      <w:r w:rsidRPr="00A76411">
        <w:rPr>
          <w:rFonts w:asciiTheme="majorHAnsi" w:hAnsiTheme="majorHAnsi" w:cstheme="majorHAnsi"/>
        </w:rPr>
        <w:t>08, Z</w:t>
      </w:r>
      <w:r w:rsidR="000E2721" w:rsidRPr="00A76411">
        <w:rPr>
          <w:rFonts w:asciiTheme="majorHAnsi" w:hAnsiTheme="majorHAnsi" w:cstheme="majorHAnsi"/>
        </w:rPr>
        <w:t>.</w:t>
      </w:r>
      <w:r w:rsidRPr="00A76411">
        <w:rPr>
          <w:rFonts w:asciiTheme="majorHAnsi" w:hAnsiTheme="majorHAnsi" w:cstheme="majorHAnsi"/>
        </w:rPr>
        <w:t>15, Z</w:t>
      </w:r>
      <w:r w:rsidR="000E2721" w:rsidRPr="00A76411">
        <w:rPr>
          <w:rFonts w:asciiTheme="majorHAnsi" w:hAnsiTheme="majorHAnsi" w:cstheme="majorHAnsi"/>
        </w:rPr>
        <w:t>.</w:t>
      </w:r>
      <w:r w:rsidRPr="00A76411">
        <w:rPr>
          <w:rFonts w:asciiTheme="majorHAnsi" w:hAnsiTheme="majorHAnsi" w:cstheme="majorHAnsi"/>
        </w:rPr>
        <w:t>17, Z</w:t>
      </w:r>
      <w:r w:rsidR="000E2721" w:rsidRPr="00A76411">
        <w:rPr>
          <w:rFonts w:asciiTheme="majorHAnsi" w:hAnsiTheme="majorHAnsi" w:cstheme="majorHAnsi"/>
        </w:rPr>
        <w:t>.</w:t>
      </w:r>
      <w:r w:rsidRPr="00A76411">
        <w:rPr>
          <w:rFonts w:asciiTheme="majorHAnsi" w:hAnsiTheme="majorHAnsi" w:cstheme="majorHAnsi"/>
        </w:rPr>
        <w:t>21</w:t>
      </w:r>
    </w:p>
    <w:p w14:paraId="5ED274B7" w14:textId="49521F08" w:rsidR="008F2085" w:rsidRPr="006070EA" w:rsidRDefault="008F2085" w:rsidP="003F32FB">
      <w:pPr>
        <w:pStyle w:val="Atext"/>
        <w:numPr>
          <w:ilvl w:val="0"/>
          <w:numId w:val="32"/>
        </w:numPr>
        <w:spacing w:before="0" w:after="0"/>
        <w:rPr>
          <w:rFonts w:asciiTheme="majorHAnsi" w:hAnsiTheme="majorHAnsi" w:cstheme="majorHAnsi"/>
        </w:rPr>
      </w:pPr>
      <w:r w:rsidRPr="006070EA">
        <w:rPr>
          <w:rFonts w:asciiTheme="majorHAnsi" w:hAnsiTheme="majorHAnsi" w:cstheme="majorHAnsi"/>
        </w:rPr>
        <w:t>Zajištění ochrany hodnot území</w:t>
      </w:r>
    </w:p>
    <w:p w14:paraId="6E7D41CE" w14:textId="540AC80F" w:rsidR="008F2085" w:rsidRPr="006070EA" w:rsidRDefault="008F2085" w:rsidP="00FC1E99">
      <w:pPr>
        <w:pStyle w:val="Atext"/>
        <w:numPr>
          <w:ilvl w:val="1"/>
          <w:numId w:val="32"/>
        </w:numPr>
        <w:spacing w:before="0" w:after="0"/>
        <w:rPr>
          <w:rFonts w:asciiTheme="majorHAnsi" w:hAnsiTheme="majorHAnsi" w:cstheme="majorHAnsi"/>
        </w:rPr>
      </w:pPr>
      <w:r w:rsidRPr="006070EA">
        <w:rPr>
          <w:rFonts w:asciiTheme="majorHAnsi" w:hAnsiTheme="majorHAnsi" w:cstheme="majorHAnsi"/>
        </w:rPr>
        <w:t>Zastavitelná plocha Z</w:t>
      </w:r>
      <w:r w:rsidR="000E2721" w:rsidRPr="006070EA">
        <w:rPr>
          <w:rFonts w:asciiTheme="majorHAnsi" w:hAnsiTheme="majorHAnsi" w:cstheme="majorHAnsi"/>
        </w:rPr>
        <w:t>.</w:t>
      </w:r>
      <w:r w:rsidRPr="006070EA">
        <w:rPr>
          <w:rFonts w:asciiTheme="majorHAnsi" w:hAnsiTheme="majorHAnsi" w:cstheme="majorHAnsi"/>
        </w:rPr>
        <w:t>08 (Z</w:t>
      </w:r>
      <w:r w:rsidR="000E2721" w:rsidRPr="006070EA">
        <w:rPr>
          <w:rFonts w:asciiTheme="majorHAnsi" w:hAnsiTheme="majorHAnsi" w:cstheme="majorHAnsi"/>
        </w:rPr>
        <w:t>P</w:t>
      </w:r>
      <w:r w:rsidRPr="006070EA">
        <w:rPr>
          <w:rFonts w:asciiTheme="majorHAnsi" w:hAnsiTheme="majorHAnsi" w:cstheme="majorHAnsi"/>
        </w:rPr>
        <w:t>) je vymezena pro ochranu koryta vodního toku Vlkava, prostorové oddělení zástavby od vodního toku a zajištění podmínek pro funkčnost skladebné části ÚSES ve veřejném zájmu, přičemž její nevymezení by současně znamenalo ponechání zbytkové zemědělské plochy bez možnosti efektivního obhospodařování</w:t>
      </w:r>
    </w:p>
    <w:p w14:paraId="4BD84F71" w14:textId="777857EF" w:rsidR="003F32FB" w:rsidRPr="006070EA" w:rsidRDefault="003F32FB" w:rsidP="003F32FB">
      <w:pPr>
        <w:pStyle w:val="Atext"/>
        <w:numPr>
          <w:ilvl w:val="0"/>
          <w:numId w:val="32"/>
        </w:numPr>
        <w:spacing w:before="0" w:after="0"/>
        <w:rPr>
          <w:rFonts w:asciiTheme="majorHAnsi" w:hAnsiTheme="majorHAnsi" w:cstheme="majorHAnsi"/>
        </w:rPr>
      </w:pPr>
      <w:r w:rsidRPr="006070EA">
        <w:rPr>
          <w:rFonts w:asciiTheme="majorHAnsi" w:hAnsiTheme="majorHAnsi" w:cstheme="majorHAnsi"/>
        </w:rPr>
        <w:t>Vytvoření podmínek pro rovnoměrný rozvoj sídelní struktury sídel v řešeném území s obytným a rekreačním významem, zamezení upadání venkovských sídel v důsledku stagnace výstavby</w:t>
      </w:r>
    </w:p>
    <w:p w14:paraId="73E17278" w14:textId="3CA9C5C9" w:rsidR="003F32FB" w:rsidRPr="006070EA" w:rsidRDefault="003F32FB" w:rsidP="003F32FB">
      <w:pPr>
        <w:pStyle w:val="Atext"/>
        <w:numPr>
          <w:ilvl w:val="1"/>
          <w:numId w:val="32"/>
        </w:numPr>
        <w:spacing w:before="0" w:after="0"/>
        <w:rPr>
          <w:rFonts w:asciiTheme="majorHAnsi" w:hAnsiTheme="majorHAnsi" w:cstheme="majorHAnsi"/>
        </w:rPr>
      </w:pPr>
      <w:r w:rsidRPr="006070EA">
        <w:rPr>
          <w:rFonts w:asciiTheme="majorHAnsi" w:hAnsiTheme="majorHAnsi" w:cstheme="majorHAnsi"/>
        </w:rPr>
        <w:t>Zastavitelná plocha Z</w:t>
      </w:r>
      <w:r w:rsidR="000E2721" w:rsidRPr="006070EA">
        <w:rPr>
          <w:rFonts w:asciiTheme="majorHAnsi" w:hAnsiTheme="majorHAnsi" w:cstheme="majorHAnsi"/>
        </w:rPr>
        <w:t>.</w:t>
      </w:r>
      <w:r w:rsidRPr="006070EA">
        <w:rPr>
          <w:rFonts w:asciiTheme="majorHAnsi" w:hAnsiTheme="majorHAnsi" w:cstheme="majorHAnsi"/>
        </w:rPr>
        <w:t>21 (SV) – jedná se o jedinou plochu pro rozvoj kompaktního sídla Hronětice, která doplňuje kompaktní tvar zastavěného území</w:t>
      </w:r>
    </w:p>
    <w:p w14:paraId="53E1EBFC" w14:textId="472BD9F8" w:rsidR="003F32FB" w:rsidRPr="006070EA" w:rsidRDefault="003F32FB" w:rsidP="003F32FB">
      <w:pPr>
        <w:pStyle w:val="Atext"/>
        <w:numPr>
          <w:ilvl w:val="0"/>
          <w:numId w:val="32"/>
        </w:numPr>
        <w:spacing w:before="0" w:after="0"/>
        <w:rPr>
          <w:rFonts w:asciiTheme="majorHAnsi" w:hAnsiTheme="majorHAnsi" w:cstheme="majorHAnsi"/>
        </w:rPr>
      </w:pPr>
      <w:r w:rsidRPr="006070EA">
        <w:rPr>
          <w:rFonts w:asciiTheme="majorHAnsi" w:hAnsiTheme="majorHAnsi" w:cstheme="majorHAnsi"/>
        </w:rPr>
        <w:t>Dotčení ploch dalšími záměry a stanovení souvisejících podmínek využití</w:t>
      </w:r>
    </w:p>
    <w:p w14:paraId="7855DB1A" w14:textId="6B59ECA2" w:rsidR="003F32FB" w:rsidRPr="006070EA" w:rsidRDefault="003F32FB" w:rsidP="003F32FB">
      <w:pPr>
        <w:pStyle w:val="Atext"/>
        <w:numPr>
          <w:ilvl w:val="1"/>
          <w:numId w:val="32"/>
        </w:numPr>
        <w:spacing w:before="0" w:after="0"/>
        <w:rPr>
          <w:rFonts w:asciiTheme="majorHAnsi" w:hAnsiTheme="majorHAnsi" w:cstheme="majorHAnsi"/>
        </w:rPr>
      </w:pPr>
      <w:r w:rsidRPr="006070EA">
        <w:rPr>
          <w:rFonts w:asciiTheme="majorHAnsi" w:hAnsiTheme="majorHAnsi" w:cstheme="majorHAnsi"/>
        </w:rPr>
        <w:t>Zastavitelné plochy Z</w:t>
      </w:r>
      <w:r w:rsidR="000E2721" w:rsidRPr="006070EA">
        <w:rPr>
          <w:rFonts w:asciiTheme="majorHAnsi" w:hAnsiTheme="majorHAnsi" w:cstheme="majorHAnsi"/>
        </w:rPr>
        <w:t>.</w:t>
      </w:r>
      <w:r w:rsidRPr="006070EA">
        <w:rPr>
          <w:rFonts w:asciiTheme="majorHAnsi" w:hAnsiTheme="majorHAnsi" w:cstheme="majorHAnsi"/>
        </w:rPr>
        <w:t>15 (SV) a Z</w:t>
      </w:r>
      <w:r w:rsidR="000E2721" w:rsidRPr="006070EA">
        <w:rPr>
          <w:rFonts w:asciiTheme="majorHAnsi" w:hAnsiTheme="majorHAnsi" w:cstheme="majorHAnsi"/>
        </w:rPr>
        <w:t>.</w:t>
      </w:r>
      <w:r w:rsidRPr="006070EA">
        <w:rPr>
          <w:rFonts w:asciiTheme="majorHAnsi" w:hAnsiTheme="majorHAnsi" w:cstheme="majorHAnsi"/>
        </w:rPr>
        <w:t xml:space="preserve">16 (SV) jsou dotčeny </w:t>
      </w:r>
      <w:r w:rsidR="008F2085" w:rsidRPr="006070EA">
        <w:rPr>
          <w:rFonts w:asciiTheme="majorHAnsi" w:hAnsiTheme="majorHAnsi" w:cstheme="majorHAnsi"/>
        </w:rPr>
        <w:t xml:space="preserve">vymezením koridoru </w:t>
      </w:r>
      <w:r w:rsidR="000E2721" w:rsidRPr="006070EA">
        <w:rPr>
          <w:rFonts w:asciiTheme="majorHAnsi" w:hAnsiTheme="majorHAnsi" w:cstheme="majorHAnsi"/>
        </w:rPr>
        <w:t>CNU.</w:t>
      </w:r>
      <w:r w:rsidR="008F2085" w:rsidRPr="006070EA">
        <w:rPr>
          <w:rFonts w:asciiTheme="majorHAnsi" w:hAnsiTheme="majorHAnsi" w:cstheme="majorHAnsi"/>
        </w:rPr>
        <w:t>KD1 pro rozvoj dopravní infrastruktury ve veřejném zájmu – lokalita je tedy dotčena dalším záměrem a pro využití ploch jsou stanoveny související podmínky pro rozhodování</w:t>
      </w:r>
    </w:p>
    <w:p w14:paraId="08E5F957" w14:textId="70FBDA85" w:rsidR="004232DD" w:rsidRPr="006070EA" w:rsidRDefault="004232DD" w:rsidP="004232DD">
      <w:pPr>
        <w:pStyle w:val="Atext"/>
        <w:numPr>
          <w:ilvl w:val="0"/>
          <w:numId w:val="32"/>
        </w:numPr>
        <w:spacing w:before="0" w:after="0"/>
        <w:rPr>
          <w:rFonts w:asciiTheme="majorHAnsi" w:hAnsiTheme="majorHAnsi" w:cstheme="majorHAnsi"/>
        </w:rPr>
      </w:pPr>
      <w:r w:rsidRPr="006070EA">
        <w:rPr>
          <w:rFonts w:asciiTheme="majorHAnsi" w:hAnsiTheme="majorHAnsi" w:cstheme="majorHAnsi"/>
        </w:rPr>
        <w:t>Stanovení podmínky prověření využití zastavitelných ploch v rámci podrobnější dokumentace (regulační plán, územní studie), zajišťující mj. podmínky pro koordinovaný zábor ZPF a jeho minimalizaci při konkrétním umístění zástavby v rámci zastavitelných ploch</w:t>
      </w:r>
    </w:p>
    <w:p w14:paraId="5863D84F" w14:textId="66A9B014" w:rsidR="004232DD" w:rsidRPr="00A76411" w:rsidRDefault="004232DD" w:rsidP="004232DD">
      <w:pPr>
        <w:pStyle w:val="Atext"/>
        <w:numPr>
          <w:ilvl w:val="1"/>
          <w:numId w:val="32"/>
        </w:numPr>
        <w:spacing w:before="0" w:after="0"/>
        <w:rPr>
          <w:rFonts w:asciiTheme="majorHAnsi" w:hAnsiTheme="majorHAnsi" w:cstheme="majorHAnsi"/>
        </w:rPr>
      </w:pPr>
      <w:r w:rsidRPr="006070EA">
        <w:rPr>
          <w:rFonts w:asciiTheme="majorHAnsi" w:hAnsiTheme="majorHAnsi" w:cstheme="majorHAnsi"/>
        </w:rPr>
        <w:t>Stanovení podmínky vydání regulačního plánu RP</w:t>
      </w:r>
      <w:r w:rsidR="000E2721" w:rsidRPr="006070EA">
        <w:rPr>
          <w:rFonts w:asciiTheme="majorHAnsi" w:hAnsiTheme="majorHAnsi" w:cstheme="majorHAnsi"/>
        </w:rPr>
        <w:t>.</w:t>
      </w:r>
      <w:r w:rsidRPr="006070EA">
        <w:rPr>
          <w:rFonts w:asciiTheme="majorHAnsi" w:hAnsiTheme="majorHAnsi" w:cstheme="majorHAnsi"/>
        </w:rPr>
        <w:t>1 pro zastavitelné plochy Z</w:t>
      </w:r>
      <w:r w:rsidR="000E2721" w:rsidRPr="006070EA">
        <w:rPr>
          <w:rFonts w:asciiTheme="majorHAnsi" w:hAnsiTheme="majorHAnsi" w:cstheme="majorHAnsi"/>
        </w:rPr>
        <w:t>.</w:t>
      </w:r>
      <w:r w:rsidRPr="006070EA">
        <w:rPr>
          <w:rFonts w:asciiTheme="majorHAnsi" w:hAnsiTheme="majorHAnsi" w:cstheme="majorHAnsi"/>
        </w:rPr>
        <w:t>07 (BI) a Z</w:t>
      </w:r>
      <w:r w:rsidR="000E2721" w:rsidRPr="006070EA">
        <w:rPr>
          <w:rFonts w:asciiTheme="majorHAnsi" w:hAnsiTheme="majorHAnsi" w:cstheme="majorHAnsi"/>
        </w:rPr>
        <w:t>.</w:t>
      </w:r>
      <w:r w:rsidRPr="006070EA">
        <w:rPr>
          <w:rFonts w:asciiTheme="majorHAnsi" w:hAnsiTheme="majorHAnsi" w:cstheme="majorHAnsi"/>
        </w:rPr>
        <w:t>08 (Z</w:t>
      </w:r>
      <w:r w:rsidR="000E2721" w:rsidRPr="006070EA">
        <w:rPr>
          <w:rFonts w:asciiTheme="majorHAnsi" w:hAnsiTheme="majorHAnsi" w:cstheme="majorHAnsi"/>
        </w:rPr>
        <w:t>P</w:t>
      </w:r>
      <w:r w:rsidRPr="006070EA">
        <w:rPr>
          <w:rFonts w:asciiTheme="majorHAnsi" w:hAnsiTheme="majorHAnsi" w:cstheme="majorHAnsi"/>
        </w:rPr>
        <w:t xml:space="preserve">) včetně uložení prověření stanovení pořadí změn v území (etapizace) v rámci zadání regulačního plánu pro zajištění </w:t>
      </w:r>
      <w:r w:rsidRPr="00A76411">
        <w:rPr>
          <w:rFonts w:asciiTheme="majorHAnsi" w:hAnsiTheme="majorHAnsi" w:cstheme="majorHAnsi"/>
        </w:rPr>
        <w:t>koordinovaného rozvoje zástavby ve směru od sídla do volné krajiny</w:t>
      </w:r>
    </w:p>
    <w:p w14:paraId="7780377F" w14:textId="3DB62A92" w:rsidR="004232DD" w:rsidRPr="00A76411" w:rsidRDefault="004232DD" w:rsidP="004232DD">
      <w:pPr>
        <w:pStyle w:val="Atext"/>
        <w:numPr>
          <w:ilvl w:val="1"/>
          <w:numId w:val="32"/>
        </w:numPr>
        <w:spacing w:before="0" w:after="0"/>
        <w:rPr>
          <w:rFonts w:asciiTheme="majorHAnsi" w:hAnsiTheme="majorHAnsi" w:cstheme="majorHAnsi"/>
        </w:rPr>
      </w:pPr>
      <w:r w:rsidRPr="00A76411">
        <w:rPr>
          <w:rFonts w:asciiTheme="majorHAnsi" w:hAnsiTheme="majorHAnsi" w:cstheme="majorHAnsi"/>
        </w:rPr>
        <w:t>Stanovení podmínky vydání regulačního plánu RP</w:t>
      </w:r>
      <w:r w:rsidR="000E2721" w:rsidRPr="00A76411">
        <w:rPr>
          <w:rFonts w:asciiTheme="majorHAnsi" w:hAnsiTheme="majorHAnsi" w:cstheme="majorHAnsi"/>
        </w:rPr>
        <w:t>.</w:t>
      </w:r>
      <w:r w:rsidRPr="00A76411">
        <w:rPr>
          <w:rFonts w:asciiTheme="majorHAnsi" w:hAnsiTheme="majorHAnsi" w:cstheme="majorHAnsi"/>
        </w:rPr>
        <w:t>2 pro zastavitelnou plochu Z</w:t>
      </w:r>
      <w:r w:rsidR="000E2721" w:rsidRPr="00A76411">
        <w:rPr>
          <w:rFonts w:asciiTheme="majorHAnsi" w:hAnsiTheme="majorHAnsi" w:cstheme="majorHAnsi"/>
        </w:rPr>
        <w:t>.</w:t>
      </w:r>
      <w:r w:rsidRPr="00A76411">
        <w:rPr>
          <w:rFonts w:asciiTheme="majorHAnsi" w:hAnsiTheme="majorHAnsi" w:cstheme="majorHAnsi"/>
        </w:rPr>
        <w:t>14 (BI)</w:t>
      </w:r>
    </w:p>
    <w:p w14:paraId="513FE6D5" w14:textId="50F1EB38" w:rsidR="004232DD" w:rsidRPr="00A76411" w:rsidRDefault="004232DD" w:rsidP="004232DD">
      <w:pPr>
        <w:pStyle w:val="Atext"/>
        <w:numPr>
          <w:ilvl w:val="1"/>
          <w:numId w:val="32"/>
        </w:numPr>
        <w:spacing w:before="0" w:after="0"/>
        <w:rPr>
          <w:rFonts w:asciiTheme="majorHAnsi" w:hAnsiTheme="majorHAnsi" w:cstheme="majorHAnsi"/>
        </w:rPr>
      </w:pPr>
      <w:r w:rsidRPr="00A76411">
        <w:rPr>
          <w:rFonts w:asciiTheme="majorHAnsi" w:hAnsiTheme="majorHAnsi" w:cstheme="majorHAnsi"/>
        </w:rPr>
        <w:t xml:space="preserve">Stanovení podmínky zpracování územní studie </w:t>
      </w:r>
      <w:r w:rsidR="000E2721" w:rsidRPr="00A76411">
        <w:rPr>
          <w:rFonts w:asciiTheme="majorHAnsi" w:hAnsiTheme="majorHAnsi" w:cstheme="majorHAnsi"/>
        </w:rPr>
        <w:t>US.</w:t>
      </w:r>
      <w:r w:rsidR="003F32FB" w:rsidRPr="00A76411">
        <w:rPr>
          <w:rFonts w:asciiTheme="majorHAnsi" w:hAnsiTheme="majorHAnsi" w:cstheme="majorHAnsi"/>
        </w:rPr>
        <w:t>2</w:t>
      </w:r>
      <w:r w:rsidRPr="00A76411">
        <w:rPr>
          <w:rFonts w:asciiTheme="majorHAnsi" w:hAnsiTheme="majorHAnsi" w:cstheme="majorHAnsi"/>
        </w:rPr>
        <w:t xml:space="preserve"> pro zastaviteln</w:t>
      </w:r>
      <w:r w:rsidR="003F32FB" w:rsidRPr="00A76411">
        <w:rPr>
          <w:rFonts w:asciiTheme="majorHAnsi" w:hAnsiTheme="majorHAnsi" w:cstheme="majorHAnsi"/>
        </w:rPr>
        <w:t>é</w:t>
      </w:r>
      <w:r w:rsidRPr="00A76411">
        <w:rPr>
          <w:rFonts w:asciiTheme="majorHAnsi" w:hAnsiTheme="majorHAnsi" w:cstheme="majorHAnsi"/>
        </w:rPr>
        <w:t xml:space="preserve"> ploch</w:t>
      </w:r>
      <w:r w:rsidR="003F32FB" w:rsidRPr="00A76411">
        <w:rPr>
          <w:rFonts w:asciiTheme="majorHAnsi" w:hAnsiTheme="majorHAnsi" w:cstheme="majorHAnsi"/>
        </w:rPr>
        <w:t>y</w:t>
      </w:r>
      <w:r w:rsidRPr="00A76411">
        <w:rPr>
          <w:rFonts w:asciiTheme="majorHAnsi" w:hAnsiTheme="majorHAnsi" w:cstheme="majorHAnsi"/>
        </w:rPr>
        <w:t xml:space="preserve"> Z</w:t>
      </w:r>
      <w:r w:rsidR="000E2721" w:rsidRPr="00A76411">
        <w:rPr>
          <w:rFonts w:asciiTheme="majorHAnsi" w:hAnsiTheme="majorHAnsi" w:cstheme="majorHAnsi"/>
        </w:rPr>
        <w:t>.</w:t>
      </w:r>
      <w:r w:rsidR="003F32FB" w:rsidRPr="00A76411">
        <w:rPr>
          <w:rFonts w:asciiTheme="majorHAnsi" w:hAnsiTheme="majorHAnsi" w:cstheme="majorHAnsi"/>
        </w:rPr>
        <w:t>17, Z</w:t>
      </w:r>
      <w:r w:rsidR="000E2721" w:rsidRPr="00A76411">
        <w:rPr>
          <w:rFonts w:asciiTheme="majorHAnsi" w:hAnsiTheme="majorHAnsi" w:cstheme="majorHAnsi"/>
        </w:rPr>
        <w:t>.</w:t>
      </w:r>
      <w:r w:rsidR="003F32FB" w:rsidRPr="00A76411">
        <w:rPr>
          <w:rFonts w:asciiTheme="majorHAnsi" w:hAnsiTheme="majorHAnsi" w:cstheme="majorHAnsi"/>
        </w:rPr>
        <w:t>18 a Z</w:t>
      </w:r>
      <w:r w:rsidR="000E2721" w:rsidRPr="00A76411">
        <w:rPr>
          <w:rFonts w:asciiTheme="majorHAnsi" w:hAnsiTheme="majorHAnsi" w:cstheme="majorHAnsi"/>
        </w:rPr>
        <w:t>.</w:t>
      </w:r>
      <w:r w:rsidR="003F32FB" w:rsidRPr="00A76411">
        <w:rPr>
          <w:rFonts w:asciiTheme="majorHAnsi" w:hAnsiTheme="majorHAnsi" w:cstheme="majorHAnsi"/>
        </w:rPr>
        <w:t>19</w:t>
      </w:r>
      <w:r w:rsidR="00EF7150">
        <w:rPr>
          <w:rFonts w:asciiTheme="majorHAnsi" w:hAnsiTheme="majorHAnsi" w:cstheme="majorHAnsi"/>
        </w:rPr>
        <w:t xml:space="preserve"> </w:t>
      </w:r>
      <w:r w:rsidR="003F32FB" w:rsidRPr="00A76411">
        <w:rPr>
          <w:rFonts w:asciiTheme="majorHAnsi" w:hAnsiTheme="majorHAnsi" w:cstheme="majorHAnsi"/>
        </w:rPr>
        <w:t>včetně stanovení podmínky pro pořízení územní studie na minimalizaci záboru ZPF, jednoznačné vymezení přístupů na zemědělské pozemky a na zajištění maximální využitelnosti navazující volné krajiny pro zemědělské využití</w:t>
      </w:r>
    </w:p>
    <w:p w14:paraId="0D736783" w14:textId="77777777" w:rsidR="008F2085" w:rsidRPr="00A76411" w:rsidRDefault="008F2085" w:rsidP="00FC1E99">
      <w:pPr>
        <w:pStyle w:val="Atext"/>
        <w:ind w:left="720" w:firstLine="0"/>
        <w:rPr>
          <w:rFonts w:asciiTheme="majorHAnsi" w:hAnsiTheme="majorHAnsi" w:cstheme="majorHAnsi"/>
          <w:b/>
          <w:bCs w:val="0"/>
        </w:rPr>
      </w:pPr>
      <w:r w:rsidRPr="00A76411">
        <w:rPr>
          <w:rFonts w:asciiTheme="majorHAnsi" w:hAnsiTheme="majorHAnsi" w:cstheme="majorHAnsi"/>
          <w:b/>
          <w:bCs w:val="0"/>
        </w:rPr>
        <w:t>Podrobné odůvodnění vymezení jednotlivých zastavitelných ploch je uvedeno v oddílu 11.3.3 tohoto odůvodnění.</w:t>
      </w:r>
    </w:p>
    <w:p w14:paraId="3F20ADEE" w14:textId="6F8B2F16" w:rsidR="008F2085" w:rsidRPr="00A76411" w:rsidRDefault="008F2085" w:rsidP="00FC1E99">
      <w:pPr>
        <w:pStyle w:val="Atext"/>
        <w:numPr>
          <w:ilvl w:val="0"/>
          <w:numId w:val="32"/>
        </w:numPr>
        <w:spacing w:before="0" w:after="0"/>
        <w:rPr>
          <w:rFonts w:asciiTheme="majorHAnsi" w:hAnsiTheme="majorHAnsi" w:cstheme="majorHAnsi"/>
        </w:rPr>
      </w:pPr>
      <w:r w:rsidRPr="00A76411">
        <w:rPr>
          <w:rFonts w:asciiTheme="majorHAnsi" w:hAnsiTheme="majorHAnsi" w:cstheme="majorHAnsi"/>
        </w:rPr>
        <w:t xml:space="preserve">Rozvoj záměrů, ve kterých veřejný zájem na rozvoji veřejné infrastruktury výrazně převažuje veřejný zájem na ochraně ZPF </w:t>
      </w:r>
      <w:r w:rsidR="00FA6DBB" w:rsidRPr="00A76411">
        <w:rPr>
          <w:rFonts w:asciiTheme="majorHAnsi" w:hAnsiTheme="majorHAnsi" w:cstheme="majorHAnsi"/>
        </w:rPr>
        <w:t>–</w:t>
      </w:r>
      <w:r w:rsidRPr="00A76411">
        <w:rPr>
          <w:rFonts w:asciiTheme="majorHAnsi" w:hAnsiTheme="majorHAnsi" w:cstheme="majorHAnsi"/>
        </w:rPr>
        <w:t xml:space="preserve"> </w:t>
      </w:r>
      <w:r w:rsidR="00FA6DBB" w:rsidRPr="00A76411">
        <w:rPr>
          <w:rFonts w:asciiTheme="majorHAnsi" w:hAnsiTheme="majorHAnsi" w:cstheme="majorHAnsi"/>
        </w:rPr>
        <w:t>z</w:t>
      </w:r>
      <w:r w:rsidRPr="00A76411">
        <w:rPr>
          <w:rFonts w:asciiTheme="majorHAnsi" w:hAnsiTheme="majorHAnsi" w:cstheme="majorHAnsi"/>
        </w:rPr>
        <w:t>áměry, pro které územní plán vymezuje koridory dopravní a technické infrastruktury</w:t>
      </w:r>
    </w:p>
    <w:p w14:paraId="3A9C0004" w14:textId="780C94A1" w:rsidR="008F2085" w:rsidRPr="00A76411" w:rsidRDefault="008F2085" w:rsidP="00FC1E99">
      <w:pPr>
        <w:pStyle w:val="Atext"/>
        <w:numPr>
          <w:ilvl w:val="1"/>
          <w:numId w:val="32"/>
        </w:numPr>
        <w:spacing w:before="0" w:after="0"/>
        <w:rPr>
          <w:rFonts w:asciiTheme="majorHAnsi" w:hAnsiTheme="majorHAnsi" w:cstheme="majorHAnsi"/>
        </w:rPr>
      </w:pPr>
      <w:r w:rsidRPr="00A76411">
        <w:rPr>
          <w:rFonts w:asciiTheme="majorHAnsi" w:hAnsiTheme="majorHAnsi" w:cstheme="majorHAnsi"/>
        </w:rPr>
        <w:t xml:space="preserve">koridor </w:t>
      </w:r>
      <w:r w:rsidR="000E2721" w:rsidRPr="00A76411">
        <w:rPr>
          <w:rFonts w:asciiTheme="majorHAnsi" w:hAnsiTheme="majorHAnsi" w:cstheme="majorHAnsi"/>
        </w:rPr>
        <w:t>CNU.</w:t>
      </w:r>
      <w:r w:rsidRPr="00A76411">
        <w:rPr>
          <w:rFonts w:asciiTheme="majorHAnsi" w:hAnsiTheme="majorHAnsi" w:cstheme="majorHAnsi"/>
        </w:rPr>
        <w:t xml:space="preserve">KD1 pro </w:t>
      </w:r>
      <w:r w:rsidR="001D44F9" w:rsidRPr="00A76411">
        <w:rPr>
          <w:rFonts w:asciiTheme="majorHAnsi" w:hAnsiTheme="majorHAnsi" w:cstheme="majorHAnsi"/>
        </w:rPr>
        <w:t xml:space="preserve">stavby související s </w:t>
      </w:r>
      <w:r w:rsidRPr="00A76411">
        <w:rPr>
          <w:rFonts w:asciiTheme="majorHAnsi" w:hAnsiTheme="majorHAnsi" w:cstheme="majorHAnsi"/>
        </w:rPr>
        <w:t>modernizac</w:t>
      </w:r>
      <w:r w:rsidR="001D44F9" w:rsidRPr="00A76411">
        <w:rPr>
          <w:rFonts w:asciiTheme="majorHAnsi" w:hAnsiTheme="majorHAnsi" w:cstheme="majorHAnsi"/>
        </w:rPr>
        <w:t>í</w:t>
      </w:r>
      <w:r w:rsidRPr="00A76411">
        <w:rPr>
          <w:rFonts w:asciiTheme="majorHAnsi" w:hAnsiTheme="majorHAnsi" w:cstheme="majorHAnsi"/>
        </w:rPr>
        <w:t xml:space="preserve"> železniční trati (záměr nadmístního významu) s variantním trasováním přeložky silnice III/3317</w:t>
      </w:r>
    </w:p>
    <w:p w14:paraId="7EBC53B1" w14:textId="73B09244" w:rsidR="008F2085" w:rsidRPr="006070EA" w:rsidRDefault="00FA6DBB" w:rsidP="003C3C6D">
      <w:pPr>
        <w:pStyle w:val="Atext"/>
        <w:numPr>
          <w:ilvl w:val="1"/>
          <w:numId w:val="32"/>
        </w:numPr>
        <w:spacing w:before="0" w:after="0"/>
        <w:rPr>
          <w:rFonts w:asciiTheme="majorHAnsi" w:hAnsiTheme="majorHAnsi" w:cstheme="majorHAnsi"/>
        </w:rPr>
      </w:pPr>
      <w:r w:rsidRPr="00A76411">
        <w:rPr>
          <w:rFonts w:asciiTheme="majorHAnsi" w:hAnsiTheme="majorHAnsi" w:cstheme="majorHAnsi"/>
        </w:rPr>
        <w:t xml:space="preserve">koridor </w:t>
      </w:r>
      <w:r w:rsidR="000E2721" w:rsidRPr="00A76411">
        <w:rPr>
          <w:rFonts w:asciiTheme="majorHAnsi" w:hAnsiTheme="majorHAnsi" w:cstheme="majorHAnsi"/>
        </w:rPr>
        <w:t>CNU.</w:t>
      </w:r>
      <w:r w:rsidRPr="00A76411">
        <w:rPr>
          <w:rFonts w:asciiTheme="majorHAnsi" w:hAnsiTheme="majorHAnsi" w:cstheme="majorHAnsi"/>
        </w:rPr>
        <w:t>KTI1 pro rozvoj</w:t>
      </w:r>
      <w:r w:rsidRPr="006070EA">
        <w:rPr>
          <w:rFonts w:asciiTheme="majorHAnsi" w:hAnsiTheme="majorHAnsi" w:cstheme="majorHAnsi"/>
        </w:rPr>
        <w:t xml:space="preserve"> veřejných sítí technické infrastruktury – vodovod a kanalizace</w:t>
      </w:r>
    </w:p>
    <w:p w14:paraId="5391D4AF" w14:textId="77777777" w:rsidR="009E33CB" w:rsidRPr="006070EA" w:rsidRDefault="009E33CB" w:rsidP="003A4B1E">
      <w:pPr>
        <w:pStyle w:val="Odstavecseseznamem"/>
        <w:keepNext/>
        <w:numPr>
          <w:ilvl w:val="1"/>
          <w:numId w:val="31"/>
        </w:numPr>
        <w:spacing w:before="160" w:after="120" w:line="240" w:lineRule="auto"/>
        <w:ind w:left="709" w:hanging="709"/>
        <w:contextualSpacing w:val="0"/>
        <w:jc w:val="both"/>
        <w:outlineLvl w:val="1"/>
        <w:rPr>
          <w:rFonts w:asciiTheme="majorHAnsi" w:hAnsiTheme="majorHAnsi" w:cstheme="majorHAnsi"/>
          <w:b/>
          <w:sz w:val="24"/>
          <w:szCs w:val="20"/>
        </w:rPr>
      </w:pPr>
      <w:bookmarkStart w:id="461" w:name="_Toc424119881"/>
      <w:bookmarkStart w:id="462" w:name="_Toc204678236"/>
      <w:r w:rsidRPr="006070EA">
        <w:rPr>
          <w:rFonts w:asciiTheme="majorHAnsi" w:hAnsiTheme="majorHAnsi" w:cstheme="majorHAnsi"/>
          <w:b/>
          <w:sz w:val="24"/>
          <w:szCs w:val="20"/>
        </w:rPr>
        <w:lastRenderedPageBreak/>
        <w:t>Vyhodnocení předpokládaných důsledků navrhovaného řešení na pozemky určené k plnění funkce lesa</w:t>
      </w:r>
      <w:bookmarkEnd w:id="461"/>
      <w:bookmarkEnd w:id="462"/>
    </w:p>
    <w:p w14:paraId="1C9928CD" w14:textId="7C5D0081" w:rsidR="009E33CB" w:rsidRPr="006070EA" w:rsidRDefault="009E33CB" w:rsidP="009E186E">
      <w:pPr>
        <w:spacing w:after="0" w:line="240" w:lineRule="auto"/>
        <w:ind w:firstLine="709"/>
        <w:jc w:val="both"/>
        <w:rPr>
          <w:rFonts w:asciiTheme="majorHAnsi" w:hAnsiTheme="majorHAnsi" w:cstheme="majorHAnsi"/>
          <w:sz w:val="18"/>
          <w:szCs w:val="20"/>
        </w:rPr>
      </w:pPr>
      <w:r w:rsidRPr="006070EA">
        <w:rPr>
          <w:rFonts w:asciiTheme="majorHAnsi" w:hAnsiTheme="majorHAnsi" w:cstheme="majorHAnsi"/>
          <w:sz w:val="18"/>
          <w:szCs w:val="20"/>
        </w:rPr>
        <w:t>Obecně je hospodaření na lesní půdě upraveno zákonem č. 289/1995 Sb., o lesích a o změně některých předpisů, ve znění pozdějších předpisů (dále také jen „lesní zákon“). Hospodaření v lesích je řízeno lesním hospodářským plánem (LHP – výměra nad 50 ha) nebo lesními hospodářskými osnovami (LHO – výměra do 50 ha) zpracovanými na období deseti let (decennium). Podle lesního zákona jsou do pozemků určených k plnění funkcí lesa zařazeny i bezlesí (drobné vodní plochy, loučky pro zvěř, lesní skládky, nezpevněné cesty, průseky) a ostatní lesní plochy (zpevněné lesní cesty, políčka pro zvěř apod.).</w:t>
      </w:r>
    </w:p>
    <w:p w14:paraId="3ABEF12D" w14:textId="77777777" w:rsidR="009E33CB" w:rsidRPr="006070EA" w:rsidRDefault="009E33CB" w:rsidP="003A4B1E">
      <w:pPr>
        <w:pStyle w:val="Odstavecseseznamem"/>
        <w:keepNext/>
        <w:numPr>
          <w:ilvl w:val="2"/>
          <w:numId w:val="31"/>
        </w:numPr>
        <w:spacing w:before="160" w:after="120" w:line="240" w:lineRule="auto"/>
        <w:ind w:left="709" w:hanging="709"/>
        <w:contextualSpacing w:val="0"/>
        <w:jc w:val="both"/>
        <w:outlineLvl w:val="2"/>
        <w:rPr>
          <w:rFonts w:asciiTheme="majorHAnsi" w:hAnsiTheme="majorHAnsi" w:cstheme="majorHAnsi"/>
          <w:b/>
        </w:rPr>
      </w:pPr>
      <w:bookmarkStart w:id="463" w:name="_Toc424119882"/>
      <w:bookmarkStart w:id="464" w:name="_Toc204678237"/>
      <w:r w:rsidRPr="006070EA">
        <w:rPr>
          <w:rFonts w:asciiTheme="majorHAnsi" w:hAnsiTheme="majorHAnsi" w:cstheme="majorHAnsi"/>
          <w:b/>
        </w:rPr>
        <w:t>Aktuální stav lesa</w:t>
      </w:r>
      <w:bookmarkEnd w:id="463"/>
      <w:bookmarkEnd w:id="464"/>
    </w:p>
    <w:p w14:paraId="785F5913" w14:textId="0B761332" w:rsidR="00213A5E" w:rsidRPr="006070EA" w:rsidRDefault="00213A5E" w:rsidP="00213A5E">
      <w:pPr>
        <w:pStyle w:val="Atext"/>
        <w:rPr>
          <w:rFonts w:asciiTheme="majorHAnsi" w:hAnsiTheme="majorHAnsi" w:cstheme="majorHAnsi"/>
        </w:rPr>
      </w:pPr>
      <w:r w:rsidRPr="006070EA">
        <w:rPr>
          <w:rFonts w:asciiTheme="majorHAnsi" w:hAnsiTheme="majorHAnsi" w:cstheme="majorHAnsi"/>
        </w:rPr>
        <w:t xml:space="preserve">Výměra lesních pozemků na území Kostomlat nad Labem je 99 ha (5,5, % z celkové výměry). Ve srovnání s průměrnou lesnatostí území ORP Nymburk 18,2 % je výměra lesních pozemků </w:t>
      </w:r>
      <w:r w:rsidR="000D1DF7" w:rsidRPr="006070EA">
        <w:rPr>
          <w:rFonts w:asciiTheme="majorHAnsi" w:hAnsiTheme="majorHAnsi" w:cstheme="majorHAnsi"/>
        </w:rPr>
        <w:t>podstatně nižší</w:t>
      </w:r>
      <w:r w:rsidRPr="006070EA">
        <w:rPr>
          <w:rFonts w:asciiTheme="majorHAnsi" w:hAnsiTheme="majorHAnsi" w:cstheme="majorHAnsi"/>
        </w:rPr>
        <w:t xml:space="preserve">. Největší plochu souvislého lesa zaujímá součást lesního komplexu v </w:t>
      </w:r>
      <w:r w:rsidR="000D1DF7" w:rsidRPr="006070EA">
        <w:rPr>
          <w:rFonts w:asciiTheme="majorHAnsi" w:hAnsiTheme="majorHAnsi" w:cstheme="majorHAnsi"/>
        </w:rPr>
        <w:t>jižní</w:t>
      </w:r>
      <w:r w:rsidRPr="006070EA">
        <w:rPr>
          <w:rFonts w:asciiTheme="majorHAnsi" w:hAnsiTheme="majorHAnsi" w:cstheme="majorHAnsi"/>
        </w:rPr>
        <w:t xml:space="preserve"> části území</w:t>
      </w:r>
      <w:r w:rsidR="000D1DF7" w:rsidRPr="006070EA">
        <w:rPr>
          <w:rFonts w:asciiTheme="majorHAnsi" w:hAnsiTheme="majorHAnsi" w:cstheme="majorHAnsi"/>
        </w:rPr>
        <w:t xml:space="preserve"> při severním břehu Labe</w:t>
      </w:r>
      <w:r w:rsidRPr="006070EA">
        <w:rPr>
          <w:rFonts w:asciiTheme="majorHAnsi" w:hAnsiTheme="majorHAnsi" w:cstheme="majorHAnsi"/>
        </w:rPr>
        <w:t xml:space="preserve">. V zemědělské krajině se nacházejí menší plochy lesa ve vyvýšených polohách a drobné remízy. </w:t>
      </w:r>
    </w:p>
    <w:p w14:paraId="40FC2FB6" w14:textId="77777777" w:rsidR="009E33CB" w:rsidRPr="006070EA" w:rsidRDefault="009E33CB" w:rsidP="003A4B1E">
      <w:pPr>
        <w:pStyle w:val="Odstavecseseznamem"/>
        <w:keepNext/>
        <w:numPr>
          <w:ilvl w:val="2"/>
          <w:numId w:val="31"/>
        </w:numPr>
        <w:spacing w:before="160" w:after="120" w:line="240" w:lineRule="auto"/>
        <w:ind w:left="709" w:hanging="709"/>
        <w:contextualSpacing w:val="0"/>
        <w:jc w:val="both"/>
        <w:outlineLvl w:val="2"/>
        <w:rPr>
          <w:rFonts w:asciiTheme="majorHAnsi" w:hAnsiTheme="majorHAnsi" w:cstheme="majorHAnsi"/>
          <w:b/>
        </w:rPr>
      </w:pPr>
      <w:bookmarkStart w:id="465" w:name="_Toc424119883"/>
      <w:bookmarkStart w:id="466" w:name="_Toc204678238"/>
      <w:r w:rsidRPr="006070EA">
        <w:rPr>
          <w:rFonts w:asciiTheme="majorHAnsi" w:hAnsiTheme="majorHAnsi" w:cstheme="majorHAnsi"/>
          <w:b/>
        </w:rPr>
        <w:t>Přírodní lesní oblast (PLO), lesní vegetační stupeň (LVS)</w:t>
      </w:r>
      <w:bookmarkEnd w:id="465"/>
      <w:bookmarkEnd w:id="466"/>
    </w:p>
    <w:p w14:paraId="375E0DBF" w14:textId="20E82867" w:rsidR="00213A5E" w:rsidRPr="006070EA" w:rsidRDefault="00213A5E" w:rsidP="00213A5E">
      <w:pPr>
        <w:pStyle w:val="Atext"/>
        <w:rPr>
          <w:rFonts w:asciiTheme="majorHAnsi" w:hAnsiTheme="majorHAnsi" w:cstheme="majorHAnsi"/>
          <w:szCs w:val="18"/>
        </w:rPr>
      </w:pPr>
      <w:r w:rsidRPr="006070EA">
        <w:rPr>
          <w:rFonts w:asciiTheme="majorHAnsi" w:hAnsiTheme="majorHAnsi" w:cstheme="majorHAnsi"/>
          <w:szCs w:val="18"/>
        </w:rPr>
        <w:t>Lesní porosty v území spadají pouze do jedné přírodní lesní oblasti (PLO) – PLO 17 Polabí. Tato lesní oblast zahrnuje úvaly při Labi a dolním Poohří a plošiny nebo tabule okrajových pásem. Náleží k němu i Pražská kotlina s malou rozlohou lesů. K úvalům v údolí Labe patří i Pardubická kotlina, Nymburská kotlina, Mělnická kotlina, kde jsou význačným prvkem váté písky, a Terezínská kotlina s podobným reliéfem. Dolní Poohří tvoří křídová pahorkatina Klapská a křídová tabule Perucká, která výrazně přechází do třetihorní Žatecké pánve. Asi polovina plochy lesů se nachází na říčních terasách, z toho činí přibližně třetinu doubravy a 10 procent lipové doubravy na slinovatkách. V okrajích je značně zastoupen bukovodubový stupeň (přibližně čtvrtina). Vlastního lužního lesa zbylo jen asi pět procent. Zbývající společenstva jsou rozšířena jen nepatrně. Významná je teplomilná (dřínová) doubrava s dubem šipákem, bor na vátých píscích, lužní olšiny, zřídka sem zasahují i</w:t>
      </w:r>
      <w:r w:rsidR="00CB0FD4" w:rsidRPr="006070EA">
        <w:rPr>
          <w:rFonts w:asciiTheme="majorHAnsi" w:hAnsiTheme="majorHAnsi" w:cstheme="majorHAnsi"/>
          <w:szCs w:val="18"/>
        </w:rPr>
        <w:t> </w:t>
      </w:r>
      <w:r w:rsidRPr="006070EA">
        <w:rPr>
          <w:rFonts w:asciiTheme="majorHAnsi" w:hAnsiTheme="majorHAnsi" w:cstheme="majorHAnsi"/>
          <w:szCs w:val="18"/>
        </w:rPr>
        <w:t>dubové bučiny. Obecně je tato oblast jednou z nejcennějších základen genofondu nížinné (chlumní) borovice a dubu v</w:t>
      </w:r>
      <w:r w:rsidR="00CB0FD4" w:rsidRPr="006070EA">
        <w:rPr>
          <w:rFonts w:asciiTheme="majorHAnsi" w:hAnsiTheme="majorHAnsi" w:cstheme="majorHAnsi"/>
          <w:szCs w:val="18"/>
        </w:rPr>
        <w:t> </w:t>
      </w:r>
      <w:r w:rsidRPr="006070EA">
        <w:rPr>
          <w:rFonts w:asciiTheme="majorHAnsi" w:hAnsiTheme="majorHAnsi" w:cstheme="majorHAnsi"/>
          <w:szCs w:val="18"/>
        </w:rPr>
        <w:t>republice. Velkým nebezpečím pro zdejší lesy je přetrvávající hynutí dubů s tracheomykózními příznaky a nově odumírání olší a topolů.</w:t>
      </w:r>
    </w:p>
    <w:p w14:paraId="2E422125" w14:textId="77777777" w:rsidR="00213A5E" w:rsidRPr="006070EA" w:rsidRDefault="00213A5E" w:rsidP="00213A5E">
      <w:pPr>
        <w:pStyle w:val="Atext"/>
        <w:rPr>
          <w:rFonts w:asciiTheme="majorHAnsi" w:hAnsiTheme="majorHAnsi" w:cstheme="majorHAnsi"/>
          <w:szCs w:val="18"/>
        </w:rPr>
      </w:pPr>
      <w:r w:rsidRPr="006070EA">
        <w:rPr>
          <w:rFonts w:asciiTheme="majorHAnsi" w:hAnsiTheme="majorHAnsi" w:cstheme="majorHAnsi"/>
          <w:szCs w:val="18"/>
        </w:rPr>
        <w:t>Vegetační stupňovitost vyjadřuje vztah mezi klimatem a biocenózou (souvislost sledu rozdílů vegetace se sledem rozdílů výškového a expozičního klimatu).</w:t>
      </w:r>
    </w:p>
    <w:p w14:paraId="39FE4A3B" w14:textId="77777777" w:rsidR="00213A5E" w:rsidRPr="006070EA" w:rsidRDefault="00213A5E" w:rsidP="00213A5E">
      <w:pPr>
        <w:pStyle w:val="Atext"/>
        <w:rPr>
          <w:rFonts w:asciiTheme="majorHAnsi" w:hAnsiTheme="majorHAnsi" w:cstheme="majorHAnsi"/>
          <w:szCs w:val="18"/>
        </w:rPr>
      </w:pPr>
      <w:r w:rsidRPr="006070EA">
        <w:rPr>
          <w:rFonts w:asciiTheme="majorHAnsi" w:hAnsiTheme="majorHAnsi" w:cstheme="majorHAnsi"/>
          <w:szCs w:val="18"/>
        </w:rPr>
        <w:t>V řešeném území jsou identifikovány tyto lesní vegetační stupně (LVS):</w:t>
      </w:r>
    </w:p>
    <w:p w14:paraId="6B727F57" w14:textId="1AB061C8" w:rsidR="00213A5E" w:rsidRPr="006070EA" w:rsidRDefault="00213A5E" w:rsidP="00213A5E">
      <w:pPr>
        <w:pStyle w:val="Atext"/>
        <w:rPr>
          <w:rFonts w:asciiTheme="majorHAnsi" w:hAnsiTheme="majorHAnsi" w:cstheme="majorHAnsi"/>
          <w:szCs w:val="18"/>
        </w:rPr>
      </w:pPr>
      <w:r w:rsidRPr="006070EA">
        <w:rPr>
          <w:rFonts w:asciiTheme="majorHAnsi" w:hAnsiTheme="majorHAnsi" w:cstheme="majorHAnsi"/>
          <w:b/>
          <w:bCs w:val="0"/>
          <w:szCs w:val="18"/>
        </w:rPr>
        <w:t>1</w:t>
      </w:r>
      <w:r w:rsidRPr="006070EA">
        <w:rPr>
          <w:rFonts w:asciiTheme="majorHAnsi" w:hAnsiTheme="majorHAnsi" w:cstheme="majorHAnsi"/>
          <w:szCs w:val="18"/>
        </w:rPr>
        <w:t xml:space="preserve"> </w:t>
      </w:r>
      <w:r w:rsidRPr="006070EA">
        <w:rPr>
          <w:rFonts w:asciiTheme="majorHAnsi" w:hAnsiTheme="majorHAnsi" w:cstheme="majorHAnsi"/>
          <w:b/>
          <w:szCs w:val="18"/>
          <w:shd w:val="clear" w:color="auto" w:fill="FFFFFF"/>
        </w:rPr>
        <w:t>Vegetační stupeň dubový</w:t>
      </w:r>
      <w:r w:rsidRPr="006070EA">
        <w:rPr>
          <w:rStyle w:val="apple-converted-space"/>
          <w:rFonts w:asciiTheme="majorHAnsi" w:hAnsiTheme="majorHAnsi" w:cstheme="majorHAnsi"/>
          <w:szCs w:val="18"/>
          <w:shd w:val="clear" w:color="auto" w:fill="FFFFFF"/>
        </w:rPr>
        <w:t> </w:t>
      </w:r>
      <w:r w:rsidR="00CB0FD4" w:rsidRPr="006070EA">
        <w:rPr>
          <w:rFonts w:asciiTheme="majorHAnsi" w:hAnsiTheme="majorHAnsi" w:cstheme="majorHAnsi"/>
          <w:szCs w:val="18"/>
          <w:shd w:val="clear" w:color="auto" w:fill="FFFFFF"/>
        </w:rPr>
        <w:t>–</w:t>
      </w:r>
      <w:r w:rsidRPr="006070EA">
        <w:rPr>
          <w:rFonts w:asciiTheme="majorHAnsi" w:hAnsiTheme="majorHAnsi" w:cstheme="majorHAnsi"/>
          <w:szCs w:val="18"/>
          <w:shd w:val="clear" w:color="auto" w:fill="FFFFFF"/>
        </w:rPr>
        <w:t xml:space="preserve"> v tomto stupni se uplatňuje hlavně</w:t>
      </w:r>
      <w:r w:rsidRPr="006070EA">
        <w:rPr>
          <w:rStyle w:val="apple-converted-space"/>
          <w:rFonts w:asciiTheme="majorHAnsi" w:hAnsiTheme="majorHAnsi" w:cstheme="majorHAnsi"/>
          <w:szCs w:val="18"/>
          <w:shd w:val="clear" w:color="auto" w:fill="FFFFFF"/>
        </w:rPr>
        <w:t> </w:t>
      </w:r>
      <w:hyperlink r:id="rId58" w:tooltip="wikipedia:cs:dub zimní" w:history="1">
        <w:r w:rsidRPr="006070EA">
          <w:rPr>
            <w:rStyle w:val="Hypertextovodkaz"/>
            <w:rFonts w:asciiTheme="majorHAnsi" w:hAnsiTheme="majorHAnsi" w:cstheme="majorHAnsi"/>
            <w:color w:val="auto"/>
            <w:szCs w:val="18"/>
            <w:u w:val="none"/>
            <w:shd w:val="clear" w:color="auto" w:fill="FFFFFF"/>
          </w:rPr>
          <w:t>dub zimní</w:t>
        </w:r>
      </w:hyperlink>
      <w:r w:rsidRPr="006070EA">
        <w:rPr>
          <w:rStyle w:val="apple-converted-space"/>
          <w:rFonts w:asciiTheme="majorHAnsi" w:hAnsiTheme="majorHAnsi" w:cstheme="majorHAnsi"/>
          <w:szCs w:val="18"/>
          <w:shd w:val="clear" w:color="auto" w:fill="FFFFFF"/>
        </w:rPr>
        <w:t> </w:t>
      </w:r>
      <w:r w:rsidRPr="006070EA">
        <w:rPr>
          <w:rFonts w:asciiTheme="majorHAnsi" w:hAnsiTheme="majorHAnsi" w:cstheme="majorHAnsi"/>
          <w:szCs w:val="18"/>
          <w:shd w:val="clear" w:color="auto" w:fill="FFFFFF"/>
        </w:rPr>
        <w:t>a jiné druhy dubů bez účasti buku pro nedostatek vláhy, hlavně pro letní přísušky. V panonské oblasti zaujímá dubový stupeň velké souvislé plochy, v České kotlině se vyskytuje jen maloplošně.</w:t>
      </w:r>
    </w:p>
    <w:p w14:paraId="7394D5EA" w14:textId="01988846" w:rsidR="00213A5E" w:rsidRPr="006070EA" w:rsidRDefault="00213A5E" w:rsidP="00EF7B4B">
      <w:pPr>
        <w:pStyle w:val="Atext"/>
        <w:rPr>
          <w:rFonts w:asciiTheme="majorHAnsi" w:hAnsiTheme="majorHAnsi" w:cstheme="majorHAnsi"/>
          <w:szCs w:val="18"/>
        </w:rPr>
      </w:pPr>
      <w:r w:rsidRPr="006070EA">
        <w:rPr>
          <w:rStyle w:val="AnadpistunChar"/>
          <w:rFonts w:asciiTheme="majorHAnsi" w:hAnsiTheme="majorHAnsi" w:cstheme="majorHAnsi"/>
          <w:szCs w:val="18"/>
        </w:rPr>
        <w:t>2</w:t>
      </w:r>
      <w:r w:rsidRPr="006070EA">
        <w:rPr>
          <w:rFonts w:asciiTheme="majorHAnsi" w:hAnsiTheme="majorHAnsi" w:cstheme="majorHAnsi"/>
          <w:szCs w:val="18"/>
        </w:rPr>
        <w:t xml:space="preserve"> </w:t>
      </w:r>
      <w:r w:rsidRPr="006070EA">
        <w:rPr>
          <w:rFonts w:asciiTheme="majorHAnsi" w:hAnsiTheme="majorHAnsi" w:cstheme="majorHAnsi"/>
          <w:b/>
          <w:szCs w:val="18"/>
        </w:rPr>
        <w:t>bukovo-dubový vegetační stupeň</w:t>
      </w:r>
      <w:r w:rsidRPr="006070EA">
        <w:rPr>
          <w:rFonts w:asciiTheme="majorHAnsi" w:hAnsiTheme="majorHAnsi" w:cstheme="majorHAnsi"/>
          <w:szCs w:val="18"/>
        </w:rPr>
        <w:t xml:space="preserve"> </w:t>
      </w:r>
      <w:r w:rsidR="00CB0FD4" w:rsidRPr="006070EA">
        <w:rPr>
          <w:rFonts w:asciiTheme="majorHAnsi" w:hAnsiTheme="majorHAnsi" w:cstheme="majorHAnsi"/>
          <w:szCs w:val="18"/>
        </w:rPr>
        <w:t>–</w:t>
      </w:r>
      <w:r w:rsidRPr="006070EA">
        <w:rPr>
          <w:rFonts w:asciiTheme="majorHAnsi" w:hAnsiTheme="majorHAnsi" w:cstheme="majorHAnsi"/>
          <w:szCs w:val="18"/>
        </w:rPr>
        <w:t xml:space="preserve"> zabírá nížiny, pahorkatiny a vrchoviny zpravidla v rozpětí nadm. výšek 200 až 400 m. Hlavní dřevinou přirozených lesních biocenóz je dub zimní, v segmentech normální hydrické řady je přimíšen buk lesní. Z dalších dřevin se významně uplatňuje habr, bývají přítomny lípa srdčitá, javor mléč a jilm habrolistý. Z jehličnatých stromů se vyskytuje pouze ojediněle borovice lesní.</w:t>
      </w:r>
    </w:p>
    <w:p w14:paraId="13DF3688" w14:textId="77777777" w:rsidR="009E33CB" w:rsidRPr="006070EA" w:rsidRDefault="009E33CB" w:rsidP="003A4B1E">
      <w:pPr>
        <w:pStyle w:val="Odstavecseseznamem"/>
        <w:keepNext/>
        <w:numPr>
          <w:ilvl w:val="2"/>
          <w:numId w:val="31"/>
        </w:numPr>
        <w:spacing w:before="160" w:after="120" w:line="240" w:lineRule="auto"/>
        <w:ind w:left="709" w:hanging="709"/>
        <w:contextualSpacing w:val="0"/>
        <w:jc w:val="both"/>
        <w:outlineLvl w:val="2"/>
        <w:rPr>
          <w:rFonts w:asciiTheme="majorHAnsi" w:hAnsiTheme="majorHAnsi" w:cstheme="majorHAnsi"/>
          <w:b/>
        </w:rPr>
      </w:pPr>
      <w:bookmarkStart w:id="467" w:name="_Toc424119884"/>
      <w:bookmarkStart w:id="468" w:name="_Toc204678239"/>
      <w:r w:rsidRPr="006070EA">
        <w:rPr>
          <w:rFonts w:asciiTheme="majorHAnsi" w:hAnsiTheme="majorHAnsi" w:cstheme="majorHAnsi"/>
          <w:b/>
        </w:rPr>
        <w:t>Kategorie lesů</w:t>
      </w:r>
      <w:bookmarkEnd w:id="467"/>
      <w:bookmarkEnd w:id="468"/>
    </w:p>
    <w:p w14:paraId="753BB61A" w14:textId="77777777" w:rsidR="00A37452" w:rsidRPr="006070EA" w:rsidRDefault="00A37452" w:rsidP="00A37452">
      <w:pPr>
        <w:pStyle w:val="Atext"/>
        <w:rPr>
          <w:rFonts w:asciiTheme="majorHAnsi" w:hAnsiTheme="majorHAnsi" w:cstheme="majorHAnsi"/>
        </w:rPr>
      </w:pPr>
      <w:bookmarkStart w:id="469" w:name="_Toc424119885"/>
      <w:r w:rsidRPr="006070EA">
        <w:rPr>
          <w:rFonts w:asciiTheme="majorHAnsi" w:hAnsiTheme="majorHAnsi" w:cstheme="majorHAnsi"/>
        </w:rPr>
        <w:t xml:space="preserve">Podle zákona o lesích se lesy člení dle převažující funkce do tří kategorií, a to na lesy ochranné, lesy zvláštního určení a lesy hospodářské. </w:t>
      </w:r>
    </w:p>
    <w:p w14:paraId="0EC5F437" w14:textId="77777777" w:rsidR="00A37452" w:rsidRPr="006070EA" w:rsidRDefault="00A37452" w:rsidP="00A37452">
      <w:pPr>
        <w:widowControl w:val="0"/>
        <w:spacing w:before="120" w:after="120"/>
        <w:ind w:firstLine="720"/>
        <w:rPr>
          <w:rFonts w:asciiTheme="majorHAnsi" w:hAnsiTheme="majorHAnsi" w:cstheme="majorHAnsi"/>
          <w:sz w:val="18"/>
          <w:szCs w:val="18"/>
        </w:rPr>
      </w:pPr>
      <w:r w:rsidRPr="006070EA">
        <w:rPr>
          <w:rFonts w:asciiTheme="majorHAnsi" w:hAnsiTheme="majorHAnsi" w:cstheme="majorHAnsi"/>
          <w:b/>
          <w:sz w:val="18"/>
          <w:szCs w:val="18"/>
        </w:rPr>
        <w:t>Les hospodářský</w:t>
      </w:r>
      <w:r w:rsidRPr="006070EA">
        <w:rPr>
          <w:rFonts w:asciiTheme="majorHAnsi" w:hAnsiTheme="majorHAnsi" w:cstheme="majorHAnsi"/>
          <w:b/>
          <w:sz w:val="18"/>
          <w:szCs w:val="18"/>
        </w:rPr>
        <w:tab/>
      </w:r>
      <w:r w:rsidRPr="006070EA">
        <w:rPr>
          <w:rFonts w:asciiTheme="majorHAnsi" w:hAnsiTheme="majorHAnsi" w:cstheme="majorHAnsi"/>
          <w:b/>
          <w:sz w:val="18"/>
          <w:szCs w:val="18"/>
        </w:rPr>
        <w:tab/>
      </w:r>
      <w:r w:rsidRPr="006070EA">
        <w:rPr>
          <w:rFonts w:asciiTheme="majorHAnsi" w:hAnsiTheme="majorHAnsi" w:cstheme="majorHAnsi"/>
          <w:b/>
          <w:sz w:val="18"/>
          <w:szCs w:val="18"/>
        </w:rPr>
        <w:tab/>
      </w:r>
      <w:r w:rsidRPr="006070EA">
        <w:rPr>
          <w:rFonts w:asciiTheme="majorHAnsi" w:hAnsiTheme="majorHAnsi" w:cstheme="majorHAnsi"/>
          <w:sz w:val="18"/>
          <w:szCs w:val="18"/>
        </w:rPr>
        <w:t xml:space="preserve">§ 9 lesního zákona - lesy hospodářské jsou lesy, které nejsou </w:t>
      </w:r>
      <w:r w:rsidRPr="006070EA">
        <w:rPr>
          <w:rFonts w:asciiTheme="majorHAnsi" w:hAnsiTheme="majorHAnsi" w:cstheme="majorHAnsi"/>
          <w:sz w:val="18"/>
          <w:szCs w:val="18"/>
        </w:rPr>
        <w:tab/>
      </w:r>
      <w:r w:rsidRPr="006070EA">
        <w:rPr>
          <w:rFonts w:asciiTheme="majorHAnsi" w:hAnsiTheme="majorHAnsi" w:cstheme="majorHAnsi"/>
          <w:sz w:val="18"/>
          <w:szCs w:val="18"/>
        </w:rPr>
        <w:tab/>
      </w:r>
      <w:r w:rsidRPr="006070EA">
        <w:rPr>
          <w:rFonts w:asciiTheme="majorHAnsi" w:hAnsiTheme="majorHAnsi" w:cstheme="majorHAnsi"/>
          <w:sz w:val="18"/>
          <w:szCs w:val="18"/>
        </w:rPr>
        <w:tab/>
      </w:r>
      <w:r w:rsidRPr="006070EA">
        <w:rPr>
          <w:rFonts w:asciiTheme="majorHAnsi" w:hAnsiTheme="majorHAnsi" w:cstheme="majorHAnsi"/>
          <w:sz w:val="18"/>
          <w:szCs w:val="18"/>
        </w:rPr>
        <w:tab/>
      </w:r>
      <w:r w:rsidRPr="006070EA">
        <w:rPr>
          <w:rFonts w:asciiTheme="majorHAnsi" w:hAnsiTheme="majorHAnsi" w:cstheme="majorHAnsi"/>
          <w:sz w:val="18"/>
          <w:szCs w:val="18"/>
        </w:rPr>
        <w:tab/>
      </w:r>
      <w:r w:rsidRPr="006070EA">
        <w:rPr>
          <w:rFonts w:asciiTheme="majorHAnsi" w:hAnsiTheme="majorHAnsi" w:cstheme="majorHAnsi"/>
          <w:sz w:val="18"/>
          <w:szCs w:val="18"/>
        </w:rPr>
        <w:tab/>
        <w:t>zařazeny v kategorii lesů ochranných nebo lesů zvláštního určení.</w:t>
      </w:r>
    </w:p>
    <w:p w14:paraId="5B36A3B1" w14:textId="77777777" w:rsidR="00A37452" w:rsidRPr="006070EA" w:rsidRDefault="00A37452" w:rsidP="00A37452">
      <w:pPr>
        <w:widowControl w:val="0"/>
        <w:spacing w:before="120" w:after="120"/>
        <w:ind w:left="3544" w:hanging="2824"/>
        <w:jc w:val="both"/>
        <w:rPr>
          <w:rFonts w:asciiTheme="majorHAnsi" w:hAnsiTheme="majorHAnsi" w:cstheme="majorHAnsi"/>
          <w:sz w:val="18"/>
          <w:szCs w:val="18"/>
        </w:rPr>
      </w:pPr>
      <w:r w:rsidRPr="006070EA">
        <w:rPr>
          <w:rFonts w:asciiTheme="majorHAnsi" w:hAnsiTheme="majorHAnsi" w:cstheme="majorHAnsi"/>
          <w:b/>
          <w:sz w:val="18"/>
          <w:szCs w:val="18"/>
        </w:rPr>
        <w:t xml:space="preserve">Les ochranný </w:t>
      </w:r>
      <w:r w:rsidRPr="006070EA">
        <w:rPr>
          <w:rFonts w:asciiTheme="majorHAnsi" w:hAnsiTheme="majorHAnsi" w:cstheme="majorHAnsi"/>
          <w:b/>
          <w:sz w:val="18"/>
          <w:szCs w:val="18"/>
        </w:rPr>
        <w:tab/>
      </w:r>
      <w:r w:rsidRPr="006070EA">
        <w:rPr>
          <w:rFonts w:asciiTheme="majorHAnsi" w:hAnsiTheme="majorHAnsi" w:cstheme="majorHAnsi"/>
          <w:sz w:val="18"/>
          <w:szCs w:val="18"/>
        </w:rPr>
        <w:t xml:space="preserve">§ 7 odst. 1 písm. a lesního zákona- lesy na mimořádně nepříznivých stanovištích (sutě, kamenná moře, prudké svahy, strže, nestabilizované náplavy a písky, rašeliniště, odvaly a výsypky apod. </w:t>
      </w:r>
    </w:p>
    <w:p w14:paraId="5A32A29A" w14:textId="012BDEFF" w:rsidR="00A37452" w:rsidRPr="006070EA" w:rsidRDefault="00A37452" w:rsidP="00A37452">
      <w:pPr>
        <w:widowControl w:val="0"/>
        <w:spacing w:before="120" w:after="120"/>
        <w:ind w:left="3544" w:hanging="2824"/>
        <w:jc w:val="both"/>
        <w:rPr>
          <w:rFonts w:asciiTheme="majorHAnsi" w:hAnsiTheme="majorHAnsi" w:cstheme="majorHAnsi"/>
          <w:sz w:val="18"/>
          <w:szCs w:val="18"/>
        </w:rPr>
      </w:pPr>
      <w:r w:rsidRPr="006070EA">
        <w:rPr>
          <w:rFonts w:asciiTheme="majorHAnsi" w:hAnsiTheme="majorHAnsi" w:cstheme="majorHAnsi"/>
          <w:b/>
          <w:sz w:val="18"/>
          <w:szCs w:val="18"/>
        </w:rPr>
        <w:t xml:space="preserve">Les zvláštního určení </w:t>
      </w:r>
      <w:r w:rsidRPr="006070EA">
        <w:rPr>
          <w:rFonts w:asciiTheme="majorHAnsi" w:hAnsiTheme="majorHAnsi" w:cstheme="majorHAnsi"/>
          <w:b/>
          <w:sz w:val="18"/>
          <w:szCs w:val="18"/>
        </w:rPr>
        <w:tab/>
      </w:r>
      <w:r w:rsidRPr="006070EA">
        <w:rPr>
          <w:rFonts w:asciiTheme="majorHAnsi" w:hAnsiTheme="majorHAnsi" w:cstheme="majorHAnsi"/>
          <w:sz w:val="18"/>
          <w:szCs w:val="18"/>
        </w:rPr>
        <w:t>§ 8 odst. 2 písm. e - lesy (bariérové) se zvýšenou funkcí půdoochrannou, vodoochra</w:t>
      </w:r>
      <w:r w:rsidR="000E2721" w:rsidRPr="006070EA">
        <w:rPr>
          <w:rFonts w:asciiTheme="majorHAnsi" w:hAnsiTheme="majorHAnsi" w:cstheme="majorHAnsi"/>
          <w:sz w:val="18"/>
          <w:szCs w:val="18"/>
        </w:rPr>
        <w:t>n</w:t>
      </w:r>
      <w:r w:rsidRPr="006070EA">
        <w:rPr>
          <w:rFonts w:asciiTheme="majorHAnsi" w:hAnsiTheme="majorHAnsi" w:cstheme="majorHAnsi"/>
          <w:sz w:val="18"/>
          <w:szCs w:val="18"/>
        </w:rPr>
        <w:t>nou, klimatickou nebo krajinotvornou</w:t>
      </w:r>
    </w:p>
    <w:p w14:paraId="6394DDF6" w14:textId="67AF6BAA" w:rsidR="00A37452" w:rsidRPr="006070EA" w:rsidRDefault="00A37452" w:rsidP="00A37452">
      <w:pPr>
        <w:pStyle w:val="Atext"/>
        <w:rPr>
          <w:rFonts w:asciiTheme="majorHAnsi" w:hAnsiTheme="majorHAnsi" w:cstheme="majorHAnsi"/>
          <w:szCs w:val="18"/>
        </w:rPr>
      </w:pPr>
      <w:r w:rsidRPr="006070EA">
        <w:rPr>
          <w:rFonts w:asciiTheme="majorHAnsi" w:hAnsiTheme="majorHAnsi" w:cstheme="majorHAnsi"/>
          <w:szCs w:val="18"/>
        </w:rPr>
        <w:t>Lesy v řešeném území jsou zařazeny do kategorie lesů hospodářských</w:t>
      </w:r>
      <w:r w:rsidR="00D8068B" w:rsidRPr="006070EA">
        <w:rPr>
          <w:rFonts w:asciiTheme="majorHAnsi" w:hAnsiTheme="majorHAnsi" w:cstheme="majorHAnsi"/>
          <w:szCs w:val="18"/>
        </w:rPr>
        <w:t xml:space="preserve"> </w:t>
      </w:r>
      <w:r w:rsidRPr="006070EA">
        <w:rPr>
          <w:rFonts w:asciiTheme="majorHAnsi" w:hAnsiTheme="majorHAnsi" w:cstheme="majorHAnsi"/>
          <w:szCs w:val="18"/>
        </w:rPr>
        <w:t>a lesů zvláštního určení</w:t>
      </w:r>
      <w:r w:rsidR="00530EB9" w:rsidRPr="006070EA">
        <w:rPr>
          <w:rFonts w:asciiTheme="majorHAnsi" w:hAnsiTheme="majorHAnsi" w:cstheme="majorHAnsi"/>
          <w:szCs w:val="18"/>
        </w:rPr>
        <w:t>.</w:t>
      </w:r>
      <w:r w:rsidRPr="006070EA">
        <w:rPr>
          <w:rFonts w:asciiTheme="majorHAnsi" w:hAnsiTheme="majorHAnsi" w:cstheme="majorHAnsi"/>
          <w:szCs w:val="18"/>
        </w:rPr>
        <w:t xml:space="preserve"> </w:t>
      </w:r>
      <w:r w:rsidR="00530EB9" w:rsidRPr="006070EA">
        <w:rPr>
          <w:rFonts w:asciiTheme="majorHAnsi" w:hAnsiTheme="majorHAnsi" w:cstheme="majorHAnsi"/>
          <w:szCs w:val="18"/>
        </w:rPr>
        <w:t>Lesy ochranné se v řešeném území nevyskytují.</w:t>
      </w:r>
    </w:p>
    <w:p w14:paraId="61141569" w14:textId="77777777" w:rsidR="009E33CB" w:rsidRPr="006070EA" w:rsidRDefault="009E33CB" w:rsidP="003A4B1E">
      <w:pPr>
        <w:pStyle w:val="Odstavecseseznamem"/>
        <w:keepNext/>
        <w:numPr>
          <w:ilvl w:val="2"/>
          <w:numId w:val="31"/>
        </w:numPr>
        <w:spacing w:before="160" w:after="120" w:line="240" w:lineRule="auto"/>
        <w:ind w:left="709" w:hanging="709"/>
        <w:contextualSpacing w:val="0"/>
        <w:jc w:val="both"/>
        <w:outlineLvl w:val="2"/>
        <w:rPr>
          <w:rFonts w:asciiTheme="majorHAnsi" w:hAnsiTheme="majorHAnsi" w:cstheme="majorHAnsi"/>
          <w:b/>
        </w:rPr>
      </w:pPr>
      <w:bookmarkStart w:id="470" w:name="_Toc424119886"/>
      <w:bookmarkStart w:id="471" w:name="_Toc204678240"/>
      <w:bookmarkEnd w:id="469"/>
      <w:r w:rsidRPr="006070EA">
        <w:rPr>
          <w:rFonts w:asciiTheme="majorHAnsi" w:hAnsiTheme="majorHAnsi" w:cstheme="majorHAnsi"/>
          <w:b/>
        </w:rPr>
        <w:t>Zábor pozemků určených k plnění funkce lesa</w:t>
      </w:r>
      <w:bookmarkEnd w:id="470"/>
      <w:bookmarkEnd w:id="471"/>
    </w:p>
    <w:p w14:paraId="5A863E53" w14:textId="5E60D7AC" w:rsidR="009E33CB" w:rsidRPr="006070EA" w:rsidRDefault="009E33CB" w:rsidP="003D125E">
      <w:pPr>
        <w:spacing w:after="120" w:line="240" w:lineRule="auto"/>
        <w:ind w:firstLine="709"/>
        <w:rPr>
          <w:rFonts w:asciiTheme="majorHAnsi" w:eastAsiaTheme="minorEastAsia" w:hAnsiTheme="majorHAnsi" w:cstheme="majorHAnsi"/>
          <w:sz w:val="18"/>
        </w:rPr>
      </w:pPr>
      <w:r w:rsidRPr="006070EA">
        <w:rPr>
          <w:rFonts w:asciiTheme="majorHAnsi" w:eastAsiaTheme="minorEastAsia" w:hAnsiTheme="majorHAnsi" w:cstheme="majorHAnsi"/>
          <w:sz w:val="18"/>
        </w:rPr>
        <w:t xml:space="preserve">ÚP </w:t>
      </w:r>
      <w:r w:rsidR="00E12715" w:rsidRPr="006070EA">
        <w:rPr>
          <w:rFonts w:asciiTheme="majorHAnsi" w:eastAsiaTheme="minorEastAsia" w:hAnsiTheme="majorHAnsi" w:cstheme="majorHAnsi"/>
          <w:sz w:val="18"/>
        </w:rPr>
        <w:t xml:space="preserve">Kostomlaty nad Labem </w:t>
      </w:r>
      <w:r w:rsidRPr="006070EA">
        <w:rPr>
          <w:rFonts w:asciiTheme="majorHAnsi" w:eastAsiaTheme="minorEastAsia" w:hAnsiTheme="majorHAnsi" w:cstheme="majorHAnsi"/>
          <w:sz w:val="18"/>
        </w:rPr>
        <w:t>nevymezuje zastavitelné plochy, vyžadující zábor PUPFL.</w:t>
      </w:r>
    </w:p>
    <w:p w14:paraId="443ECBBC" w14:textId="3C1427CD" w:rsidR="00E12715" w:rsidRPr="00A76411" w:rsidRDefault="00E12715" w:rsidP="00897637">
      <w:pPr>
        <w:spacing w:after="120" w:line="240" w:lineRule="auto"/>
        <w:ind w:firstLine="709"/>
        <w:jc w:val="both"/>
        <w:rPr>
          <w:rFonts w:asciiTheme="majorHAnsi" w:eastAsiaTheme="minorEastAsia" w:hAnsiTheme="majorHAnsi" w:cstheme="majorHAnsi"/>
          <w:sz w:val="18"/>
        </w:rPr>
      </w:pPr>
      <w:r w:rsidRPr="00A76411">
        <w:rPr>
          <w:rFonts w:asciiTheme="majorHAnsi" w:eastAsiaTheme="minorEastAsia" w:hAnsiTheme="majorHAnsi" w:cstheme="majorHAnsi"/>
          <w:sz w:val="18"/>
        </w:rPr>
        <w:t>ÚP Kostomlaty nad Labem vymezuje koridor, částečně zasahující na pozemky lesa. V</w:t>
      </w:r>
      <w:r w:rsidR="001D44F9" w:rsidRPr="00A76411">
        <w:rPr>
          <w:rFonts w:asciiTheme="majorHAnsi" w:eastAsiaTheme="minorEastAsia" w:hAnsiTheme="majorHAnsi" w:cstheme="majorHAnsi"/>
          <w:sz w:val="18"/>
        </w:rPr>
        <w:t xml:space="preserve"> tomto </w:t>
      </w:r>
      <w:r w:rsidRPr="00A76411">
        <w:rPr>
          <w:rFonts w:asciiTheme="majorHAnsi" w:eastAsiaTheme="minorEastAsia" w:hAnsiTheme="majorHAnsi" w:cstheme="majorHAnsi"/>
          <w:sz w:val="18"/>
        </w:rPr>
        <w:t>koridor</w:t>
      </w:r>
      <w:r w:rsidR="001D44F9" w:rsidRPr="00A76411">
        <w:rPr>
          <w:rFonts w:asciiTheme="majorHAnsi" w:eastAsiaTheme="minorEastAsia" w:hAnsiTheme="majorHAnsi" w:cstheme="majorHAnsi"/>
          <w:sz w:val="18"/>
        </w:rPr>
        <w:t>u</w:t>
      </w:r>
      <w:r w:rsidRPr="00A76411">
        <w:rPr>
          <w:rFonts w:asciiTheme="majorHAnsi" w:eastAsiaTheme="minorEastAsia" w:hAnsiTheme="majorHAnsi" w:cstheme="majorHAnsi"/>
          <w:sz w:val="18"/>
        </w:rPr>
        <w:t xml:space="preserve"> je možné uvažovat potenciální zábor PUPFL. Jedná se o část koridor</w:t>
      </w:r>
      <w:r w:rsidR="001D44F9" w:rsidRPr="00A76411">
        <w:rPr>
          <w:rFonts w:asciiTheme="majorHAnsi" w:eastAsiaTheme="minorEastAsia" w:hAnsiTheme="majorHAnsi" w:cstheme="majorHAnsi"/>
          <w:sz w:val="18"/>
        </w:rPr>
        <w:t>u</w:t>
      </w:r>
      <w:r w:rsidRPr="00A76411">
        <w:rPr>
          <w:rFonts w:asciiTheme="majorHAnsi" w:eastAsiaTheme="minorEastAsia" w:hAnsiTheme="majorHAnsi" w:cstheme="majorHAnsi"/>
          <w:sz w:val="18"/>
        </w:rPr>
        <w:t xml:space="preserve"> </w:t>
      </w:r>
      <w:r w:rsidR="000E2721" w:rsidRPr="00A76411">
        <w:rPr>
          <w:rFonts w:asciiTheme="majorHAnsi" w:eastAsiaTheme="minorEastAsia" w:hAnsiTheme="majorHAnsi" w:cstheme="majorHAnsi"/>
          <w:sz w:val="18"/>
        </w:rPr>
        <w:t>CNU.</w:t>
      </w:r>
      <w:r w:rsidRPr="00A76411">
        <w:rPr>
          <w:rFonts w:asciiTheme="majorHAnsi" w:eastAsiaTheme="minorEastAsia" w:hAnsiTheme="majorHAnsi" w:cstheme="majorHAnsi"/>
          <w:sz w:val="18"/>
        </w:rPr>
        <w:t xml:space="preserve">KDN1. Dotčení pozemků lesa </w:t>
      </w:r>
      <w:r w:rsidR="001D44F9" w:rsidRPr="00A76411">
        <w:rPr>
          <w:rFonts w:asciiTheme="majorHAnsi" w:eastAsiaTheme="minorEastAsia" w:hAnsiTheme="majorHAnsi" w:cstheme="majorHAnsi"/>
          <w:sz w:val="18"/>
        </w:rPr>
        <w:t>tímto</w:t>
      </w:r>
      <w:r w:rsidRPr="00A76411">
        <w:rPr>
          <w:rFonts w:asciiTheme="majorHAnsi" w:eastAsiaTheme="minorEastAsia" w:hAnsiTheme="majorHAnsi" w:cstheme="majorHAnsi"/>
          <w:sz w:val="18"/>
        </w:rPr>
        <w:t xml:space="preserve"> koridor</w:t>
      </w:r>
      <w:r w:rsidR="001D44F9" w:rsidRPr="00A76411">
        <w:rPr>
          <w:rFonts w:asciiTheme="majorHAnsi" w:eastAsiaTheme="minorEastAsia" w:hAnsiTheme="majorHAnsi" w:cstheme="majorHAnsi"/>
          <w:sz w:val="18"/>
        </w:rPr>
        <w:t>em</w:t>
      </w:r>
      <w:r w:rsidRPr="00A76411">
        <w:rPr>
          <w:rFonts w:asciiTheme="majorHAnsi" w:eastAsiaTheme="minorEastAsia" w:hAnsiTheme="majorHAnsi" w:cstheme="majorHAnsi"/>
          <w:sz w:val="18"/>
        </w:rPr>
        <w:t xml:space="preserve"> uvádí tabulka níže:</w:t>
      </w:r>
    </w:p>
    <w:tbl>
      <w:tblPr>
        <w:tblStyle w:val="Mkatabulky"/>
        <w:tblW w:w="0" w:type="auto"/>
        <w:tblLook w:val="04A0" w:firstRow="1" w:lastRow="0" w:firstColumn="1" w:lastColumn="0" w:noHBand="0" w:noVBand="1"/>
      </w:tblPr>
      <w:tblGrid>
        <w:gridCol w:w="2266"/>
        <w:gridCol w:w="2263"/>
        <w:gridCol w:w="2264"/>
        <w:gridCol w:w="2267"/>
      </w:tblGrid>
      <w:tr w:rsidR="004F3B1E" w:rsidRPr="00A76411" w14:paraId="41925D8B" w14:textId="77777777" w:rsidTr="001D44F9">
        <w:tc>
          <w:tcPr>
            <w:tcW w:w="2266" w:type="dxa"/>
            <w:shd w:val="clear" w:color="auto" w:fill="FBE4D5" w:themeFill="accent2" w:themeFillTint="33"/>
            <w:vAlign w:val="center"/>
          </w:tcPr>
          <w:p w14:paraId="53EA901E" w14:textId="3C8BA089" w:rsidR="00E12715" w:rsidRPr="00A76411" w:rsidRDefault="00E12715" w:rsidP="00897637">
            <w:pPr>
              <w:jc w:val="center"/>
              <w:rPr>
                <w:rFonts w:asciiTheme="majorHAnsi" w:eastAsiaTheme="minorEastAsia" w:hAnsiTheme="majorHAnsi" w:cstheme="majorHAnsi"/>
                <w:b/>
                <w:bCs/>
                <w:sz w:val="18"/>
              </w:rPr>
            </w:pPr>
            <w:r w:rsidRPr="00A76411">
              <w:rPr>
                <w:rFonts w:asciiTheme="majorHAnsi" w:eastAsiaTheme="minorEastAsia" w:hAnsiTheme="majorHAnsi" w:cstheme="majorHAnsi"/>
                <w:b/>
                <w:bCs/>
                <w:sz w:val="18"/>
              </w:rPr>
              <w:lastRenderedPageBreak/>
              <w:t>ozn. koridoru</w:t>
            </w:r>
          </w:p>
        </w:tc>
        <w:tc>
          <w:tcPr>
            <w:tcW w:w="2263" w:type="dxa"/>
            <w:shd w:val="clear" w:color="auto" w:fill="FBE4D5" w:themeFill="accent2" w:themeFillTint="33"/>
            <w:vAlign w:val="center"/>
          </w:tcPr>
          <w:p w14:paraId="68A7BFBD" w14:textId="1255CDAF" w:rsidR="00E12715" w:rsidRPr="00A76411" w:rsidRDefault="00E12715" w:rsidP="00897637">
            <w:pPr>
              <w:jc w:val="center"/>
              <w:rPr>
                <w:rFonts w:asciiTheme="majorHAnsi" w:eastAsiaTheme="minorEastAsia" w:hAnsiTheme="majorHAnsi" w:cstheme="majorHAnsi"/>
                <w:b/>
                <w:bCs/>
                <w:sz w:val="18"/>
              </w:rPr>
            </w:pPr>
            <w:r w:rsidRPr="00A76411">
              <w:rPr>
                <w:rFonts w:asciiTheme="majorHAnsi" w:eastAsiaTheme="minorEastAsia" w:hAnsiTheme="majorHAnsi" w:cstheme="majorHAnsi"/>
                <w:b/>
                <w:bCs/>
                <w:sz w:val="18"/>
              </w:rPr>
              <w:t>výměra koridoru (ha)</w:t>
            </w:r>
          </w:p>
        </w:tc>
        <w:tc>
          <w:tcPr>
            <w:tcW w:w="2264" w:type="dxa"/>
            <w:shd w:val="clear" w:color="auto" w:fill="FBE4D5" w:themeFill="accent2" w:themeFillTint="33"/>
            <w:vAlign w:val="center"/>
          </w:tcPr>
          <w:p w14:paraId="0673A4A2" w14:textId="7358078A" w:rsidR="00E12715" w:rsidRPr="00A76411" w:rsidRDefault="00E12715" w:rsidP="00897637">
            <w:pPr>
              <w:jc w:val="center"/>
              <w:rPr>
                <w:rFonts w:asciiTheme="majorHAnsi" w:eastAsiaTheme="minorEastAsia" w:hAnsiTheme="majorHAnsi" w:cstheme="majorHAnsi"/>
                <w:b/>
                <w:bCs/>
                <w:sz w:val="18"/>
              </w:rPr>
            </w:pPr>
            <w:r w:rsidRPr="00A76411">
              <w:rPr>
                <w:rFonts w:asciiTheme="majorHAnsi" w:eastAsiaTheme="minorEastAsia" w:hAnsiTheme="majorHAnsi" w:cstheme="majorHAnsi"/>
                <w:b/>
                <w:bCs/>
                <w:sz w:val="18"/>
              </w:rPr>
              <w:t>výměra části koridoru na PUPFL (</w:t>
            </w:r>
            <w:r w:rsidR="00897637" w:rsidRPr="00A76411">
              <w:rPr>
                <w:rFonts w:asciiTheme="majorHAnsi" w:eastAsiaTheme="minorEastAsia" w:hAnsiTheme="majorHAnsi" w:cstheme="majorHAnsi"/>
                <w:b/>
                <w:bCs/>
                <w:sz w:val="18"/>
              </w:rPr>
              <w:t>ha)</w:t>
            </w:r>
          </w:p>
        </w:tc>
        <w:tc>
          <w:tcPr>
            <w:tcW w:w="2267" w:type="dxa"/>
            <w:shd w:val="clear" w:color="auto" w:fill="FBE4D5" w:themeFill="accent2" w:themeFillTint="33"/>
            <w:vAlign w:val="center"/>
          </w:tcPr>
          <w:p w14:paraId="1D7F8EB4" w14:textId="18CA118D" w:rsidR="00E12715" w:rsidRPr="00A76411" w:rsidRDefault="00897637" w:rsidP="00897637">
            <w:pPr>
              <w:jc w:val="center"/>
              <w:rPr>
                <w:rFonts w:asciiTheme="majorHAnsi" w:eastAsiaTheme="minorEastAsia" w:hAnsiTheme="majorHAnsi" w:cstheme="majorHAnsi"/>
                <w:b/>
                <w:bCs/>
                <w:sz w:val="18"/>
              </w:rPr>
            </w:pPr>
            <w:r w:rsidRPr="00A76411">
              <w:rPr>
                <w:rFonts w:asciiTheme="majorHAnsi" w:eastAsiaTheme="minorEastAsia" w:hAnsiTheme="majorHAnsi" w:cstheme="majorHAnsi"/>
                <w:b/>
                <w:bCs/>
                <w:sz w:val="18"/>
              </w:rPr>
              <w:t>dotčení kategorie lesa</w:t>
            </w:r>
          </w:p>
        </w:tc>
      </w:tr>
      <w:tr w:rsidR="004F3B1E" w:rsidRPr="00A76411" w14:paraId="79F7EF4B" w14:textId="77777777" w:rsidTr="001D44F9">
        <w:tc>
          <w:tcPr>
            <w:tcW w:w="2266" w:type="dxa"/>
            <w:vAlign w:val="center"/>
          </w:tcPr>
          <w:p w14:paraId="271B6248" w14:textId="34CCF907" w:rsidR="00E12715" w:rsidRPr="00A76411" w:rsidRDefault="000E2721" w:rsidP="00897637">
            <w:pPr>
              <w:jc w:val="center"/>
              <w:rPr>
                <w:rFonts w:asciiTheme="majorHAnsi" w:eastAsiaTheme="minorEastAsia" w:hAnsiTheme="majorHAnsi" w:cstheme="majorHAnsi"/>
                <w:sz w:val="18"/>
              </w:rPr>
            </w:pPr>
            <w:r w:rsidRPr="00A76411">
              <w:rPr>
                <w:rFonts w:asciiTheme="majorHAnsi" w:eastAsiaTheme="minorEastAsia" w:hAnsiTheme="majorHAnsi" w:cstheme="majorHAnsi"/>
                <w:sz w:val="18"/>
              </w:rPr>
              <w:t>CNU.</w:t>
            </w:r>
            <w:r w:rsidR="00897637" w:rsidRPr="00A76411">
              <w:rPr>
                <w:rFonts w:asciiTheme="majorHAnsi" w:eastAsiaTheme="minorEastAsia" w:hAnsiTheme="majorHAnsi" w:cstheme="majorHAnsi"/>
                <w:sz w:val="18"/>
              </w:rPr>
              <w:t>KDN1</w:t>
            </w:r>
          </w:p>
        </w:tc>
        <w:tc>
          <w:tcPr>
            <w:tcW w:w="2263" w:type="dxa"/>
            <w:vAlign w:val="center"/>
          </w:tcPr>
          <w:p w14:paraId="60963441" w14:textId="061B0BD3" w:rsidR="00E12715" w:rsidRPr="00A76411" w:rsidRDefault="00897637" w:rsidP="00897637">
            <w:pPr>
              <w:jc w:val="center"/>
              <w:rPr>
                <w:rFonts w:asciiTheme="majorHAnsi" w:eastAsiaTheme="minorEastAsia" w:hAnsiTheme="majorHAnsi" w:cstheme="majorHAnsi"/>
                <w:sz w:val="18"/>
              </w:rPr>
            </w:pPr>
            <w:r w:rsidRPr="00A76411">
              <w:rPr>
                <w:rFonts w:asciiTheme="majorHAnsi" w:eastAsiaTheme="minorEastAsia" w:hAnsiTheme="majorHAnsi" w:cstheme="majorHAnsi"/>
                <w:sz w:val="18"/>
              </w:rPr>
              <w:t>3,7450</w:t>
            </w:r>
          </w:p>
        </w:tc>
        <w:tc>
          <w:tcPr>
            <w:tcW w:w="2264" w:type="dxa"/>
            <w:vAlign w:val="center"/>
          </w:tcPr>
          <w:p w14:paraId="7D5F821E" w14:textId="7F36F1BD" w:rsidR="00E12715" w:rsidRPr="00A76411" w:rsidRDefault="00897637" w:rsidP="00897637">
            <w:pPr>
              <w:jc w:val="center"/>
              <w:rPr>
                <w:rFonts w:asciiTheme="majorHAnsi" w:eastAsiaTheme="minorEastAsia" w:hAnsiTheme="majorHAnsi" w:cstheme="majorHAnsi"/>
                <w:sz w:val="18"/>
              </w:rPr>
            </w:pPr>
            <w:r w:rsidRPr="00A76411">
              <w:rPr>
                <w:rFonts w:asciiTheme="majorHAnsi" w:eastAsiaTheme="minorEastAsia" w:hAnsiTheme="majorHAnsi" w:cstheme="majorHAnsi"/>
                <w:sz w:val="18"/>
              </w:rPr>
              <w:t>0,0397</w:t>
            </w:r>
          </w:p>
        </w:tc>
        <w:tc>
          <w:tcPr>
            <w:tcW w:w="2267" w:type="dxa"/>
            <w:vAlign w:val="center"/>
          </w:tcPr>
          <w:p w14:paraId="540FB74D" w14:textId="3B497A8E" w:rsidR="00E12715" w:rsidRPr="00A76411" w:rsidRDefault="00897637" w:rsidP="00897637">
            <w:pPr>
              <w:jc w:val="center"/>
              <w:rPr>
                <w:rFonts w:asciiTheme="majorHAnsi" w:eastAsiaTheme="minorEastAsia" w:hAnsiTheme="majorHAnsi" w:cstheme="majorHAnsi"/>
                <w:sz w:val="18"/>
              </w:rPr>
            </w:pPr>
            <w:r w:rsidRPr="00A76411">
              <w:rPr>
                <w:rFonts w:asciiTheme="majorHAnsi" w:eastAsiaTheme="minorEastAsia" w:hAnsiTheme="majorHAnsi" w:cstheme="majorHAnsi"/>
                <w:sz w:val="18"/>
              </w:rPr>
              <w:t>les zvláštního určení</w:t>
            </w:r>
          </w:p>
        </w:tc>
      </w:tr>
      <w:tr w:rsidR="004F3B1E" w:rsidRPr="00A76411" w14:paraId="69022FE6" w14:textId="77777777" w:rsidTr="001D44F9">
        <w:tc>
          <w:tcPr>
            <w:tcW w:w="4529" w:type="dxa"/>
            <w:gridSpan w:val="2"/>
            <w:vAlign w:val="center"/>
          </w:tcPr>
          <w:p w14:paraId="4EA7CE42" w14:textId="6B78BD59" w:rsidR="00897637" w:rsidRPr="00A76411" w:rsidRDefault="00897637" w:rsidP="00897637">
            <w:pPr>
              <w:jc w:val="center"/>
              <w:rPr>
                <w:rFonts w:asciiTheme="majorHAnsi" w:eastAsiaTheme="minorEastAsia" w:hAnsiTheme="majorHAnsi" w:cstheme="majorHAnsi"/>
                <w:b/>
                <w:bCs/>
                <w:sz w:val="18"/>
              </w:rPr>
            </w:pPr>
            <w:r w:rsidRPr="00A76411">
              <w:rPr>
                <w:rFonts w:asciiTheme="majorHAnsi" w:eastAsiaTheme="minorEastAsia" w:hAnsiTheme="majorHAnsi" w:cstheme="majorHAnsi"/>
                <w:b/>
                <w:bCs/>
                <w:sz w:val="18"/>
              </w:rPr>
              <w:t>Část koridorů na PUPFL celkem</w:t>
            </w:r>
          </w:p>
        </w:tc>
        <w:tc>
          <w:tcPr>
            <w:tcW w:w="2264" w:type="dxa"/>
            <w:vAlign w:val="center"/>
          </w:tcPr>
          <w:p w14:paraId="16A0A3A1" w14:textId="0B42112F" w:rsidR="00897637" w:rsidRPr="00A76411" w:rsidRDefault="001D44F9" w:rsidP="00897637">
            <w:pPr>
              <w:jc w:val="center"/>
              <w:rPr>
                <w:rFonts w:asciiTheme="majorHAnsi" w:eastAsiaTheme="minorEastAsia" w:hAnsiTheme="majorHAnsi" w:cstheme="majorHAnsi"/>
                <w:b/>
                <w:bCs/>
                <w:sz w:val="18"/>
              </w:rPr>
            </w:pPr>
            <w:r w:rsidRPr="00A76411">
              <w:rPr>
                <w:rFonts w:asciiTheme="majorHAnsi" w:eastAsiaTheme="minorEastAsia" w:hAnsiTheme="majorHAnsi" w:cstheme="majorHAnsi"/>
                <w:b/>
                <w:bCs/>
                <w:sz w:val="18"/>
              </w:rPr>
              <w:t>0,0397</w:t>
            </w:r>
          </w:p>
        </w:tc>
        <w:tc>
          <w:tcPr>
            <w:tcW w:w="2267" w:type="dxa"/>
            <w:vAlign w:val="center"/>
          </w:tcPr>
          <w:p w14:paraId="2BB20F50" w14:textId="0D5995A9" w:rsidR="00897637" w:rsidRPr="00A76411" w:rsidRDefault="00897637" w:rsidP="00897637">
            <w:pPr>
              <w:jc w:val="center"/>
              <w:rPr>
                <w:rFonts w:asciiTheme="majorHAnsi" w:eastAsiaTheme="minorEastAsia" w:hAnsiTheme="majorHAnsi" w:cstheme="majorHAnsi"/>
                <w:b/>
                <w:bCs/>
                <w:sz w:val="18"/>
              </w:rPr>
            </w:pPr>
            <w:r w:rsidRPr="00A76411">
              <w:rPr>
                <w:rFonts w:asciiTheme="majorHAnsi" w:eastAsiaTheme="minorEastAsia" w:hAnsiTheme="majorHAnsi" w:cstheme="majorHAnsi"/>
                <w:b/>
                <w:bCs/>
                <w:sz w:val="18"/>
              </w:rPr>
              <w:t>-</w:t>
            </w:r>
          </w:p>
        </w:tc>
      </w:tr>
    </w:tbl>
    <w:p w14:paraId="48B8D853" w14:textId="0200206A" w:rsidR="00E12715" w:rsidRPr="006070EA" w:rsidRDefault="004F3B1E" w:rsidP="004F3B1E">
      <w:pPr>
        <w:spacing w:before="120" w:after="120" w:line="240" w:lineRule="auto"/>
        <w:ind w:firstLine="709"/>
        <w:jc w:val="both"/>
        <w:rPr>
          <w:rFonts w:asciiTheme="majorHAnsi" w:eastAsiaTheme="minorEastAsia" w:hAnsiTheme="majorHAnsi" w:cstheme="majorHAnsi"/>
          <w:sz w:val="18"/>
        </w:rPr>
      </w:pPr>
      <w:r w:rsidRPr="00A76411">
        <w:rPr>
          <w:rFonts w:asciiTheme="majorHAnsi" w:eastAsiaTheme="minorEastAsia" w:hAnsiTheme="majorHAnsi" w:cstheme="majorHAnsi"/>
          <w:sz w:val="18"/>
        </w:rPr>
        <w:t>Koridor vymezen</w:t>
      </w:r>
      <w:r w:rsidR="001D44F9" w:rsidRPr="00A76411">
        <w:rPr>
          <w:rFonts w:asciiTheme="majorHAnsi" w:eastAsiaTheme="minorEastAsia" w:hAnsiTheme="majorHAnsi" w:cstheme="majorHAnsi"/>
          <w:sz w:val="18"/>
        </w:rPr>
        <w:t>ý</w:t>
      </w:r>
      <w:r w:rsidRPr="00A76411">
        <w:rPr>
          <w:rFonts w:asciiTheme="majorHAnsi" w:eastAsiaTheme="minorEastAsia" w:hAnsiTheme="majorHAnsi" w:cstheme="majorHAnsi"/>
          <w:sz w:val="18"/>
        </w:rPr>
        <w:t xml:space="preserve"> v </w:t>
      </w:r>
      <w:r w:rsidR="00897637" w:rsidRPr="00A76411">
        <w:rPr>
          <w:rFonts w:asciiTheme="majorHAnsi" w:eastAsiaTheme="minorEastAsia" w:hAnsiTheme="majorHAnsi" w:cstheme="majorHAnsi"/>
          <w:sz w:val="18"/>
        </w:rPr>
        <w:t xml:space="preserve">ÚP Kostomlaty nad Labem </w:t>
      </w:r>
      <w:r w:rsidRPr="00A76411">
        <w:rPr>
          <w:rFonts w:asciiTheme="majorHAnsi" w:eastAsiaTheme="minorEastAsia" w:hAnsiTheme="majorHAnsi" w:cstheme="majorHAnsi"/>
          <w:sz w:val="18"/>
        </w:rPr>
        <w:t>zasahuj</w:t>
      </w:r>
      <w:r w:rsidR="001D44F9" w:rsidRPr="00A76411">
        <w:rPr>
          <w:rFonts w:asciiTheme="majorHAnsi" w:eastAsiaTheme="minorEastAsia" w:hAnsiTheme="majorHAnsi" w:cstheme="majorHAnsi"/>
          <w:sz w:val="18"/>
        </w:rPr>
        <w:t>e</w:t>
      </w:r>
      <w:r w:rsidRPr="00A76411">
        <w:rPr>
          <w:rFonts w:asciiTheme="majorHAnsi" w:eastAsiaTheme="minorEastAsia" w:hAnsiTheme="majorHAnsi" w:cstheme="majorHAnsi"/>
          <w:sz w:val="18"/>
        </w:rPr>
        <w:t xml:space="preserve"> celkem na </w:t>
      </w:r>
      <w:r w:rsidR="001D44F9" w:rsidRPr="00A76411">
        <w:rPr>
          <w:rFonts w:asciiTheme="majorHAnsi" w:eastAsiaTheme="minorEastAsia" w:hAnsiTheme="majorHAnsi" w:cstheme="majorHAnsi"/>
          <w:sz w:val="18"/>
        </w:rPr>
        <w:t xml:space="preserve">0,4 </w:t>
      </w:r>
      <w:r w:rsidR="00897637" w:rsidRPr="00A76411">
        <w:rPr>
          <w:rFonts w:asciiTheme="majorHAnsi" w:eastAsiaTheme="minorEastAsia" w:hAnsiTheme="majorHAnsi" w:cstheme="majorHAnsi"/>
          <w:sz w:val="18"/>
        </w:rPr>
        <w:t xml:space="preserve">ha PUPFL. Reálný zábor </w:t>
      </w:r>
      <w:r w:rsidRPr="00A76411">
        <w:rPr>
          <w:rFonts w:asciiTheme="majorHAnsi" w:eastAsiaTheme="minorEastAsia" w:hAnsiTheme="majorHAnsi" w:cstheme="majorHAnsi"/>
          <w:sz w:val="18"/>
        </w:rPr>
        <w:t xml:space="preserve">PUPFL </w:t>
      </w:r>
      <w:r w:rsidR="00897637" w:rsidRPr="00A76411">
        <w:rPr>
          <w:rFonts w:asciiTheme="majorHAnsi" w:eastAsiaTheme="minorEastAsia" w:hAnsiTheme="majorHAnsi" w:cstheme="majorHAnsi"/>
          <w:sz w:val="18"/>
        </w:rPr>
        <w:t>v</w:t>
      </w:r>
      <w:r w:rsidR="001D44F9" w:rsidRPr="00A76411">
        <w:rPr>
          <w:rFonts w:asciiTheme="majorHAnsi" w:eastAsiaTheme="minorEastAsia" w:hAnsiTheme="majorHAnsi" w:cstheme="majorHAnsi"/>
          <w:sz w:val="18"/>
        </w:rPr>
        <w:t xml:space="preserve"> tomto </w:t>
      </w:r>
      <w:r w:rsidR="00897637" w:rsidRPr="00A76411">
        <w:rPr>
          <w:rFonts w:asciiTheme="majorHAnsi" w:eastAsiaTheme="minorEastAsia" w:hAnsiTheme="majorHAnsi" w:cstheme="majorHAnsi"/>
          <w:sz w:val="18"/>
        </w:rPr>
        <w:t>koridor</w:t>
      </w:r>
      <w:r w:rsidR="001D44F9" w:rsidRPr="00A76411">
        <w:rPr>
          <w:rFonts w:asciiTheme="majorHAnsi" w:eastAsiaTheme="minorEastAsia" w:hAnsiTheme="majorHAnsi" w:cstheme="majorHAnsi"/>
          <w:sz w:val="18"/>
        </w:rPr>
        <w:t>u</w:t>
      </w:r>
      <w:r w:rsidR="00897637" w:rsidRPr="00A76411">
        <w:rPr>
          <w:rFonts w:asciiTheme="majorHAnsi" w:eastAsiaTheme="minorEastAsia" w:hAnsiTheme="majorHAnsi" w:cstheme="majorHAnsi"/>
          <w:sz w:val="18"/>
        </w:rPr>
        <w:t xml:space="preserve"> však </w:t>
      </w:r>
      <w:r w:rsidRPr="00A76411">
        <w:rPr>
          <w:rFonts w:asciiTheme="majorHAnsi" w:eastAsiaTheme="minorEastAsia" w:hAnsiTheme="majorHAnsi" w:cstheme="majorHAnsi"/>
          <w:sz w:val="18"/>
        </w:rPr>
        <w:t>bude minimální a bude se odvíjet od umístění konkrétních staveb a opatření v těchto koridorech.</w:t>
      </w:r>
      <w:r w:rsidRPr="006070EA">
        <w:rPr>
          <w:rFonts w:asciiTheme="majorHAnsi" w:eastAsiaTheme="minorEastAsia" w:hAnsiTheme="majorHAnsi" w:cstheme="majorHAnsi"/>
          <w:sz w:val="18"/>
        </w:rPr>
        <w:t xml:space="preserve"> </w:t>
      </w:r>
    </w:p>
    <w:p w14:paraId="6B11E68B" w14:textId="77777777" w:rsidR="009E33CB" w:rsidRPr="006070EA" w:rsidRDefault="009E33CB" w:rsidP="003A4B1E">
      <w:pPr>
        <w:pStyle w:val="Odstavecseseznamem"/>
        <w:keepNext/>
        <w:numPr>
          <w:ilvl w:val="2"/>
          <w:numId w:val="31"/>
        </w:numPr>
        <w:spacing w:before="160" w:after="120" w:line="240" w:lineRule="auto"/>
        <w:ind w:left="709" w:hanging="709"/>
        <w:contextualSpacing w:val="0"/>
        <w:jc w:val="both"/>
        <w:outlineLvl w:val="2"/>
        <w:rPr>
          <w:rFonts w:asciiTheme="majorHAnsi" w:hAnsiTheme="majorHAnsi" w:cstheme="majorHAnsi"/>
          <w:b/>
        </w:rPr>
      </w:pPr>
      <w:bookmarkStart w:id="472" w:name="_Toc204678241"/>
      <w:r w:rsidRPr="006070EA">
        <w:rPr>
          <w:rFonts w:asciiTheme="majorHAnsi" w:hAnsiTheme="majorHAnsi" w:cstheme="majorHAnsi"/>
          <w:b/>
        </w:rPr>
        <w:t>Návrh zalesnění</w:t>
      </w:r>
      <w:bookmarkEnd w:id="472"/>
    </w:p>
    <w:p w14:paraId="28C64E05" w14:textId="77777777" w:rsidR="009E33CB" w:rsidRPr="006070EA" w:rsidRDefault="009E33CB" w:rsidP="003D125E">
      <w:pPr>
        <w:spacing w:after="120" w:line="240" w:lineRule="auto"/>
        <w:ind w:firstLine="709"/>
        <w:jc w:val="both"/>
        <w:rPr>
          <w:rFonts w:asciiTheme="majorHAnsi" w:eastAsiaTheme="minorEastAsia" w:hAnsiTheme="majorHAnsi" w:cstheme="majorHAnsi"/>
          <w:sz w:val="18"/>
        </w:rPr>
      </w:pPr>
      <w:r w:rsidRPr="006070EA">
        <w:rPr>
          <w:rFonts w:asciiTheme="majorHAnsi" w:eastAsiaTheme="minorEastAsia" w:hAnsiTheme="majorHAnsi" w:cstheme="majorHAnsi"/>
          <w:sz w:val="18"/>
        </w:rPr>
        <w:t>Územním plánem nejsou explicitně vymezeny plochy k zalesnění (plochy lesa). Zalesnění je umožněno v rámci přípustného a podmíněně přípustného využití vybraných typů ploch s rozdílným způsobem využití.</w:t>
      </w:r>
    </w:p>
    <w:p w14:paraId="5AABE277" w14:textId="77777777" w:rsidR="009E33CB" w:rsidRPr="006070EA" w:rsidRDefault="009E33CB" w:rsidP="003A4B1E">
      <w:pPr>
        <w:pStyle w:val="Odstavecseseznamem"/>
        <w:keepNext/>
        <w:numPr>
          <w:ilvl w:val="2"/>
          <w:numId w:val="31"/>
        </w:numPr>
        <w:spacing w:before="160" w:after="120" w:line="240" w:lineRule="auto"/>
        <w:ind w:left="709" w:hanging="709"/>
        <w:contextualSpacing w:val="0"/>
        <w:jc w:val="both"/>
        <w:outlineLvl w:val="2"/>
        <w:rPr>
          <w:rFonts w:asciiTheme="majorHAnsi" w:hAnsiTheme="majorHAnsi" w:cstheme="majorHAnsi"/>
          <w:b/>
        </w:rPr>
      </w:pPr>
      <w:bookmarkStart w:id="473" w:name="_Toc424119887"/>
      <w:bookmarkStart w:id="474" w:name="_Toc204678242"/>
      <w:r w:rsidRPr="006070EA">
        <w:rPr>
          <w:rFonts w:asciiTheme="majorHAnsi" w:hAnsiTheme="majorHAnsi" w:cstheme="majorHAnsi"/>
          <w:b/>
        </w:rPr>
        <w:t>Ochrana lesa</w:t>
      </w:r>
      <w:bookmarkEnd w:id="473"/>
      <w:bookmarkEnd w:id="474"/>
    </w:p>
    <w:p w14:paraId="0F1BE878" w14:textId="622F2523" w:rsidR="009E33CB" w:rsidRPr="006070EA" w:rsidRDefault="009E33CB" w:rsidP="003D125E">
      <w:pPr>
        <w:spacing w:after="60" w:line="240" w:lineRule="auto"/>
        <w:ind w:firstLine="709"/>
        <w:jc w:val="both"/>
        <w:rPr>
          <w:rFonts w:asciiTheme="majorHAnsi" w:eastAsiaTheme="minorEastAsia" w:hAnsiTheme="majorHAnsi" w:cstheme="majorHAnsi"/>
          <w:sz w:val="18"/>
        </w:rPr>
      </w:pPr>
      <w:r w:rsidRPr="006070EA">
        <w:rPr>
          <w:rFonts w:asciiTheme="majorHAnsi" w:eastAsiaTheme="minorEastAsia" w:hAnsiTheme="majorHAnsi" w:cstheme="majorHAnsi"/>
          <w:sz w:val="18"/>
        </w:rPr>
        <w:t>Ochranné pásmo lesa</w:t>
      </w:r>
      <w:r w:rsidR="00530EB9" w:rsidRPr="006070EA">
        <w:rPr>
          <w:rFonts w:asciiTheme="majorHAnsi" w:eastAsiaTheme="minorEastAsia" w:hAnsiTheme="majorHAnsi" w:cstheme="majorHAnsi"/>
          <w:sz w:val="18"/>
        </w:rPr>
        <w:t xml:space="preserve"> (vzdálenost 50 m od okraje lesa)</w:t>
      </w:r>
      <w:r w:rsidRPr="006070EA">
        <w:rPr>
          <w:rFonts w:asciiTheme="majorHAnsi" w:eastAsiaTheme="minorEastAsia" w:hAnsiTheme="majorHAnsi" w:cstheme="majorHAnsi"/>
          <w:sz w:val="18"/>
        </w:rPr>
        <w:t>, které v současné době do řešeného území nezasahuje, činí 50 m. Stavby v tomto pásmu podléhají souhlasu státní správy lesů (dle § 16 odst. 2 zákona č. 289/1995 Sb.). Při posuzování žádostí o vydání těchto souhlasů orgán státní správy lesů dbá především o to, aby nedocházelo k umisťování staveb trvalého charakteru do blízkosti lesních pozemků ve vzdálenosti, která není dostatečná pro minimalizaci rizika negativního střetu se zájmy chráněnými lesním zákonem (omezení dopravní obslužnosti a přístupnosti lesa, nežádoucí interakce mezi stavbou a</w:t>
      </w:r>
      <w:r w:rsidR="00530EB9" w:rsidRPr="006070EA">
        <w:rPr>
          <w:rFonts w:asciiTheme="majorHAnsi" w:eastAsiaTheme="minorEastAsia" w:hAnsiTheme="majorHAnsi" w:cstheme="majorHAnsi"/>
          <w:sz w:val="18"/>
        </w:rPr>
        <w:t> </w:t>
      </w:r>
      <w:r w:rsidRPr="006070EA">
        <w:rPr>
          <w:rFonts w:asciiTheme="majorHAnsi" w:eastAsiaTheme="minorEastAsia" w:hAnsiTheme="majorHAnsi" w:cstheme="majorHAnsi"/>
          <w:sz w:val="18"/>
        </w:rPr>
        <w:t>blízkým lesním porostem apod.). Bezpečná odstupová vzdálenost je obvykle dána výškou lesního porostu v mýtním věku (absolutní výšková bonita), upravená s ohledem na podmínky konkrétní lokality (terénní poměry, stav porostního okraje, stávající zástavba atd.).</w:t>
      </w:r>
    </w:p>
    <w:p w14:paraId="45B0928C" w14:textId="0E3AECD7" w:rsidR="00530EB9" w:rsidRPr="006070EA" w:rsidRDefault="00530EB9" w:rsidP="003D125E">
      <w:pPr>
        <w:spacing w:after="60" w:line="240" w:lineRule="auto"/>
        <w:ind w:firstLine="709"/>
        <w:jc w:val="both"/>
        <w:rPr>
          <w:rFonts w:asciiTheme="majorHAnsi" w:eastAsiaTheme="minorEastAsia" w:hAnsiTheme="majorHAnsi" w:cstheme="majorHAnsi"/>
          <w:sz w:val="18"/>
        </w:rPr>
      </w:pPr>
      <w:r w:rsidRPr="006070EA">
        <w:rPr>
          <w:rFonts w:asciiTheme="majorHAnsi" w:eastAsiaTheme="minorEastAsia" w:hAnsiTheme="majorHAnsi" w:cstheme="majorHAnsi"/>
          <w:sz w:val="18"/>
        </w:rPr>
        <w:t>Do vzdálenosti 50 m od okraje lesa zasahuje vymezená zastavitelná plocha Z</w:t>
      </w:r>
      <w:r w:rsidR="00300530" w:rsidRPr="006070EA">
        <w:rPr>
          <w:rFonts w:asciiTheme="majorHAnsi" w:eastAsiaTheme="minorEastAsia" w:hAnsiTheme="majorHAnsi" w:cstheme="majorHAnsi"/>
          <w:sz w:val="18"/>
        </w:rPr>
        <w:t>.</w:t>
      </w:r>
      <w:r w:rsidRPr="006070EA">
        <w:rPr>
          <w:rFonts w:asciiTheme="majorHAnsi" w:eastAsiaTheme="minorEastAsia" w:hAnsiTheme="majorHAnsi" w:cstheme="majorHAnsi"/>
          <w:sz w:val="18"/>
        </w:rPr>
        <w:t>14 (BI) a plocha změn v krajině K</w:t>
      </w:r>
      <w:r w:rsidR="00300530" w:rsidRPr="006070EA">
        <w:rPr>
          <w:rFonts w:asciiTheme="majorHAnsi" w:eastAsiaTheme="minorEastAsia" w:hAnsiTheme="majorHAnsi" w:cstheme="majorHAnsi"/>
          <w:sz w:val="18"/>
        </w:rPr>
        <w:t>.</w:t>
      </w:r>
      <w:r w:rsidRPr="006070EA">
        <w:rPr>
          <w:rFonts w:asciiTheme="majorHAnsi" w:eastAsiaTheme="minorEastAsia" w:hAnsiTheme="majorHAnsi" w:cstheme="majorHAnsi"/>
          <w:sz w:val="18"/>
        </w:rPr>
        <w:t>01 (</w:t>
      </w:r>
      <w:r w:rsidR="00300530" w:rsidRPr="006070EA">
        <w:rPr>
          <w:rFonts w:asciiTheme="majorHAnsi" w:eastAsiaTheme="minorEastAsia" w:hAnsiTheme="majorHAnsi" w:cstheme="majorHAnsi"/>
          <w:sz w:val="18"/>
        </w:rPr>
        <w:t>MU.zp</w:t>
      </w:r>
      <w:r w:rsidRPr="006070EA">
        <w:rPr>
          <w:rFonts w:asciiTheme="majorHAnsi" w:eastAsiaTheme="minorEastAsia" w:hAnsiTheme="majorHAnsi" w:cstheme="majorHAnsi"/>
          <w:sz w:val="18"/>
        </w:rPr>
        <w:t xml:space="preserve">). </w:t>
      </w:r>
    </w:p>
    <w:p w14:paraId="3CB1F306" w14:textId="77777777" w:rsidR="00EB5EC0" w:rsidRPr="006070EA" w:rsidRDefault="00EB5EC0" w:rsidP="00EF7B4B">
      <w:pPr>
        <w:pStyle w:val="Odstavecseseznamem"/>
        <w:keepNext/>
        <w:keepLines/>
        <w:numPr>
          <w:ilvl w:val="0"/>
          <w:numId w:val="1"/>
        </w:numPr>
        <w:pBdr>
          <w:top w:val="single" w:sz="8" w:space="1" w:color="auto"/>
          <w:left w:val="single" w:sz="8" w:space="4" w:color="auto"/>
          <w:bottom w:val="single" w:sz="8" w:space="1" w:color="auto"/>
          <w:right w:val="single" w:sz="8" w:space="4" w:color="auto"/>
        </w:pBdr>
        <w:shd w:val="clear" w:color="auto" w:fill="F2F2F2" w:themeFill="background1" w:themeFillShade="F2"/>
        <w:spacing w:before="200" w:after="200" w:line="240" w:lineRule="auto"/>
        <w:ind w:left="709" w:hanging="709"/>
        <w:contextualSpacing w:val="0"/>
        <w:jc w:val="both"/>
        <w:outlineLvl w:val="0"/>
        <w:rPr>
          <w:rFonts w:asciiTheme="majorHAnsi" w:hAnsiTheme="majorHAnsi" w:cstheme="majorHAnsi"/>
          <w:b/>
          <w:sz w:val="24"/>
          <w:szCs w:val="28"/>
        </w:rPr>
      </w:pPr>
      <w:bookmarkStart w:id="475" w:name="_Toc424119862"/>
      <w:bookmarkStart w:id="476" w:name="_Toc204678243"/>
      <w:bookmarkEnd w:id="245"/>
      <w:r w:rsidRPr="006070EA">
        <w:rPr>
          <w:rFonts w:asciiTheme="majorHAnsi" w:hAnsiTheme="majorHAnsi" w:cstheme="majorHAnsi"/>
          <w:b/>
          <w:sz w:val="24"/>
          <w:szCs w:val="28"/>
        </w:rPr>
        <w:t>ZPRÁVA O VYHODNOCENÍ VLIVŮ NA UDRŽITELNÝ ROZVOJ ÚZEMÍ OBSAHUJÍCÍ ZÁKLADNÍ INFORMACE O VÝSLEDCÍCH TOHOTO VYHODNOCENÍ VČETNĚ VÝSLEDKŮ VYHODNOCENÍ VLIVŮ NA ŽIVOTNÍ PROSTŘEDÍ</w:t>
      </w:r>
      <w:bookmarkEnd w:id="475"/>
      <w:bookmarkEnd w:id="476"/>
    </w:p>
    <w:p w14:paraId="11C50633" w14:textId="77777777" w:rsidR="00024471" w:rsidRPr="006070EA" w:rsidRDefault="00EB5EC0" w:rsidP="00EF7B4B">
      <w:pPr>
        <w:keepNext/>
        <w:keepLines/>
        <w:spacing w:after="120" w:line="240" w:lineRule="auto"/>
        <w:ind w:firstLine="709"/>
        <w:rPr>
          <w:rFonts w:asciiTheme="majorHAnsi" w:hAnsiTheme="majorHAnsi" w:cstheme="majorHAnsi"/>
          <w:i/>
          <w:sz w:val="18"/>
          <w:szCs w:val="20"/>
        </w:rPr>
      </w:pPr>
      <w:r w:rsidRPr="006070EA">
        <w:rPr>
          <w:rFonts w:asciiTheme="majorHAnsi" w:hAnsiTheme="majorHAnsi" w:cstheme="majorHAnsi"/>
          <w:i/>
          <w:sz w:val="18"/>
          <w:szCs w:val="20"/>
        </w:rPr>
        <w:t>Zákon č. 183/2006 Sb., § 53, odst. 5 b)</w:t>
      </w:r>
    </w:p>
    <w:p w14:paraId="4E8B7DE9" w14:textId="77777777" w:rsidR="00EB5EC0" w:rsidRPr="006070EA" w:rsidRDefault="00EB5EC0" w:rsidP="00EF7B4B">
      <w:pPr>
        <w:keepNext/>
        <w:keepLines/>
        <w:spacing w:after="120" w:line="240" w:lineRule="auto"/>
        <w:ind w:firstLine="709"/>
        <w:rPr>
          <w:rFonts w:asciiTheme="majorHAnsi" w:hAnsiTheme="majorHAnsi" w:cstheme="majorHAnsi"/>
          <w:sz w:val="18"/>
          <w:szCs w:val="20"/>
        </w:rPr>
      </w:pPr>
      <w:r w:rsidRPr="006070EA">
        <w:rPr>
          <w:rFonts w:asciiTheme="majorHAnsi" w:hAnsiTheme="majorHAnsi" w:cstheme="majorHAnsi"/>
          <w:b/>
          <w:i/>
          <w:sz w:val="18"/>
          <w:szCs w:val="20"/>
        </w:rPr>
        <w:t>Zpracovává projektant.</w:t>
      </w:r>
    </w:p>
    <w:p w14:paraId="38146489" w14:textId="076DE307" w:rsidR="00C210D1" w:rsidRPr="006070EA" w:rsidRDefault="00C210D1" w:rsidP="00EF7B4B">
      <w:pPr>
        <w:keepLines/>
        <w:spacing w:line="240" w:lineRule="auto"/>
        <w:jc w:val="both"/>
        <w:rPr>
          <w:rFonts w:asciiTheme="majorHAnsi" w:hAnsiTheme="majorHAnsi" w:cstheme="majorHAnsi"/>
          <w:sz w:val="18"/>
          <w:szCs w:val="20"/>
        </w:rPr>
      </w:pPr>
      <w:r w:rsidRPr="006070EA">
        <w:rPr>
          <w:rFonts w:asciiTheme="majorHAnsi" w:hAnsiTheme="majorHAnsi" w:cstheme="majorHAnsi"/>
          <w:sz w:val="18"/>
          <w:szCs w:val="20"/>
        </w:rPr>
        <w:tab/>
        <w:t>Krajský úřad Středočeského kraje (KÚ SK), oddělení ochrany přírody, ve svém stanovisku č. j. 084126/2021/KUSK (změna stanoviska k návrhu zadání územního plánu Kostomlaty nad Labem vydaného v rámci souhrnného vyjádření č.</w:t>
      </w:r>
      <w:r w:rsidR="00300530" w:rsidRPr="006070EA">
        <w:rPr>
          <w:rFonts w:asciiTheme="majorHAnsi" w:hAnsiTheme="majorHAnsi" w:cstheme="majorHAnsi"/>
          <w:sz w:val="18"/>
          <w:szCs w:val="20"/>
        </w:rPr>
        <w:t> </w:t>
      </w:r>
      <w:r w:rsidRPr="006070EA">
        <w:rPr>
          <w:rFonts w:asciiTheme="majorHAnsi" w:hAnsiTheme="majorHAnsi" w:cstheme="majorHAnsi"/>
          <w:sz w:val="18"/>
          <w:szCs w:val="20"/>
        </w:rPr>
        <w:t>j.</w:t>
      </w:r>
      <w:r w:rsidR="00300530" w:rsidRPr="006070EA">
        <w:rPr>
          <w:rFonts w:asciiTheme="majorHAnsi" w:hAnsiTheme="majorHAnsi" w:cstheme="majorHAnsi"/>
          <w:sz w:val="18"/>
          <w:szCs w:val="20"/>
        </w:rPr>
        <w:t> </w:t>
      </w:r>
      <w:r w:rsidRPr="006070EA">
        <w:rPr>
          <w:rFonts w:asciiTheme="majorHAnsi" w:hAnsiTheme="majorHAnsi" w:cstheme="majorHAnsi"/>
          <w:sz w:val="18"/>
          <w:szCs w:val="20"/>
        </w:rPr>
        <w:t xml:space="preserve">042996/2019/KUSK ze dne 23. 4. 2019) ze dne 16. 8. 2021 k doplněnému zadání ÚP Kostomlaty nad Labem nepožaduje posouzení vlivů územního plánu na životní prostředí, tzv. SEA. KÚ SK ve svém stanovisku ze dne 8. 4. 2019 současně vyloučil možný významný vliv koncepce ÚP Kostomlaty nad Labem na předmět ochrany nebo celistvost evropsky významných lokalit nebo ptačích oblastí (NATURA 2000). </w:t>
      </w:r>
    </w:p>
    <w:p w14:paraId="1105C1DD" w14:textId="41753B8D" w:rsidR="001373C1" w:rsidRPr="006070EA" w:rsidRDefault="001373C1" w:rsidP="005202E3">
      <w:pPr>
        <w:spacing w:before="120" w:after="120" w:line="240" w:lineRule="auto"/>
        <w:ind w:firstLine="709"/>
        <w:jc w:val="both"/>
        <w:rPr>
          <w:rFonts w:asciiTheme="majorHAnsi" w:hAnsiTheme="majorHAnsi" w:cstheme="majorHAnsi"/>
          <w:sz w:val="18"/>
          <w:szCs w:val="20"/>
        </w:rPr>
      </w:pPr>
      <w:r w:rsidRPr="006070EA">
        <w:rPr>
          <w:rFonts w:asciiTheme="majorHAnsi" w:hAnsiTheme="majorHAnsi" w:cstheme="majorHAnsi"/>
          <w:sz w:val="18"/>
          <w:szCs w:val="20"/>
        </w:rPr>
        <w:t xml:space="preserve">Na základě výše uvedeného stanoviska nebylo s ohledem na § 47 odst. 3 zákona č. 183/2006 Sb., o územním plánování a stavebním řádu, ve znění pozdějších předpisů, zpracováno vyhodnocení vlivů územního plánu </w:t>
      </w:r>
      <w:r w:rsidR="00C210D1" w:rsidRPr="006070EA">
        <w:rPr>
          <w:rFonts w:asciiTheme="majorHAnsi" w:hAnsiTheme="majorHAnsi" w:cstheme="majorHAnsi"/>
          <w:sz w:val="18"/>
          <w:szCs w:val="20"/>
        </w:rPr>
        <w:t xml:space="preserve">Kostomlaty nad Labem </w:t>
      </w:r>
      <w:r w:rsidRPr="006070EA">
        <w:rPr>
          <w:rFonts w:asciiTheme="majorHAnsi" w:hAnsiTheme="majorHAnsi" w:cstheme="majorHAnsi"/>
          <w:sz w:val="18"/>
          <w:szCs w:val="20"/>
        </w:rPr>
        <w:t>na udržitelný rozvoj území.</w:t>
      </w:r>
    </w:p>
    <w:p w14:paraId="24EAE94B" w14:textId="77777777" w:rsidR="001373C1" w:rsidRPr="006070EA" w:rsidRDefault="001373C1" w:rsidP="00A214E9">
      <w:pPr>
        <w:pStyle w:val="Odstavecseseznamem"/>
        <w:keepNext/>
        <w:keepLines/>
        <w:numPr>
          <w:ilvl w:val="0"/>
          <w:numId w:val="1"/>
        </w:numPr>
        <w:pBdr>
          <w:top w:val="single" w:sz="8" w:space="1" w:color="auto"/>
          <w:left w:val="single" w:sz="8" w:space="4" w:color="auto"/>
          <w:bottom w:val="single" w:sz="8" w:space="1" w:color="auto"/>
          <w:right w:val="single" w:sz="8" w:space="4" w:color="auto"/>
        </w:pBdr>
        <w:shd w:val="clear" w:color="auto" w:fill="F2F2F2" w:themeFill="background1" w:themeFillShade="F2"/>
        <w:spacing w:before="200" w:after="200" w:line="240" w:lineRule="auto"/>
        <w:ind w:left="709" w:hanging="709"/>
        <w:contextualSpacing w:val="0"/>
        <w:jc w:val="both"/>
        <w:outlineLvl w:val="0"/>
        <w:rPr>
          <w:rFonts w:asciiTheme="majorHAnsi" w:hAnsiTheme="majorHAnsi" w:cstheme="majorHAnsi"/>
          <w:b/>
          <w:sz w:val="24"/>
          <w:szCs w:val="28"/>
        </w:rPr>
      </w:pPr>
      <w:bookmarkStart w:id="477" w:name="_Toc424119863"/>
      <w:bookmarkStart w:id="478" w:name="_Toc204678244"/>
      <w:r w:rsidRPr="006070EA">
        <w:rPr>
          <w:rFonts w:asciiTheme="majorHAnsi" w:hAnsiTheme="majorHAnsi" w:cstheme="majorHAnsi"/>
          <w:b/>
          <w:sz w:val="24"/>
          <w:szCs w:val="28"/>
        </w:rPr>
        <w:t xml:space="preserve">STANOVISKO KRAJSKÉHO </w:t>
      </w:r>
      <w:r w:rsidR="00B20237" w:rsidRPr="006070EA">
        <w:rPr>
          <w:rFonts w:asciiTheme="majorHAnsi" w:hAnsiTheme="majorHAnsi" w:cstheme="majorHAnsi"/>
          <w:b/>
          <w:sz w:val="24"/>
          <w:szCs w:val="28"/>
        </w:rPr>
        <w:t>ÚŘADU PODLE § 50 ODST. 5 STAVEBNÍHO ZÁKONA</w:t>
      </w:r>
      <w:bookmarkEnd w:id="477"/>
      <w:bookmarkEnd w:id="478"/>
    </w:p>
    <w:p w14:paraId="6304A9F3" w14:textId="77777777" w:rsidR="00B20237" w:rsidRPr="006070EA" w:rsidRDefault="00B20237" w:rsidP="00A214E9">
      <w:pPr>
        <w:keepNext/>
        <w:keepLines/>
        <w:spacing w:after="120" w:line="240" w:lineRule="auto"/>
        <w:ind w:firstLine="709"/>
        <w:rPr>
          <w:rFonts w:asciiTheme="majorHAnsi" w:hAnsiTheme="majorHAnsi" w:cstheme="majorHAnsi"/>
          <w:i/>
          <w:sz w:val="18"/>
          <w:szCs w:val="20"/>
        </w:rPr>
      </w:pPr>
      <w:r w:rsidRPr="006070EA">
        <w:rPr>
          <w:rFonts w:asciiTheme="majorHAnsi" w:hAnsiTheme="majorHAnsi" w:cstheme="majorHAnsi"/>
          <w:i/>
          <w:sz w:val="18"/>
          <w:szCs w:val="20"/>
        </w:rPr>
        <w:t>Zákon č. 183/2006 Sb., § 53, odst. 5 c)</w:t>
      </w:r>
    </w:p>
    <w:p w14:paraId="44F8C8F6" w14:textId="77777777" w:rsidR="00B20237" w:rsidRPr="006070EA" w:rsidRDefault="00B20237" w:rsidP="00A214E9">
      <w:pPr>
        <w:keepNext/>
        <w:keepLines/>
        <w:spacing w:after="120" w:line="240" w:lineRule="auto"/>
        <w:ind w:firstLine="709"/>
        <w:rPr>
          <w:rFonts w:asciiTheme="majorHAnsi" w:hAnsiTheme="majorHAnsi" w:cstheme="majorHAnsi"/>
          <w:b/>
          <w:i/>
          <w:sz w:val="18"/>
          <w:szCs w:val="20"/>
        </w:rPr>
      </w:pPr>
      <w:r w:rsidRPr="006070EA">
        <w:rPr>
          <w:rFonts w:asciiTheme="majorHAnsi" w:hAnsiTheme="majorHAnsi" w:cstheme="majorHAnsi"/>
          <w:b/>
          <w:i/>
          <w:sz w:val="18"/>
          <w:szCs w:val="20"/>
        </w:rPr>
        <w:t>Vkládá pořizovatel.</w:t>
      </w:r>
    </w:p>
    <w:p w14:paraId="67C2F0B1" w14:textId="77777777" w:rsidR="00B64E3A" w:rsidRPr="00B64E3A" w:rsidRDefault="00B64E3A" w:rsidP="00B64E3A">
      <w:pPr>
        <w:keepLines/>
        <w:spacing w:line="240" w:lineRule="auto"/>
        <w:ind w:firstLine="709"/>
        <w:jc w:val="both"/>
        <w:rPr>
          <w:rFonts w:asciiTheme="majorHAnsi" w:hAnsiTheme="majorHAnsi" w:cstheme="majorHAnsi"/>
          <w:sz w:val="18"/>
          <w:szCs w:val="20"/>
        </w:rPr>
      </w:pPr>
      <w:r w:rsidRPr="00B64E3A">
        <w:rPr>
          <w:rFonts w:asciiTheme="majorHAnsi" w:hAnsiTheme="majorHAnsi" w:cstheme="majorHAnsi"/>
          <w:sz w:val="18"/>
          <w:szCs w:val="20"/>
        </w:rPr>
        <w:t>Krajský úřad Středočeského kraje, oddělení ochrany přírody ve svém stanovisko ze dne 8.4.2019 vyloučil významný vliv koncepce územního plánu na předmět ochrany nebo celistvost evropsky významných lokalit nebo ptačích oblastí. Vyhodnocení vlivů územního plánu na udržitelný rozvoj území a posouzení vlivů na životní prostředí nebylo zpracováno.</w:t>
      </w:r>
    </w:p>
    <w:p w14:paraId="683446F5" w14:textId="77777777" w:rsidR="00B20237" w:rsidRPr="006070EA" w:rsidRDefault="00B20237" w:rsidP="009E33CB">
      <w:pPr>
        <w:pStyle w:val="Odstavecseseznamem"/>
        <w:keepNext/>
        <w:numPr>
          <w:ilvl w:val="0"/>
          <w:numId w:val="1"/>
        </w:numPr>
        <w:pBdr>
          <w:top w:val="single" w:sz="8" w:space="1" w:color="auto"/>
          <w:left w:val="single" w:sz="8" w:space="4" w:color="auto"/>
          <w:bottom w:val="single" w:sz="8" w:space="1" w:color="auto"/>
          <w:right w:val="single" w:sz="8" w:space="4" w:color="auto"/>
        </w:pBdr>
        <w:shd w:val="clear" w:color="auto" w:fill="F2F2F2" w:themeFill="background1" w:themeFillShade="F2"/>
        <w:spacing w:before="200" w:after="200" w:line="240" w:lineRule="auto"/>
        <w:ind w:left="709" w:hanging="709"/>
        <w:contextualSpacing w:val="0"/>
        <w:jc w:val="both"/>
        <w:outlineLvl w:val="0"/>
        <w:rPr>
          <w:rFonts w:asciiTheme="majorHAnsi" w:hAnsiTheme="majorHAnsi" w:cstheme="majorHAnsi"/>
          <w:b/>
          <w:sz w:val="24"/>
          <w:szCs w:val="28"/>
        </w:rPr>
      </w:pPr>
      <w:bookmarkStart w:id="479" w:name="_Toc424119864"/>
      <w:bookmarkStart w:id="480" w:name="_Toc204678245"/>
      <w:r w:rsidRPr="006070EA">
        <w:rPr>
          <w:rFonts w:asciiTheme="majorHAnsi" w:hAnsiTheme="majorHAnsi" w:cstheme="majorHAnsi"/>
          <w:b/>
          <w:sz w:val="24"/>
          <w:szCs w:val="28"/>
        </w:rPr>
        <w:t>SDĚLENÍ, JAK BYLO STANOVISKO KRAJSKÉHO ÚŘADU PODLE § 50 ODST. 5 STAVEBNÍHO ZÁKONA ZOHLEDNĚNO, S UVEDENÍM ZÁVAŽNÝCH DŮVODŮ, POKUD NĚKTERÉ POŽADAVKY NEBO PODMÍNKY ZOHLEDNĚNY NEBYLY</w:t>
      </w:r>
      <w:bookmarkEnd w:id="479"/>
      <w:bookmarkEnd w:id="480"/>
    </w:p>
    <w:p w14:paraId="38931F5D" w14:textId="77777777" w:rsidR="00E84612" w:rsidRPr="006070EA" w:rsidRDefault="00E84612" w:rsidP="009E33CB">
      <w:pPr>
        <w:spacing w:after="120" w:line="240" w:lineRule="auto"/>
        <w:ind w:firstLine="709"/>
        <w:jc w:val="both"/>
        <w:rPr>
          <w:rFonts w:asciiTheme="majorHAnsi" w:hAnsiTheme="majorHAnsi" w:cstheme="majorHAnsi"/>
          <w:i/>
          <w:sz w:val="18"/>
          <w:szCs w:val="20"/>
        </w:rPr>
      </w:pPr>
      <w:r w:rsidRPr="006070EA">
        <w:rPr>
          <w:rFonts w:asciiTheme="majorHAnsi" w:hAnsiTheme="majorHAnsi" w:cstheme="majorHAnsi"/>
          <w:i/>
          <w:sz w:val="18"/>
          <w:szCs w:val="20"/>
        </w:rPr>
        <w:t>Zákon č. 183/2006 Sb., § 53, odst. 5 c)</w:t>
      </w:r>
    </w:p>
    <w:p w14:paraId="7F26FE02" w14:textId="77777777" w:rsidR="00E84612" w:rsidRPr="006070EA" w:rsidRDefault="00E84612" w:rsidP="009E33CB">
      <w:pPr>
        <w:spacing w:after="120" w:line="240" w:lineRule="auto"/>
        <w:ind w:firstLine="709"/>
        <w:jc w:val="both"/>
        <w:rPr>
          <w:rFonts w:asciiTheme="majorHAnsi" w:hAnsiTheme="majorHAnsi" w:cstheme="majorHAnsi"/>
          <w:b/>
          <w:i/>
          <w:sz w:val="18"/>
          <w:szCs w:val="20"/>
        </w:rPr>
      </w:pPr>
      <w:r w:rsidRPr="006070EA">
        <w:rPr>
          <w:rFonts w:asciiTheme="majorHAnsi" w:hAnsiTheme="majorHAnsi" w:cstheme="majorHAnsi"/>
          <w:b/>
          <w:i/>
          <w:sz w:val="18"/>
          <w:szCs w:val="20"/>
        </w:rPr>
        <w:t>Zpracovává pořizovatel.</w:t>
      </w:r>
    </w:p>
    <w:p w14:paraId="15EBA105" w14:textId="0647FE59" w:rsidR="00E84612" w:rsidRPr="00B64E3A" w:rsidRDefault="00B64E3A" w:rsidP="00300530">
      <w:pPr>
        <w:spacing w:after="120" w:line="240" w:lineRule="auto"/>
        <w:ind w:firstLine="709"/>
        <w:jc w:val="both"/>
        <w:rPr>
          <w:rFonts w:asciiTheme="majorHAnsi" w:hAnsiTheme="majorHAnsi" w:cstheme="majorHAnsi"/>
          <w:sz w:val="18"/>
          <w:szCs w:val="20"/>
        </w:rPr>
      </w:pPr>
      <w:r w:rsidRPr="00B64E3A">
        <w:rPr>
          <w:rFonts w:asciiTheme="majorHAnsi" w:hAnsiTheme="majorHAnsi" w:cstheme="majorHAnsi"/>
          <w:sz w:val="18"/>
          <w:szCs w:val="20"/>
        </w:rPr>
        <w:t>Stanovisko nebylo vydáno, viz kapitola 14.</w:t>
      </w:r>
    </w:p>
    <w:p w14:paraId="0B8CEDE6" w14:textId="77777777" w:rsidR="00FE5538" w:rsidRPr="006070EA" w:rsidRDefault="003716AF" w:rsidP="00487210">
      <w:pPr>
        <w:pStyle w:val="Odstavecseseznamem"/>
        <w:keepNext/>
        <w:numPr>
          <w:ilvl w:val="0"/>
          <w:numId w:val="1"/>
        </w:numPr>
        <w:pBdr>
          <w:top w:val="single" w:sz="8" w:space="1" w:color="auto"/>
          <w:left w:val="single" w:sz="8" w:space="4" w:color="auto"/>
          <w:bottom w:val="single" w:sz="8" w:space="1" w:color="auto"/>
          <w:right w:val="single" w:sz="8" w:space="4" w:color="auto"/>
        </w:pBdr>
        <w:shd w:val="clear" w:color="auto" w:fill="F2F2F2" w:themeFill="background1" w:themeFillShade="F2"/>
        <w:spacing w:before="200" w:after="200" w:line="240" w:lineRule="auto"/>
        <w:ind w:left="709" w:hanging="709"/>
        <w:contextualSpacing w:val="0"/>
        <w:jc w:val="both"/>
        <w:outlineLvl w:val="0"/>
        <w:rPr>
          <w:rFonts w:asciiTheme="majorHAnsi" w:hAnsiTheme="majorHAnsi" w:cstheme="majorHAnsi"/>
          <w:b/>
          <w:sz w:val="24"/>
          <w:szCs w:val="28"/>
        </w:rPr>
      </w:pPr>
      <w:bookmarkStart w:id="481" w:name="_Toc424119888"/>
      <w:bookmarkStart w:id="482" w:name="_Toc204678246"/>
      <w:r w:rsidRPr="006070EA">
        <w:rPr>
          <w:rFonts w:asciiTheme="majorHAnsi" w:hAnsiTheme="majorHAnsi" w:cstheme="majorHAnsi"/>
          <w:b/>
          <w:sz w:val="24"/>
          <w:szCs w:val="28"/>
        </w:rPr>
        <w:lastRenderedPageBreak/>
        <w:t>ROZHODNUTÍ O NÁMITKÁCH A JEJICH ODŮVODNĚNÍ</w:t>
      </w:r>
      <w:bookmarkEnd w:id="481"/>
      <w:bookmarkEnd w:id="482"/>
    </w:p>
    <w:p w14:paraId="388F430F" w14:textId="77777777" w:rsidR="003716AF" w:rsidRPr="006070EA" w:rsidRDefault="003716AF" w:rsidP="00487210">
      <w:pPr>
        <w:keepNext/>
        <w:spacing w:after="120" w:line="240" w:lineRule="auto"/>
        <w:ind w:firstLine="709"/>
        <w:rPr>
          <w:rFonts w:asciiTheme="majorHAnsi" w:hAnsiTheme="majorHAnsi" w:cstheme="majorHAnsi"/>
          <w:i/>
          <w:sz w:val="18"/>
          <w:szCs w:val="20"/>
        </w:rPr>
      </w:pPr>
      <w:r w:rsidRPr="006070EA">
        <w:rPr>
          <w:rFonts w:asciiTheme="majorHAnsi" w:hAnsiTheme="majorHAnsi" w:cstheme="majorHAnsi"/>
          <w:i/>
          <w:sz w:val="18"/>
          <w:szCs w:val="20"/>
        </w:rPr>
        <w:t>Zákon č. 500/2004 Sb., správní řád, § 172</w:t>
      </w:r>
    </w:p>
    <w:p w14:paraId="6B0C5A42" w14:textId="77777777" w:rsidR="003716AF" w:rsidRPr="006070EA" w:rsidRDefault="003716AF" w:rsidP="00487210">
      <w:pPr>
        <w:spacing w:after="120" w:line="240" w:lineRule="auto"/>
        <w:ind w:firstLine="709"/>
        <w:rPr>
          <w:rFonts w:asciiTheme="majorHAnsi" w:hAnsiTheme="majorHAnsi" w:cstheme="majorHAnsi"/>
          <w:b/>
          <w:i/>
          <w:sz w:val="18"/>
          <w:szCs w:val="20"/>
        </w:rPr>
      </w:pPr>
      <w:r w:rsidRPr="006070EA">
        <w:rPr>
          <w:rFonts w:asciiTheme="majorHAnsi" w:hAnsiTheme="majorHAnsi" w:cstheme="majorHAnsi"/>
          <w:b/>
          <w:i/>
          <w:sz w:val="18"/>
          <w:szCs w:val="20"/>
        </w:rPr>
        <w:t>Zpracovává pořizovatel.</w:t>
      </w:r>
    </w:p>
    <w:p w14:paraId="2E10D38B" w14:textId="552D5673" w:rsidR="00CD657D" w:rsidRPr="00CD657D" w:rsidRDefault="00CD657D" w:rsidP="00CD657D">
      <w:pPr>
        <w:spacing w:after="120" w:line="240" w:lineRule="auto"/>
        <w:ind w:firstLine="709"/>
        <w:jc w:val="both"/>
        <w:rPr>
          <w:rFonts w:asciiTheme="majorHAnsi" w:hAnsiTheme="majorHAnsi" w:cstheme="majorHAnsi"/>
          <w:sz w:val="18"/>
          <w:szCs w:val="20"/>
        </w:rPr>
      </w:pPr>
      <w:r w:rsidRPr="00CD657D">
        <w:rPr>
          <w:rFonts w:asciiTheme="majorHAnsi" w:hAnsiTheme="majorHAnsi" w:cstheme="majorHAnsi"/>
          <w:sz w:val="18"/>
          <w:szCs w:val="20"/>
        </w:rPr>
        <w:t>Rozhodnutí o námitkách k ÚP Kostomlaty nad Labem</w:t>
      </w:r>
      <w:r>
        <w:rPr>
          <w:rFonts w:asciiTheme="majorHAnsi" w:hAnsiTheme="majorHAnsi" w:cstheme="majorHAnsi"/>
          <w:sz w:val="18"/>
          <w:szCs w:val="20"/>
        </w:rPr>
        <w:t>:</w:t>
      </w:r>
    </w:p>
    <w:tbl>
      <w:tblPr>
        <w:tblStyle w:val="Mkatabulky"/>
        <w:tblW w:w="9214" w:type="dxa"/>
        <w:tblInd w:w="-5" w:type="dxa"/>
        <w:tblLook w:val="04A0" w:firstRow="1" w:lastRow="0" w:firstColumn="1" w:lastColumn="0" w:noHBand="0" w:noVBand="1"/>
      </w:tblPr>
      <w:tblGrid>
        <w:gridCol w:w="6096"/>
        <w:gridCol w:w="3118"/>
      </w:tblGrid>
      <w:tr w:rsidR="00BC4A0C" w:rsidRPr="00BC4A0C" w14:paraId="337CE75A" w14:textId="77777777" w:rsidTr="00BC4A0C">
        <w:trPr>
          <w:trHeight w:val="498"/>
          <w:tblHeader/>
        </w:trPr>
        <w:tc>
          <w:tcPr>
            <w:tcW w:w="6096" w:type="dxa"/>
          </w:tcPr>
          <w:p w14:paraId="7951DF7B"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t>Číslo / Podatel / námitka / odůvodnění</w:t>
            </w:r>
          </w:p>
        </w:tc>
        <w:tc>
          <w:tcPr>
            <w:tcW w:w="3118" w:type="dxa"/>
          </w:tcPr>
          <w:p w14:paraId="54F76F7D" w14:textId="5E198B2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t>Rozhodnutí:</w:t>
            </w:r>
          </w:p>
        </w:tc>
      </w:tr>
      <w:tr w:rsidR="00BC4A0C" w:rsidRPr="00BC4A0C" w14:paraId="43359285" w14:textId="77777777" w:rsidTr="00CD657D">
        <w:tc>
          <w:tcPr>
            <w:tcW w:w="6096" w:type="dxa"/>
          </w:tcPr>
          <w:p w14:paraId="59C43279" w14:textId="77777777" w:rsidR="00BC4A0C" w:rsidRPr="00BC4A0C" w:rsidRDefault="00BC4A0C" w:rsidP="00BC4A0C">
            <w:pPr>
              <w:pStyle w:val="Odstavecseseznamem"/>
              <w:numPr>
                <w:ilvl w:val="0"/>
                <w:numId w:val="56"/>
              </w:numPr>
              <w:rPr>
                <w:rFonts w:asciiTheme="majorHAnsi" w:hAnsiTheme="majorHAnsi" w:cstheme="majorHAnsi"/>
                <w:b/>
                <w:bCs/>
                <w:sz w:val="18"/>
                <w:szCs w:val="18"/>
              </w:rPr>
            </w:pPr>
            <w:r w:rsidRPr="00BC4A0C">
              <w:rPr>
                <w:rFonts w:asciiTheme="majorHAnsi" w:hAnsiTheme="majorHAnsi" w:cstheme="majorHAnsi"/>
                <w:b/>
                <w:bCs/>
                <w:sz w:val="18"/>
                <w:szCs w:val="18"/>
              </w:rPr>
              <w:t xml:space="preserve">Zajan Zdeněk, Lány 12, Zajanová Miroslava, Zajan Jakub </w:t>
            </w:r>
          </w:p>
          <w:p w14:paraId="56D1306F" w14:textId="77777777" w:rsidR="00BC4A0C" w:rsidRPr="00BC4A0C" w:rsidRDefault="00BC4A0C" w:rsidP="00BC4A0C">
            <w:pPr>
              <w:pStyle w:val="Odstavecseseznamem"/>
              <w:ind w:left="1080"/>
              <w:rPr>
                <w:rFonts w:asciiTheme="majorHAnsi" w:hAnsiTheme="majorHAnsi" w:cstheme="majorHAnsi"/>
                <w:b/>
                <w:bCs/>
                <w:sz w:val="18"/>
                <w:szCs w:val="18"/>
              </w:rPr>
            </w:pPr>
          </w:p>
        </w:tc>
        <w:tc>
          <w:tcPr>
            <w:tcW w:w="3118" w:type="dxa"/>
          </w:tcPr>
          <w:p w14:paraId="323C026B" w14:textId="46016E45" w:rsidR="00BC4A0C" w:rsidRPr="00BC4A0C" w:rsidRDefault="00BC4A0C" w:rsidP="00BC4A0C">
            <w:pPr>
              <w:rPr>
                <w:rFonts w:asciiTheme="majorHAnsi" w:hAnsiTheme="majorHAnsi" w:cstheme="majorHAnsi"/>
                <w:b/>
                <w:bCs/>
                <w:sz w:val="18"/>
                <w:szCs w:val="18"/>
              </w:rPr>
            </w:pPr>
          </w:p>
        </w:tc>
      </w:tr>
      <w:tr w:rsidR="00BC4A0C" w:rsidRPr="00BC4A0C" w14:paraId="0D76EEF9" w14:textId="77777777" w:rsidTr="00CD657D">
        <w:tc>
          <w:tcPr>
            <w:tcW w:w="6096" w:type="dxa"/>
          </w:tcPr>
          <w:p w14:paraId="7942D560"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t xml:space="preserve">Námitka: </w:t>
            </w:r>
          </w:p>
          <w:p w14:paraId="1400B4A5"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Nesouhlasím s rozsahem a umístěním koridoru CNU.KDZ1, konkrétně umístění přeložky III/3317. Přeložka je nevhodně umístěná a snižuje ekonomickou hodnotu mého pozemku. Omezuje také kvalitu pobývání na mém pozemku, rekreaci obyvatel a život zvířat. Omezuje možnost výstavby domu a v případě realizace přeložky zamezuje možnosti výstavby domu.</w:t>
            </w:r>
          </w:p>
        </w:tc>
        <w:tc>
          <w:tcPr>
            <w:tcW w:w="3118" w:type="dxa"/>
          </w:tcPr>
          <w:p w14:paraId="7A1EDFA6"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t>Námitka se zamítá. Koridor CNU.KDZ1 je ponechán.</w:t>
            </w:r>
          </w:p>
        </w:tc>
      </w:tr>
      <w:tr w:rsidR="00BC4A0C" w:rsidRPr="00BC4A0C" w14:paraId="0FFF2C2A" w14:textId="77777777" w:rsidTr="00CD657D">
        <w:tc>
          <w:tcPr>
            <w:tcW w:w="6096" w:type="dxa"/>
          </w:tcPr>
          <w:p w14:paraId="26BA901D"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Odůvodnění námitky:</w:t>
            </w:r>
          </w:p>
        </w:tc>
        <w:tc>
          <w:tcPr>
            <w:tcW w:w="3118" w:type="dxa"/>
          </w:tcPr>
          <w:p w14:paraId="5E377137"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Odůvodnění:</w:t>
            </w:r>
          </w:p>
        </w:tc>
      </w:tr>
      <w:tr w:rsidR="00BC4A0C" w:rsidRPr="00BC4A0C" w14:paraId="567064E2" w14:textId="77777777" w:rsidTr="00CD657D">
        <w:trPr>
          <w:trHeight w:val="1559"/>
        </w:trPr>
        <w:tc>
          <w:tcPr>
            <w:tcW w:w="6096" w:type="dxa"/>
          </w:tcPr>
          <w:p w14:paraId="4B4E1149"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 xml:space="preserve">Součástí návrhu územního plánu je koridor CDU.KDZ1 konkrétně plánovaná přeložka silnice III/3317. Severní varianta přeložky (v návrhu ÚP psána jako přeložka III/3317 – varianta sever) přímo sousedí s mým pozemkem, kde plánuji výstavbu rodinného domu pro syna. Výstavba je plánována desítky let v souladu s platným ÚP. Výstavba silnice na pozemku vedle mého, povede k nárůstu hluku a emisí škodlivých látek do ovzduší, ale i vnikání škodlivých imisí na můj pozemek. To povede ke snížení ekonomické hodnoty pozemku a zhoršení kvality bydlení na mém pozemku. </w:t>
            </w:r>
          </w:p>
          <w:p w14:paraId="0CFA090C"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 xml:space="preserve">Realizace přeložky vyústí ve vyvlastnění části parcely 276/10, což znemožní plány na výstavbu rodinného domu, neboť podle platných předpisů není možné realizovat stavbu rodinného domu na pozemku o rozloze menší než 1000 m2. Jako rodinný kolektiv jsme vlastníky tří sousedících parcel 276/10, 276/11, 276/12 a dvou dalších parcel situovaných naproti těmto. Naše rodina má v úmyslu setrvat na tomto místě a postavit zde domy pro vlastní potřebu. Jsem rodič pěti synů. Hypotetická kompenzace za pozemek v případě vyvlastnění by narušila náš záměr žít jako rodina pohromadě. </w:t>
            </w:r>
          </w:p>
          <w:p w14:paraId="6F39B792"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 xml:space="preserve">Polní cestu využívám pro rekreaci. Realizací přeložky se místo stane pro rekreaci nevhodným. </w:t>
            </w:r>
          </w:p>
          <w:p w14:paraId="14444E4F"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Jsem spoluvlastníkem pozemku č. 276/4, přes který je v návrhu ÚP nakreslen koridor CNU.KDZ1, konkrétně se jedná o plánovanou přeložku silnice III/3317 – varianta sever. Tento pozemek zemědělsky obhospodařujeme společně s rodinou. Je pro nás výhodně strategicky umístěn v blízkosti našeho statku se zemědělskou technikou a našeho bydliště. Realizace přeložky by zbytečně zatěžovala přírodu zastavěnou plochou a znemožnila by nám hospodařit na půdě s třídou ochrany I. tato půda má bodovou výnosnost 91 ze 100 bodů, což je řadí mezi nejcennější půdy, které lze odejmout ze zemědělského půdního fondu pouze výjimečně.</w:t>
            </w:r>
          </w:p>
          <w:p w14:paraId="1B7CE054"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 xml:space="preserve"> Jedním z důvodů návrhu nového ÚP je úprava železniční trati spojená s rušením železničního přejezdu a úpravy dopravní dostupnosti z Kostomlat do přilehlých obcí. Z tohoto hlediska ÚP shledávám jako nedomyšlený a velmi omezující. Rozsah koridoru umožňuje několik variant řešení, které omezují všechny vlastníky pozemků (spolu s mojí osobou) dotčených tímto koridorem. Zjednodušeně řečeno: jak a kdy se o variantě projektu přeložky rozhodne. Do této doby majitelé pozemků nemohou nakládat s pozemky tak, jak jim je umožněno stávajícím územním plánem. V případě přeložek III/3317 varianta sever a střed. Je řešení neekonomické a nepřiměřeně zatěžuje životní prostředí z hlediska přechodu zvěře a zastavěné plochy na půdě s třídou ochrany I. s bodovou výnosností 91 za 100 bodů, neboli nejcennější půdy, které lze odejmout ze ZPF pouze výjimečně. Jako lepší varianta, řešící všechny důvody mé námitky  se nabízí zachovat  pouze variantu jih, spolu s řešením podjezdu do Kostomlat nad Labem v ulici Hronětická a úpravou nájezdu u obce Rozkoš (kde by se nabízelo také více variant řešení). Varianta jih není omezující pro přechod zvěře (nachází se vedle železniční trati) a navazovala by na stávající komunikaci čím by nově zastavěná plocha využila zastavěnou plochu stávající.</w:t>
            </w:r>
          </w:p>
        </w:tc>
        <w:tc>
          <w:tcPr>
            <w:tcW w:w="3118" w:type="dxa"/>
          </w:tcPr>
          <w:p w14:paraId="20B6AFC3"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 xml:space="preserve">Koridor CNU.KDZ1pro přeložku silnice III/3317, související s modernizací železniční trati je vymezen podle podkladů Správy železnic. S. p., konkrétně z technické studie zpracované projekční kanceláří SUDOP, a. s. Koridor je vymezen ve třech variantách, protože v současné době není známo přesné umístění všech dopravních staveb souvisejících se záměrem a je nutné je prověřit a zpřesnit v rámci podrobnějších podkladů a dokumentací. Při realizaci záměru ve výsledné zvolené variantě pozbývají podmínky pro rozhodování v koridoru KDZ1 platnosti. Pozemky, které nebudou pro dopravní záměr využity, bude možné využít pro funkci dle stanovené funkční plochy. </w:t>
            </w:r>
          </w:p>
          <w:p w14:paraId="1B819CFD" w14:textId="77777777" w:rsidR="00BC4A0C" w:rsidRPr="00BC4A0C" w:rsidRDefault="00BC4A0C" w:rsidP="00BC4A0C">
            <w:pPr>
              <w:rPr>
                <w:rFonts w:asciiTheme="majorHAnsi" w:hAnsiTheme="majorHAnsi" w:cstheme="majorHAnsi"/>
                <w:sz w:val="18"/>
                <w:szCs w:val="18"/>
              </w:rPr>
            </w:pPr>
          </w:p>
        </w:tc>
      </w:tr>
      <w:tr w:rsidR="00BC4A0C" w:rsidRPr="00BC4A0C" w14:paraId="05FBCDF3" w14:textId="77777777" w:rsidTr="00CD657D">
        <w:tc>
          <w:tcPr>
            <w:tcW w:w="6096" w:type="dxa"/>
          </w:tcPr>
          <w:p w14:paraId="30DB1D2D" w14:textId="77777777" w:rsidR="00BC4A0C" w:rsidRPr="00BC4A0C" w:rsidRDefault="00BC4A0C" w:rsidP="00BC4A0C">
            <w:pPr>
              <w:pStyle w:val="Odstavecseseznamem"/>
              <w:numPr>
                <w:ilvl w:val="0"/>
                <w:numId w:val="55"/>
              </w:numPr>
              <w:rPr>
                <w:rFonts w:asciiTheme="majorHAnsi" w:hAnsiTheme="majorHAnsi" w:cstheme="majorHAnsi"/>
                <w:b/>
                <w:bCs/>
                <w:sz w:val="18"/>
                <w:szCs w:val="18"/>
              </w:rPr>
            </w:pPr>
            <w:r w:rsidRPr="00BC4A0C">
              <w:rPr>
                <w:rFonts w:asciiTheme="majorHAnsi" w:hAnsiTheme="majorHAnsi" w:cstheme="majorHAnsi"/>
                <w:b/>
                <w:bCs/>
                <w:sz w:val="18"/>
                <w:szCs w:val="18"/>
              </w:rPr>
              <w:lastRenderedPageBreak/>
              <w:t>Hladík Jiří, Lány 62</w:t>
            </w:r>
          </w:p>
          <w:p w14:paraId="60FB107A" w14:textId="77777777" w:rsidR="00BC4A0C" w:rsidRPr="00BC4A0C" w:rsidRDefault="00BC4A0C" w:rsidP="00BC4A0C">
            <w:pPr>
              <w:rPr>
                <w:rFonts w:asciiTheme="majorHAnsi" w:hAnsiTheme="majorHAnsi" w:cstheme="majorHAnsi"/>
                <w:sz w:val="18"/>
                <w:szCs w:val="18"/>
              </w:rPr>
            </w:pPr>
          </w:p>
        </w:tc>
        <w:tc>
          <w:tcPr>
            <w:tcW w:w="3118" w:type="dxa"/>
          </w:tcPr>
          <w:p w14:paraId="1AB3FCF4"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b/>
                <w:bCs/>
                <w:sz w:val="18"/>
                <w:szCs w:val="18"/>
              </w:rPr>
              <w:t>Rozhodnutí:</w:t>
            </w:r>
          </w:p>
        </w:tc>
      </w:tr>
      <w:tr w:rsidR="00BC4A0C" w:rsidRPr="00BC4A0C" w14:paraId="3FC4A64E" w14:textId="77777777" w:rsidTr="00CD657D">
        <w:tc>
          <w:tcPr>
            <w:tcW w:w="6096" w:type="dxa"/>
          </w:tcPr>
          <w:p w14:paraId="28188453"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b/>
                <w:bCs/>
                <w:sz w:val="18"/>
                <w:szCs w:val="18"/>
              </w:rPr>
              <w:t>Námitka:</w:t>
            </w:r>
            <w:r w:rsidRPr="00BC4A0C">
              <w:rPr>
                <w:rFonts w:asciiTheme="majorHAnsi" w:hAnsiTheme="majorHAnsi" w:cstheme="majorHAnsi"/>
                <w:sz w:val="18"/>
                <w:szCs w:val="18"/>
              </w:rPr>
              <w:t xml:space="preserve"> shodná s námitkou č. I.</w:t>
            </w:r>
          </w:p>
        </w:tc>
        <w:tc>
          <w:tcPr>
            <w:tcW w:w="3118" w:type="dxa"/>
          </w:tcPr>
          <w:p w14:paraId="4F991B99"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t>Námitka se zamítá</w:t>
            </w:r>
          </w:p>
        </w:tc>
      </w:tr>
      <w:tr w:rsidR="00BC4A0C" w:rsidRPr="00BC4A0C" w14:paraId="70BEF6C5" w14:textId="77777777" w:rsidTr="00CD657D">
        <w:tc>
          <w:tcPr>
            <w:tcW w:w="6096" w:type="dxa"/>
          </w:tcPr>
          <w:p w14:paraId="762CE37C"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Odůvodnění námitky shodné s nám. č. I., kromě odstavců 2 a 3:</w:t>
            </w:r>
          </w:p>
        </w:tc>
        <w:tc>
          <w:tcPr>
            <w:tcW w:w="3118" w:type="dxa"/>
          </w:tcPr>
          <w:p w14:paraId="3320147E"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Odůvodnění: viz námitka č. I.</w:t>
            </w:r>
          </w:p>
        </w:tc>
      </w:tr>
      <w:tr w:rsidR="00BC4A0C" w:rsidRPr="00BC4A0C" w14:paraId="3C790E65" w14:textId="77777777" w:rsidTr="00CD657D">
        <w:tc>
          <w:tcPr>
            <w:tcW w:w="6096" w:type="dxa"/>
          </w:tcPr>
          <w:p w14:paraId="690DCAF7"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Jsem také spoluvlastníkem pozemků s parc. č. 378, 379, 275/6 přes které je přeložka plánována. Se spoluvlastníky poskytujeme možnost využívat polní cestu pro rekreaci, například pro procházky za Hronětický náhon a do Rozkoše. Realizací přeložky se místo stane pro rekreaci nevhodným.</w:t>
            </w:r>
          </w:p>
          <w:p w14:paraId="5130590B"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Realizace přeložky povede k odstranění vegetačního pásu, který se táhne od západu k východu podél polní cesty (také pozemky s parcelním číslem: 378, 379, 275/6). tento pás tvořený stromy a keři poskytuje úkryt pro zvířata a podporuje biodiverzitu. Na těchto pozemcích mám umístěných 6 úlů pro včely. Vzhledem k umístění na jih, v případě přeložky by taková varianta vedle mého pozemku nešla realizovat a budu nucen se včelařením skončit. Přeložka také vytvoří překážku, ztěžující pohyb mezi poli. V případě varianty jih by překážkou nebyla.</w:t>
            </w:r>
          </w:p>
          <w:p w14:paraId="46D4E9BD" w14:textId="77777777" w:rsidR="00BC4A0C" w:rsidRPr="00BC4A0C" w:rsidRDefault="00BC4A0C" w:rsidP="00BC4A0C">
            <w:pPr>
              <w:rPr>
                <w:rFonts w:asciiTheme="majorHAnsi" w:hAnsiTheme="majorHAnsi" w:cstheme="majorHAnsi"/>
                <w:sz w:val="18"/>
                <w:szCs w:val="18"/>
              </w:rPr>
            </w:pPr>
          </w:p>
        </w:tc>
        <w:tc>
          <w:tcPr>
            <w:tcW w:w="3118" w:type="dxa"/>
          </w:tcPr>
          <w:p w14:paraId="7117E354" w14:textId="77777777" w:rsidR="00BC4A0C" w:rsidRPr="00BC4A0C" w:rsidRDefault="00BC4A0C" w:rsidP="00BC4A0C">
            <w:pPr>
              <w:rPr>
                <w:rFonts w:asciiTheme="majorHAnsi" w:hAnsiTheme="majorHAnsi" w:cstheme="majorHAnsi"/>
                <w:sz w:val="18"/>
                <w:szCs w:val="18"/>
              </w:rPr>
            </w:pPr>
          </w:p>
        </w:tc>
      </w:tr>
      <w:tr w:rsidR="00BC4A0C" w:rsidRPr="00BC4A0C" w14:paraId="42551C3D" w14:textId="77777777" w:rsidTr="00CD657D">
        <w:tc>
          <w:tcPr>
            <w:tcW w:w="6096" w:type="dxa"/>
          </w:tcPr>
          <w:p w14:paraId="0B29FC5B" w14:textId="77777777" w:rsidR="00BC4A0C" w:rsidRPr="00BC4A0C" w:rsidRDefault="00BC4A0C" w:rsidP="00BC4A0C">
            <w:pPr>
              <w:pStyle w:val="Odstavecseseznamem"/>
              <w:numPr>
                <w:ilvl w:val="0"/>
                <w:numId w:val="55"/>
              </w:numPr>
              <w:rPr>
                <w:rFonts w:asciiTheme="majorHAnsi" w:hAnsiTheme="majorHAnsi" w:cstheme="majorHAnsi"/>
                <w:b/>
                <w:bCs/>
                <w:sz w:val="18"/>
                <w:szCs w:val="18"/>
              </w:rPr>
            </w:pPr>
            <w:r w:rsidRPr="00BC4A0C">
              <w:rPr>
                <w:rFonts w:asciiTheme="majorHAnsi" w:hAnsiTheme="majorHAnsi" w:cstheme="majorHAnsi"/>
                <w:b/>
                <w:bCs/>
                <w:sz w:val="18"/>
                <w:szCs w:val="18"/>
              </w:rPr>
              <w:t>Zajan Jakub, Zajanová Miroslava, Zajan Zdeněk, Hladík Jiří</w:t>
            </w:r>
          </w:p>
          <w:p w14:paraId="64C2E35B" w14:textId="77777777" w:rsidR="00BC4A0C" w:rsidRPr="00BC4A0C" w:rsidRDefault="00BC4A0C" w:rsidP="00BC4A0C">
            <w:pPr>
              <w:rPr>
                <w:rFonts w:asciiTheme="majorHAnsi" w:hAnsiTheme="majorHAnsi" w:cstheme="majorHAnsi"/>
                <w:sz w:val="18"/>
                <w:szCs w:val="18"/>
              </w:rPr>
            </w:pPr>
          </w:p>
        </w:tc>
        <w:tc>
          <w:tcPr>
            <w:tcW w:w="3118" w:type="dxa"/>
          </w:tcPr>
          <w:p w14:paraId="23991205" w14:textId="77777777" w:rsidR="00BC4A0C" w:rsidRPr="00BC4A0C" w:rsidRDefault="00BC4A0C" w:rsidP="00BC4A0C">
            <w:pPr>
              <w:rPr>
                <w:rFonts w:asciiTheme="majorHAnsi" w:hAnsiTheme="majorHAnsi" w:cstheme="majorHAnsi"/>
                <w:sz w:val="18"/>
                <w:szCs w:val="18"/>
              </w:rPr>
            </w:pPr>
          </w:p>
        </w:tc>
      </w:tr>
      <w:tr w:rsidR="00BC4A0C" w:rsidRPr="00BC4A0C" w14:paraId="2B284E25" w14:textId="77777777" w:rsidTr="00CD657D">
        <w:tc>
          <w:tcPr>
            <w:tcW w:w="6096" w:type="dxa"/>
          </w:tcPr>
          <w:p w14:paraId="56292281"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t>Námitka:</w:t>
            </w:r>
          </w:p>
          <w:p w14:paraId="031DA09C"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 xml:space="preserve"> Návrh územního plánu nedodržuje aktuálně platné Zásady územního rozvoje Středočeského kraje a dostatečně neřeší dopravní obslužnost. Zákon č. 283/2021 Sb. mluví o Zásadách územního rozvoje kraje jako o nadřazené dokumentaci územního plánu obce. V Zásadách územního rozvoje Středočeského kraje (úplné znění po vydání 1., 2., 3., 6., 7., 10. a 11.aktualizace) s pořadovým číslem poslední aktualizace 11. s datem nabytí účinnosti 4.1.2024 (dále jako ZÚR) se v článku 128 bod c) píše:</w:t>
            </w:r>
          </w:p>
          <w:p w14:paraId="22A729CF"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 xml:space="preserve">„koridor D322 tratí č. 231 a č. 072 Kolín – Lysá nad Labem – Liběchov (Děčín), modernizace se vymezuje v šířce  60 m, s výjimkou: </w:t>
            </w:r>
          </w:p>
          <w:p w14:paraId="01FBB954"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Přeložky v úseku Nymburk – Kamenné Zboží, která se vymezuje v šířce 200 m</w:t>
            </w:r>
          </w:p>
          <w:p w14:paraId="31018ECD"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Libické spojky, která se vymezuje v proměnné šířce 60 – 180 m“</w:t>
            </w:r>
          </w:p>
          <w:p w14:paraId="23D02CA9"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Pro daný úsek řešený v návrhu územního plánu pro obec Kostomlaty nad Labem se tedy podle ZÚR vymezuje koridor 60 m. V daném návrhu je koridor vymezen ve větší šířce, než je psáno v ZÚR.</w:t>
            </w:r>
          </w:p>
          <w:p w14:paraId="044E263E"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Současný návrh přeložek, nadjezdů, podjezdů a dalších řešení týkajících se koridoru CNU.KDZ1 není dostatečně prověřený a nepříliš funkční. Proto v zájmu mého i ostatních občanů Kostomlat nad Labem a přilehlých obcí, namítám proti zpracování veřejně projednávaného návrhu územního plánu pro obec Kostomlaty nad Labem. Navrhuje podrobnější zpracování zmíněné problematiky přeložek, nadjezdů, podjezdů a dalších řešení týkajících se koridoru CNU.KDZ1 s větším zaměřením na zájmy občanů. Jako příklad k řešení se nabízí varianta podjezdu pro osobní vozy z obce Lány do obce Kostomlaty nad Labem do ulice Hronětická (viz Prostorové ověření možnosti podjezdu zaslané jako emailová příloha)</w:t>
            </w:r>
          </w:p>
          <w:p w14:paraId="451DB9A4" w14:textId="77777777" w:rsidR="00BC4A0C" w:rsidRPr="00BC4A0C" w:rsidRDefault="00BC4A0C" w:rsidP="00BC4A0C">
            <w:pPr>
              <w:pStyle w:val="Odstavecseseznamem"/>
              <w:numPr>
                <w:ilvl w:val="0"/>
                <w:numId w:val="51"/>
              </w:numPr>
              <w:rPr>
                <w:rFonts w:asciiTheme="majorHAnsi" w:hAnsiTheme="majorHAnsi" w:cstheme="majorHAnsi"/>
                <w:sz w:val="18"/>
                <w:szCs w:val="18"/>
              </w:rPr>
            </w:pPr>
            <w:r w:rsidRPr="00BC4A0C">
              <w:rPr>
                <w:rFonts w:asciiTheme="majorHAnsi" w:hAnsiTheme="majorHAnsi" w:cstheme="majorHAnsi"/>
                <w:sz w:val="18"/>
                <w:szCs w:val="18"/>
              </w:rPr>
              <w:t xml:space="preserve">Příloha č. 1 </w:t>
            </w:r>
          </w:p>
          <w:p w14:paraId="2067AD5C" w14:textId="77777777" w:rsidR="00BC4A0C" w:rsidRPr="00BC4A0C" w:rsidRDefault="00BC4A0C" w:rsidP="00BC4A0C">
            <w:pPr>
              <w:rPr>
                <w:rFonts w:asciiTheme="majorHAnsi" w:hAnsiTheme="majorHAnsi" w:cstheme="majorHAnsi"/>
                <w:sz w:val="18"/>
                <w:szCs w:val="18"/>
              </w:rPr>
            </w:pPr>
          </w:p>
        </w:tc>
        <w:tc>
          <w:tcPr>
            <w:tcW w:w="3118" w:type="dxa"/>
          </w:tcPr>
          <w:p w14:paraId="447261A9"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t xml:space="preserve">Rozhodnutí: </w:t>
            </w:r>
          </w:p>
          <w:p w14:paraId="731975EB"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t xml:space="preserve">Námitce se částečně vyhovuje, </w:t>
            </w:r>
            <w:bookmarkStart w:id="483" w:name="_Hlk175903331"/>
            <w:r w:rsidRPr="00BC4A0C">
              <w:rPr>
                <w:rFonts w:asciiTheme="majorHAnsi" w:hAnsiTheme="majorHAnsi" w:cstheme="majorHAnsi"/>
                <w:b/>
                <w:bCs/>
                <w:sz w:val="18"/>
                <w:szCs w:val="18"/>
              </w:rPr>
              <w:t xml:space="preserve">koridor CNU KDZ1 bude upraven v souladu s aktualizací ZÚR Středočeského kraje na šíři 60 m, současně bude vymezen nový železniční koridor dle požadavků Správy železnice, s. p. </w:t>
            </w:r>
            <w:bookmarkEnd w:id="483"/>
          </w:p>
          <w:p w14:paraId="32CDBD4C"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t>Další uvedené požadavky – podrobné zpracování přeložek, podjezdů, nadjezdů apod. - se zamítají.</w:t>
            </w:r>
          </w:p>
          <w:p w14:paraId="19E3C914" w14:textId="77777777" w:rsidR="00BC4A0C" w:rsidRPr="00BC4A0C" w:rsidRDefault="00BC4A0C" w:rsidP="00BC4A0C">
            <w:pPr>
              <w:rPr>
                <w:rFonts w:asciiTheme="majorHAnsi" w:hAnsiTheme="majorHAnsi" w:cstheme="majorHAnsi"/>
                <w:sz w:val="18"/>
                <w:szCs w:val="18"/>
                <w:u w:val="single"/>
              </w:rPr>
            </w:pPr>
            <w:r w:rsidRPr="00BC4A0C">
              <w:rPr>
                <w:rFonts w:asciiTheme="majorHAnsi" w:hAnsiTheme="majorHAnsi" w:cstheme="majorHAnsi"/>
                <w:sz w:val="18"/>
                <w:szCs w:val="18"/>
                <w:u w:val="single"/>
              </w:rPr>
              <w:t>Odůvodnění:</w:t>
            </w:r>
          </w:p>
          <w:p w14:paraId="52A5CE25"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 xml:space="preserve">Aktualizací č. 11 ZÚR Středočeského kraje, která nabyla účinnosti v lednu 2024, byl dopravní koridor D322 pro modernizaci železniční trati v úseku Kamenné Zboží – Lysá nad Labem vymezen v šířce 60 m. </w:t>
            </w:r>
            <w:bookmarkStart w:id="484" w:name="_Hlk175903429"/>
            <w:r w:rsidRPr="00BC4A0C">
              <w:rPr>
                <w:rFonts w:asciiTheme="majorHAnsi" w:hAnsiTheme="majorHAnsi" w:cstheme="majorHAnsi"/>
                <w:sz w:val="18"/>
                <w:szCs w:val="18"/>
              </w:rPr>
              <w:t>Koridor KDZ1 bude v návrhu územního plánu upraven na šířku 60 m dle ZÚR. Současně je však třeba zohlednit požadavky Správy železnic, s. p., a zachovat dostatečné plochy územní rezervy pro řešení staveb a opatření souvisejících s modernizací trati, např. křížení s vodními toky, s místními komunikacemi, lávek nebo podchodů pro pěší atd. Pro zajištění možnosti realizace těchto staveb a opatření bude vymezen nový dopravní koridor, podle podkladové technické studie SUDOP, a.s.</w:t>
            </w:r>
          </w:p>
          <w:bookmarkEnd w:id="484"/>
          <w:p w14:paraId="3DE23F07"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 xml:space="preserve">Konkrétní návrh podchodů, podjezdů nebo nadjezdů, souvisejících s modernizací železniční trati není možné řešit v návrhu územního plánu. Návrh těchto staveb je mimo podrobnost územního plánu. Obsah územního plánu je stanoven ve vyhlášce č. 500/2006 Sb., o územně analytických podkladech, územně plánovací dokumentaci a způsobu evidence územně plánovací činnosti, ve znění pozdějších předpisů, v příloze č. 7. Zde </w:t>
            </w:r>
            <w:r w:rsidRPr="00BC4A0C">
              <w:rPr>
                <w:rFonts w:asciiTheme="majorHAnsi" w:hAnsiTheme="majorHAnsi" w:cstheme="majorHAnsi"/>
                <w:sz w:val="18"/>
                <w:szCs w:val="18"/>
              </w:rPr>
              <w:lastRenderedPageBreak/>
              <w:t>je uvedeno: odst. (1) písm. d) „</w:t>
            </w:r>
            <w:r w:rsidRPr="00BC4A0C">
              <w:rPr>
                <w:rFonts w:asciiTheme="majorHAnsi" w:hAnsiTheme="majorHAnsi" w:cstheme="majorHAnsi"/>
                <w:i/>
                <w:iCs/>
                <w:sz w:val="18"/>
                <w:szCs w:val="18"/>
              </w:rPr>
              <w:t>Textová část územního plánu obsahuje koncepci veřejné infrastruktury, včetně podmínek pro její umísťování, vymezení ploch a koridorů pro veřejnou infrastrukturu, včetně stanovení podmínek pro jejich využití</w:t>
            </w:r>
            <w:r w:rsidRPr="00BC4A0C">
              <w:rPr>
                <w:rFonts w:asciiTheme="majorHAnsi" w:hAnsiTheme="majorHAnsi" w:cstheme="majorHAnsi"/>
                <w:sz w:val="18"/>
                <w:szCs w:val="18"/>
              </w:rPr>
              <w:t>“. Rovněž v požadavcích na obsah grafické části územního plánu , odst. (4) písm. b) stejné vyhlášky je uvedeno: „</w:t>
            </w:r>
            <w:r w:rsidRPr="00BC4A0C">
              <w:rPr>
                <w:rFonts w:asciiTheme="majorHAnsi" w:hAnsiTheme="majorHAnsi" w:cstheme="majorHAnsi"/>
                <w:i/>
                <w:iCs/>
                <w:sz w:val="18"/>
                <w:szCs w:val="18"/>
              </w:rPr>
              <w:t>hlavní výkres obsahující urbanistickou koncepci, vymezení ploch s rozdílným způsobem využití, zastavěného území, zastavitelných ploch a ploch přestavby, dále koncepci uspořádání krajiny včetně ploch změn v krajině a územního systému ekologické stability, koncepci veřejné infrastruktury včetně vymezení ploch a koridorů  pro dopravní a technickou infrastrukturu, ploch a koridorů pro územní rezervy,</w:t>
            </w:r>
            <w:r w:rsidRPr="00BC4A0C">
              <w:rPr>
                <w:rFonts w:asciiTheme="majorHAnsi" w:hAnsiTheme="majorHAnsi" w:cstheme="majorHAnsi"/>
                <w:sz w:val="18"/>
                <w:szCs w:val="18"/>
              </w:rPr>
              <w:t xml:space="preserve"> …“</w:t>
            </w:r>
          </w:p>
          <w:p w14:paraId="2B98C45D" w14:textId="77777777" w:rsidR="00BC4A0C" w:rsidRPr="00BC4A0C" w:rsidRDefault="00BC4A0C" w:rsidP="00BC4A0C">
            <w:pPr>
              <w:rPr>
                <w:rFonts w:asciiTheme="majorHAnsi" w:hAnsiTheme="majorHAnsi" w:cstheme="majorHAnsi"/>
                <w:sz w:val="18"/>
                <w:szCs w:val="18"/>
                <w:highlight w:val="yellow"/>
              </w:rPr>
            </w:pPr>
            <w:r w:rsidRPr="00BC4A0C">
              <w:rPr>
                <w:rFonts w:asciiTheme="majorHAnsi" w:hAnsiTheme="majorHAnsi" w:cstheme="majorHAnsi"/>
                <w:sz w:val="18"/>
                <w:szCs w:val="18"/>
              </w:rPr>
              <w:t>Smyslem územního plánu je tedy stanovovat základní koncepce uspořádání území a umožňovat potřebné změny a záměry, nikoli tyto záměry projektovat. Zpracování podrobnější dokumentace těchto staveb musí provádět projekční společnost na základě smlouvy s investorem.</w:t>
            </w:r>
          </w:p>
          <w:p w14:paraId="1EB1EEF1" w14:textId="77777777" w:rsidR="00BC4A0C" w:rsidRPr="00BC4A0C" w:rsidRDefault="00BC4A0C" w:rsidP="00BC4A0C">
            <w:pPr>
              <w:rPr>
                <w:rFonts w:asciiTheme="majorHAnsi" w:hAnsiTheme="majorHAnsi" w:cstheme="majorHAnsi"/>
                <w:sz w:val="18"/>
                <w:szCs w:val="18"/>
                <w:highlight w:val="yellow"/>
              </w:rPr>
            </w:pPr>
          </w:p>
        </w:tc>
      </w:tr>
      <w:tr w:rsidR="00BC4A0C" w:rsidRPr="00BC4A0C" w14:paraId="12DA0879" w14:textId="77777777" w:rsidTr="00CD657D">
        <w:tc>
          <w:tcPr>
            <w:tcW w:w="6096" w:type="dxa"/>
          </w:tcPr>
          <w:p w14:paraId="444ABCEE" w14:textId="77777777" w:rsidR="00BC4A0C" w:rsidRPr="00BC4A0C" w:rsidRDefault="00BC4A0C" w:rsidP="00BC4A0C">
            <w:pPr>
              <w:pStyle w:val="Odstavecseseznamem"/>
              <w:numPr>
                <w:ilvl w:val="0"/>
                <w:numId w:val="55"/>
              </w:numPr>
              <w:rPr>
                <w:rFonts w:asciiTheme="majorHAnsi" w:hAnsiTheme="majorHAnsi" w:cstheme="majorHAnsi"/>
                <w:b/>
                <w:bCs/>
                <w:sz w:val="18"/>
                <w:szCs w:val="18"/>
              </w:rPr>
            </w:pPr>
            <w:r w:rsidRPr="00BC4A0C">
              <w:rPr>
                <w:rFonts w:asciiTheme="majorHAnsi" w:hAnsiTheme="majorHAnsi" w:cstheme="majorHAnsi"/>
                <w:b/>
                <w:bCs/>
                <w:sz w:val="18"/>
                <w:szCs w:val="18"/>
              </w:rPr>
              <w:lastRenderedPageBreak/>
              <w:t>Hladík Jiří, Zajanová Miroslava, Zajan Zdeněk, Zajan Jakub</w:t>
            </w:r>
          </w:p>
          <w:p w14:paraId="023EC7FD" w14:textId="77777777" w:rsidR="00BC4A0C" w:rsidRPr="00BC4A0C" w:rsidRDefault="00BC4A0C" w:rsidP="00BC4A0C">
            <w:pPr>
              <w:rPr>
                <w:rFonts w:asciiTheme="majorHAnsi" w:hAnsiTheme="majorHAnsi" w:cstheme="majorHAnsi"/>
                <w:b/>
                <w:bCs/>
                <w:sz w:val="18"/>
                <w:szCs w:val="18"/>
              </w:rPr>
            </w:pPr>
          </w:p>
        </w:tc>
        <w:tc>
          <w:tcPr>
            <w:tcW w:w="3118" w:type="dxa"/>
          </w:tcPr>
          <w:p w14:paraId="3D8ADA00" w14:textId="77777777" w:rsidR="00BC4A0C" w:rsidRPr="00BC4A0C" w:rsidRDefault="00BC4A0C" w:rsidP="00BC4A0C">
            <w:pPr>
              <w:rPr>
                <w:rFonts w:asciiTheme="majorHAnsi" w:hAnsiTheme="majorHAnsi" w:cstheme="majorHAnsi"/>
                <w:b/>
                <w:bCs/>
                <w:sz w:val="18"/>
                <w:szCs w:val="18"/>
              </w:rPr>
            </w:pPr>
          </w:p>
        </w:tc>
      </w:tr>
      <w:tr w:rsidR="00BC4A0C" w:rsidRPr="00BC4A0C" w14:paraId="6A300182" w14:textId="77777777" w:rsidTr="00CD657D">
        <w:tc>
          <w:tcPr>
            <w:tcW w:w="6096" w:type="dxa"/>
          </w:tcPr>
          <w:p w14:paraId="5183C599"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t xml:space="preserve">Námitka: </w:t>
            </w:r>
          </w:p>
          <w:p w14:paraId="47406EE6"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Nesouhlasím s rozsahem a umístěním koridoru CNU.KDZ1 konkrétně umístění přeložky III/3317. Přeložka je nevhodně umístěná a snižuje ekonomickou hodnotu mého pozemku. omezuje také kvalitu pobývání na mém pozemku, rekreaci obyvatel a život zvířat.</w:t>
            </w:r>
          </w:p>
          <w:p w14:paraId="0DEB521D"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Odůvodnění námitky: Vymezené území koridorem je v některých případech i nedostatečné. Například v případě podjezdu pod železniční tratí z Lány do Kostomlat nad Labem (ulice Hronětická) je nedostatečné pro podjezd pro osobní automobily (viz Prostorové ověření možnosti podjezdu zaslané jako emailová příloha) Nemožnost zbudování podjezdu by mělo nepřiměřeně omezující vliv na kvalitu života mojí o mojí rodiny v obci Lány oproti stávající situaci.</w:t>
            </w:r>
          </w:p>
          <w:p w14:paraId="17B9CCDF" w14:textId="77777777" w:rsidR="00BC4A0C" w:rsidRPr="00BC4A0C" w:rsidRDefault="00BC4A0C" w:rsidP="00BC4A0C">
            <w:pPr>
              <w:pStyle w:val="Odstavecseseznamem"/>
              <w:numPr>
                <w:ilvl w:val="0"/>
                <w:numId w:val="51"/>
              </w:numPr>
              <w:rPr>
                <w:rFonts w:asciiTheme="majorHAnsi" w:hAnsiTheme="majorHAnsi" w:cstheme="majorHAnsi"/>
                <w:sz w:val="18"/>
                <w:szCs w:val="18"/>
              </w:rPr>
            </w:pPr>
            <w:r w:rsidRPr="00BC4A0C">
              <w:rPr>
                <w:rFonts w:asciiTheme="majorHAnsi" w:hAnsiTheme="majorHAnsi" w:cstheme="majorHAnsi"/>
                <w:sz w:val="18"/>
                <w:szCs w:val="18"/>
              </w:rPr>
              <w:t>Příloha č. 2</w:t>
            </w:r>
          </w:p>
          <w:p w14:paraId="4DF5528A" w14:textId="77777777" w:rsidR="00BC4A0C" w:rsidRPr="00BC4A0C" w:rsidRDefault="00BC4A0C" w:rsidP="00BC4A0C">
            <w:pPr>
              <w:pStyle w:val="Odstavecseseznamem"/>
              <w:ind w:left="1080"/>
              <w:rPr>
                <w:rFonts w:asciiTheme="majorHAnsi" w:hAnsiTheme="majorHAnsi" w:cstheme="majorHAnsi"/>
                <w:b/>
                <w:bCs/>
                <w:sz w:val="18"/>
                <w:szCs w:val="18"/>
              </w:rPr>
            </w:pPr>
          </w:p>
        </w:tc>
        <w:tc>
          <w:tcPr>
            <w:tcW w:w="3118" w:type="dxa"/>
          </w:tcPr>
          <w:p w14:paraId="576C5591"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t>Rozhodnutí: Námitka se zamítá.</w:t>
            </w:r>
          </w:p>
          <w:p w14:paraId="721B88EB" w14:textId="77777777" w:rsidR="00BC4A0C" w:rsidRPr="00BC4A0C" w:rsidRDefault="00BC4A0C" w:rsidP="00BC4A0C">
            <w:pPr>
              <w:rPr>
                <w:rFonts w:asciiTheme="majorHAnsi" w:hAnsiTheme="majorHAnsi" w:cstheme="majorHAnsi"/>
                <w:sz w:val="18"/>
                <w:szCs w:val="18"/>
              </w:rPr>
            </w:pPr>
          </w:p>
          <w:p w14:paraId="25609922" w14:textId="77777777" w:rsidR="00BC4A0C" w:rsidRPr="00BC4A0C" w:rsidRDefault="00BC4A0C" w:rsidP="00BC4A0C">
            <w:pPr>
              <w:rPr>
                <w:rFonts w:asciiTheme="majorHAnsi" w:hAnsiTheme="majorHAnsi" w:cstheme="majorHAnsi"/>
                <w:sz w:val="18"/>
                <w:szCs w:val="18"/>
                <w:u w:val="single"/>
              </w:rPr>
            </w:pPr>
            <w:r w:rsidRPr="00BC4A0C">
              <w:rPr>
                <w:rFonts w:asciiTheme="majorHAnsi" w:hAnsiTheme="majorHAnsi" w:cstheme="majorHAnsi"/>
                <w:sz w:val="18"/>
                <w:szCs w:val="18"/>
                <w:u w:val="single"/>
              </w:rPr>
              <w:t>Odůvodnění:</w:t>
            </w:r>
          </w:p>
          <w:p w14:paraId="05DF6746"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Koridor KDZ1 – viz námitka č.I.</w:t>
            </w:r>
          </w:p>
          <w:p w14:paraId="6689AB90"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Podmínky ploch DD a DZ a stanovený koridor KDZ1 umístění podjezdu pro osobní automobily v místě stávajícího přejezdu mezi Lány a Kostomlaty nad Labem územní plán umožňují. V místě úrovňového přejezdu bude umístěna koncepční šipka, zajišťující prostup území.</w:t>
            </w:r>
          </w:p>
          <w:p w14:paraId="4A87A9EC" w14:textId="77777777" w:rsidR="00BC4A0C" w:rsidRPr="00BC4A0C" w:rsidRDefault="00BC4A0C" w:rsidP="00BC4A0C">
            <w:pPr>
              <w:rPr>
                <w:rFonts w:asciiTheme="majorHAnsi" w:hAnsiTheme="majorHAnsi" w:cstheme="majorHAnsi"/>
                <w:sz w:val="18"/>
                <w:szCs w:val="18"/>
              </w:rPr>
            </w:pPr>
          </w:p>
          <w:p w14:paraId="518EB12E" w14:textId="77777777" w:rsidR="00BC4A0C" w:rsidRPr="00BC4A0C" w:rsidRDefault="00BC4A0C" w:rsidP="00BC4A0C">
            <w:pPr>
              <w:rPr>
                <w:rFonts w:asciiTheme="majorHAnsi" w:hAnsiTheme="majorHAnsi" w:cstheme="majorHAnsi"/>
                <w:b/>
                <w:bCs/>
                <w:sz w:val="18"/>
                <w:szCs w:val="18"/>
              </w:rPr>
            </w:pPr>
          </w:p>
        </w:tc>
      </w:tr>
      <w:tr w:rsidR="00BC4A0C" w:rsidRPr="00BC4A0C" w14:paraId="1E22BC5E" w14:textId="77777777" w:rsidTr="00CD657D">
        <w:tc>
          <w:tcPr>
            <w:tcW w:w="6096" w:type="dxa"/>
          </w:tcPr>
          <w:p w14:paraId="4EB6C339" w14:textId="77777777" w:rsidR="00BC4A0C" w:rsidRPr="00BC4A0C" w:rsidRDefault="00BC4A0C" w:rsidP="00BC4A0C">
            <w:pPr>
              <w:pStyle w:val="Odstavecseseznamem"/>
              <w:numPr>
                <w:ilvl w:val="0"/>
                <w:numId w:val="55"/>
              </w:numPr>
              <w:rPr>
                <w:rFonts w:asciiTheme="majorHAnsi" w:hAnsiTheme="majorHAnsi" w:cstheme="majorHAnsi"/>
                <w:b/>
                <w:bCs/>
                <w:sz w:val="18"/>
                <w:szCs w:val="18"/>
              </w:rPr>
            </w:pPr>
            <w:r w:rsidRPr="00BC4A0C">
              <w:rPr>
                <w:rFonts w:asciiTheme="majorHAnsi" w:hAnsiTheme="majorHAnsi" w:cstheme="majorHAnsi"/>
                <w:b/>
                <w:bCs/>
                <w:sz w:val="18"/>
                <w:szCs w:val="18"/>
              </w:rPr>
              <w:t>Kvasničková Ivana, Na Zemské stezce 474, Lysá nad Labem</w:t>
            </w:r>
          </w:p>
          <w:p w14:paraId="546C4A3B" w14:textId="77777777" w:rsidR="00BC4A0C" w:rsidRPr="00BC4A0C" w:rsidRDefault="00BC4A0C" w:rsidP="00BC4A0C">
            <w:pPr>
              <w:rPr>
                <w:rFonts w:asciiTheme="majorHAnsi" w:hAnsiTheme="majorHAnsi" w:cstheme="majorHAnsi"/>
                <w:b/>
                <w:bCs/>
                <w:sz w:val="18"/>
                <w:szCs w:val="18"/>
              </w:rPr>
            </w:pPr>
          </w:p>
        </w:tc>
        <w:tc>
          <w:tcPr>
            <w:tcW w:w="3118" w:type="dxa"/>
          </w:tcPr>
          <w:p w14:paraId="5968A22F" w14:textId="77777777" w:rsidR="00BC4A0C" w:rsidRPr="00BC4A0C" w:rsidRDefault="00BC4A0C" w:rsidP="00BC4A0C">
            <w:pPr>
              <w:rPr>
                <w:rFonts w:asciiTheme="majorHAnsi" w:hAnsiTheme="majorHAnsi" w:cstheme="majorHAnsi"/>
                <w:b/>
                <w:bCs/>
                <w:sz w:val="18"/>
                <w:szCs w:val="18"/>
              </w:rPr>
            </w:pPr>
          </w:p>
        </w:tc>
      </w:tr>
      <w:tr w:rsidR="00BC4A0C" w:rsidRPr="00BC4A0C" w14:paraId="72DC20E1" w14:textId="77777777" w:rsidTr="00CD657D">
        <w:tc>
          <w:tcPr>
            <w:tcW w:w="6096" w:type="dxa"/>
          </w:tcPr>
          <w:p w14:paraId="35A12D14"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b/>
                <w:bCs/>
                <w:sz w:val="18"/>
                <w:szCs w:val="18"/>
              </w:rPr>
              <w:t>Námitka:</w:t>
            </w:r>
            <w:r w:rsidRPr="00BC4A0C">
              <w:rPr>
                <w:rFonts w:asciiTheme="majorHAnsi" w:hAnsiTheme="majorHAnsi" w:cstheme="majorHAnsi"/>
                <w:sz w:val="18"/>
                <w:szCs w:val="18"/>
              </w:rPr>
              <w:t xml:space="preserve"> </w:t>
            </w:r>
          </w:p>
          <w:p w14:paraId="034B2452"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 xml:space="preserve">Nesouhlasím se záměrem zařazení pozemku p. č.  894/31 jako plocha pro Koridor CNU.KDZ1 – přilehlé stavby, v připravovaném novém územním plánu. Tímto Vaším záměrem dojde k úplnému znehodnocení našeho soukromého pozemku, dojde k velmi výraznému omezení vlastnických práv a k znemožnění podnikatelských záměrů. Výše uvedený podíl pozemku vlastním za účelem případného budoucího začlenění do územního plánu obce Kostomlaty nad Labem, pro bytovou výstavbu. Vydáním územního plánu v současné podobě, veškeré snahy o rozšíření obce západním směrem jsou bezpředmětné. Navrhovaný koridor (přeložka silnice III. třídy III/3317) spojující obce za železniční tratí (Lány, Rozkoš) se silnicí II/331 je veden přes soukromé pozemky v blízkosti bytové zástavby, které trvale znehodnotí a následně uzavře budoucí možný rozvoj v dané lokalitě. Silniční spojnici by bylo možné vést dále od obce, </w:t>
            </w:r>
            <w:r w:rsidRPr="00BC4A0C">
              <w:rPr>
                <w:rFonts w:asciiTheme="majorHAnsi" w:hAnsiTheme="majorHAnsi" w:cstheme="majorHAnsi"/>
                <w:sz w:val="18"/>
                <w:szCs w:val="18"/>
              </w:rPr>
              <w:lastRenderedPageBreak/>
              <w:t>pozemcích v jejich vlastnictví, (vede zde již prašná cesta) a napojit na silnici II/331 spojující města Lysá nad Labem a Nymburk v místě vyústění budoucího obchvatu viz grafická mapa UPD ve Středočeském kraji. Přestože při veřejném projednávání dne 21.2.2024 bylo sděleno, že od záměru je prozatím upuštěno, není vyloučena jeho budoucí realizace.</w:t>
            </w:r>
          </w:p>
          <w:p w14:paraId="74BD1F46" w14:textId="77777777" w:rsidR="00BC4A0C" w:rsidRPr="00BC4A0C" w:rsidRDefault="00BC4A0C" w:rsidP="00BC4A0C">
            <w:pPr>
              <w:rPr>
                <w:rFonts w:asciiTheme="majorHAnsi" w:hAnsiTheme="majorHAnsi" w:cstheme="majorHAnsi"/>
                <w:sz w:val="18"/>
                <w:szCs w:val="18"/>
              </w:rPr>
            </w:pPr>
          </w:p>
          <w:p w14:paraId="1665B732" w14:textId="77777777" w:rsidR="00BC4A0C" w:rsidRPr="00BC4A0C" w:rsidRDefault="00BC4A0C" w:rsidP="00BC4A0C">
            <w:pPr>
              <w:rPr>
                <w:rFonts w:asciiTheme="majorHAnsi" w:hAnsiTheme="majorHAnsi" w:cstheme="majorHAnsi"/>
                <w:sz w:val="18"/>
                <w:szCs w:val="18"/>
              </w:rPr>
            </w:pPr>
          </w:p>
          <w:p w14:paraId="5731BFD2" w14:textId="77777777" w:rsidR="00BC4A0C" w:rsidRPr="00BC4A0C" w:rsidRDefault="00BC4A0C" w:rsidP="00BC4A0C">
            <w:pPr>
              <w:rPr>
                <w:rFonts w:asciiTheme="majorHAnsi" w:hAnsiTheme="majorHAnsi" w:cstheme="majorHAnsi"/>
                <w:b/>
                <w:bCs/>
                <w:sz w:val="18"/>
                <w:szCs w:val="18"/>
              </w:rPr>
            </w:pPr>
          </w:p>
        </w:tc>
        <w:tc>
          <w:tcPr>
            <w:tcW w:w="3118" w:type="dxa"/>
          </w:tcPr>
          <w:p w14:paraId="2A98C025"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lastRenderedPageBreak/>
              <w:t>Rozhodnutí: Námitka se zamítá.</w:t>
            </w:r>
          </w:p>
          <w:p w14:paraId="411011A6" w14:textId="77777777" w:rsidR="00BC4A0C" w:rsidRPr="00BC4A0C" w:rsidRDefault="00BC4A0C" w:rsidP="00BC4A0C">
            <w:pPr>
              <w:rPr>
                <w:rFonts w:asciiTheme="majorHAnsi" w:hAnsiTheme="majorHAnsi" w:cstheme="majorHAnsi"/>
                <w:sz w:val="18"/>
                <w:szCs w:val="18"/>
              </w:rPr>
            </w:pPr>
          </w:p>
          <w:p w14:paraId="2081EEB7"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u w:val="single"/>
              </w:rPr>
              <w:t>Odůvodnění:</w:t>
            </w:r>
            <w:r w:rsidRPr="00BC4A0C">
              <w:rPr>
                <w:rFonts w:asciiTheme="majorHAnsi" w:hAnsiTheme="majorHAnsi" w:cstheme="majorHAnsi"/>
                <w:sz w:val="18"/>
                <w:szCs w:val="18"/>
              </w:rPr>
              <w:t xml:space="preserve"> viz námitka č.I.</w:t>
            </w:r>
          </w:p>
          <w:p w14:paraId="33AF9B0D" w14:textId="77777777" w:rsidR="00BC4A0C" w:rsidRPr="00BC4A0C" w:rsidRDefault="00BC4A0C" w:rsidP="00BC4A0C">
            <w:pPr>
              <w:rPr>
                <w:rFonts w:asciiTheme="majorHAnsi" w:hAnsiTheme="majorHAnsi" w:cstheme="majorHAnsi"/>
                <w:b/>
                <w:bCs/>
                <w:sz w:val="18"/>
                <w:szCs w:val="18"/>
              </w:rPr>
            </w:pPr>
          </w:p>
        </w:tc>
      </w:tr>
      <w:tr w:rsidR="00BC4A0C" w:rsidRPr="00BC4A0C" w14:paraId="73FFFB6D" w14:textId="77777777" w:rsidTr="00CD657D">
        <w:tc>
          <w:tcPr>
            <w:tcW w:w="6096" w:type="dxa"/>
          </w:tcPr>
          <w:p w14:paraId="01E64BCE" w14:textId="77777777" w:rsidR="00BC4A0C" w:rsidRPr="00BC4A0C" w:rsidRDefault="00BC4A0C" w:rsidP="00BC4A0C">
            <w:pPr>
              <w:pStyle w:val="Odstavecseseznamem"/>
              <w:numPr>
                <w:ilvl w:val="0"/>
                <w:numId w:val="55"/>
              </w:numPr>
              <w:rPr>
                <w:rFonts w:asciiTheme="majorHAnsi" w:hAnsiTheme="majorHAnsi" w:cstheme="majorHAnsi"/>
                <w:b/>
                <w:bCs/>
                <w:sz w:val="18"/>
                <w:szCs w:val="18"/>
              </w:rPr>
            </w:pPr>
            <w:r w:rsidRPr="00BC4A0C">
              <w:rPr>
                <w:rFonts w:asciiTheme="majorHAnsi" w:hAnsiTheme="majorHAnsi" w:cstheme="majorHAnsi"/>
                <w:b/>
                <w:bCs/>
                <w:sz w:val="18"/>
                <w:szCs w:val="18"/>
              </w:rPr>
              <w:t>Mgr. Dobiášová Petra, Dětská 359, Milovice</w:t>
            </w:r>
          </w:p>
          <w:p w14:paraId="7AF6DF3F" w14:textId="77777777" w:rsidR="00BC4A0C" w:rsidRPr="00BC4A0C" w:rsidRDefault="00BC4A0C" w:rsidP="00BC4A0C">
            <w:pPr>
              <w:rPr>
                <w:rFonts w:asciiTheme="majorHAnsi" w:hAnsiTheme="majorHAnsi" w:cstheme="majorHAnsi"/>
                <w:b/>
                <w:bCs/>
                <w:sz w:val="18"/>
                <w:szCs w:val="18"/>
              </w:rPr>
            </w:pPr>
          </w:p>
        </w:tc>
        <w:tc>
          <w:tcPr>
            <w:tcW w:w="3118" w:type="dxa"/>
          </w:tcPr>
          <w:p w14:paraId="6BDF63AE" w14:textId="77777777" w:rsidR="00BC4A0C" w:rsidRPr="00BC4A0C" w:rsidRDefault="00BC4A0C" w:rsidP="00BC4A0C">
            <w:pPr>
              <w:rPr>
                <w:rFonts w:asciiTheme="majorHAnsi" w:hAnsiTheme="majorHAnsi" w:cstheme="majorHAnsi"/>
                <w:b/>
                <w:bCs/>
                <w:sz w:val="18"/>
                <w:szCs w:val="18"/>
              </w:rPr>
            </w:pPr>
          </w:p>
        </w:tc>
      </w:tr>
      <w:tr w:rsidR="00BC4A0C" w:rsidRPr="00BC4A0C" w14:paraId="095E0859" w14:textId="77777777" w:rsidTr="00CD657D">
        <w:tc>
          <w:tcPr>
            <w:tcW w:w="6096" w:type="dxa"/>
          </w:tcPr>
          <w:p w14:paraId="3E5D701F"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b/>
                <w:bCs/>
                <w:sz w:val="18"/>
                <w:szCs w:val="18"/>
              </w:rPr>
              <w:t>Námitka:</w:t>
            </w:r>
            <w:r w:rsidRPr="00BC4A0C">
              <w:rPr>
                <w:rFonts w:asciiTheme="majorHAnsi" w:hAnsiTheme="majorHAnsi" w:cstheme="majorHAnsi"/>
                <w:sz w:val="18"/>
                <w:szCs w:val="18"/>
              </w:rPr>
              <w:t xml:space="preserve"> </w:t>
            </w:r>
          </w:p>
          <w:p w14:paraId="21A321EA"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S manželem jsem spolumajitelkou podílu 3/8 na pozemku 914/42, kde je v územním plánu z obou konců pozemku předpokládaný zábor půdy na výstavbu veřejné dopravní infrastruktury. K tomu mám tyto připomínky:</w:t>
            </w:r>
          </w:p>
          <w:p w14:paraId="0A58E0E2"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Se stavebními pracemi i případnou stavbou silnice a křižovatky na tomto našem pozemku souhlasíme,  v případě, že bude z důvodu výstavby silnice využit i náš pozemek, požadujeme odkoupení příslušnými úřady uvedené části pozemku, na kterých by případně byla silnice stavěna (přeložka III/3317 – varianta jih).</w:t>
            </w:r>
          </w:p>
          <w:p w14:paraId="0EB7ED89"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Zároveň jsme s manželem majiteli 3/8 na pozemcích 894/24, 894/36 a 952/5. Bereme na vědomí, že naše žádost z 14.6.2022 o zařazení těchto pozemků do obytné zóny (smíšené obytné venkovské) není v současné chvíli možné kvůli plánovanému rozšíření železniční trati a výstavby přeložky silnice v nedalekém prostoru. Vzhledem k tomu, že další územní plánování je opravdu v nedohlednu, ráda bych již dnes avizovala náš plán do budoucna (po ukončení všech plánovaných stavebních prací na železničním koridoru a stavbě přeložky). Na těchto pozemcích bychom v budoucnu rádi zasadili stromy a upravili zahradu + postavili maringotku (či podobné pojízdné zázemí). Pozemek v budoucnu plánujeme využívat k rekreačním účelům. Byli bychom moc rádi, kdyby tyto naše plány mohly být zohledněny v dalším územním plánu za x let.</w:t>
            </w:r>
          </w:p>
          <w:p w14:paraId="4120536C" w14:textId="77777777" w:rsidR="00BC4A0C" w:rsidRPr="00BC4A0C" w:rsidRDefault="00BC4A0C" w:rsidP="00BC4A0C">
            <w:pPr>
              <w:pStyle w:val="Odstavecseseznamem"/>
              <w:ind w:left="1080"/>
              <w:rPr>
                <w:rFonts w:asciiTheme="majorHAnsi" w:hAnsiTheme="majorHAnsi" w:cstheme="majorHAnsi"/>
                <w:b/>
                <w:bCs/>
                <w:sz w:val="18"/>
                <w:szCs w:val="18"/>
              </w:rPr>
            </w:pPr>
          </w:p>
        </w:tc>
        <w:tc>
          <w:tcPr>
            <w:tcW w:w="3118" w:type="dxa"/>
          </w:tcPr>
          <w:p w14:paraId="102D27FC" w14:textId="77777777" w:rsidR="00BC4A0C" w:rsidRPr="00BC4A0C" w:rsidRDefault="00BC4A0C" w:rsidP="00BC4A0C">
            <w:pPr>
              <w:rPr>
                <w:rFonts w:asciiTheme="majorHAnsi" w:hAnsiTheme="majorHAnsi" w:cstheme="majorHAnsi"/>
                <w:sz w:val="18"/>
                <w:szCs w:val="18"/>
              </w:rPr>
            </w:pPr>
          </w:p>
          <w:p w14:paraId="2F63A88B"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t>Rozhodnutí: Námitka se zamítá.</w:t>
            </w:r>
          </w:p>
          <w:p w14:paraId="1D45A69A" w14:textId="77777777" w:rsidR="00BC4A0C" w:rsidRPr="00BC4A0C" w:rsidRDefault="00BC4A0C" w:rsidP="00BC4A0C">
            <w:pPr>
              <w:rPr>
                <w:rFonts w:asciiTheme="majorHAnsi" w:hAnsiTheme="majorHAnsi" w:cstheme="majorHAnsi"/>
                <w:b/>
                <w:bCs/>
                <w:sz w:val="18"/>
                <w:szCs w:val="18"/>
              </w:rPr>
            </w:pPr>
          </w:p>
          <w:p w14:paraId="14152E13" w14:textId="77777777" w:rsidR="00BC4A0C" w:rsidRPr="00BC4A0C" w:rsidRDefault="00BC4A0C" w:rsidP="00BC4A0C">
            <w:pPr>
              <w:rPr>
                <w:rFonts w:asciiTheme="majorHAnsi" w:hAnsiTheme="majorHAnsi" w:cstheme="majorHAnsi"/>
                <w:sz w:val="18"/>
                <w:szCs w:val="18"/>
                <w:u w:val="single"/>
              </w:rPr>
            </w:pPr>
            <w:r w:rsidRPr="00BC4A0C">
              <w:rPr>
                <w:rFonts w:asciiTheme="majorHAnsi" w:hAnsiTheme="majorHAnsi" w:cstheme="majorHAnsi"/>
                <w:sz w:val="18"/>
                <w:szCs w:val="18"/>
                <w:u w:val="single"/>
              </w:rPr>
              <w:t>Odůvodnění:</w:t>
            </w:r>
          </w:p>
          <w:p w14:paraId="0B95575D"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Vlastnická práva a případné náhrady územní plán neřeší. Majetkové vyrovnání v případě soukromých pozemků, které budou nutné k realizaci dopravních staveb v souvislosti s modernizací železniční bude řešeno stavebníkem na základě zpracované projektové dokumentace před řízením o povolení stavby.</w:t>
            </w:r>
          </w:p>
          <w:p w14:paraId="7B4530B2"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 xml:space="preserve">Pozemky parc. č. 894/24, 894/36 a 952/5 jsou v nezastavěném území – plochy AU (zemědělské všeobecné). Pro jejich stavební využití by bylo třeba projednat změnu územního plánu, o jejímž obsahu nelze v současné době rozhodovat.  </w:t>
            </w:r>
          </w:p>
          <w:p w14:paraId="286A196C" w14:textId="77777777" w:rsidR="00BC4A0C" w:rsidRPr="00BC4A0C" w:rsidRDefault="00BC4A0C" w:rsidP="00BC4A0C">
            <w:pPr>
              <w:rPr>
                <w:rFonts w:asciiTheme="majorHAnsi" w:hAnsiTheme="majorHAnsi" w:cstheme="majorHAnsi"/>
                <w:b/>
                <w:bCs/>
                <w:sz w:val="18"/>
                <w:szCs w:val="18"/>
              </w:rPr>
            </w:pPr>
          </w:p>
        </w:tc>
      </w:tr>
      <w:tr w:rsidR="00BC4A0C" w:rsidRPr="00BC4A0C" w14:paraId="35F36813" w14:textId="77777777" w:rsidTr="00CD657D">
        <w:tc>
          <w:tcPr>
            <w:tcW w:w="6096" w:type="dxa"/>
          </w:tcPr>
          <w:p w14:paraId="7772F613" w14:textId="77777777" w:rsidR="00BC4A0C" w:rsidRPr="00BC4A0C" w:rsidRDefault="00BC4A0C" w:rsidP="00BC4A0C">
            <w:pPr>
              <w:pStyle w:val="Odstavecseseznamem"/>
              <w:numPr>
                <w:ilvl w:val="0"/>
                <w:numId w:val="55"/>
              </w:numPr>
              <w:rPr>
                <w:rFonts w:asciiTheme="majorHAnsi" w:hAnsiTheme="majorHAnsi" w:cstheme="majorHAnsi"/>
                <w:b/>
                <w:bCs/>
                <w:sz w:val="18"/>
                <w:szCs w:val="18"/>
              </w:rPr>
            </w:pPr>
            <w:r w:rsidRPr="00BC4A0C">
              <w:rPr>
                <w:rFonts w:asciiTheme="majorHAnsi" w:hAnsiTheme="majorHAnsi" w:cstheme="majorHAnsi"/>
                <w:b/>
                <w:bCs/>
                <w:sz w:val="18"/>
                <w:szCs w:val="18"/>
              </w:rPr>
              <w:t>Máří Magdalena Šulcová, Na Hrabovce 152, Kostomlaty nad Labem</w:t>
            </w:r>
          </w:p>
          <w:p w14:paraId="10573C81" w14:textId="77777777" w:rsidR="00BC4A0C" w:rsidRPr="00BC4A0C" w:rsidRDefault="00BC4A0C" w:rsidP="00BC4A0C">
            <w:pPr>
              <w:rPr>
                <w:rFonts w:asciiTheme="majorHAnsi" w:hAnsiTheme="majorHAnsi" w:cstheme="majorHAnsi"/>
                <w:b/>
                <w:bCs/>
                <w:sz w:val="18"/>
                <w:szCs w:val="18"/>
              </w:rPr>
            </w:pPr>
          </w:p>
        </w:tc>
        <w:tc>
          <w:tcPr>
            <w:tcW w:w="3118" w:type="dxa"/>
          </w:tcPr>
          <w:p w14:paraId="7DB8CF3E" w14:textId="77777777" w:rsidR="00BC4A0C" w:rsidRPr="00BC4A0C" w:rsidRDefault="00BC4A0C" w:rsidP="00BC4A0C">
            <w:pPr>
              <w:rPr>
                <w:rFonts w:asciiTheme="majorHAnsi" w:hAnsiTheme="majorHAnsi" w:cstheme="majorHAnsi"/>
                <w:sz w:val="18"/>
                <w:szCs w:val="18"/>
              </w:rPr>
            </w:pPr>
          </w:p>
        </w:tc>
      </w:tr>
      <w:tr w:rsidR="00BC4A0C" w:rsidRPr="00BC4A0C" w14:paraId="6AC1FE91" w14:textId="77777777" w:rsidTr="00CD657D">
        <w:trPr>
          <w:trHeight w:val="6078"/>
        </w:trPr>
        <w:tc>
          <w:tcPr>
            <w:tcW w:w="6096" w:type="dxa"/>
          </w:tcPr>
          <w:p w14:paraId="55EC5FC4"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lastRenderedPageBreak/>
              <w:t>Námitka:</w:t>
            </w:r>
          </w:p>
          <w:p w14:paraId="6822CB40"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 xml:space="preserve">Požaduji pozemky parc. č. 272/4, 272/5 a 272/1 /k.ú. Lány u Kostomlat) zařadit jako pozemky pro rodinné bydlení, minimálně část pozemku p. č. 272/4 v rozsahu min. 6 000 m2 – pro výstavbu rodinných domů. Část pozemků  p. č. 272/4 by byla využita jako příjezdová cesta. N uvedených pozemcích by mohly postavit rodinné domy moji rodinní příslušníci (vnoučata). Změna účelu využití pozemků by nesloužila pro komerční účely (prodej pozemků po rozdělení). Zbylá část pozemku by měla stejné využití jako doposud, t. j. bude obhospodařována pro zemědělské účely. </w:t>
            </w:r>
          </w:p>
          <w:p w14:paraId="19DC496B" w14:textId="77777777" w:rsidR="00BC4A0C" w:rsidRPr="00BC4A0C" w:rsidRDefault="00BC4A0C" w:rsidP="00BC4A0C">
            <w:pPr>
              <w:pStyle w:val="Odstavecseseznamem"/>
              <w:ind w:left="1080"/>
              <w:rPr>
                <w:rFonts w:asciiTheme="majorHAnsi" w:hAnsiTheme="majorHAnsi" w:cstheme="majorHAnsi"/>
                <w:b/>
                <w:bCs/>
                <w:sz w:val="18"/>
                <w:szCs w:val="18"/>
              </w:rPr>
            </w:pPr>
          </w:p>
        </w:tc>
        <w:tc>
          <w:tcPr>
            <w:tcW w:w="3118" w:type="dxa"/>
          </w:tcPr>
          <w:p w14:paraId="32F94851"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t>Rozhodnutí: Námitka se zamítá.</w:t>
            </w:r>
          </w:p>
          <w:p w14:paraId="205818FB" w14:textId="77777777" w:rsidR="00BC4A0C" w:rsidRPr="00BC4A0C" w:rsidRDefault="00BC4A0C" w:rsidP="00BC4A0C">
            <w:pPr>
              <w:rPr>
                <w:rFonts w:asciiTheme="majorHAnsi" w:hAnsiTheme="majorHAnsi" w:cstheme="majorHAnsi"/>
                <w:b/>
                <w:bCs/>
                <w:sz w:val="18"/>
                <w:szCs w:val="18"/>
              </w:rPr>
            </w:pPr>
          </w:p>
          <w:p w14:paraId="6EC30895" w14:textId="77777777" w:rsidR="00BC4A0C" w:rsidRPr="00BC4A0C" w:rsidRDefault="00BC4A0C" w:rsidP="00BC4A0C">
            <w:pPr>
              <w:rPr>
                <w:rFonts w:asciiTheme="majorHAnsi" w:hAnsiTheme="majorHAnsi" w:cstheme="majorHAnsi"/>
                <w:sz w:val="18"/>
                <w:szCs w:val="18"/>
                <w:u w:val="single"/>
              </w:rPr>
            </w:pPr>
            <w:r w:rsidRPr="00BC4A0C">
              <w:rPr>
                <w:rFonts w:asciiTheme="majorHAnsi" w:hAnsiTheme="majorHAnsi" w:cstheme="majorHAnsi"/>
                <w:sz w:val="18"/>
                <w:szCs w:val="18"/>
                <w:u w:val="single"/>
              </w:rPr>
              <w:t>Odůvodnění:</w:t>
            </w:r>
          </w:p>
          <w:p w14:paraId="4B2D2D32"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Krajský úřad Středočeského kraje, odbor životního prostředí a zemědělství ve svém stanovisku č. j. 100272/2024/KUSK ze dne 20.08.2024</w:t>
            </w:r>
          </w:p>
          <w:p w14:paraId="1F2BB4C0" w14:textId="77777777" w:rsidR="00BC4A0C" w:rsidRPr="00BC4A0C" w:rsidRDefault="00BC4A0C" w:rsidP="00BC4A0C">
            <w:pPr>
              <w:rPr>
                <w:rFonts w:asciiTheme="majorHAnsi" w:hAnsiTheme="majorHAnsi" w:cstheme="majorHAnsi"/>
                <w:sz w:val="18"/>
                <w:szCs w:val="18"/>
                <w:highlight w:val="yellow"/>
              </w:rPr>
            </w:pPr>
            <w:r w:rsidRPr="00BC4A0C">
              <w:rPr>
                <w:rFonts w:asciiTheme="majorHAnsi" w:hAnsiTheme="majorHAnsi" w:cstheme="majorHAnsi"/>
                <w:sz w:val="18"/>
                <w:szCs w:val="18"/>
              </w:rPr>
              <w:t>vyslovil nesouhlas se záborem ZPF nad rámec ploch odsouhlasených k nezemědělskému využití v rámci projednání návrhu ÚP před veřejným projednání. Orgán ochrany ZPF považuje další vymezení zastavitelných ploch jako zbytné. Dle ustanovení § 4 odst. 1 zákona o ochraně ZPF může k odnětí zemědělské půdy dojít pouze v nezbytném případě.</w:t>
            </w:r>
          </w:p>
        </w:tc>
      </w:tr>
      <w:tr w:rsidR="00BC4A0C" w:rsidRPr="00BC4A0C" w14:paraId="0272A042" w14:textId="77777777" w:rsidTr="00CD657D">
        <w:tc>
          <w:tcPr>
            <w:tcW w:w="6096" w:type="dxa"/>
          </w:tcPr>
          <w:p w14:paraId="2F4FF232" w14:textId="77777777" w:rsidR="00BC4A0C" w:rsidRPr="00BC4A0C" w:rsidRDefault="00BC4A0C" w:rsidP="00BC4A0C">
            <w:pPr>
              <w:pStyle w:val="Odstavecseseznamem"/>
              <w:numPr>
                <w:ilvl w:val="0"/>
                <w:numId w:val="55"/>
              </w:numPr>
              <w:rPr>
                <w:rFonts w:asciiTheme="majorHAnsi" w:hAnsiTheme="majorHAnsi" w:cstheme="majorHAnsi"/>
                <w:b/>
                <w:bCs/>
                <w:sz w:val="18"/>
                <w:szCs w:val="18"/>
              </w:rPr>
            </w:pPr>
            <w:r w:rsidRPr="00BC4A0C">
              <w:rPr>
                <w:rFonts w:asciiTheme="majorHAnsi" w:hAnsiTheme="majorHAnsi" w:cstheme="majorHAnsi"/>
                <w:b/>
                <w:bCs/>
                <w:sz w:val="18"/>
                <w:szCs w:val="18"/>
              </w:rPr>
              <w:t>Vladimír Zalabák, Lány 50</w:t>
            </w:r>
          </w:p>
          <w:p w14:paraId="290B22C2" w14:textId="77777777" w:rsidR="00BC4A0C" w:rsidRPr="00BC4A0C" w:rsidRDefault="00BC4A0C" w:rsidP="00BC4A0C">
            <w:pPr>
              <w:pStyle w:val="Odstavecseseznamem"/>
              <w:ind w:left="1080"/>
              <w:rPr>
                <w:rFonts w:asciiTheme="majorHAnsi" w:hAnsiTheme="majorHAnsi" w:cstheme="majorHAnsi"/>
                <w:b/>
                <w:bCs/>
                <w:sz w:val="18"/>
                <w:szCs w:val="18"/>
              </w:rPr>
            </w:pPr>
          </w:p>
        </w:tc>
        <w:tc>
          <w:tcPr>
            <w:tcW w:w="3118" w:type="dxa"/>
          </w:tcPr>
          <w:p w14:paraId="2B4147F7" w14:textId="77777777" w:rsidR="00BC4A0C" w:rsidRPr="00BC4A0C" w:rsidRDefault="00BC4A0C" w:rsidP="00BC4A0C">
            <w:pPr>
              <w:rPr>
                <w:rFonts w:asciiTheme="majorHAnsi" w:hAnsiTheme="majorHAnsi" w:cstheme="majorHAnsi"/>
                <w:b/>
                <w:bCs/>
                <w:sz w:val="18"/>
                <w:szCs w:val="18"/>
              </w:rPr>
            </w:pPr>
          </w:p>
        </w:tc>
      </w:tr>
      <w:tr w:rsidR="00BC4A0C" w:rsidRPr="00BC4A0C" w14:paraId="3C261CC0" w14:textId="77777777" w:rsidTr="00CD657D">
        <w:tc>
          <w:tcPr>
            <w:tcW w:w="6096" w:type="dxa"/>
          </w:tcPr>
          <w:p w14:paraId="027AA912" w14:textId="77777777" w:rsidR="00BC4A0C" w:rsidRPr="00BC4A0C" w:rsidRDefault="00BC4A0C" w:rsidP="00BC4A0C">
            <w:pPr>
              <w:rPr>
                <w:rFonts w:asciiTheme="majorHAnsi" w:hAnsiTheme="majorHAnsi" w:cstheme="majorHAnsi"/>
                <w:sz w:val="18"/>
                <w:szCs w:val="18"/>
              </w:rPr>
            </w:pPr>
          </w:p>
          <w:p w14:paraId="36B4C7A5"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t>Námitka č. 1:</w:t>
            </w:r>
          </w:p>
          <w:p w14:paraId="505BE6F1"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Budu dotčen zhoršením rozsahu, resp. provázanosti dopravního skeletu, kdy je navrhována přeložka délky cca 1,4 km silnice III. třídy č. 3317 mající za cíl umožnění zrušení úrovňového přejezdu mezi Lány a Kostomlaty nad Labem vyvolávající zajížďku cca 2,1 km. Bude dotčena stávající kvalita a úroveň místního pohybu po obci nutného pro základní fungování místní části Lány přímo závislé na Kostomlatech nad Labem z hlediska služeb, školství a obecně místní vybavenosti. Zásah bude znamenat zvýšené náklady na paliva a čas neproduktivně strávený přesuny. Dojde ke ztrátě soudržnosti místních částí a bude založeno na trvalý rozkol. Pohyb po obci bude ztížen, zhoršen. (zkráceno, celé znění námitky viz spis).</w:t>
            </w:r>
          </w:p>
          <w:p w14:paraId="70B79439"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 xml:space="preserve">Navrhuji: </w:t>
            </w:r>
          </w:p>
          <w:p w14:paraId="4DBE4565" w14:textId="77777777" w:rsidR="00BC4A0C" w:rsidRPr="00BC4A0C" w:rsidRDefault="00BC4A0C" w:rsidP="00BC4A0C">
            <w:pPr>
              <w:pStyle w:val="Odstavecseseznamem"/>
              <w:numPr>
                <w:ilvl w:val="0"/>
                <w:numId w:val="52"/>
              </w:numPr>
              <w:rPr>
                <w:rFonts w:asciiTheme="majorHAnsi" w:hAnsiTheme="majorHAnsi" w:cstheme="majorHAnsi"/>
                <w:sz w:val="18"/>
                <w:szCs w:val="18"/>
              </w:rPr>
            </w:pPr>
            <w:r w:rsidRPr="00BC4A0C">
              <w:rPr>
                <w:rFonts w:asciiTheme="majorHAnsi" w:hAnsiTheme="majorHAnsi" w:cstheme="majorHAnsi"/>
                <w:sz w:val="18"/>
                <w:szCs w:val="18"/>
              </w:rPr>
              <w:t>pro zajištění spojení v Hronětické ulici mezi Lány a Kostomlaty navrhuji umístit do hlavního výkresu UP v místě stávajícího přejezdu v Hronětické ulici značku/ symbol, který bude v legendě a ve výrokové textové části vysvětlen jako místo s nutností zachování dopravního spojení v ose Hronětické ulice alespoň pro pěší, cyklisty a osobní automobily. Krom přejezdu je dle prostorového a výškového prověření s vysokou mírou pravděpodobnosti proveditelný i podjezd pro os. Automobily, který má podjezdnou výšku blízkou podchozí výšce. Lze koncipovat jako obousměrný dvoupruhový pro os. Automobily i se stezkou pro chodce a cyklisty. Odvodnit jej lze gravitačně do přilehlého toku.</w:t>
            </w:r>
          </w:p>
          <w:p w14:paraId="177902BE" w14:textId="77777777" w:rsidR="00BC4A0C" w:rsidRPr="00BC4A0C" w:rsidRDefault="00BC4A0C" w:rsidP="00BC4A0C">
            <w:pPr>
              <w:pStyle w:val="Odstavecseseznamem"/>
              <w:numPr>
                <w:ilvl w:val="0"/>
                <w:numId w:val="52"/>
              </w:numPr>
              <w:rPr>
                <w:rFonts w:asciiTheme="majorHAnsi" w:hAnsiTheme="majorHAnsi" w:cstheme="majorHAnsi"/>
                <w:sz w:val="18"/>
                <w:szCs w:val="18"/>
              </w:rPr>
            </w:pPr>
            <w:r w:rsidRPr="00BC4A0C">
              <w:rPr>
                <w:rFonts w:asciiTheme="majorHAnsi" w:hAnsiTheme="majorHAnsi" w:cstheme="majorHAnsi"/>
                <w:sz w:val="18"/>
                <w:szCs w:val="18"/>
              </w:rPr>
              <w:t xml:space="preserve">Současně navrhuji, aby byla odvedena nutná koncepční a projekční práce na možnostech podob mimoúrovňových a dalších křížení s železnicí, kterou za obec, resp. zpracovatele nikdo neodvede, a která zjednodušeně řečeno musí být odvedena, aby byl nový územní plán schválitelný a aby bylo co schvalovat. Od toho územní plán je. Tato věc k řešení vyplývá i ze  zadání: „chránit a rozvíjet systémy dopravní infrastruktury , zajistit jejich funkčnost, zejména: silnice II., III. třídy, </w:t>
            </w:r>
            <w:r w:rsidRPr="00BC4A0C">
              <w:rPr>
                <w:rFonts w:asciiTheme="majorHAnsi" w:hAnsiTheme="majorHAnsi" w:cstheme="majorHAnsi"/>
                <w:sz w:val="18"/>
                <w:szCs w:val="18"/>
              </w:rPr>
              <w:lastRenderedPageBreak/>
              <w:t>místní a účelové komunikace, železniční trať včetně souvisejících staveb.“ Nakolik byli v tomto směru „odpracováno“ zadání je vidět na stávající verzi návrhu. Tedy navrhuji v tomto ohledu optimálně zadat vypracování architektonicko-dopravní studie, včetně posouzení variant, vizualizací staveb atp. Tím by bylo možné v návrhu ÚP ošetřit i možnosti, se kterými Správa železnic nepřišla, avšak nabízejí se.</w:t>
            </w:r>
          </w:p>
          <w:p w14:paraId="186AFEB4" w14:textId="77777777" w:rsidR="00BC4A0C" w:rsidRPr="00BC4A0C" w:rsidRDefault="00BC4A0C" w:rsidP="00BC4A0C">
            <w:pPr>
              <w:pStyle w:val="Odstavecseseznamem"/>
              <w:numPr>
                <w:ilvl w:val="0"/>
                <w:numId w:val="52"/>
              </w:numPr>
              <w:rPr>
                <w:rFonts w:asciiTheme="majorHAnsi" w:hAnsiTheme="majorHAnsi" w:cstheme="majorHAnsi"/>
                <w:sz w:val="18"/>
                <w:szCs w:val="18"/>
              </w:rPr>
            </w:pPr>
            <w:r w:rsidRPr="00BC4A0C">
              <w:rPr>
                <w:rFonts w:asciiTheme="majorHAnsi" w:hAnsiTheme="majorHAnsi" w:cstheme="majorHAnsi"/>
                <w:sz w:val="18"/>
                <w:szCs w:val="18"/>
              </w:rPr>
              <w:t>Pro zlepšení dopravní provázanosti dvou místních částí zároveň navrhuji uvést do hlavního výkresu návrh vzniku podchodu pod železniční stanicí Kostomlaty nad Labem v plné délce, tedy takový, který vyústí jak na jižní, tak na severní straně stanice či zastávky. Lze tak učinit např. „koncepční šipkou“. Tím bude zlepšena prostupnost území ve směru Lány vč. Pomyslného zpřístupnění dalších území vhodných např. i pro místní rekreaci, které dráha dosud logicky omezuje.</w:t>
            </w:r>
          </w:p>
          <w:p w14:paraId="5BBA0466" w14:textId="77777777" w:rsidR="00BC4A0C" w:rsidRPr="00BC4A0C" w:rsidRDefault="00BC4A0C" w:rsidP="00BC4A0C">
            <w:pPr>
              <w:pStyle w:val="Odstavecseseznamem"/>
              <w:numPr>
                <w:ilvl w:val="0"/>
                <w:numId w:val="52"/>
              </w:numPr>
              <w:rPr>
                <w:rFonts w:asciiTheme="majorHAnsi" w:hAnsiTheme="majorHAnsi" w:cstheme="majorHAnsi"/>
                <w:sz w:val="18"/>
                <w:szCs w:val="18"/>
              </w:rPr>
            </w:pPr>
            <w:r w:rsidRPr="00BC4A0C">
              <w:rPr>
                <w:rFonts w:asciiTheme="majorHAnsi" w:hAnsiTheme="majorHAnsi" w:cstheme="majorHAnsi"/>
                <w:sz w:val="18"/>
                <w:szCs w:val="18"/>
              </w:rPr>
              <w:t>K železniční stanici zároveň navrhuji umístit značku B+R (parkoviště bike and ride, resp. kolárna).</w:t>
            </w:r>
          </w:p>
          <w:p w14:paraId="0A47A210" w14:textId="77777777" w:rsidR="00BC4A0C" w:rsidRPr="00BC4A0C" w:rsidRDefault="00BC4A0C" w:rsidP="00BC4A0C">
            <w:pPr>
              <w:rPr>
                <w:rFonts w:asciiTheme="majorHAnsi" w:hAnsiTheme="majorHAnsi" w:cstheme="majorHAnsi"/>
                <w:sz w:val="18"/>
                <w:szCs w:val="18"/>
              </w:rPr>
            </w:pPr>
          </w:p>
          <w:p w14:paraId="7920ED97" w14:textId="77777777" w:rsidR="00BC4A0C" w:rsidRPr="00BC4A0C" w:rsidRDefault="00BC4A0C" w:rsidP="00BC4A0C">
            <w:pPr>
              <w:rPr>
                <w:rFonts w:asciiTheme="majorHAnsi" w:hAnsiTheme="majorHAnsi" w:cstheme="majorHAnsi"/>
                <w:sz w:val="18"/>
                <w:szCs w:val="18"/>
              </w:rPr>
            </w:pPr>
          </w:p>
          <w:p w14:paraId="7F47B961"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t>Námitka č. 2:</w:t>
            </w:r>
          </w:p>
          <w:p w14:paraId="7D9FC46E"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U regulativu výroby lehké (VL) namítám maximální výšku zástavby  (12 m) jako přílišnou a teoreticky poškozující místní ráz. Namítám, že maximální výška 10 m uspokojí potřeby takové plochy.</w:t>
            </w:r>
          </w:p>
          <w:p w14:paraId="753FBC73"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V některých místech (v mém sousedství např. vrch Šibice) je lehká výroba situována bez clon či na návrších (původně statky), odkud je dobře viditelná. Stavby lehké výroby jsou povětšinou účelové, nedosahují vysokých architektonických kvalit, a proto není účelné je příliš vyzdvihovat. Při dané výšce 10 m je možné uspokojit potřeby plochy a počítat s cloněním přilehlou zelení.</w:t>
            </w:r>
          </w:p>
          <w:p w14:paraId="292D77CC"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Navrhuji upravit regulativ lehké výroby na maximální výšku zástavby 10 m.</w:t>
            </w:r>
          </w:p>
          <w:p w14:paraId="505995DD" w14:textId="77777777" w:rsidR="00BC4A0C" w:rsidRPr="00BC4A0C" w:rsidRDefault="00BC4A0C" w:rsidP="00BC4A0C">
            <w:pPr>
              <w:rPr>
                <w:rFonts w:asciiTheme="majorHAnsi" w:hAnsiTheme="majorHAnsi" w:cstheme="majorHAnsi"/>
                <w:sz w:val="18"/>
                <w:szCs w:val="18"/>
              </w:rPr>
            </w:pPr>
          </w:p>
          <w:p w14:paraId="17D72770"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t>Námitka č. 3:</w:t>
            </w:r>
          </w:p>
          <w:p w14:paraId="3410B999"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Namítám, že by bylo účelné veřejně prospěšné stavby či veřejně prospěšná prostranství rozšířit o prostor stávající silniční komunikace z Vápenska do Milovic a Zbožíčka na území katastru Hronětic, která je v havarijním stavu, a která čeká na svou rekonstrukci či přestavbu do doby vyřešení majetkoprávních souvislostí. Nevymezení této komunikace mezi veřejně prospěšné pokládám za chybu či nedopatření, které by znamenalo oddalování či znemožnění rekonstrukce této komunikace, čímž se cítí dotčeno mnoho jejích uživatelů z našich obcí i okolí, včetně mě. Obec si tímto postupem, kdy ji nevymezí jako veřejně prospěšnou, komplikuje práci. Při stávající situaci by výkupy mohly trvat další desítky let.</w:t>
            </w:r>
          </w:p>
          <w:p w14:paraId="00ACE81F"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Navrhuji vymezené veřejně prospěšné stavby či veřejně prospěšná prostranství rozšířit o prostor stávající silniční komunikace z Vápenska do Milovic a Zbožíčka na území katastru Hronětic.</w:t>
            </w:r>
          </w:p>
          <w:p w14:paraId="04518FF5" w14:textId="77777777" w:rsidR="00BC4A0C" w:rsidRPr="00BC4A0C" w:rsidRDefault="00BC4A0C" w:rsidP="00BC4A0C">
            <w:pPr>
              <w:rPr>
                <w:rFonts w:asciiTheme="majorHAnsi" w:hAnsiTheme="majorHAnsi" w:cstheme="majorHAnsi"/>
                <w:sz w:val="18"/>
                <w:szCs w:val="18"/>
              </w:rPr>
            </w:pPr>
          </w:p>
          <w:p w14:paraId="480C614D" w14:textId="77777777" w:rsidR="00BC4A0C" w:rsidRPr="00BC4A0C" w:rsidRDefault="00BC4A0C" w:rsidP="00BC4A0C">
            <w:pPr>
              <w:rPr>
                <w:rFonts w:asciiTheme="majorHAnsi" w:hAnsiTheme="majorHAnsi" w:cstheme="majorHAnsi"/>
                <w:sz w:val="18"/>
                <w:szCs w:val="18"/>
              </w:rPr>
            </w:pPr>
          </w:p>
          <w:p w14:paraId="1DFDAE42" w14:textId="77777777" w:rsidR="00BC4A0C" w:rsidRPr="00BC4A0C" w:rsidRDefault="00BC4A0C" w:rsidP="00BC4A0C">
            <w:pPr>
              <w:rPr>
                <w:rFonts w:asciiTheme="majorHAnsi" w:hAnsiTheme="majorHAnsi" w:cstheme="majorHAnsi"/>
                <w:sz w:val="18"/>
                <w:szCs w:val="18"/>
              </w:rPr>
            </w:pPr>
          </w:p>
          <w:p w14:paraId="2812E80E" w14:textId="77777777" w:rsidR="00BC4A0C" w:rsidRPr="00BC4A0C" w:rsidRDefault="00BC4A0C" w:rsidP="00BC4A0C">
            <w:pPr>
              <w:rPr>
                <w:rFonts w:asciiTheme="majorHAnsi" w:hAnsiTheme="majorHAnsi" w:cstheme="majorHAnsi"/>
                <w:sz w:val="18"/>
                <w:szCs w:val="18"/>
              </w:rPr>
            </w:pPr>
          </w:p>
          <w:p w14:paraId="785D1EE6" w14:textId="77777777" w:rsidR="00BC4A0C" w:rsidRPr="00BC4A0C" w:rsidRDefault="00BC4A0C" w:rsidP="00BC4A0C">
            <w:pPr>
              <w:rPr>
                <w:rFonts w:asciiTheme="majorHAnsi" w:hAnsiTheme="majorHAnsi" w:cstheme="majorHAnsi"/>
                <w:sz w:val="18"/>
                <w:szCs w:val="18"/>
              </w:rPr>
            </w:pPr>
          </w:p>
          <w:p w14:paraId="27775824"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t>Námitka č.4:</w:t>
            </w:r>
          </w:p>
          <w:p w14:paraId="287D16D9"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Návrh neřeší dostatečně bezmotorové propojení z Vápenska na polní cestu od Milovic, čímž se cítím dotčen jako uživatel této relace při dopravní či rekreační cestě na jízdním kole. (zkráceno, celé znění námitky viz spis).</w:t>
            </w:r>
          </w:p>
          <w:p w14:paraId="61E25E65"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Navrhuji vymezit, alespoň „</w:t>
            </w:r>
            <w:bookmarkStart w:id="485" w:name="_Hlk175903518"/>
            <w:r w:rsidRPr="00BC4A0C">
              <w:rPr>
                <w:rFonts w:asciiTheme="majorHAnsi" w:hAnsiTheme="majorHAnsi" w:cstheme="majorHAnsi"/>
                <w:sz w:val="18"/>
                <w:szCs w:val="18"/>
              </w:rPr>
              <w:t>koncepční šipkou“ cestu k obnově pro účely bezmotorového spojení  a rekreace v k. ú. Hronětice na pozemcích parc. č. : 453, 316/116, 316/64, 316/103.</w:t>
            </w:r>
          </w:p>
          <w:bookmarkEnd w:id="485"/>
          <w:p w14:paraId="444C212F" w14:textId="77777777" w:rsidR="00BC4A0C" w:rsidRPr="00BC4A0C" w:rsidRDefault="00BC4A0C" w:rsidP="00BC4A0C">
            <w:pPr>
              <w:rPr>
                <w:rFonts w:asciiTheme="majorHAnsi" w:hAnsiTheme="majorHAnsi" w:cstheme="majorHAnsi"/>
                <w:sz w:val="18"/>
                <w:szCs w:val="18"/>
              </w:rPr>
            </w:pPr>
          </w:p>
          <w:p w14:paraId="37A1CF68" w14:textId="77777777" w:rsidR="00BC4A0C" w:rsidRPr="00BC4A0C" w:rsidRDefault="00BC4A0C" w:rsidP="00BC4A0C">
            <w:pPr>
              <w:rPr>
                <w:rFonts w:asciiTheme="majorHAnsi" w:hAnsiTheme="majorHAnsi" w:cstheme="majorHAnsi"/>
                <w:sz w:val="18"/>
                <w:szCs w:val="18"/>
              </w:rPr>
            </w:pPr>
          </w:p>
          <w:p w14:paraId="559E9F9F" w14:textId="77777777" w:rsidR="00BC4A0C" w:rsidRPr="00BC4A0C" w:rsidRDefault="00BC4A0C" w:rsidP="00BC4A0C">
            <w:pPr>
              <w:rPr>
                <w:rFonts w:asciiTheme="majorHAnsi" w:hAnsiTheme="majorHAnsi" w:cstheme="majorHAnsi"/>
                <w:sz w:val="18"/>
                <w:szCs w:val="18"/>
              </w:rPr>
            </w:pPr>
          </w:p>
          <w:p w14:paraId="415E849B" w14:textId="77777777" w:rsidR="00BC4A0C" w:rsidRPr="00BC4A0C" w:rsidRDefault="00BC4A0C" w:rsidP="00BC4A0C">
            <w:pPr>
              <w:rPr>
                <w:rFonts w:asciiTheme="majorHAnsi" w:hAnsiTheme="majorHAnsi" w:cstheme="majorHAnsi"/>
                <w:sz w:val="18"/>
                <w:szCs w:val="18"/>
              </w:rPr>
            </w:pPr>
          </w:p>
          <w:p w14:paraId="62121316" w14:textId="77777777" w:rsidR="00BC4A0C" w:rsidRPr="00BC4A0C" w:rsidRDefault="00BC4A0C" w:rsidP="00BC4A0C">
            <w:pPr>
              <w:rPr>
                <w:rFonts w:asciiTheme="majorHAnsi" w:hAnsiTheme="majorHAnsi" w:cstheme="majorHAnsi"/>
                <w:sz w:val="18"/>
                <w:szCs w:val="18"/>
              </w:rPr>
            </w:pPr>
          </w:p>
          <w:p w14:paraId="6A731898" w14:textId="77777777" w:rsidR="00BC4A0C" w:rsidRPr="00BC4A0C" w:rsidRDefault="00BC4A0C" w:rsidP="00BC4A0C">
            <w:pPr>
              <w:rPr>
                <w:rFonts w:asciiTheme="majorHAnsi" w:hAnsiTheme="majorHAnsi" w:cstheme="majorHAnsi"/>
                <w:sz w:val="18"/>
                <w:szCs w:val="18"/>
              </w:rPr>
            </w:pPr>
          </w:p>
          <w:p w14:paraId="5C8364BF" w14:textId="77777777" w:rsidR="00BC4A0C" w:rsidRPr="00BC4A0C" w:rsidRDefault="00BC4A0C" w:rsidP="00BC4A0C">
            <w:pPr>
              <w:rPr>
                <w:rFonts w:asciiTheme="majorHAnsi" w:hAnsiTheme="majorHAnsi" w:cstheme="majorHAnsi"/>
                <w:sz w:val="18"/>
                <w:szCs w:val="18"/>
              </w:rPr>
            </w:pPr>
          </w:p>
          <w:p w14:paraId="37BCD1F2"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t>Námitka č. 5:</w:t>
            </w:r>
          </w:p>
          <w:p w14:paraId="61CF1398"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lastRenderedPageBreak/>
              <w:t>Namítám nevymezení bezmotorové spojnice („koncepční šipky“) či cyklostezky podél jižní strany železniční trati mezi přejezdem u Rozkoše a západním okrajem katastrálního území Lány u Kostomlat nad Labem. Jako uživatel této relace na jízdním kole se cítím dotčen neřešením problematiky bezpečné přímé bezmotorové regionální trasy do Lysé nad Labem, resp. mezi Nymburkem a Lysou nad Labem, a to nikoliv podél řeky Labe, kdy tato trasa je vlivem meandrování o desítky procent delší. (zkráceno, celé znění námitky viz spis).</w:t>
            </w:r>
          </w:p>
          <w:p w14:paraId="602F9086"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Navrhuje vymezit alespoň „koncepční šipkou“ či cyklostezkou poptávané bezmotorové spojení mezi Kostomlaty nad Labem , Ostrou a Lysou nad Labem po pozemcích v katastrálním území Kostomlaty nad Labem parc. č. : 905/96, 905/95, 942/25, 942/22, 905/97, 905/93, 942/23 a v k. ú. Lány u Kostomlaty nad Labem p. č. 357/1, 332, 400/4, 326/6, 400/3, 400/1, 357/5, 357/4, 357/3.</w:t>
            </w:r>
          </w:p>
          <w:p w14:paraId="1BC84A83" w14:textId="77777777" w:rsidR="00BC4A0C" w:rsidRPr="00BC4A0C" w:rsidRDefault="00BC4A0C" w:rsidP="00BC4A0C">
            <w:pPr>
              <w:rPr>
                <w:rFonts w:asciiTheme="majorHAnsi" w:hAnsiTheme="majorHAnsi" w:cstheme="majorHAnsi"/>
                <w:sz w:val="18"/>
                <w:szCs w:val="18"/>
              </w:rPr>
            </w:pPr>
          </w:p>
          <w:p w14:paraId="6DDF314B"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t>Námitka č. 6:</w:t>
            </w:r>
          </w:p>
          <w:p w14:paraId="267302CF"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Jako uživatel jízdního kola v dané relaci se cítím dotčen nevymezením „koncepční šipky“ či cyklotrasy po stávajících málo sjízdných cestních pozemcích západně od Rozkoše, které jsou v majetku obce, a na které obec Stratov navázala vymezením cestních pozemků k železniční zastávce Stratov. Spolu s obyvateli Rozkoše bych se tak mohl z Lán dostat bez ztracených spádů na železniční zastávku Stratov či dále do Ostré. Pro mě a hlavně pro obyvatele Rozkoše tato spojnice dává smysl, neboť zastávka Stratov je po ní z Rozkoše rychleji dostupná než železniční stanice Kostomlaty nad Labem. Územní plán tak dle mého názoru nedostatečně iniciuje zlepšení dopravní obslužnosti místní části Rozkoš vč. Zlepšení dalších relací, pokud by tato cesta doznala vyšší míry zpevnění, resp. kdyby s ní bylo koncepčně počítáno.</w:t>
            </w:r>
          </w:p>
          <w:p w14:paraId="253F7CB8"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Navrhuji vymezit alespoň „koncepční šipkou“ či cyklostezkou poptávané bezmotorové spojení mezi Rozkoší a železniční zastávkou Stratov po pozemku v k. ú. Lány u Kostomlat nad Labem parc. č. 399.</w:t>
            </w:r>
          </w:p>
          <w:p w14:paraId="0FA05731" w14:textId="77777777" w:rsidR="00BC4A0C" w:rsidRPr="00BC4A0C" w:rsidRDefault="00BC4A0C" w:rsidP="00BC4A0C">
            <w:pPr>
              <w:rPr>
                <w:rFonts w:asciiTheme="majorHAnsi" w:hAnsiTheme="majorHAnsi" w:cstheme="majorHAnsi"/>
                <w:sz w:val="18"/>
                <w:szCs w:val="18"/>
              </w:rPr>
            </w:pPr>
          </w:p>
          <w:p w14:paraId="153DBD0F" w14:textId="77777777" w:rsidR="00BC4A0C" w:rsidRPr="00BC4A0C" w:rsidRDefault="00BC4A0C" w:rsidP="00BC4A0C">
            <w:pPr>
              <w:pStyle w:val="Odstavecseseznamem"/>
              <w:ind w:left="1080"/>
              <w:rPr>
                <w:rFonts w:asciiTheme="majorHAnsi" w:hAnsiTheme="majorHAnsi" w:cstheme="majorHAnsi"/>
                <w:b/>
                <w:bCs/>
                <w:sz w:val="18"/>
                <w:szCs w:val="18"/>
              </w:rPr>
            </w:pPr>
          </w:p>
        </w:tc>
        <w:tc>
          <w:tcPr>
            <w:tcW w:w="3118" w:type="dxa"/>
          </w:tcPr>
          <w:p w14:paraId="7C8A9C25" w14:textId="77777777" w:rsidR="00BC4A0C" w:rsidRPr="00BC4A0C" w:rsidRDefault="00BC4A0C" w:rsidP="00BC4A0C">
            <w:pPr>
              <w:rPr>
                <w:rFonts w:asciiTheme="majorHAnsi" w:hAnsiTheme="majorHAnsi" w:cstheme="majorHAnsi"/>
                <w:b/>
                <w:bCs/>
                <w:sz w:val="18"/>
                <w:szCs w:val="18"/>
              </w:rPr>
            </w:pPr>
          </w:p>
          <w:p w14:paraId="6C954461"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t xml:space="preserve">Rozhodnutí: </w:t>
            </w:r>
          </w:p>
          <w:p w14:paraId="356D30B4"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t xml:space="preserve">Námitce se vyhovuje v tom, že </w:t>
            </w:r>
            <w:bookmarkStart w:id="486" w:name="_Hlk175903461"/>
            <w:r w:rsidRPr="00BC4A0C">
              <w:rPr>
                <w:rFonts w:asciiTheme="majorHAnsi" w:hAnsiTheme="majorHAnsi" w:cstheme="majorHAnsi"/>
                <w:b/>
                <w:bCs/>
                <w:sz w:val="18"/>
                <w:szCs w:val="18"/>
              </w:rPr>
              <w:t>v místě stávajícího úrovňového přejezdu a v místě železniční stanice bude v územním plánu vyznačena koncepční šipka</w:t>
            </w:r>
            <w:r w:rsidRPr="00BC4A0C">
              <w:rPr>
                <w:rFonts w:asciiTheme="majorHAnsi" w:hAnsiTheme="majorHAnsi" w:cstheme="majorHAnsi"/>
                <w:b/>
                <w:bCs/>
                <w:sz w:val="18"/>
                <w:szCs w:val="18"/>
                <w:highlight w:val="yellow"/>
              </w:rPr>
              <w:t>.</w:t>
            </w:r>
          </w:p>
          <w:bookmarkEnd w:id="486"/>
          <w:p w14:paraId="38F23FC9"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t>Ostatní části námitky se zamítají.</w:t>
            </w:r>
          </w:p>
          <w:p w14:paraId="4085C60E"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 xml:space="preserve"> </w:t>
            </w:r>
          </w:p>
          <w:p w14:paraId="670BDE3A" w14:textId="77777777" w:rsidR="00BC4A0C" w:rsidRPr="00BC4A0C" w:rsidRDefault="00BC4A0C" w:rsidP="00BC4A0C">
            <w:pPr>
              <w:rPr>
                <w:rFonts w:asciiTheme="majorHAnsi" w:hAnsiTheme="majorHAnsi" w:cstheme="majorHAnsi"/>
                <w:sz w:val="18"/>
                <w:szCs w:val="18"/>
                <w:u w:val="single"/>
              </w:rPr>
            </w:pPr>
            <w:r w:rsidRPr="00BC4A0C">
              <w:rPr>
                <w:rFonts w:asciiTheme="majorHAnsi" w:hAnsiTheme="majorHAnsi" w:cstheme="majorHAnsi"/>
                <w:sz w:val="18"/>
                <w:szCs w:val="18"/>
                <w:u w:val="single"/>
              </w:rPr>
              <w:t>Odůvodnění:</w:t>
            </w:r>
          </w:p>
          <w:p w14:paraId="4D593A6D"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 xml:space="preserve">Podmínky ploch DD a DZ a stanovený koridor KDZ1 umístění podjezdu pro osobní automobily v místě stávajícího přejezdu mezi Lány a Kostomlaty nad Labem územní plán umožňují. </w:t>
            </w:r>
          </w:p>
          <w:p w14:paraId="73233BE4"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Projekční práce mimoúrovňových křížení s železnicí – viz odůvodnění námitky č. V.</w:t>
            </w:r>
          </w:p>
          <w:p w14:paraId="29BD80EE"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Umístění parkoviště B+R je mimo podrobnost územního plánu.</w:t>
            </w:r>
          </w:p>
          <w:p w14:paraId="660801E6" w14:textId="77777777" w:rsidR="00BC4A0C" w:rsidRPr="00BC4A0C" w:rsidRDefault="00BC4A0C" w:rsidP="00BC4A0C">
            <w:pPr>
              <w:rPr>
                <w:rFonts w:asciiTheme="majorHAnsi" w:hAnsiTheme="majorHAnsi" w:cstheme="majorHAnsi"/>
                <w:b/>
                <w:bCs/>
                <w:sz w:val="18"/>
                <w:szCs w:val="18"/>
              </w:rPr>
            </w:pPr>
          </w:p>
          <w:p w14:paraId="5C3DD3C8" w14:textId="77777777" w:rsidR="00BC4A0C" w:rsidRPr="00BC4A0C" w:rsidRDefault="00BC4A0C" w:rsidP="00BC4A0C">
            <w:pPr>
              <w:rPr>
                <w:rFonts w:asciiTheme="majorHAnsi" w:hAnsiTheme="majorHAnsi" w:cstheme="majorHAnsi"/>
                <w:b/>
                <w:bCs/>
                <w:sz w:val="18"/>
                <w:szCs w:val="18"/>
              </w:rPr>
            </w:pPr>
          </w:p>
          <w:p w14:paraId="4AF289D4" w14:textId="77777777" w:rsidR="00BC4A0C" w:rsidRPr="00BC4A0C" w:rsidRDefault="00BC4A0C" w:rsidP="00BC4A0C">
            <w:pPr>
              <w:rPr>
                <w:rFonts w:asciiTheme="majorHAnsi" w:hAnsiTheme="majorHAnsi" w:cstheme="majorHAnsi"/>
                <w:b/>
                <w:bCs/>
                <w:sz w:val="18"/>
                <w:szCs w:val="18"/>
              </w:rPr>
            </w:pPr>
          </w:p>
          <w:p w14:paraId="559E729D" w14:textId="77777777" w:rsidR="00BC4A0C" w:rsidRPr="00BC4A0C" w:rsidRDefault="00BC4A0C" w:rsidP="00BC4A0C">
            <w:pPr>
              <w:rPr>
                <w:rFonts w:asciiTheme="majorHAnsi" w:hAnsiTheme="majorHAnsi" w:cstheme="majorHAnsi"/>
                <w:b/>
                <w:bCs/>
                <w:sz w:val="18"/>
                <w:szCs w:val="18"/>
              </w:rPr>
            </w:pPr>
          </w:p>
          <w:p w14:paraId="3A9FE0C1" w14:textId="77777777" w:rsidR="00BC4A0C" w:rsidRPr="00BC4A0C" w:rsidRDefault="00BC4A0C" w:rsidP="00BC4A0C">
            <w:pPr>
              <w:rPr>
                <w:rFonts w:asciiTheme="majorHAnsi" w:hAnsiTheme="majorHAnsi" w:cstheme="majorHAnsi"/>
                <w:b/>
                <w:bCs/>
                <w:sz w:val="18"/>
                <w:szCs w:val="18"/>
              </w:rPr>
            </w:pPr>
          </w:p>
          <w:p w14:paraId="227E1F49" w14:textId="77777777" w:rsidR="00BC4A0C" w:rsidRPr="00BC4A0C" w:rsidRDefault="00BC4A0C" w:rsidP="00BC4A0C">
            <w:pPr>
              <w:rPr>
                <w:rFonts w:asciiTheme="majorHAnsi" w:hAnsiTheme="majorHAnsi" w:cstheme="majorHAnsi"/>
                <w:b/>
                <w:bCs/>
                <w:sz w:val="18"/>
                <w:szCs w:val="18"/>
              </w:rPr>
            </w:pPr>
          </w:p>
          <w:p w14:paraId="5B82FED2" w14:textId="77777777" w:rsidR="00BC4A0C" w:rsidRPr="00BC4A0C" w:rsidRDefault="00BC4A0C" w:rsidP="00BC4A0C">
            <w:pPr>
              <w:rPr>
                <w:rFonts w:asciiTheme="majorHAnsi" w:hAnsiTheme="majorHAnsi" w:cstheme="majorHAnsi"/>
                <w:b/>
                <w:bCs/>
                <w:sz w:val="18"/>
                <w:szCs w:val="18"/>
              </w:rPr>
            </w:pPr>
          </w:p>
          <w:p w14:paraId="4B76AD2F" w14:textId="77777777" w:rsidR="00BC4A0C" w:rsidRPr="00BC4A0C" w:rsidRDefault="00BC4A0C" w:rsidP="00BC4A0C">
            <w:pPr>
              <w:rPr>
                <w:rFonts w:asciiTheme="majorHAnsi" w:hAnsiTheme="majorHAnsi" w:cstheme="majorHAnsi"/>
                <w:b/>
                <w:bCs/>
                <w:sz w:val="18"/>
                <w:szCs w:val="18"/>
              </w:rPr>
            </w:pPr>
          </w:p>
          <w:p w14:paraId="22DEB752" w14:textId="77777777" w:rsidR="00BC4A0C" w:rsidRPr="00BC4A0C" w:rsidRDefault="00BC4A0C" w:rsidP="00BC4A0C">
            <w:pPr>
              <w:rPr>
                <w:rFonts w:asciiTheme="majorHAnsi" w:hAnsiTheme="majorHAnsi" w:cstheme="majorHAnsi"/>
                <w:b/>
                <w:bCs/>
                <w:sz w:val="18"/>
                <w:szCs w:val="18"/>
              </w:rPr>
            </w:pPr>
          </w:p>
          <w:p w14:paraId="552B970F" w14:textId="77777777" w:rsidR="00BC4A0C" w:rsidRPr="00BC4A0C" w:rsidRDefault="00BC4A0C" w:rsidP="00BC4A0C">
            <w:pPr>
              <w:rPr>
                <w:rFonts w:asciiTheme="majorHAnsi" w:hAnsiTheme="majorHAnsi" w:cstheme="majorHAnsi"/>
                <w:b/>
                <w:bCs/>
                <w:sz w:val="18"/>
                <w:szCs w:val="18"/>
              </w:rPr>
            </w:pPr>
          </w:p>
          <w:p w14:paraId="044F053A" w14:textId="77777777" w:rsidR="00BC4A0C" w:rsidRPr="00BC4A0C" w:rsidRDefault="00BC4A0C" w:rsidP="00BC4A0C">
            <w:pPr>
              <w:rPr>
                <w:rFonts w:asciiTheme="majorHAnsi" w:hAnsiTheme="majorHAnsi" w:cstheme="majorHAnsi"/>
                <w:b/>
                <w:bCs/>
                <w:sz w:val="18"/>
                <w:szCs w:val="18"/>
              </w:rPr>
            </w:pPr>
          </w:p>
          <w:p w14:paraId="66882F53" w14:textId="77777777" w:rsidR="00BC4A0C" w:rsidRPr="00BC4A0C" w:rsidRDefault="00BC4A0C" w:rsidP="00BC4A0C">
            <w:pPr>
              <w:rPr>
                <w:rFonts w:asciiTheme="majorHAnsi" w:hAnsiTheme="majorHAnsi" w:cstheme="majorHAnsi"/>
                <w:b/>
                <w:bCs/>
                <w:sz w:val="18"/>
                <w:szCs w:val="18"/>
              </w:rPr>
            </w:pPr>
          </w:p>
          <w:p w14:paraId="118C7845" w14:textId="77777777" w:rsidR="00BC4A0C" w:rsidRPr="00BC4A0C" w:rsidRDefault="00BC4A0C" w:rsidP="00BC4A0C">
            <w:pPr>
              <w:rPr>
                <w:rFonts w:asciiTheme="majorHAnsi" w:hAnsiTheme="majorHAnsi" w:cstheme="majorHAnsi"/>
                <w:b/>
                <w:bCs/>
                <w:sz w:val="18"/>
                <w:szCs w:val="18"/>
              </w:rPr>
            </w:pPr>
          </w:p>
          <w:p w14:paraId="54EE9EDF" w14:textId="77777777" w:rsidR="00BC4A0C" w:rsidRPr="00BC4A0C" w:rsidRDefault="00BC4A0C" w:rsidP="00BC4A0C">
            <w:pPr>
              <w:rPr>
                <w:rFonts w:asciiTheme="majorHAnsi" w:hAnsiTheme="majorHAnsi" w:cstheme="majorHAnsi"/>
                <w:b/>
                <w:bCs/>
                <w:sz w:val="18"/>
                <w:szCs w:val="18"/>
              </w:rPr>
            </w:pPr>
          </w:p>
          <w:p w14:paraId="6151A681" w14:textId="77777777" w:rsidR="00BC4A0C" w:rsidRPr="00BC4A0C" w:rsidRDefault="00BC4A0C" w:rsidP="00BC4A0C">
            <w:pPr>
              <w:rPr>
                <w:rFonts w:asciiTheme="majorHAnsi" w:hAnsiTheme="majorHAnsi" w:cstheme="majorHAnsi"/>
                <w:b/>
                <w:bCs/>
                <w:sz w:val="18"/>
                <w:szCs w:val="18"/>
              </w:rPr>
            </w:pPr>
          </w:p>
          <w:p w14:paraId="146D865F" w14:textId="77777777" w:rsidR="00BC4A0C" w:rsidRPr="00BC4A0C" w:rsidRDefault="00BC4A0C" w:rsidP="00BC4A0C">
            <w:pPr>
              <w:rPr>
                <w:rFonts w:asciiTheme="majorHAnsi" w:hAnsiTheme="majorHAnsi" w:cstheme="majorHAnsi"/>
                <w:b/>
                <w:bCs/>
                <w:sz w:val="18"/>
                <w:szCs w:val="18"/>
              </w:rPr>
            </w:pPr>
          </w:p>
          <w:p w14:paraId="48C8A661" w14:textId="77777777" w:rsidR="00BC4A0C" w:rsidRPr="00BC4A0C" w:rsidRDefault="00BC4A0C" w:rsidP="00BC4A0C">
            <w:pPr>
              <w:rPr>
                <w:rFonts w:asciiTheme="majorHAnsi" w:hAnsiTheme="majorHAnsi" w:cstheme="majorHAnsi"/>
                <w:b/>
                <w:bCs/>
                <w:sz w:val="18"/>
                <w:szCs w:val="18"/>
              </w:rPr>
            </w:pPr>
          </w:p>
          <w:p w14:paraId="54A3B619" w14:textId="77777777" w:rsidR="00BC4A0C" w:rsidRPr="00BC4A0C" w:rsidRDefault="00BC4A0C" w:rsidP="00BC4A0C">
            <w:pPr>
              <w:rPr>
                <w:rFonts w:asciiTheme="majorHAnsi" w:hAnsiTheme="majorHAnsi" w:cstheme="majorHAnsi"/>
                <w:b/>
                <w:bCs/>
                <w:sz w:val="18"/>
                <w:szCs w:val="18"/>
              </w:rPr>
            </w:pPr>
          </w:p>
          <w:p w14:paraId="278DB546" w14:textId="77777777" w:rsidR="00BC4A0C" w:rsidRPr="00BC4A0C" w:rsidRDefault="00BC4A0C" w:rsidP="00BC4A0C">
            <w:pPr>
              <w:rPr>
                <w:rFonts w:asciiTheme="majorHAnsi" w:hAnsiTheme="majorHAnsi" w:cstheme="majorHAnsi"/>
                <w:b/>
                <w:bCs/>
                <w:sz w:val="18"/>
                <w:szCs w:val="18"/>
              </w:rPr>
            </w:pPr>
          </w:p>
          <w:p w14:paraId="02701041" w14:textId="77777777" w:rsidR="00BC4A0C" w:rsidRPr="00BC4A0C" w:rsidRDefault="00BC4A0C" w:rsidP="00BC4A0C">
            <w:pPr>
              <w:rPr>
                <w:rFonts w:asciiTheme="majorHAnsi" w:hAnsiTheme="majorHAnsi" w:cstheme="majorHAnsi"/>
                <w:b/>
                <w:bCs/>
                <w:sz w:val="18"/>
                <w:szCs w:val="18"/>
              </w:rPr>
            </w:pPr>
          </w:p>
          <w:p w14:paraId="202C4E94" w14:textId="77777777" w:rsidR="00BC4A0C" w:rsidRPr="00BC4A0C" w:rsidRDefault="00BC4A0C" w:rsidP="00BC4A0C">
            <w:pPr>
              <w:rPr>
                <w:rFonts w:asciiTheme="majorHAnsi" w:hAnsiTheme="majorHAnsi" w:cstheme="majorHAnsi"/>
                <w:b/>
                <w:bCs/>
                <w:sz w:val="18"/>
                <w:szCs w:val="18"/>
              </w:rPr>
            </w:pPr>
          </w:p>
          <w:p w14:paraId="5ECF49C0" w14:textId="77777777" w:rsidR="00BC4A0C" w:rsidRPr="00BC4A0C" w:rsidRDefault="00BC4A0C" w:rsidP="00BC4A0C">
            <w:pPr>
              <w:rPr>
                <w:rFonts w:asciiTheme="majorHAnsi" w:hAnsiTheme="majorHAnsi" w:cstheme="majorHAnsi"/>
                <w:b/>
                <w:bCs/>
                <w:sz w:val="18"/>
                <w:szCs w:val="18"/>
              </w:rPr>
            </w:pPr>
          </w:p>
          <w:p w14:paraId="514D2E41" w14:textId="77777777" w:rsidR="00BC4A0C" w:rsidRPr="00BC4A0C" w:rsidRDefault="00BC4A0C" w:rsidP="00BC4A0C">
            <w:pPr>
              <w:rPr>
                <w:rFonts w:asciiTheme="majorHAnsi" w:hAnsiTheme="majorHAnsi" w:cstheme="majorHAnsi"/>
                <w:b/>
                <w:bCs/>
                <w:sz w:val="18"/>
                <w:szCs w:val="18"/>
              </w:rPr>
            </w:pPr>
          </w:p>
          <w:p w14:paraId="18F455D9" w14:textId="77777777" w:rsidR="00BC4A0C" w:rsidRPr="00BC4A0C" w:rsidRDefault="00BC4A0C" w:rsidP="00BC4A0C">
            <w:pPr>
              <w:rPr>
                <w:rFonts w:asciiTheme="majorHAnsi" w:hAnsiTheme="majorHAnsi" w:cstheme="majorHAnsi"/>
                <w:b/>
                <w:bCs/>
                <w:sz w:val="18"/>
                <w:szCs w:val="18"/>
              </w:rPr>
            </w:pPr>
          </w:p>
          <w:p w14:paraId="708E1E53" w14:textId="77777777" w:rsidR="00BC4A0C" w:rsidRPr="00BC4A0C" w:rsidRDefault="00BC4A0C" w:rsidP="00BC4A0C">
            <w:pPr>
              <w:rPr>
                <w:rFonts w:asciiTheme="majorHAnsi" w:hAnsiTheme="majorHAnsi" w:cstheme="majorHAnsi"/>
                <w:b/>
                <w:bCs/>
                <w:sz w:val="18"/>
                <w:szCs w:val="18"/>
              </w:rPr>
            </w:pPr>
          </w:p>
          <w:p w14:paraId="172E54B6" w14:textId="77777777" w:rsidR="00BC4A0C" w:rsidRPr="00BC4A0C" w:rsidRDefault="00BC4A0C" w:rsidP="00BC4A0C">
            <w:pPr>
              <w:rPr>
                <w:rFonts w:asciiTheme="majorHAnsi" w:hAnsiTheme="majorHAnsi" w:cstheme="majorHAnsi"/>
                <w:b/>
                <w:bCs/>
                <w:sz w:val="18"/>
                <w:szCs w:val="18"/>
              </w:rPr>
            </w:pPr>
          </w:p>
          <w:p w14:paraId="677475A6" w14:textId="77777777" w:rsidR="00BC4A0C" w:rsidRPr="00BC4A0C" w:rsidRDefault="00BC4A0C" w:rsidP="00BC4A0C">
            <w:pPr>
              <w:rPr>
                <w:rFonts w:asciiTheme="majorHAnsi" w:hAnsiTheme="majorHAnsi" w:cstheme="majorHAnsi"/>
                <w:b/>
                <w:bCs/>
                <w:sz w:val="18"/>
                <w:szCs w:val="18"/>
              </w:rPr>
            </w:pPr>
          </w:p>
          <w:p w14:paraId="79D24F99" w14:textId="77777777" w:rsidR="00BC4A0C" w:rsidRPr="00BC4A0C" w:rsidRDefault="00BC4A0C" w:rsidP="00BC4A0C">
            <w:pPr>
              <w:rPr>
                <w:rFonts w:asciiTheme="majorHAnsi" w:hAnsiTheme="majorHAnsi" w:cstheme="majorHAnsi"/>
                <w:b/>
                <w:bCs/>
                <w:sz w:val="18"/>
                <w:szCs w:val="18"/>
              </w:rPr>
            </w:pPr>
          </w:p>
          <w:p w14:paraId="144488CF" w14:textId="77777777" w:rsidR="00BC4A0C" w:rsidRPr="00BC4A0C" w:rsidRDefault="00BC4A0C" w:rsidP="00BC4A0C">
            <w:pPr>
              <w:rPr>
                <w:rFonts w:asciiTheme="majorHAnsi" w:hAnsiTheme="majorHAnsi" w:cstheme="majorHAnsi"/>
                <w:b/>
                <w:bCs/>
                <w:sz w:val="18"/>
                <w:szCs w:val="18"/>
              </w:rPr>
            </w:pPr>
          </w:p>
          <w:p w14:paraId="24413A27" w14:textId="77777777" w:rsidR="00BC4A0C" w:rsidRPr="00BC4A0C" w:rsidRDefault="00BC4A0C" w:rsidP="00BC4A0C">
            <w:pPr>
              <w:rPr>
                <w:rFonts w:asciiTheme="majorHAnsi" w:hAnsiTheme="majorHAnsi" w:cstheme="majorHAnsi"/>
                <w:b/>
                <w:bCs/>
                <w:sz w:val="18"/>
                <w:szCs w:val="18"/>
              </w:rPr>
            </w:pPr>
          </w:p>
          <w:p w14:paraId="7560B28C" w14:textId="77777777" w:rsidR="00BC4A0C" w:rsidRPr="00BC4A0C" w:rsidRDefault="00BC4A0C" w:rsidP="00BC4A0C">
            <w:pPr>
              <w:rPr>
                <w:rFonts w:asciiTheme="majorHAnsi" w:hAnsiTheme="majorHAnsi" w:cstheme="majorHAnsi"/>
                <w:b/>
                <w:bCs/>
                <w:sz w:val="18"/>
                <w:szCs w:val="18"/>
              </w:rPr>
            </w:pPr>
          </w:p>
          <w:p w14:paraId="19AE9089" w14:textId="77777777" w:rsidR="00BC4A0C" w:rsidRPr="00BC4A0C" w:rsidRDefault="00BC4A0C" w:rsidP="00BC4A0C">
            <w:pPr>
              <w:rPr>
                <w:rFonts w:asciiTheme="majorHAnsi" w:hAnsiTheme="majorHAnsi" w:cstheme="majorHAnsi"/>
                <w:b/>
                <w:bCs/>
                <w:sz w:val="18"/>
                <w:szCs w:val="18"/>
              </w:rPr>
            </w:pPr>
          </w:p>
          <w:p w14:paraId="58EB8BFE" w14:textId="77777777" w:rsidR="00BC4A0C" w:rsidRPr="00BC4A0C" w:rsidRDefault="00BC4A0C" w:rsidP="00BC4A0C">
            <w:pPr>
              <w:rPr>
                <w:rFonts w:asciiTheme="majorHAnsi" w:hAnsiTheme="majorHAnsi" w:cstheme="majorHAnsi"/>
                <w:b/>
                <w:bCs/>
                <w:sz w:val="18"/>
                <w:szCs w:val="18"/>
              </w:rPr>
            </w:pPr>
          </w:p>
          <w:p w14:paraId="5F668044" w14:textId="77777777" w:rsidR="00BC4A0C" w:rsidRPr="00BC4A0C" w:rsidRDefault="00BC4A0C" w:rsidP="00BC4A0C">
            <w:pPr>
              <w:rPr>
                <w:rFonts w:asciiTheme="majorHAnsi" w:hAnsiTheme="majorHAnsi" w:cstheme="majorHAnsi"/>
                <w:b/>
                <w:bCs/>
                <w:sz w:val="18"/>
                <w:szCs w:val="18"/>
              </w:rPr>
            </w:pPr>
          </w:p>
          <w:p w14:paraId="7A53873E" w14:textId="77777777" w:rsidR="00BC4A0C" w:rsidRPr="00BC4A0C" w:rsidRDefault="00BC4A0C" w:rsidP="00BC4A0C">
            <w:pPr>
              <w:rPr>
                <w:rFonts w:asciiTheme="majorHAnsi" w:hAnsiTheme="majorHAnsi" w:cstheme="majorHAnsi"/>
                <w:b/>
                <w:bCs/>
                <w:sz w:val="18"/>
                <w:szCs w:val="18"/>
              </w:rPr>
            </w:pPr>
          </w:p>
          <w:p w14:paraId="71784DDB"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t>Rozhodnutí: Námitka se zamítá.</w:t>
            </w:r>
          </w:p>
          <w:p w14:paraId="2F4FBFF9" w14:textId="77777777" w:rsidR="00BC4A0C" w:rsidRPr="00BC4A0C" w:rsidRDefault="00BC4A0C" w:rsidP="00BC4A0C">
            <w:pPr>
              <w:rPr>
                <w:rFonts w:asciiTheme="majorHAnsi" w:hAnsiTheme="majorHAnsi" w:cstheme="majorHAnsi"/>
                <w:b/>
                <w:bCs/>
                <w:sz w:val="18"/>
                <w:szCs w:val="18"/>
              </w:rPr>
            </w:pPr>
          </w:p>
          <w:p w14:paraId="21847F36" w14:textId="77777777" w:rsidR="00BC4A0C" w:rsidRPr="00BC4A0C" w:rsidRDefault="00BC4A0C" w:rsidP="00BC4A0C">
            <w:pPr>
              <w:rPr>
                <w:rFonts w:asciiTheme="majorHAnsi" w:hAnsiTheme="majorHAnsi" w:cstheme="majorHAnsi"/>
                <w:sz w:val="18"/>
                <w:szCs w:val="18"/>
                <w:u w:val="single"/>
              </w:rPr>
            </w:pPr>
            <w:r w:rsidRPr="00BC4A0C">
              <w:rPr>
                <w:rFonts w:asciiTheme="majorHAnsi" w:hAnsiTheme="majorHAnsi" w:cstheme="majorHAnsi"/>
                <w:sz w:val="18"/>
                <w:szCs w:val="18"/>
                <w:u w:val="single"/>
              </w:rPr>
              <w:t>Odůvodnění:</w:t>
            </w:r>
          </w:p>
          <w:p w14:paraId="73110697"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Ve stabilizovaných plochách lehké výroby (VL) jsou stávající stavby s větší výškou než 10 m.</w:t>
            </w:r>
          </w:p>
          <w:p w14:paraId="6F36D619" w14:textId="77777777" w:rsidR="00BC4A0C" w:rsidRPr="00BC4A0C" w:rsidRDefault="00BC4A0C" w:rsidP="00BC4A0C">
            <w:pPr>
              <w:rPr>
                <w:rFonts w:asciiTheme="majorHAnsi" w:hAnsiTheme="majorHAnsi" w:cstheme="majorHAnsi"/>
                <w:b/>
                <w:bCs/>
                <w:sz w:val="18"/>
                <w:szCs w:val="18"/>
              </w:rPr>
            </w:pPr>
          </w:p>
          <w:p w14:paraId="25C0780B" w14:textId="77777777" w:rsidR="00BC4A0C" w:rsidRPr="00BC4A0C" w:rsidRDefault="00BC4A0C" w:rsidP="00BC4A0C">
            <w:pPr>
              <w:rPr>
                <w:rFonts w:asciiTheme="majorHAnsi" w:hAnsiTheme="majorHAnsi" w:cstheme="majorHAnsi"/>
                <w:b/>
                <w:bCs/>
                <w:sz w:val="18"/>
                <w:szCs w:val="18"/>
              </w:rPr>
            </w:pPr>
          </w:p>
          <w:p w14:paraId="63C9F451" w14:textId="77777777" w:rsidR="00BC4A0C" w:rsidRPr="00BC4A0C" w:rsidRDefault="00BC4A0C" w:rsidP="00BC4A0C">
            <w:pPr>
              <w:rPr>
                <w:rFonts w:asciiTheme="majorHAnsi" w:hAnsiTheme="majorHAnsi" w:cstheme="majorHAnsi"/>
                <w:b/>
                <w:bCs/>
                <w:sz w:val="18"/>
                <w:szCs w:val="18"/>
              </w:rPr>
            </w:pPr>
          </w:p>
          <w:p w14:paraId="55AEBBB7" w14:textId="77777777" w:rsidR="00BC4A0C" w:rsidRPr="00BC4A0C" w:rsidRDefault="00BC4A0C" w:rsidP="00BC4A0C">
            <w:pPr>
              <w:rPr>
                <w:rFonts w:asciiTheme="majorHAnsi" w:hAnsiTheme="majorHAnsi" w:cstheme="majorHAnsi"/>
                <w:b/>
                <w:bCs/>
                <w:sz w:val="18"/>
                <w:szCs w:val="18"/>
              </w:rPr>
            </w:pPr>
          </w:p>
          <w:p w14:paraId="2B6431B9" w14:textId="77777777" w:rsidR="00BC4A0C" w:rsidRPr="00BC4A0C" w:rsidRDefault="00BC4A0C" w:rsidP="00BC4A0C">
            <w:pPr>
              <w:rPr>
                <w:rFonts w:asciiTheme="majorHAnsi" w:hAnsiTheme="majorHAnsi" w:cstheme="majorHAnsi"/>
                <w:b/>
                <w:bCs/>
                <w:sz w:val="18"/>
                <w:szCs w:val="18"/>
              </w:rPr>
            </w:pPr>
          </w:p>
          <w:p w14:paraId="3DD462AB" w14:textId="77777777" w:rsidR="00BC4A0C" w:rsidRPr="00BC4A0C" w:rsidRDefault="00BC4A0C" w:rsidP="00BC4A0C">
            <w:pPr>
              <w:rPr>
                <w:rFonts w:asciiTheme="majorHAnsi" w:hAnsiTheme="majorHAnsi" w:cstheme="majorHAnsi"/>
                <w:b/>
                <w:bCs/>
                <w:sz w:val="18"/>
                <w:szCs w:val="18"/>
              </w:rPr>
            </w:pPr>
          </w:p>
          <w:p w14:paraId="17DA1982" w14:textId="77777777" w:rsidR="00BC4A0C" w:rsidRPr="00BC4A0C" w:rsidRDefault="00BC4A0C" w:rsidP="00BC4A0C">
            <w:pPr>
              <w:rPr>
                <w:rFonts w:asciiTheme="majorHAnsi" w:hAnsiTheme="majorHAnsi" w:cstheme="majorHAnsi"/>
                <w:b/>
                <w:bCs/>
                <w:sz w:val="18"/>
                <w:szCs w:val="18"/>
              </w:rPr>
            </w:pPr>
          </w:p>
          <w:p w14:paraId="25114C79"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t xml:space="preserve">Rozhodnutí: Námitce se vyhovuje. </w:t>
            </w:r>
            <w:bookmarkStart w:id="487" w:name="_Hlk175903482"/>
            <w:r w:rsidRPr="00BC4A0C">
              <w:rPr>
                <w:rFonts w:asciiTheme="majorHAnsi" w:hAnsiTheme="majorHAnsi" w:cstheme="majorHAnsi"/>
                <w:b/>
                <w:bCs/>
                <w:sz w:val="18"/>
                <w:szCs w:val="18"/>
              </w:rPr>
              <w:t>Rekonstrukce komunikace z Vápenska směrem do Milovic a Zbožíčka bude vymezena jako veřejně prospěšná stavba, pro kterou lze uplatnit předkupní právo.</w:t>
            </w:r>
            <w:bookmarkEnd w:id="487"/>
          </w:p>
          <w:p w14:paraId="23AF72EF" w14:textId="77777777" w:rsidR="00BC4A0C" w:rsidRPr="00BC4A0C" w:rsidRDefault="00BC4A0C" w:rsidP="00BC4A0C">
            <w:pPr>
              <w:rPr>
                <w:rFonts w:asciiTheme="majorHAnsi" w:hAnsiTheme="majorHAnsi" w:cstheme="majorHAnsi"/>
                <w:b/>
                <w:bCs/>
                <w:sz w:val="18"/>
                <w:szCs w:val="18"/>
              </w:rPr>
            </w:pPr>
          </w:p>
          <w:p w14:paraId="1CD8FE69" w14:textId="77777777" w:rsidR="00BC4A0C" w:rsidRPr="00BC4A0C" w:rsidRDefault="00BC4A0C" w:rsidP="00BC4A0C">
            <w:pPr>
              <w:rPr>
                <w:rFonts w:asciiTheme="majorHAnsi" w:hAnsiTheme="majorHAnsi" w:cstheme="majorHAnsi"/>
                <w:sz w:val="18"/>
                <w:szCs w:val="18"/>
                <w:u w:val="single"/>
              </w:rPr>
            </w:pPr>
            <w:r w:rsidRPr="00BC4A0C">
              <w:rPr>
                <w:rFonts w:asciiTheme="majorHAnsi" w:hAnsiTheme="majorHAnsi" w:cstheme="majorHAnsi"/>
                <w:sz w:val="18"/>
                <w:szCs w:val="18"/>
                <w:u w:val="single"/>
              </w:rPr>
              <w:t>Odůvodnění:</w:t>
            </w:r>
          </w:p>
          <w:p w14:paraId="4BA4D5D7"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Jedná se o poměrně často využívanou komunikaci ve špatném technickém stavu. Komunikace je rozdělena na několik pozemků, které mají různé majitele (fyzické osoby). Zařazení rekonstrukce této silnice jako veřejně prospěšné stavby zjednoduší případné vypořádání vlastnických práv při přípravě stavby a umožní na stavbu čerpat dotace.</w:t>
            </w:r>
          </w:p>
          <w:p w14:paraId="0DAC6ED4" w14:textId="77777777" w:rsidR="00BC4A0C" w:rsidRPr="00BC4A0C" w:rsidRDefault="00BC4A0C" w:rsidP="00BC4A0C">
            <w:pPr>
              <w:rPr>
                <w:rFonts w:asciiTheme="majorHAnsi" w:hAnsiTheme="majorHAnsi" w:cstheme="majorHAnsi"/>
                <w:sz w:val="18"/>
                <w:szCs w:val="18"/>
              </w:rPr>
            </w:pPr>
          </w:p>
          <w:p w14:paraId="2B2466B3" w14:textId="77777777" w:rsidR="00BC4A0C" w:rsidRPr="00BC4A0C" w:rsidRDefault="00BC4A0C" w:rsidP="00BC4A0C">
            <w:pPr>
              <w:rPr>
                <w:rFonts w:asciiTheme="majorHAnsi" w:hAnsiTheme="majorHAnsi" w:cstheme="majorHAnsi"/>
                <w:sz w:val="18"/>
                <w:szCs w:val="18"/>
              </w:rPr>
            </w:pPr>
          </w:p>
          <w:p w14:paraId="2E84B6E6"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t>Rozhodnutí: Námitce se vyhovuje. Do návrhu ÚP bude umístěna koncepční šipka.</w:t>
            </w:r>
          </w:p>
          <w:p w14:paraId="34694F2D" w14:textId="77777777" w:rsidR="00BC4A0C" w:rsidRPr="00BC4A0C" w:rsidRDefault="00BC4A0C" w:rsidP="00BC4A0C">
            <w:pPr>
              <w:rPr>
                <w:rFonts w:asciiTheme="majorHAnsi" w:hAnsiTheme="majorHAnsi" w:cstheme="majorHAnsi"/>
                <w:b/>
                <w:bCs/>
                <w:sz w:val="18"/>
                <w:szCs w:val="18"/>
              </w:rPr>
            </w:pPr>
          </w:p>
          <w:p w14:paraId="470F3EF9" w14:textId="77777777" w:rsidR="00BC4A0C" w:rsidRPr="00BC4A0C" w:rsidRDefault="00BC4A0C" w:rsidP="00BC4A0C">
            <w:pPr>
              <w:rPr>
                <w:rFonts w:asciiTheme="majorHAnsi" w:hAnsiTheme="majorHAnsi" w:cstheme="majorHAnsi"/>
                <w:sz w:val="18"/>
                <w:szCs w:val="18"/>
                <w:u w:val="single"/>
              </w:rPr>
            </w:pPr>
            <w:r w:rsidRPr="00BC4A0C">
              <w:rPr>
                <w:rFonts w:asciiTheme="majorHAnsi" w:hAnsiTheme="majorHAnsi" w:cstheme="majorHAnsi"/>
                <w:sz w:val="18"/>
                <w:szCs w:val="18"/>
                <w:u w:val="single"/>
              </w:rPr>
              <w:lastRenderedPageBreak/>
              <w:t>Odůvodnění:</w:t>
            </w:r>
          </w:p>
          <w:p w14:paraId="2EEFB731"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Umístěním koncepční šipky bude naznačen směr vhodného prostupu územím s návazností na cyklostezku podél vodního toku Mlynařice v k. ú. Milovice.</w:t>
            </w:r>
          </w:p>
          <w:p w14:paraId="3D539962" w14:textId="77777777" w:rsidR="00BC4A0C" w:rsidRPr="00BC4A0C" w:rsidRDefault="00BC4A0C" w:rsidP="00BC4A0C">
            <w:pPr>
              <w:rPr>
                <w:rFonts w:asciiTheme="majorHAnsi" w:hAnsiTheme="majorHAnsi" w:cstheme="majorHAnsi"/>
                <w:b/>
                <w:bCs/>
                <w:sz w:val="18"/>
                <w:szCs w:val="18"/>
              </w:rPr>
            </w:pPr>
          </w:p>
          <w:p w14:paraId="4B30227D" w14:textId="77777777" w:rsidR="00BC4A0C" w:rsidRPr="00BC4A0C" w:rsidRDefault="00BC4A0C" w:rsidP="00BC4A0C">
            <w:pPr>
              <w:rPr>
                <w:rFonts w:asciiTheme="majorHAnsi" w:hAnsiTheme="majorHAnsi" w:cstheme="majorHAnsi"/>
                <w:b/>
                <w:bCs/>
                <w:sz w:val="18"/>
                <w:szCs w:val="18"/>
              </w:rPr>
            </w:pPr>
          </w:p>
          <w:p w14:paraId="10A7DFBE" w14:textId="77777777" w:rsidR="00BC4A0C" w:rsidRPr="00BC4A0C" w:rsidRDefault="00BC4A0C" w:rsidP="00BC4A0C">
            <w:pPr>
              <w:rPr>
                <w:rFonts w:asciiTheme="majorHAnsi" w:hAnsiTheme="majorHAnsi" w:cstheme="majorHAnsi"/>
                <w:b/>
                <w:bCs/>
                <w:sz w:val="18"/>
                <w:szCs w:val="18"/>
              </w:rPr>
            </w:pPr>
          </w:p>
          <w:p w14:paraId="133F36B2" w14:textId="77777777" w:rsidR="00BC4A0C" w:rsidRPr="00BC4A0C" w:rsidRDefault="00BC4A0C" w:rsidP="00BC4A0C">
            <w:pPr>
              <w:rPr>
                <w:rFonts w:asciiTheme="majorHAnsi" w:hAnsiTheme="majorHAnsi" w:cstheme="majorHAnsi"/>
                <w:b/>
                <w:bCs/>
                <w:sz w:val="18"/>
                <w:szCs w:val="18"/>
              </w:rPr>
            </w:pPr>
          </w:p>
          <w:p w14:paraId="7B2206C1" w14:textId="77777777" w:rsidR="00BC4A0C" w:rsidRPr="00BC4A0C" w:rsidRDefault="00BC4A0C" w:rsidP="00BC4A0C">
            <w:pPr>
              <w:rPr>
                <w:rFonts w:asciiTheme="majorHAnsi" w:hAnsiTheme="majorHAnsi" w:cstheme="majorHAnsi"/>
                <w:b/>
                <w:bCs/>
                <w:sz w:val="18"/>
                <w:szCs w:val="18"/>
              </w:rPr>
            </w:pPr>
          </w:p>
          <w:p w14:paraId="636A0DE0"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t>Rozhodnutí: Námitka se zamítá.</w:t>
            </w:r>
          </w:p>
          <w:p w14:paraId="76A33CA3" w14:textId="77777777" w:rsidR="00BC4A0C" w:rsidRPr="00BC4A0C" w:rsidRDefault="00BC4A0C" w:rsidP="00BC4A0C">
            <w:pPr>
              <w:rPr>
                <w:rFonts w:asciiTheme="majorHAnsi" w:hAnsiTheme="majorHAnsi" w:cstheme="majorHAnsi"/>
                <w:b/>
                <w:bCs/>
                <w:sz w:val="18"/>
                <w:szCs w:val="18"/>
              </w:rPr>
            </w:pPr>
          </w:p>
          <w:p w14:paraId="6F5A397D" w14:textId="77777777" w:rsidR="00BC4A0C" w:rsidRPr="00BC4A0C" w:rsidRDefault="00BC4A0C" w:rsidP="00BC4A0C">
            <w:pPr>
              <w:rPr>
                <w:rFonts w:asciiTheme="majorHAnsi" w:hAnsiTheme="majorHAnsi" w:cstheme="majorHAnsi"/>
                <w:sz w:val="18"/>
                <w:szCs w:val="18"/>
                <w:u w:val="single"/>
              </w:rPr>
            </w:pPr>
            <w:r w:rsidRPr="00BC4A0C">
              <w:rPr>
                <w:rFonts w:asciiTheme="majorHAnsi" w:hAnsiTheme="majorHAnsi" w:cstheme="majorHAnsi"/>
                <w:sz w:val="18"/>
                <w:szCs w:val="18"/>
                <w:u w:val="single"/>
              </w:rPr>
              <w:t>Odůvodnění:</w:t>
            </w:r>
          </w:p>
          <w:p w14:paraId="735C6F69"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Umístění cyklostezky nebo komunikace pro pěší je umožněno podmínkami stanovenými pro plochy DZ i podmínkami v rámci koridoru KDZ1.</w:t>
            </w:r>
          </w:p>
          <w:p w14:paraId="3C2B0ADA" w14:textId="77777777" w:rsidR="00BC4A0C" w:rsidRPr="00BC4A0C" w:rsidRDefault="00BC4A0C" w:rsidP="00BC4A0C">
            <w:pPr>
              <w:rPr>
                <w:rFonts w:asciiTheme="majorHAnsi" w:hAnsiTheme="majorHAnsi" w:cstheme="majorHAnsi"/>
                <w:sz w:val="18"/>
                <w:szCs w:val="18"/>
              </w:rPr>
            </w:pPr>
          </w:p>
          <w:p w14:paraId="5A4C22D6" w14:textId="77777777" w:rsidR="00BC4A0C" w:rsidRPr="00BC4A0C" w:rsidRDefault="00BC4A0C" w:rsidP="00BC4A0C">
            <w:pPr>
              <w:rPr>
                <w:rFonts w:asciiTheme="majorHAnsi" w:hAnsiTheme="majorHAnsi" w:cstheme="majorHAnsi"/>
                <w:sz w:val="18"/>
                <w:szCs w:val="18"/>
              </w:rPr>
            </w:pPr>
          </w:p>
          <w:p w14:paraId="35E15D2F" w14:textId="77777777" w:rsidR="00BC4A0C" w:rsidRPr="00BC4A0C" w:rsidRDefault="00BC4A0C" w:rsidP="00BC4A0C">
            <w:pPr>
              <w:rPr>
                <w:rFonts w:asciiTheme="majorHAnsi" w:hAnsiTheme="majorHAnsi" w:cstheme="majorHAnsi"/>
                <w:sz w:val="18"/>
                <w:szCs w:val="18"/>
              </w:rPr>
            </w:pPr>
          </w:p>
          <w:p w14:paraId="21C0AE11" w14:textId="77777777" w:rsidR="00BC4A0C" w:rsidRPr="00BC4A0C" w:rsidRDefault="00BC4A0C" w:rsidP="00BC4A0C">
            <w:pPr>
              <w:rPr>
                <w:rFonts w:asciiTheme="majorHAnsi" w:hAnsiTheme="majorHAnsi" w:cstheme="majorHAnsi"/>
                <w:sz w:val="18"/>
                <w:szCs w:val="18"/>
              </w:rPr>
            </w:pPr>
          </w:p>
          <w:p w14:paraId="77E27B6B" w14:textId="77777777" w:rsidR="00BC4A0C" w:rsidRPr="00BC4A0C" w:rsidRDefault="00BC4A0C" w:rsidP="00BC4A0C">
            <w:pPr>
              <w:rPr>
                <w:rFonts w:asciiTheme="majorHAnsi" w:hAnsiTheme="majorHAnsi" w:cstheme="majorHAnsi"/>
                <w:sz w:val="18"/>
                <w:szCs w:val="18"/>
              </w:rPr>
            </w:pPr>
          </w:p>
          <w:p w14:paraId="46A5AF62" w14:textId="77777777" w:rsidR="00BC4A0C" w:rsidRPr="00BC4A0C" w:rsidRDefault="00BC4A0C" w:rsidP="00BC4A0C">
            <w:pPr>
              <w:rPr>
                <w:rFonts w:asciiTheme="majorHAnsi" w:hAnsiTheme="majorHAnsi" w:cstheme="majorHAnsi"/>
                <w:sz w:val="18"/>
                <w:szCs w:val="18"/>
              </w:rPr>
            </w:pPr>
          </w:p>
          <w:p w14:paraId="5D4611A6" w14:textId="77777777" w:rsidR="00BC4A0C" w:rsidRPr="00BC4A0C" w:rsidRDefault="00BC4A0C" w:rsidP="00BC4A0C">
            <w:pPr>
              <w:rPr>
                <w:rFonts w:asciiTheme="majorHAnsi" w:hAnsiTheme="majorHAnsi" w:cstheme="majorHAnsi"/>
                <w:sz w:val="18"/>
                <w:szCs w:val="18"/>
              </w:rPr>
            </w:pPr>
          </w:p>
          <w:p w14:paraId="641FFF58" w14:textId="77777777" w:rsidR="00BC4A0C" w:rsidRPr="00BC4A0C" w:rsidRDefault="00BC4A0C" w:rsidP="00BC4A0C">
            <w:pPr>
              <w:rPr>
                <w:rFonts w:asciiTheme="majorHAnsi" w:hAnsiTheme="majorHAnsi" w:cstheme="majorHAnsi"/>
                <w:sz w:val="18"/>
                <w:szCs w:val="18"/>
              </w:rPr>
            </w:pPr>
          </w:p>
          <w:p w14:paraId="3A93BE57"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t>Rozhodnutí: Námitka se zamítá.</w:t>
            </w:r>
          </w:p>
          <w:p w14:paraId="50F9F49C" w14:textId="77777777" w:rsidR="00BC4A0C" w:rsidRPr="00BC4A0C" w:rsidRDefault="00BC4A0C" w:rsidP="00BC4A0C">
            <w:pPr>
              <w:rPr>
                <w:rFonts w:asciiTheme="majorHAnsi" w:hAnsiTheme="majorHAnsi" w:cstheme="majorHAnsi"/>
                <w:b/>
                <w:bCs/>
                <w:sz w:val="18"/>
                <w:szCs w:val="18"/>
              </w:rPr>
            </w:pPr>
          </w:p>
          <w:p w14:paraId="2029D8D2" w14:textId="77777777" w:rsidR="00BC4A0C" w:rsidRPr="00BC4A0C" w:rsidRDefault="00BC4A0C" w:rsidP="00BC4A0C">
            <w:pPr>
              <w:rPr>
                <w:rFonts w:asciiTheme="majorHAnsi" w:hAnsiTheme="majorHAnsi" w:cstheme="majorHAnsi"/>
                <w:sz w:val="18"/>
                <w:szCs w:val="18"/>
                <w:u w:val="single"/>
              </w:rPr>
            </w:pPr>
            <w:r w:rsidRPr="00BC4A0C">
              <w:rPr>
                <w:rFonts w:asciiTheme="majorHAnsi" w:hAnsiTheme="majorHAnsi" w:cstheme="majorHAnsi"/>
                <w:sz w:val="18"/>
                <w:szCs w:val="18"/>
                <w:u w:val="single"/>
              </w:rPr>
              <w:t>Odůvodnění:</w:t>
            </w:r>
          </w:p>
          <w:p w14:paraId="006FA318"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Umístění cyklostezky nebo komunikace pro pěší je umožněno podmínkami stanovenými pro plochy DZ i podmínkami v rámci koridoru KDZ1.</w:t>
            </w:r>
          </w:p>
          <w:p w14:paraId="55D0890A" w14:textId="77777777" w:rsidR="00BC4A0C" w:rsidRPr="00BC4A0C" w:rsidRDefault="00BC4A0C" w:rsidP="00BC4A0C">
            <w:pPr>
              <w:rPr>
                <w:rFonts w:asciiTheme="majorHAnsi" w:hAnsiTheme="majorHAnsi" w:cstheme="majorHAnsi"/>
                <w:b/>
                <w:bCs/>
                <w:sz w:val="18"/>
                <w:szCs w:val="18"/>
              </w:rPr>
            </w:pPr>
          </w:p>
        </w:tc>
      </w:tr>
      <w:tr w:rsidR="00BC4A0C" w:rsidRPr="00BC4A0C" w14:paraId="557E7405" w14:textId="77777777" w:rsidTr="00CD657D">
        <w:tc>
          <w:tcPr>
            <w:tcW w:w="6096" w:type="dxa"/>
          </w:tcPr>
          <w:p w14:paraId="1D29C812" w14:textId="77777777" w:rsidR="00BC4A0C" w:rsidRPr="00BC4A0C" w:rsidRDefault="00BC4A0C" w:rsidP="00BC4A0C">
            <w:pPr>
              <w:pStyle w:val="Odstavecseseznamem"/>
              <w:numPr>
                <w:ilvl w:val="0"/>
                <w:numId w:val="55"/>
              </w:numPr>
              <w:rPr>
                <w:rFonts w:asciiTheme="majorHAnsi" w:hAnsiTheme="majorHAnsi" w:cstheme="majorHAnsi"/>
                <w:b/>
                <w:bCs/>
                <w:sz w:val="18"/>
                <w:szCs w:val="18"/>
              </w:rPr>
            </w:pPr>
            <w:r w:rsidRPr="00BC4A0C">
              <w:rPr>
                <w:rFonts w:asciiTheme="majorHAnsi" w:hAnsiTheme="majorHAnsi" w:cstheme="majorHAnsi"/>
                <w:b/>
                <w:bCs/>
                <w:sz w:val="18"/>
                <w:szCs w:val="18"/>
              </w:rPr>
              <w:lastRenderedPageBreak/>
              <w:t>Jan Kučera, Kostomlaty nad Labem, 9. května 380</w:t>
            </w:r>
          </w:p>
          <w:p w14:paraId="66ED179B" w14:textId="77777777" w:rsidR="00BC4A0C" w:rsidRPr="00BC4A0C" w:rsidRDefault="00BC4A0C" w:rsidP="00BC4A0C">
            <w:pPr>
              <w:rPr>
                <w:rFonts w:asciiTheme="majorHAnsi" w:hAnsiTheme="majorHAnsi" w:cstheme="majorHAnsi"/>
                <w:sz w:val="18"/>
                <w:szCs w:val="18"/>
              </w:rPr>
            </w:pPr>
          </w:p>
        </w:tc>
        <w:tc>
          <w:tcPr>
            <w:tcW w:w="3118" w:type="dxa"/>
          </w:tcPr>
          <w:p w14:paraId="30AF7093" w14:textId="77777777" w:rsidR="00BC4A0C" w:rsidRPr="00BC4A0C" w:rsidRDefault="00BC4A0C" w:rsidP="00BC4A0C">
            <w:pPr>
              <w:rPr>
                <w:rFonts w:asciiTheme="majorHAnsi" w:hAnsiTheme="majorHAnsi" w:cstheme="majorHAnsi"/>
                <w:b/>
                <w:bCs/>
                <w:sz w:val="18"/>
                <w:szCs w:val="18"/>
              </w:rPr>
            </w:pPr>
          </w:p>
        </w:tc>
      </w:tr>
      <w:tr w:rsidR="00BC4A0C" w:rsidRPr="00BC4A0C" w14:paraId="57D78511" w14:textId="77777777" w:rsidTr="00CD657D">
        <w:tc>
          <w:tcPr>
            <w:tcW w:w="6096" w:type="dxa"/>
          </w:tcPr>
          <w:p w14:paraId="6F35BBA1"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t>Připomínky:</w:t>
            </w:r>
          </w:p>
          <w:p w14:paraId="7B6C0B31" w14:textId="77777777" w:rsidR="00BC4A0C" w:rsidRPr="00BC4A0C" w:rsidRDefault="00BC4A0C" w:rsidP="00BC4A0C">
            <w:pPr>
              <w:pStyle w:val="Odstavecseseznamem"/>
              <w:numPr>
                <w:ilvl w:val="0"/>
                <w:numId w:val="53"/>
              </w:numPr>
              <w:rPr>
                <w:rFonts w:asciiTheme="majorHAnsi" w:hAnsiTheme="majorHAnsi" w:cstheme="majorHAnsi"/>
                <w:sz w:val="18"/>
                <w:szCs w:val="18"/>
              </w:rPr>
            </w:pPr>
            <w:r w:rsidRPr="00BC4A0C">
              <w:rPr>
                <w:rFonts w:asciiTheme="majorHAnsi" w:hAnsiTheme="majorHAnsi" w:cstheme="majorHAnsi"/>
                <w:sz w:val="18"/>
                <w:szCs w:val="18"/>
              </w:rPr>
              <w:t xml:space="preserve">Zachování územní rezervy pro koridor jižního obchvatu Kostomlat n/L dle stávajícího ÚP s úpravami dle nových skutečností v území. Napojení na komunikaci 331 v rámci k. ú.  Kostomlaty. Napojení na navrhované koridory pro budoucí mimoúrovňové křížení na chystané modernizaci traťového úseku Lysá n/L – Nymburk. Posunutí koridoru pro budoucí nadjezd/podjezd směrem západně od zástavby i pro lepší napojení na obchvat tak, aby nevznikaly dvě křížení při komunikaci 331. </w:t>
            </w:r>
          </w:p>
          <w:p w14:paraId="7AF652CE" w14:textId="77777777" w:rsidR="00BC4A0C" w:rsidRPr="00BC4A0C" w:rsidRDefault="00BC4A0C" w:rsidP="00BC4A0C">
            <w:pPr>
              <w:pStyle w:val="Odstavecseseznamem"/>
              <w:ind w:left="360"/>
              <w:rPr>
                <w:rFonts w:asciiTheme="majorHAnsi" w:hAnsiTheme="majorHAnsi" w:cstheme="majorHAnsi"/>
                <w:sz w:val="18"/>
                <w:szCs w:val="18"/>
              </w:rPr>
            </w:pPr>
          </w:p>
          <w:p w14:paraId="56D39A5A" w14:textId="77777777" w:rsidR="00BC4A0C" w:rsidRPr="00BC4A0C" w:rsidRDefault="00BC4A0C" w:rsidP="00BC4A0C">
            <w:pPr>
              <w:pStyle w:val="Odstavecseseznamem"/>
              <w:ind w:left="360"/>
              <w:rPr>
                <w:rFonts w:asciiTheme="majorHAnsi" w:hAnsiTheme="majorHAnsi" w:cstheme="majorHAnsi"/>
                <w:sz w:val="18"/>
                <w:szCs w:val="18"/>
              </w:rPr>
            </w:pPr>
          </w:p>
          <w:p w14:paraId="0ED54FBB" w14:textId="77777777" w:rsidR="00BC4A0C" w:rsidRPr="00BC4A0C" w:rsidRDefault="00BC4A0C" w:rsidP="00BC4A0C">
            <w:pPr>
              <w:pStyle w:val="Odstavecseseznamem"/>
              <w:ind w:left="360"/>
              <w:rPr>
                <w:rFonts w:asciiTheme="majorHAnsi" w:hAnsiTheme="majorHAnsi" w:cstheme="majorHAnsi"/>
                <w:sz w:val="18"/>
                <w:szCs w:val="18"/>
              </w:rPr>
            </w:pPr>
          </w:p>
          <w:p w14:paraId="28607507" w14:textId="77777777" w:rsidR="00BC4A0C" w:rsidRPr="00BC4A0C" w:rsidRDefault="00BC4A0C" w:rsidP="00BC4A0C">
            <w:pPr>
              <w:pStyle w:val="Odstavecseseznamem"/>
              <w:numPr>
                <w:ilvl w:val="0"/>
                <w:numId w:val="53"/>
              </w:numPr>
              <w:rPr>
                <w:rFonts w:asciiTheme="majorHAnsi" w:hAnsiTheme="majorHAnsi" w:cstheme="majorHAnsi"/>
                <w:sz w:val="18"/>
                <w:szCs w:val="18"/>
              </w:rPr>
            </w:pPr>
            <w:r w:rsidRPr="00BC4A0C">
              <w:rPr>
                <w:rFonts w:asciiTheme="majorHAnsi" w:hAnsiTheme="majorHAnsi" w:cstheme="majorHAnsi"/>
                <w:sz w:val="18"/>
                <w:szCs w:val="18"/>
              </w:rPr>
              <w:t>Zrušení varianty sever při plánované přeložce III/3317, která je v kolizi s již plánovanou výstavbou, dle aktuálního územního plánu vedena jako návrh pro bydlení č. 6. zrušení plochy pro bydlení Z.15, která je v kolizi s variantou střed, ale stávajícím plánu není zahrnuta.</w:t>
            </w:r>
          </w:p>
          <w:p w14:paraId="17765AF2" w14:textId="77777777" w:rsidR="00BC4A0C" w:rsidRPr="00BC4A0C" w:rsidRDefault="00BC4A0C" w:rsidP="00BC4A0C">
            <w:pPr>
              <w:pStyle w:val="Odstavecseseznamem"/>
              <w:numPr>
                <w:ilvl w:val="0"/>
                <w:numId w:val="53"/>
              </w:numPr>
              <w:rPr>
                <w:rFonts w:asciiTheme="majorHAnsi" w:hAnsiTheme="majorHAnsi" w:cstheme="majorHAnsi"/>
                <w:sz w:val="18"/>
                <w:szCs w:val="18"/>
              </w:rPr>
            </w:pPr>
            <w:r w:rsidRPr="00BC4A0C">
              <w:rPr>
                <w:rFonts w:asciiTheme="majorHAnsi" w:hAnsiTheme="majorHAnsi" w:cstheme="majorHAnsi"/>
                <w:sz w:val="18"/>
                <w:szCs w:val="18"/>
              </w:rPr>
              <w:t>Do navrhovaného plánu umístit možnost varianty podjezdu v místě rušeného železničního přejezdu v ulici Hronětická. V místě plánovaného pěšího podchodu zachovat možnost i pro případný podjezd pro osobní automobily s minimálně jedním jízdním pruhem.</w:t>
            </w:r>
          </w:p>
          <w:p w14:paraId="328BC1BE" w14:textId="77777777" w:rsidR="00BC4A0C" w:rsidRPr="00BC4A0C" w:rsidRDefault="00BC4A0C" w:rsidP="00BC4A0C">
            <w:pPr>
              <w:pStyle w:val="Odstavecseseznamem"/>
              <w:ind w:left="360"/>
              <w:rPr>
                <w:rFonts w:asciiTheme="majorHAnsi" w:hAnsiTheme="majorHAnsi" w:cstheme="majorHAnsi"/>
                <w:sz w:val="18"/>
                <w:szCs w:val="18"/>
              </w:rPr>
            </w:pPr>
          </w:p>
          <w:p w14:paraId="369468F8" w14:textId="77777777" w:rsidR="00BC4A0C" w:rsidRPr="00BC4A0C" w:rsidRDefault="00BC4A0C" w:rsidP="00BC4A0C">
            <w:pPr>
              <w:pStyle w:val="Odstavecseseznamem"/>
              <w:numPr>
                <w:ilvl w:val="0"/>
                <w:numId w:val="53"/>
              </w:numPr>
              <w:rPr>
                <w:rFonts w:asciiTheme="majorHAnsi" w:hAnsiTheme="majorHAnsi" w:cstheme="majorHAnsi"/>
                <w:sz w:val="18"/>
                <w:szCs w:val="18"/>
              </w:rPr>
            </w:pPr>
            <w:bookmarkStart w:id="488" w:name="_Hlk175903552"/>
            <w:r w:rsidRPr="00BC4A0C">
              <w:rPr>
                <w:rFonts w:asciiTheme="majorHAnsi" w:hAnsiTheme="majorHAnsi" w:cstheme="majorHAnsi"/>
                <w:sz w:val="18"/>
                <w:szCs w:val="18"/>
              </w:rPr>
              <w:t>Zachovat v návrhu ÚP obce rezervu plochy pro bydlení dle stávajícího ÚP západní části k. ú. Kostomlaty, též zvaném Na Skřemeni (2.04.01-IV).</w:t>
            </w:r>
          </w:p>
          <w:p w14:paraId="768BCEDA" w14:textId="77777777" w:rsidR="00BC4A0C" w:rsidRPr="00BC4A0C" w:rsidRDefault="00BC4A0C" w:rsidP="00BC4A0C">
            <w:pPr>
              <w:pStyle w:val="Odstavecseseznamem"/>
              <w:ind w:left="360"/>
              <w:rPr>
                <w:rFonts w:asciiTheme="majorHAnsi" w:hAnsiTheme="majorHAnsi" w:cstheme="majorHAnsi"/>
                <w:sz w:val="18"/>
                <w:szCs w:val="18"/>
              </w:rPr>
            </w:pPr>
          </w:p>
          <w:p w14:paraId="6C8B7C73" w14:textId="77777777" w:rsidR="00BC4A0C" w:rsidRPr="00BC4A0C" w:rsidRDefault="00BC4A0C" w:rsidP="00BC4A0C">
            <w:pPr>
              <w:pStyle w:val="Odstavecseseznamem"/>
              <w:numPr>
                <w:ilvl w:val="0"/>
                <w:numId w:val="53"/>
              </w:numPr>
              <w:rPr>
                <w:rFonts w:asciiTheme="majorHAnsi" w:hAnsiTheme="majorHAnsi" w:cstheme="majorHAnsi"/>
                <w:sz w:val="18"/>
                <w:szCs w:val="18"/>
              </w:rPr>
            </w:pPr>
            <w:r w:rsidRPr="00BC4A0C">
              <w:rPr>
                <w:rFonts w:asciiTheme="majorHAnsi" w:hAnsiTheme="majorHAnsi" w:cstheme="majorHAnsi"/>
                <w:sz w:val="18"/>
                <w:szCs w:val="18"/>
              </w:rPr>
              <w:lastRenderedPageBreak/>
              <w:t>Odstranit územní rezervu plochy pro bydlení označenou jako R.1 z návrhu územního plánu. Rozvojových ploch pro bydlení je plánováno již dostatek v závislosti na občanskou vybavenost obce, zejména pak MŠ, ZŠ a ČOV.</w:t>
            </w:r>
          </w:p>
          <w:p w14:paraId="3E324056" w14:textId="77777777" w:rsidR="00BC4A0C" w:rsidRPr="00BC4A0C" w:rsidRDefault="00BC4A0C" w:rsidP="00BC4A0C">
            <w:pPr>
              <w:rPr>
                <w:rFonts w:asciiTheme="majorHAnsi" w:hAnsiTheme="majorHAnsi" w:cstheme="majorHAnsi"/>
                <w:sz w:val="18"/>
                <w:szCs w:val="18"/>
              </w:rPr>
            </w:pPr>
          </w:p>
          <w:p w14:paraId="28DB0720" w14:textId="77777777" w:rsidR="00BC4A0C" w:rsidRPr="00BC4A0C" w:rsidRDefault="00BC4A0C" w:rsidP="00BC4A0C">
            <w:pPr>
              <w:pStyle w:val="Odstavecseseznamem"/>
              <w:numPr>
                <w:ilvl w:val="0"/>
                <w:numId w:val="53"/>
              </w:numPr>
              <w:rPr>
                <w:rFonts w:asciiTheme="majorHAnsi" w:hAnsiTheme="majorHAnsi" w:cstheme="majorHAnsi"/>
                <w:sz w:val="18"/>
                <w:szCs w:val="18"/>
              </w:rPr>
            </w:pPr>
            <w:r w:rsidRPr="00BC4A0C">
              <w:rPr>
                <w:rFonts w:asciiTheme="majorHAnsi" w:hAnsiTheme="majorHAnsi" w:cstheme="majorHAnsi"/>
                <w:sz w:val="18"/>
                <w:szCs w:val="18"/>
              </w:rPr>
              <w:t>Zahrnout do návrhu již hotové a zkolaudované stavby. Lávka přes Vlkavu CNU.KD.S1, křižovatka 9. května/Doubravská/Školní CNU.KD.S2.</w:t>
            </w:r>
          </w:p>
          <w:bookmarkEnd w:id="488"/>
          <w:p w14:paraId="75AD0EF8" w14:textId="77777777" w:rsidR="00BC4A0C" w:rsidRPr="00BC4A0C" w:rsidRDefault="00BC4A0C" w:rsidP="00BC4A0C">
            <w:pPr>
              <w:pStyle w:val="Odstavecseseznamem"/>
              <w:rPr>
                <w:rFonts w:asciiTheme="majorHAnsi" w:hAnsiTheme="majorHAnsi" w:cstheme="majorHAnsi"/>
                <w:sz w:val="18"/>
                <w:szCs w:val="18"/>
              </w:rPr>
            </w:pPr>
          </w:p>
          <w:p w14:paraId="0B2430B7" w14:textId="77777777" w:rsidR="00BC4A0C" w:rsidRPr="00BC4A0C" w:rsidRDefault="00BC4A0C" w:rsidP="00BC4A0C">
            <w:pPr>
              <w:pStyle w:val="Odstavecseseznamem"/>
              <w:ind w:left="360"/>
              <w:rPr>
                <w:rFonts w:asciiTheme="majorHAnsi" w:hAnsiTheme="majorHAnsi" w:cstheme="majorHAnsi"/>
                <w:sz w:val="18"/>
                <w:szCs w:val="18"/>
              </w:rPr>
            </w:pPr>
          </w:p>
          <w:p w14:paraId="066D9042" w14:textId="77777777" w:rsidR="00BC4A0C" w:rsidRPr="00BC4A0C" w:rsidRDefault="00BC4A0C" w:rsidP="00BC4A0C">
            <w:pPr>
              <w:pStyle w:val="Odstavecseseznamem"/>
              <w:numPr>
                <w:ilvl w:val="0"/>
                <w:numId w:val="53"/>
              </w:numPr>
              <w:rPr>
                <w:rFonts w:asciiTheme="majorHAnsi" w:hAnsiTheme="majorHAnsi" w:cstheme="majorHAnsi"/>
                <w:sz w:val="18"/>
                <w:szCs w:val="18"/>
              </w:rPr>
            </w:pPr>
            <w:r w:rsidRPr="00BC4A0C">
              <w:rPr>
                <w:rFonts w:asciiTheme="majorHAnsi" w:hAnsiTheme="majorHAnsi" w:cstheme="majorHAnsi"/>
                <w:sz w:val="18"/>
                <w:szCs w:val="18"/>
              </w:rPr>
              <w:t xml:space="preserve">V textové části navrhovaného ÚP upravit slovo </w:t>
            </w:r>
            <w:r w:rsidRPr="00BC4A0C">
              <w:rPr>
                <w:rFonts w:asciiTheme="majorHAnsi" w:hAnsiTheme="majorHAnsi" w:cstheme="majorHAnsi"/>
                <w:i/>
                <w:iCs/>
                <w:sz w:val="18"/>
                <w:szCs w:val="18"/>
              </w:rPr>
              <w:t xml:space="preserve">umožnit realizaci protihlukových opatření </w:t>
            </w:r>
            <w:r w:rsidRPr="00BC4A0C">
              <w:rPr>
                <w:rFonts w:asciiTheme="majorHAnsi" w:hAnsiTheme="majorHAnsi" w:cstheme="majorHAnsi"/>
                <w:sz w:val="18"/>
                <w:szCs w:val="18"/>
              </w:rPr>
              <w:t xml:space="preserve">podél modernizovaného železničního koridoru na </w:t>
            </w:r>
            <w:r w:rsidRPr="00BC4A0C">
              <w:rPr>
                <w:rFonts w:asciiTheme="majorHAnsi" w:hAnsiTheme="majorHAnsi" w:cstheme="majorHAnsi"/>
                <w:i/>
                <w:iCs/>
                <w:sz w:val="18"/>
                <w:szCs w:val="18"/>
              </w:rPr>
              <w:t>nezbytnou realizaci účinných</w:t>
            </w:r>
            <w:r w:rsidRPr="00BC4A0C">
              <w:rPr>
                <w:rFonts w:asciiTheme="majorHAnsi" w:hAnsiTheme="majorHAnsi" w:cstheme="majorHAnsi"/>
                <w:sz w:val="18"/>
                <w:szCs w:val="18"/>
              </w:rPr>
              <w:t xml:space="preserve"> </w:t>
            </w:r>
            <w:r w:rsidRPr="00BC4A0C">
              <w:rPr>
                <w:rFonts w:asciiTheme="majorHAnsi" w:hAnsiTheme="majorHAnsi" w:cstheme="majorHAnsi"/>
                <w:i/>
                <w:iCs/>
                <w:sz w:val="18"/>
                <w:szCs w:val="18"/>
              </w:rPr>
              <w:t>protihlukových opatření</w:t>
            </w:r>
            <w:r w:rsidRPr="00BC4A0C">
              <w:rPr>
                <w:rFonts w:asciiTheme="majorHAnsi" w:hAnsiTheme="majorHAnsi" w:cstheme="majorHAnsi"/>
                <w:sz w:val="18"/>
                <w:szCs w:val="18"/>
              </w:rPr>
              <w:t>.</w:t>
            </w:r>
          </w:p>
          <w:p w14:paraId="3443FB29" w14:textId="77777777" w:rsidR="00BC4A0C" w:rsidRPr="00BC4A0C" w:rsidRDefault="00BC4A0C" w:rsidP="00BC4A0C">
            <w:pPr>
              <w:pStyle w:val="Odstavecseseznamem"/>
              <w:ind w:left="1080"/>
              <w:rPr>
                <w:rFonts w:asciiTheme="majorHAnsi" w:hAnsiTheme="majorHAnsi" w:cstheme="majorHAnsi"/>
                <w:b/>
                <w:bCs/>
                <w:sz w:val="18"/>
                <w:szCs w:val="18"/>
              </w:rPr>
            </w:pPr>
          </w:p>
        </w:tc>
        <w:tc>
          <w:tcPr>
            <w:tcW w:w="3118" w:type="dxa"/>
          </w:tcPr>
          <w:p w14:paraId="2F071CCD"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lastRenderedPageBreak/>
              <w:t>Rozhodnutí: Námitka se zamítá</w:t>
            </w:r>
          </w:p>
          <w:p w14:paraId="3EE8B432" w14:textId="77777777" w:rsidR="00BC4A0C" w:rsidRPr="00BC4A0C" w:rsidRDefault="00BC4A0C" w:rsidP="00BC4A0C">
            <w:pPr>
              <w:rPr>
                <w:rFonts w:asciiTheme="majorHAnsi" w:hAnsiTheme="majorHAnsi" w:cstheme="majorHAnsi"/>
                <w:sz w:val="18"/>
                <w:szCs w:val="18"/>
                <w:u w:val="single"/>
              </w:rPr>
            </w:pPr>
            <w:r w:rsidRPr="00BC4A0C">
              <w:rPr>
                <w:rFonts w:asciiTheme="majorHAnsi" w:hAnsiTheme="majorHAnsi" w:cstheme="majorHAnsi"/>
                <w:sz w:val="18"/>
                <w:szCs w:val="18"/>
                <w:u w:val="single"/>
              </w:rPr>
              <w:t>Odůvodnění:</w:t>
            </w:r>
          </w:p>
          <w:p w14:paraId="0055C633"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Územní rezerva pro koridor silničního obchvatu na jih od obce nebude do územního plánu zanesena. Zastupitelstvo obce nemá v úmyslu tuto stavbu realizovat. Silniční obchvat obce není zanesen v ZÚR Středočeského kraje, ani v územně plánovací dokumentaci navazujících obcí.</w:t>
            </w:r>
          </w:p>
          <w:p w14:paraId="75A13272" w14:textId="77777777" w:rsidR="00BC4A0C" w:rsidRPr="00BC4A0C" w:rsidRDefault="00BC4A0C" w:rsidP="00BC4A0C">
            <w:pPr>
              <w:rPr>
                <w:rFonts w:asciiTheme="majorHAnsi" w:hAnsiTheme="majorHAnsi" w:cstheme="majorHAnsi"/>
                <w:color w:val="FF0000"/>
                <w:sz w:val="18"/>
                <w:szCs w:val="18"/>
              </w:rPr>
            </w:pPr>
          </w:p>
          <w:p w14:paraId="441927CA" w14:textId="77777777" w:rsidR="00BC4A0C" w:rsidRPr="00BC4A0C" w:rsidRDefault="00BC4A0C" w:rsidP="00BC4A0C">
            <w:pPr>
              <w:rPr>
                <w:rFonts w:asciiTheme="majorHAnsi" w:hAnsiTheme="majorHAnsi" w:cstheme="majorHAnsi"/>
                <w:color w:val="FF0000"/>
                <w:sz w:val="18"/>
                <w:szCs w:val="18"/>
              </w:rPr>
            </w:pPr>
          </w:p>
          <w:p w14:paraId="141859A9"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t>Námitka se zamítá.</w:t>
            </w:r>
          </w:p>
          <w:p w14:paraId="053463BE" w14:textId="77777777" w:rsidR="00BC4A0C" w:rsidRPr="00BC4A0C" w:rsidRDefault="00BC4A0C" w:rsidP="00BC4A0C">
            <w:pPr>
              <w:rPr>
                <w:rFonts w:asciiTheme="majorHAnsi" w:hAnsiTheme="majorHAnsi" w:cstheme="majorHAnsi"/>
                <w:b/>
                <w:bCs/>
                <w:sz w:val="18"/>
                <w:szCs w:val="18"/>
              </w:rPr>
            </w:pPr>
          </w:p>
          <w:p w14:paraId="45E31E1B"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u w:val="single"/>
              </w:rPr>
              <w:t>Odůvodnění:</w:t>
            </w:r>
            <w:r w:rsidRPr="00BC4A0C">
              <w:rPr>
                <w:rFonts w:asciiTheme="majorHAnsi" w:hAnsiTheme="majorHAnsi" w:cstheme="majorHAnsi"/>
                <w:sz w:val="18"/>
                <w:szCs w:val="18"/>
              </w:rPr>
              <w:t xml:space="preserve"> viz námitka č. I</w:t>
            </w:r>
          </w:p>
          <w:p w14:paraId="3506C07C" w14:textId="77777777" w:rsidR="00BC4A0C" w:rsidRPr="00BC4A0C" w:rsidRDefault="00BC4A0C" w:rsidP="00BC4A0C">
            <w:pPr>
              <w:rPr>
                <w:rFonts w:asciiTheme="majorHAnsi" w:hAnsiTheme="majorHAnsi" w:cstheme="majorHAnsi"/>
                <w:color w:val="C00000"/>
                <w:sz w:val="18"/>
                <w:szCs w:val="18"/>
              </w:rPr>
            </w:pPr>
          </w:p>
          <w:p w14:paraId="5F13243F" w14:textId="77777777" w:rsidR="00BC4A0C" w:rsidRPr="00BC4A0C" w:rsidRDefault="00BC4A0C" w:rsidP="00BC4A0C">
            <w:pPr>
              <w:rPr>
                <w:rFonts w:asciiTheme="majorHAnsi" w:hAnsiTheme="majorHAnsi" w:cstheme="majorHAnsi"/>
                <w:color w:val="C00000"/>
                <w:sz w:val="18"/>
                <w:szCs w:val="18"/>
              </w:rPr>
            </w:pPr>
          </w:p>
          <w:p w14:paraId="7C625E7F"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t>Námitka se zamítá.</w:t>
            </w:r>
          </w:p>
          <w:p w14:paraId="64D037A1" w14:textId="77777777" w:rsidR="00BC4A0C" w:rsidRPr="00BC4A0C" w:rsidRDefault="00BC4A0C" w:rsidP="00BC4A0C">
            <w:pPr>
              <w:rPr>
                <w:rFonts w:asciiTheme="majorHAnsi" w:hAnsiTheme="majorHAnsi" w:cstheme="majorHAnsi"/>
                <w:b/>
                <w:bCs/>
                <w:sz w:val="18"/>
                <w:szCs w:val="18"/>
              </w:rPr>
            </w:pPr>
          </w:p>
          <w:p w14:paraId="22F30151"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u w:val="single"/>
              </w:rPr>
              <w:t>Odůvodnění:</w:t>
            </w:r>
            <w:r w:rsidRPr="00BC4A0C">
              <w:rPr>
                <w:rFonts w:asciiTheme="majorHAnsi" w:hAnsiTheme="majorHAnsi" w:cstheme="majorHAnsi"/>
                <w:sz w:val="18"/>
                <w:szCs w:val="18"/>
              </w:rPr>
              <w:t xml:space="preserve"> viz námitka č. VIII. 1.</w:t>
            </w:r>
          </w:p>
          <w:p w14:paraId="5F86547E" w14:textId="77777777" w:rsidR="00BC4A0C" w:rsidRPr="00BC4A0C" w:rsidRDefault="00BC4A0C" w:rsidP="00BC4A0C">
            <w:pPr>
              <w:rPr>
                <w:rFonts w:asciiTheme="majorHAnsi" w:hAnsiTheme="majorHAnsi" w:cstheme="majorHAnsi"/>
                <w:sz w:val="18"/>
                <w:szCs w:val="18"/>
              </w:rPr>
            </w:pPr>
          </w:p>
          <w:p w14:paraId="3F645E55" w14:textId="77777777" w:rsidR="00BC4A0C" w:rsidRPr="00BC4A0C" w:rsidRDefault="00BC4A0C" w:rsidP="00BC4A0C">
            <w:pPr>
              <w:rPr>
                <w:rFonts w:asciiTheme="majorHAnsi" w:hAnsiTheme="majorHAnsi" w:cstheme="majorHAnsi"/>
                <w:sz w:val="18"/>
                <w:szCs w:val="18"/>
              </w:rPr>
            </w:pPr>
          </w:p>
          <w:p w14:paraId="0883C6B0"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b/>
                <w:bCs/>
                <w:sz w:val="18"/>
                <w:szCs w:val="18"/>
              </w:rPr>
              <w:t>Námitce se vyhovuje</w:t>
            </w:r>
            <w:r w:rsidRPr="00BC4A0C">
              <w:rPr>
                <w:rFonts w:asciiTheme="majorHAnsi" w:hAnsiTheme="majorHAnsi" w:cstheme="majorHAnsi"/>
                <w:sz w:val="18"/>
                <w:szCs w:val="18"/>
              </w:rPr>
              <w:t>.</w:t>
            </w:r>
          </w:p>
          <w:p w14:paraId="4269FF51"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u w:val="single"/>
              </w:rPr>
              <w:t>Odůvodnění:</w:t>
            </w:r>
            <w:r w:rsidRPr="00BC4A0C">
              <w:rPr>
                <w:rFonts w:asciiTheme="majorHAnsi" w:hAnsiTheme="majorHAnsi" w:cstheme="majorHAnsi"/>
                <w:sz w:val="18"/>
                <w:szCs w:val="18"/>
              </w:rPr>
              <w:t xml:space="preserve"> Stejný požadavek uplatnila obec z rozhodnutí zastupitelstva.</w:t>
            </w:r>
          </w:p>
          <w:p w14:paraId="777494CC" w14:textId="77777777" w:rsidR="00BC4A0C" w:rsidRPr="00BC4A0C" w:rsidRDefault="00BC4A0C" w:rsidP="00BC4A0C">
            <w:pPr>
              <w:rPr>
                <w:rFonts w:asciiTheme="majorHAnsi" w:hAnsiTheme="majorHAnsi" w:cstheme="majorHAnsi"/>
                <w:sz w:val="18"/>
                <w:szCs w:val="18"/>
              </w:rPr>
            </w:pPr>
          </w:p>
          <w:p w14:paraId="4E7D5629"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b/>
                <w:bCs/>
                <w:sz w:val="18"/>
                <w:szCs w:val="18"/>
              </w:rPr>
              <w:t>Námitce se vyhovuje</w:t>
            </w:r>
            <w:r w:rsidRPr="00BC4A0C">
              <w:rPr>
                <w:rFonts w:asciiTheme="majorHAnsi" w:hAnsiTheme="majorHAnsi" w:cstheme="majorHAnsi"/>
                <w:sz w:val="18"/>
                <w:szCs w:val="18"/>
              </w:rPr>
              <w:t>.</w:t>
            </w:r>
          </w:p>
          <w:p w14:paraId="395F4D12"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u w:val="single"/>
              </w:rPr>
              <w:t>Odůvodnění:</w:t>
            </w:r>
            <w:r w:rsidRPr="00BC4A0C">
              <w:rPr>
                <w:rFonts w:asciiTheme="majorHAnsi" w:hAnsiTheme="majorHAnsi" w:cstheme="majorHAnsi"/>
                <w:sz w:val="18"/>
                <w:szCs w:val="18"/>
              </w:rPr>
              <w:t xml:space="preserve"> Stejný požadavek uplatnila obec z rozhodnutí zastupitelstva.</w:t>
            </w:r>
          </w:p>
          <w:p w14:paraId="181C6DC7" w14:textId="77777777" w:rsidR="00BC4A0C" w:rsidRPr="00BC4A0C" w:rsidRDefault="00BC4A0C" w:rsidP="00BC4A0C">
            <w:pPr>
              <w:rPr>
                <w:rFonts w:asciiTheme="majorHAnsi" w:hAnsiTheme="majorHAnsi" w:cstheme="majorHAnsi"/>
                <w:sz w:val="18"/>
                <w:szCs w:val="18"/>
              </w:rPr>
            </w:pPr>
          </w:p>
          <w:p w14:paraId="15AC34A7"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t>Námitce se vyhovuje.</w:t>
            </w:r>
          </w:p>
          <w:p w14:paraId="0A6C977B"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t>Koridory pro provedené a dokončené stavby budou vypuštěny.</w:t>
            </w:r>
          </w:p>
          <w:p w14:paraId="02FBEEA1" w14:textId="77777777" w:rsidR="00BC4A0C" w:rsidRPr="00BC4A0C" w:rsidRDefault="00BC4A0C" w:rsidP="00BC4A0C">
            <w:pPr>
              <w:rPr>
                <w:rFonts w:asciiTheme="majorHAnsi" w:hAnsiTheme="majorHAnsi" w:cstheme="majorHAnsi"/>
                <w:sz w:val="18"/>
                <w:szCs w:val="18"/>
              </w:rPr>
            </w:pPr>
          </w:p>
          <w:p w14:paraId="15FE38A9"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t>Námitka se zamítá.</w:t>
            </w:r>
          </w:p>
          <w:p w14:paraId="54D05847"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u w:val="single"/>
              </w:rPr>
              <w:t>Odůvodnění:</w:t>
            </w:r>
            <w:r w:rsidRPr="00BC4A0C">
              <w:rPr>
                <w:rFonts w:asciiTheme="majorHAnsi" w:hAnsiTheme="majorHAnsi" w:cstheme="majorHAnsi"/>
                <w:sz w:val="18"/>
                <w:szCs w:val="18"/>
              </w:rPr>
              <w:t xml:space="preserve"> O realizaci protihlukových opatření bude rozhodováno dle potřeby v konkrétních místech zástavby.</w:t>
            </w:r>
          </w:p>
        </w:tc>
      </w:tr>
      <w:tr w:rsidR="00BC4A0C" w:rsidRPr="00BC4A0C" w14:paraId="38CEDB64" w14:textId="77777777" w:rsidTr="00CD657D">
        <w:tc>
          <w:tcPr>
            <w:tcW w:w="6096" w:type="dxa"/>
          </w:tcPr>
          <w:p w14:paraId="0218BEE3" w14:textId="77777777" w:rsidR="00BC4A0C" w:rsidRPr="00BC4A0C" w:rsidRDefault="00BC4A0C" w:rsidP="00BC4A0C">
            <w:pPr>
              <w:pStyle w:val="Odstavecseseznamem"/>
              <w:ind w:left="0"/>
              <w:rPr>
                <w:rFonts w:asciiTheme="majorHAnsi" w:hAnsiTheme="majorHAnsi" w:cstheme="majorHAnsi"/>
                <w:sz w:val="18"/>
                <w:szCs w:val="18"/>
              </w:rPr>
            </w:pPr>
            <w:r w:rsidRPr="00BC4A0C">
              <w:rPr>
                <w:rFonts w:asciiTheme="majorHAnsi" w:hAnsiTheme="majorHAnsi" w:cstheme="majorHAnsi"/>
                <w:sz w:val="18"/>
                <w:szCs w:val="18"/>
              </w:rPr>
              <w:lastRenderedPageBreak/>
              <w:t>Odůvodnění připomínek:</w:t>
            </w:r>
          </w:p>
          <w:p w14:paraId="0A5FB88D" w14:textId="77777777" w:rsidR="00BC4A0C" w:rsidRPr="00BC4A0C" w:rsidRDefault="00BC4A0C" w:rsidP="00BC4A0C">
            <w:pPr>
              <w:pStyle w:val="Odstavecseseznamem"/>
              <w:ind w:left="0"/>
              <w:rPr>
                <w:rFonts w:asciiTheme="majorHAnsi" w:hAnsiTheme="majorHAnsi" w:cstheme="majorHAnsi"/>
                <w:sz w:val="18"/>
                <w:szCs w:val="18"/>
              </w:rPr>
            </w:pPr>
            <w:r w:rsidRPr="00BC4A0C">
              <w:rPr>
                <w:rFonts w:asciiTheme="majorHAnsi" w:hAnsiTheme="majorHAnsi" w:cstheme="majorHAnsi"/>
                <w:sz w:val="18"/>
                <w:szCs w:val="18"/>
              </w:rPr>
              <w:t>Ad1) zachování a prověření trasy budoucího obchvatu bylo součástí zadání ÚP schválené zastupitelstvem obce. Zpracovatelé s tím pracovali a připravili variantu jižního obchvatu. Na veřejném projednání nebylo dostatečně vysvětleny důvody k vypouštění z návrhu ÚP a o tomto důležitém bodu, strategickém koridoru/ územní rezervě nejednalo ani nehlasovalo zastupitelstvo obce. Umístění a napojení by mělo být v koordinaci se Správou Železnice a.s. a chystanou modernizací traťového úseku. Mimoúrovňová křížení a nové komunikace by měly přímo navazovat na navržený obchvat tak, aby nevznikaly na komunikaci 331 další křížení.</w:t>
            </w:r>
          </w:p>
          <w:p w14:paraId="1537A18A" w14:textId="77777777" w:rsidR="00BC4A0C" w:rsidRPr="00BC4A0C" w:rsidRDefault="00BC4A0C" w:rsidP="00BC4A0C">
            <w:pPr>
              <w:pStyle w:val="Odstavecseseznamem"/>
              <w:ind w:left="0"/>
              <w:rPr>
                <w:rFonts w:asciiTheme="majorHAnsi" w:hAnsiTheme="majorHAnsi" w:cstheme="majorHAnsi"/>
                <w:sz w:val="18"/>
                <w:szCs w:val="18"/>
              </w:rPr>
            </w:pPr>
            <w:r w:rsidRPr="00BC4A0C">
              <w:rPr>
                <w:rFonts w:asciiTheme="majorHAnsi" w:hAnsiTheme="majorHAnsi" w:cstheme="majorHAnsi"/>
                <w:sz w:val="18"/>
                <w:szCs w:val="18"/>
              </w:rPr>
              <w:t>Ad2) varianta sever při přeložce silnice III/3317 je v kolizi s platným ÚP a plochou pro bydlení. V místě již probíhá stavební řízení a v době realizace modernizace je předpoklad dokončení rodinného domu. Napojení přeložky silnice v zatáčce není vhodné i z hlediska bezpečnosti na pozemních komunikacích. Zachování varianty přeložky „střed“ a zrušení plochy pro bydlení Z15, tak aby nedošlo ke kolizi resp. stavební uzávěře do doby realizace modernizace trati.  Doplnění ploch pro bydlení je možné v dalším ÚP po dokončení modernizace traťového úseku.</w:t>
            </w:r>
          </w:p>
          <w:p w14:paraId="123CEAF7" w14:textId="77777777" w:rsidR="00BC4A0C" w:rsidRPr="00BC4A0C" w:rsidRDefault="00BC4A0C" w:rsidP="00BC4A0C">
            <w:pPr>
              <w:pStyle w:val="Odstavecseseznamem"/>
              <w:ind w:left="0"/>
              <w:rPr>
                <w:rFonts w:asciiTheme="majorHAnsi" w:hAnsiTheme="majorHAnsi" w:cstheme="majorHAnsi"/>
                <w:sz w:val="18"/>
                <w:szCs w:val="18"/>
              </w:rPr>
            </w:pPr>
            <w:r w:rsidRPr="00BC4A0C">
              <w:rPr>
                <w:rFonts w:asciiTheme="majorHAnsi" w:hAnsiTheme="majorHAnsi" w:cstheme="majorHAnsi"/>
                <w:sz w:val="18"/>
                <w:szCs w:val="18"/>
              </w:rPr>
              <w:t>Ad3) umožnit v navrhovaném ÚP možnost vybudování podjezdu pro osobní automobilovou dopravu nebo alespoň ponechat tuto variantu jako přípustnou než dojde k jejímu prověření dopravně technickým řešením.</w:t>
            </w:r>
          </w:p>
          <w:p w14:paraId="460EC708" w14:textId="77777777" w:rsidR="00BC4A0C" w:rsidRPr="00BC4A0C" w:rsidRDefault="00BC4A0C" w:rsidP="00BC4A0C">
            <w:pPr>
              <w:pStyle w:val="Odstavecseseznamem"/>
              <w:ind w:left="0"/>
              <w:rPr>
                <w:rFonts w:asciiTheme="majorHAnsi" w:hAnsiTheme="majorHAnsi" w:cstheme="majorHAnsi"/>
                <w:sz w:val="18"/>
                <w:szCs w:val="18"/>
              </w:rPr>
            </w:pPr>
            <w:r w:rsidRPr="00BC4A0C">
              <w:rPr>
                <w:rFonts w:asciiTheme="majorHAnsi" w:hAnsiTheme="majorHAnsi" w:cstheme="majorHAnsi"/>
                <w:sz w:val="18"/>
                <w:szCs w:val="18"/>
              </w:rPr>
              <w:t>Ad4) zachovat plochu pro bydlení z platného ÚP, kde bude navazovat na plochu pro bydlení  Z.07 z návrhu ÚP. Jedná se půdy nižší ochrany zemědělského půdního fondu, konkrétně IV. třídy.</w:t>
            </w:r>
          </w:p>
          <w:p w14:paraId="3FF65011" w14:textId="77777777" w:rsidR="00BC4A0C" w:rsidRPr="00BC4A0C" w:rsidRDefault="00BC4A0C" w:rsidP="00BC4A0C">
            <w:pPr>
              <w:pStyle w:val="Odstavecseseznamem"/>
              <w:ind w:left="0"/>
              <w:rPr>
                <w:rFonts w:asciiTheme="majorHAnsi" w:hAnsiTheme="majorHAnsi" w:cstheme="majorHAnsi"/>
                <w:sz w:val="18"/>
                <w:szCs w:val="18"/>
              </w:rPr>
            </w:pPr>
            <w:r w:rsidRPr="00BC4A0C">
              <w:rPr>
                <w:rFonts w:asciiTheme="majorHAnsi" w:hAnsiTheme="majorHAnsi" w:cstheme="majorHAnsi"/>
                <w:sz w:val="18"/>
                <w:szCs w:val="18"/>
              </w:rPr>
              <w:t>Ad5) plochu R.1 z navrhovaného ÚP odstranit, plán již navrhuje dost rozvojových ploch tak, aby je obec byla schopna pojmout v následujících letech především s přihlédnutím na kapacitu občanské vybavenosti MŠ, ZŠ a ČOV.</w:t>
            </w:r>
          </w:p>
          <w:p w14:paraId="676A695A" w14:textId="77777777" w:rsidR="00BC4A0C" w:rsidRPr="00BC4A0C" w:rsidRDefault="00BC4A0C" w:rsidP="00BC4A0C">
            <w:pPr>
              <w:pStyle w:val="Odstavecseseznamem"/>
              <w:ind w:left="0"/>
              <w:rPr>
                <w:rFonts w:asciiTheme="majorHAnsi" w:hAnsiTheme="majorHAnsi" w:cstheme="majorHAnsi"/>
                <w:sz w:val="18"/>
                <w:szCs w:val="18"/>
              </w:rPr>
            </w:pPr>
            <w:r w:rsidRPr="00BC4A0C">
              <w:rPr>
                <w:rFonts w:asciiTheme="majorHAnsi" w:hAnsiTheme="majorHAnsi" w:cstheme="majorHAnsi"/>
                <w:sz w:val="18"/>
                <w:szCs w:val="18"/>
              </w:rPr>
              <w:t>Ad6) zapracovat hotové a zkolaudované stavby do návrhu ÚP.</w:t>
            </w:r>
          </w:p>
          <w:p w14:paraId="78587EFA" w14:textId="77777777" w:rsidR="00BC4A0C" w:rsidRPr="00BC4A0C" w:rsidRDefault="00BC4A0C" w:rsidP="00BC4A0C">
            <w:pPr>
              <w:pStyle w:val="Odstavecseseznamem"/>
              <w:ind w:left="0"/>
              <w:rPr>
                <w:rFonts w:asciiTheme="majorHAnsi" w:hAnsiTheme="majorHAnsi" w:cstheme="majorHAnsi"/>
                <w:sz w:val="18"/>
                <w:szCs w:val="18"/>
              </w:rPr>
            </w:pPr>
            <w:r w:rsidRPr="00BC4A0C">
              <w:rPr>
                <w:rFonts w:asciiTheme="majorHAnsi" w:hAnsiTheme="majorHAnsi" w:cstheme="majorHAnsi"/>
                <w:sz w:val="18"/>
                <w:szCs w:val="18"/>
              </w:rPr>
              <w:t>Ad7) v obci jsou dlouhodobě hlukové limity na hraně hygienických norem. S přidáním další koleje, zvýšením rychlosti a kapacity trati by mohlo dojít k překračování těchto limitů.</w:t>
            </w:r>
          </w:p>
          <w:p w14:paraId="760C427D" w14:textId="77777777" w:rsidR="00BC4A0C" w:rsidRPr="00BC4A0C" w:rsidRDefault="00BC4A0C" w:rsidP="00BC4A0C">
            <w:pPr>
              <w:rPr>
                <w:rFonts w:asciiTheme="majorHAnsi" w:hAnsiTheme="majorHAnsi" w:cstheme="majorHAnsi"/>
                <w:sz w:val="18"/>
                <w:szCs w:val="18"/>
              </w:rPr>
            </w:pPr>
          </w:p>
          <w:p w14:paraId="4F5FB769" w14:textId="77777777" w:rsidR="00BC4A0C" w:rsidRPr="00BC4A0C" w:rsidRDefault="00BC4A0C" w:rsidP="00BC4A0C">
            <w:pPr>
              <w:rPr>
                <w:rFonts w:asciiTheme="majorHAnsi" w:hAnsiTheme="majorHAnsi" w:cstheme="majorHAnsi"/>
                <w:b/>
                <w:bCs/>
                <w:sz w:val="18"/>
                <w:szCs w:val="18"/>
              </w:rPr>
            </w:pPr>
          </w:p>
        </w:tc>
        <w:tc>
          <w:tcPr>
            <w:tcW w:w="3118" w:type="dxa"/>
          </w:tcPr>
          <w:p w14:paraId="260C16AE" w14:textId="77777777" w:rsidR="00BC4A0C" w:rsidRPr="00BC4A0C" w:rsidRDefault="00BC4A0C" w:rsidP="00BC4A0C">
            <w:pPr>
              <w:rPr>
                <w:rFonts w:asciiTheme="majorHAnsi" w:hAnsiTheme="majorHAnsi" w:cstheme="majorHAnsi"/>
                <w:b/>
                <w:bCs/>
                <w:sz w:val="18"/>
                <w:szCs w:val="18"/>
              </w:rPr>
            </w:pPr>
          </w:p>
        </w:tc>
      </w:tr>
      <w:tr w:rsidR="00BC4A0C" w:rsidRPr="00BC4A0C" w14:paraId="78A49B30" w14:textId="77777777" w:rsidTr="00CD657D">
        <w:tc>
          <w:tcPr>
            <w:tcW w:w="6096" w:type="dxa"/>
          </w:tcPr>
          <w:p w14:paraId="72C35E6C" w14:textId="77777777" w:rsidR="00BC4A0C" w:rsidRPr="00BC4A0C" w:rsidRDefault="00BC4A0C" w:rsidP="00BC4A0C">
            <w:pPr>
              <w:pStyle w:val="Odstavecseseznamem"/>
              <w:numPr>
                <w:ilvl w:val="0"/>
                <w:numId w:val="55"/>
              </w:numPr>
              <w:rPr>
                <w:rFonts w:asciiTheme="majorHAnsi" w:hAnsiTheme="majorHAnsi" w:cstheme="majorHAnsi"/>
                <w:b/>
                <w:bCs/>
                <w:sz w:val="18"/>
                <w:szCs w:val="18"/>
              </w:rPr>
            </w:pPr>
            <w:r w:rsidRPr="00BC4A0C">
              <w:rPr>
                <w:rFonts w:asciiTheme="majorHAnsi" w:hAnsiTheme="majorHAnsi" w:cstheme="majorHAnsi"/>
                <w:b/>
                <w:bCs/>
                <w:sz w:val="18"/>
                <w:szCs w:val="18"/>
              </w:rPr>
              <w:t>Josef Touš, 9. května, Kostomlaty nad Labem</w:t>
            </w:r>
          </w:p>
          <w:p w14:paraId="4C0A3FEF" w14:textId="77777777" w:rsidR="00BC4A0C" w:rsidRPr="00BC4A0C" w:rsidRDefault="00BC4A0C" w:rsidP="00BC4A0C">
            <w:pPr>
              <w:pStyle w:val="Odstavecseseznamem"/>
              <w:ind w:left="0"/>
              <w:rPr>
                <w:rFonts w:asciiTheme="majorHAnsi" w:hAnsiTheme="majorHAnsi" w:cstheme="majorHAnsi"/>
                <w:sz w:val="18"/>
                <w:szCs w:val="18"/>
              </w:rPr>
            </w:pPr>
          </w:p>
        </w:tc>
        <w:tc>
          <w:tcPr>
            <w:tcW w:w="3118" w:type="dxa"/>
          </w:tcPr>
          <w:p w14:paraId="4043807A" w14:textId="77777777" w:rsidR="00BC4A0C" w:rsidRPr="00BC4A0C" w:rsidRDefault="00BC4A0C" w:rsidP="00BC4A0C">
            <w:pPr>
              <w:rPr>
                <w:rFonts w:asciiTheme="majorHAnsi" w:hAnsiTheme="majorHAnsi" w:cstheme="majorHAnsi"/>
                <w:b/>
                <w:bCs/>
                <w:sz w:val="18"/>
                <w:szCs w:val="18"/>
              </w:rPr>
            </w:pPr>
          </w:p>
        </w:tc>
      </w:tr>
      <w:tr w:rsidR="00BC4A0C" w:rsidRPr="00BC4A0C" w14:paraId="50774F37" w14:textId="77777777" w:rsidTr="00CD657D">
        <w:tc>
          <w:tcPr>
            <w:tcW w:w="6096" w:type="dxa"/>
          </w:tcPr>
          <w:p w14:paraId="5DE27C98"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t>Námitky:</w:t>
            </w:r>
          </w:p>
          <w:p w14:paraId="54D2AC4F" w14:textId="77777777" w:rsidR="00BC4A0C" w:rsidRPr="00BC4A0C" w:rsidRDefault="00BC4A0C" w:rsidP="00BC4A0C">
            <w:pPr>
              <w:pStyle w:val="Odstavecseseznamem"/>
              <w:numPr>
                <w:ilvl w:val="0"/>
                <w:numId w:val="54"/>
              </w:numPr>
              <w:rPr>
                <w:rFonts w:asciiTheme="majorHAnsi" w:hAnsiTheme="majorHAnsi" w:cstheme="majorHAnsi"/>
                <w:sz w:val="18"/>
                <w:szCs w:val="18"/>
              </w:rPr>
            </w:pPr>
            <w:r w:rsidRPr="00BC4A0C">
              <w:rPr>
                <w:rFonts w:asciiTheme="majorHAnsi" w:hAnsiTheme="majorHAnsi" w:cstheme="majorHAnsi"/>
                <w:sz w:val="18"/>
                <w:szCs w:val="18"/>
              </w:rPr>
              <w:t>Požaduji ponechat v ÚP obce existující rezervu pro koridor jižního silničního obchvatu obce a zahájit jednání o jeho propojení do ÚP na východě sousedícího území a následně jeho promítnutí do plánovací dokumentace na úrovni kraje.</w:t>
            </w:r>
          </w:p>
          <w:p w14:paraId="31292B6A" w14:textId="77777777" w:rsidR="00BC4A0C" w:rsidRPr="00BC4A0C" w:rsidRDefault="00BC4A0C" w:rsidP="00BC4A0C">
            <w:pPr>
              <w:pStyle w:val="Odstavecseseznamem"/>
              <w:numPr>
                <w:ilvl w:val="0"/>
                <w:numId w:val="54"/>
              </w:numPr>
              <w:rPr>
                <w:rFonts w:asciiTheme="majorHAnsi" w:hAnsiTheme="majorHAnsi" w:cstheme="majorHAnsi"/>
                <w:sz w:val="18"/>
                <w:szCs w:val="18"/>
              </w:rPr>
            </w:pPr>
            <w:bookmarkStart w:id="489" w:name="_Hlk175903575"/>
            <w:r w:rsidRPr="00BC4A0C">
              <w:rPr>
                <w:rFonts w:asciiTheme="majorHAnsi" w:hAnsiTheme="majorHAnsi" w:cstheme="majorHAnsi"/>
                <w:sz w:val="18"/>
                <w:szCs w:val="18"/>
              </w:rPr>
              <w:t>Ponechat v ÚP obce existující rezervní plochu další bytové zástavby v západní části obce v místě nazvaném Na Skřemeni (na mapě též označení a.21.10-IV) a odstranit z projednávaného ÚP obce rezervní plochy další zástavby ve východní části obce (označené jako Z14 a R.1)</w:t>
            </w:r>
          </w:p>
          <w:bookmarkEnd w:id="489"/>
          <w:p w14:paraId="13735DBF" w14:textId="77777777" w:rsidR="00BC4A0C" w:rsidRPr="00BC4A0C" w:rsidRDefault="00BC4A0C" w:rsidP="00BC4A0C">
            <w:pPr>
              <w:pStyle w:val="Odstavecseseznamem"/>
              <w:numPr>
                <w:ilvl w:val="0"/>
                <w:numId w:val="54"/>
              </w:numPr>
              <w:rPr>
                <w:rFonts w:asciiTheme="majorHAnsi" w:hAnsiTheme="majorHAnsi" w:cstheme="majorHAnsi"/>
                <w:sz w:val="18"/>
                <w:szCs w:val="18"/>
              </w:rPr>
            </w:pPr>
            <w:r w:rsidRPr="00BC4A0C">
              <w:rPr>
                <w:rFonts w:asciiTheme="majorHAnsi" w:hAnsiTheme="majorHAnsi" w:cstheme="majorHAnsi"/>
                <w:sz w:val="18"/>
                <w:szCs w:val="18"/>
              </w:rPr>
              <w:t xml:space="preserve">Vypustit z rezervy území pro stavbu přípojné silnice – plocha CNU.KDZ1 -v úseku od plánovaného mimoúrovňového křížení silnice č. III/3317 s plánovaným koridorem trojkolejné železniční tratu do části obce Lány; na projednávaném ÚP označené jako přeložka III/3317 – varianta A. když nic jiného, alespoň zmírnit mnohem menší negativní dopady na biosféru při </w:t>
            </w:r>
            <w:r w:rsidRPr="00BC4A0C">
              <w:rPr>
                <w:rFonts w:asciiTheme="majorHAnsi" w:hAnsiTheme="majorHAnsi" w:cstheme="majorHAnsi"/>
                <w:sz w:val="18"/>
                <w:szCs w:val="18"/>
              </w:rPr>
              <w:lastRenderedPageBreak/>
              <w:t>realizaci křížení železničního koridoru silničním podjezdem v porovnání se stavbou nadjezdu.</w:t>
            </w:r>
          </w:p>
          <w:p w14:paraId="4BE032DD" w14:textId="77777777" w:rsidR="00BC4A0C" w:rsidRPr="00BC4A0C" w:rsidRDefault="00BC4A0C" w:rsidP="00BC4A0C">
            <w:pPr>
              <w:pStyle w:val="Odstavecseseznamem"/>
              <w:numPr>
                <w:ilvl w:val="0"/>
                <w:numId w:val="54"/>
              </w:numPr>
              <w:rPr>
                <w:rFonts w:asciiTheme="majorHAnsi" w:hAnsiTheme="majorHAnsi" w:cstheme="majorHAnsi"/>
                <w:sz w:val="18"/>
                <w:szCs w:val="18"/>
              </w:rPr>
            </w:pPr>
            <w:r w:rsidRPr="00BC4A0C">
              <w:rPr>
                <w:rFonts w:asciiTheme="majorHAnsi" w:hAnsiTheme="majorHAnsi" w:cstheme="majorHAnsi"/>
                <w:sz w:val="18"/>
                <w:szCs w:val="18"/>
              </w:rPr>
              <w:t>Doplnit do ÚP v něm chybějící podstatné informace týkající se železniční trati o jejím současném negativním vlivu na životy obyvatel obce a zejména pak o těch, které ve velmi krátké době reálně hrozí nastat. A z této nové reality vyvodit i odpovídající dopady do nového ÚP.</w:t>
            </w:r>
          </w:p>
          <w:p w14:paraId="730C3740" w14:textId="77777777" w:rsidR="00BC4A0C" w:rsidRPr="00BC4A0C" w:rsidRDefault="00BC4A0C" w:rsidP="00BC4A0C">
            <w:pPr>
              <w:pStyle w:val="Odstavecseseznamem"/>
              <w:ind w:left="360"/>
              <w:rPr>
                <w:rFonts w:asciiTheme="majorHAnsi" w:hAnsiTheme="majorHAnsi" w:cstheme="majorHAnsi"/>
                <w:sz w:val="18"/>
                <w:szCs w:val="18"/>
              </w:rPr>
            </w:pPr>
          </w:p>
          <w:p w14:paraId="36B092D4" w14:textId="77777777" w:rsidR="00BC4A0C" w:rsidRPr="00BC4A0C" w:rsidRDefault="00BC4A0C" w:rsidP="00BC4A0C">
            <w:pPr>
              <w:pStyle w:val="Odstavecseseznamem"/>
              <w:numPr>
                <w:ilvl w:val="0"/>
                <w:numId w:val="54"/>
              </w:numPr>
              <w:rPr>
                <w:rFonts w:asciiTheme="majorHAnsi" w:hAnsiTheme="majorHAnsi" w:cstheme="majorHAnsi"/>
                <w:sz w:val="18"/>
                <w:szCs w:val="18"/>
              </w:rPr>
            </w:pPr>
            <w:r w:rsidRPr="00BC4A0C">
              <w:rPr>
                <w:rFonts w:asciiTheme="majorHAnsi" w:hAnsiTheme="majorHAnsi" w:cstheme="majorHAnsi"/>
                <w:sz w:val="18"/>
                <w:szCs w:val="18"/>
              </w:rPr>
              <w:t xml:space="preserve">Přidat do navrhovaného ÚP obce v místě dnešního úrovňového křížení silnice č. III/3317 s železnicí (ulice Hronětická u OÚ) kromě SŽ přislíbeného podchodu pro pěší a cyklisty též </w:t>
            </w:r>
            <w:r w:rsidRPr="00BC4A0C">
              <w:rPr>
                <w:rFonts w:asciiTheme="majorHAnsi" w:hAnsiTheme="majorHAnsi" w:cstheme="majorHAnsi"/>
                <w:b/>
                <w:bCs/>
                <w:sz w:val="18"/>
                <w:szCs w:val="18"/>
              </w:rPr>
              <w:t>silniční podjezd, minimálně jeden jízdní pruh pro osobní automobily</w:t>
            </w:r>
            <w:r w:rsidRPr="00BC4A0C">
              <w:rPr>
                <w:rFonts w:asciiTheme="majorHAnsi" w:hAnsiTheme="majorHAnsi" w:cstheme="majorHAnsi"/>
                <w:sz w:val="18"/>
                <w:szCs w:val="18"/>
              </w:rPr>
              <w:t>.</w:t>
            </w:r>
          </w:p>
          <w:p w14:paraId="2EFD9D2B" w14:textId="77777777" w:rsidR="00BC4A0C" w:rsidRPr="00BC4A0C" w:rsidRDefault="00BC4A0C" w:rsidP="00BC4A0C">
            <w:pPr>
              <w:rPr>
                <w:rFonts w:asciiTheme="majorHAnsi" w:hAnsiTheme="majorHAnsi" w:cstheme="majorHAnsi"/>
                <w:sz w:val="18"/>
                <w:szCs w:val="18"/>
              </w:rPr>
            </w:pPr>
          </w:p>
          <w:p w14:paraId="52833F68" w14:textId="77777777" w:rsidR="00BC4A0C" w:rsidRPr="00BC4A0C" w:rsidRDefault="00BC4A0C" w:rsidP="00BC4A0C">
            <w:pPr>
              <w:pStyle w:val="Odstavecseseznamem"/>
              <w:numPr>
                <w:ilvl w:val="0"/>
                <w:numId w:val="54"/>
              </w:numPr>
              <w:rPr>
                <w:rFonts w:asciiTheme="majorHAnsi" w:hAnsiTheme="majorHAnsi" w:cstheme="majorHAnsi"/>
                <w:sz w:val="18"/>
                <w:szCs w:val="18"/>
              </w:rPr>
            </w:pPr>
            <w:r w:rsidRPr="00BC4A0C">
              <w:rPr>
                <w:rFonts w:asciiTheme="majorHAnsi" w:hAnsiTheme="majorHAnsi" w:cstheme="majorHAnsi"/>
                <w:sz w:val="18"/>
                <w:szCs w:val="18"/>
              </w:rPr>
              <w:t xml:space="preserve">Změnit text v komentáři navrhovaného ÚP </w:t>
            </w:r>
            <w:r w:rsidRPr="00BC4A0C">
              <w:rPr>
                <w:rFonts w:asciiTheme="majorHAnsi" w:hAnsiTheme="majorHAnsi" w:cstheme="majorHAnsi"/>
                <w:b/>
                <w:bCs/>
                <w:sz w:val="18"/>
                <w:szCs w:val="18"/>
              </w:rPr>
              <w:t xml:space="preserve">umožnit </w:t>
            </w:r>
            <w:r w:rsidRPr="00BC4A0C">
              <w:rPr>
                <w:rFonts w:asciiTheme="majorHAnsi" w:hAnsiTheme="majorHAnsi" w:cstheme="majorHAnsi"/>
                <w:i/>
                <w:iCs/>
                <w:sz w:val="18"/>
                <w:szCs w:val="18"/>
              </w:rPr>
              <w:t>realizaci protihlukových opatření</w:t>
            </w:r>
            <w:r w:rsidRPr="00BC4A0C">
              <w:rPr>
                <w:rFonts w:asciiTheme="majorHAnsi" w:hAnsiTheme="majorHAnsi" w:cstheme="majorHAnsi"/>
                <w:sz w:val="18"/>
                <w:szCs w:val="18"/>
              </w:rPr>
              <w:t xml:space="preserve"> podél rekonstruovaného železničního koridoru opatření </w:t>
            </w:r>
            <w:r w:rsidRPr="00BC4A0C">
              <w:rPr>
                <w:rFonts w:asciiTheme="majorHAnsi" w:hAnsiTheme="majorHAnsi" w:cstheme="majorHAnsi"/>
                <w:i/>
                <w:iCs/>
                <w:sz w:val="18"/>
                <w:szCs w:val="18"/>
              </w:rPr>
              <w:t xml:space="preserve">na </w:t>
            </w:r>
            <w:r w:rsidRPr="00BC4A0C">
              <w:rPr>
                <w:rFonts w:asciiTheme="majorHAnsi" w:hAnsiTheme="majorHAnsi" w:cstheme="majorHAnsi"/>
                <w:b/>
                <w:bCs/>
                <w:i/>
                <w:iCs/>
                <w:sz w:val="18"/>
                <w:szCs w:val="18"/>
              </w:rPr>
              <w:t>nezbytnost</w:t>
            </w:r>
            <w:r w:rsidRPr="00BC4A0C">
              <w:rPr>
                <w:rFonts w:asciiTheme="majorHAnsi" w:hAnsiTheme="majorHAnsi" w:cstheme="majorHAnsi"/>
                <w:i/>
                <w:iCs/>
                <w:sz w:val="18"/>
                <w:szCs w:val="18"/>
              </w:rPr>
              <w:t xml:space="preserve"> realizace účinných protihlukových opatření</w:t>
            </w:r>
            <w:r w:rsidRPr="00BC4A0C">
              <w:rPr>
                <w:rFonts w:asciiTheme="majorHAnsi" w:hAnsiTheme="majorHAnsi" w:cstheme="majorHAnsi"/>
                <w:sz w:val="18"/>
                <w:szCs w:val="18"/>
              </w:rPr>
              <w:t xml:space="preserve"> podél rekonstruovaného železničního koridoru.</w:t>
            </w:r>
          </w:p>
          <w:p w14:paraId="102448E2" w14:textId="77777777" w:rsidR="00BC4A0C" w:rsidRPr="00BC4A0C" w:rsidRDefault="00BC4A0C" w:rsidP="00BC4A0C">
            <w:pPr>
              <w:pStyle w:val="Odstavecseseznamem"/>
              <w:ind w:left="360"/>
              <w:rPr>
                <w:rFonts w:asciiTheme="majorHAnsi" w:hAnsiTheme="majorHAnsi" w:cstheme="majorHAnsi"/>
                <w:sz w:val="18"/>
                <w:szCs w:val="18"/>
              </w:rPr>
            </w:pPr>
          </w:p>
          <w:p w14:paraId="5B0CC03F" w14:textId="77777777" w:rsidR="00BC4A0C" w:rsidRPr="00BC4A0C" w:rsidRDefault="00BC4A0C" w:rsidP="00BC4A0C">
            <w:pPr>
              <w:ind w:left="360"/>
              <w:rPr>
                <w:rFonts w:asciiTheme="majorHAnsi" w:hAnsiTheme="majorHAnsi" w:cstheme="majorHAnsi"/>
                <w:sz w:val="18"/>
                <w:szCs w:val="18"/>
              </w:rPr>
            </w:pPr>
          </w:p>
          <w:p w14:paraId="133808EE" w14:textId="77777777" w:rsidR="00BC4A0C" w:rsidRPr="00BC4A0C" w:rsidRDefault="00BC4A0C" w:rsidP="00BC4A0C">
            <w:pPr>
              <w:ind w:left="360"/>
              <w:rPr>
                <w:rFonts w:asciiTheme="majorHAnsi" w:hAnsiTheme="majorHAnsi" w:cstheme="majorHAnsi"/>
                <w:sz w:val="18"/>
                <w:szCs w:val="18"/>
              </w:rPr>
            </w:pPr>
          </w:p>
          <w:p w14:paraId="67BB5658" w14:textId="77777777" w:rsidR="00BC4A0C" w:rsidRPr="00BC4A0C" w:rsidRDefault="00BC4A0C" w:rsidP="00BC4A0C">
            <w:pPr>
              <w:ind w:left="360"/>
              <w:rPr>
                <w:rFonts w:asciiTheme="majorHAnsi" w:hAnsiTheme="majorHAnsi" w:cstheme="majorHAnsi"/>
                <w:sz w:val="18"/>
                <w:szCs w:val="18"/>
              </w:rPr>
            </w:pPr>
            <w:r w:rsidRPr="00BC4A0C">
              <w:rPr>
                <w:rFonts w:asciiTheme="majorHAnsi" w:hAnsiTheme="majorHAnsi" w:cstheme="majorHAnsi"/>
                <w:sz w:val="18"/>
                <w:szCs w:val="18"/>
              </w:rPr>
              <w:t>Navrhuji:</w:t>
            </w:r>
          </w:p>
          <w:p w14:paraId="18EC5D8A"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   Vypustit z navrhovaného ÚP všechna již realizovaná opatření, například rekonstrukce křižovatky, rekonstrukce mostu, vybudování inženýrských sítí v satelitních sídlech…</w:t>
            </w:r>
          </w:p>
          <w:p w14:paraId="3ECD3C5E" w14:textId="77777777" w:rsidR="00BC4A0C" w:rsidRPr="00BC4A0C" w:rsidRDefault="00BC4A0C" w:rsidP="00BC4A0C">
            <w:pPr>
              <w:rPr>
                <w:rFonts w:asciiTheme="majorHAnsi" w:hAnsiTheme="majorHAnsi" w:cstheme="majorHAnsi"/>
                <w:sz w:val="18"/>
                <w:szCs w:val="18"/>
              </w:rPr>
            </w:pPr>
          </w:p>
          <w:p w14:paraId="6291B5B1" w14:textId="77777777" w:rsidR="00BC4A0C" w:rsidRPr="00BC4A0C" w:rsidRDefault="00BC4A0C" w:rsidP="00BC4A0C">
            <w:pPr>
              <w:rPr>
                <w:rFonts w:asciiTheme="majorHAnsi" w:hAnsiTheme="majorHAnsi" w:cstheme="majorHAnsi"/>
                <w:sz w:val="18"/>
                <w:szCs w:val="18"/>
              </w:rPr>
            </w:pPr>
          </w:p>
          <w:p w14:paraId="0AF43573" w14:textId="77777777" w:rsidR="00BC4A0C" w:rsidRPr="00BC4A0C" w:rsidRDefault="00BC4A0C" w:rsidP="00BC4A0C">
            <w:pPr>
              <w:rPr>
                <w:rFonts w:asciiTheme="majorHAnsi" w:hAnsiTheme="majorHAnsi" w:cstheme="majorHAnsi"/>
                <w:sz w:val="18"/>
                <w:szCs w:val="18"/>
              </w:rPr>
            </w:pPr>
          </w:p>
          <w:p w14:paraId="55B330B4" w14:textId="77777777" w:rsidR="00BC4A0C" w:rsidRPr="00BC4A0C" w:rsidRDefault="00BC4A0C" w:rsidP="00BC4A0C">
            <w:pPr>
              <w:rPr>
                <w:rFonts w:asciiTheme="majorHAnsi" w:hAnsiTheme="majorHAnsi" w:cstheme="majorHAnsi"/>
                <w:sz w:val="18"/>
                <w:szCs w:val="18"/>
              </w:rPr>
            </w:pPr>
          </w:p>
          <w:p w14:paraId="56603E82"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    Opravit záměnu v mnoha textech zmiňujících koridory CNU.KDS1 a CNU.KDS2 – jsou prohozeny texty o účelu koridorů (popisy silnic, jejich křížení, silnice 3319 nevede po mostě nad potokem Vlkava, ale na Doubravu…), viz např. v textu Odůvodnění UP v tabulce na str. 91.</w:t>
            </w:r>
          </w:p>
          <w:p w14:paraId="454AE841" w14:textId="77777777" w:rsidR="00BC4A0C" w:rsidRPr="00BC4A0C" w:rsidRDefault="00BC4A0C" w:rsidP="00BC4A0C">
            <w:pPr>
              <w:rPr>
                <w:rFonts w:asciiTheme="majorHAnsi" w:hAnsiTheme="majorHAnsi" w:cstheme="majorHAnsi"/>
                <w:sz w:val="18"/>
                <w:szCs w:val="18"/>
              </w:rPr>
            </w:pPr>
          </w:p>
          <w:p w14:paraId="65BCD616"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    Doplnit do ÚP aktuální informace o existujících či neexistujících inženýrských sítích v obci, z toho vyplývající budoucí záměry. Chybí mi v něm i zmínka o potenciálních místních zdrojích obnovitelné energie…</w:t>
            </w:r>
          </w:p>
          <w:p w14:paraId="186DE6FB" w14:textId="77777777" w:rsidR="00BC4A0C" w:rsidRPr="00BC4A0C" w:rsidRDefault="00BC4A0C" w:rsidP="00BC4A0C">
            <w:pPr>
              <w:rPr>
                <w:rFonts w:asciiTheme="majorHAnsi" w:hAnsiTheme="majorHAnsi" w:cstheme="majorHAnsi"/>
                <w:sz w:val="18"/>
                <w:szCs w:val="18"/>
              </w:rPr>
            </w:pPr>
          </w:p>
          <w:p w14:paraId="4B42EE9E"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Odůvodnění námitky viz spis.</w:t>
            </w:r>
          </w:p>
          <w:p w14:paraId="61C90F85" w14:textId="77777777" w:rsidR="00BC4A0C" w:rsidRPr="00BC4A0C" w:rsidRDefault="00BC4A0C" w:rsidP="00BC4A0C">
            <w:pPr>
              <w:pStyle w:val="Odstavecseseznamem"/>
              <w:ind w:left="1080"/>
              <w:rPr>
                <w:rFonts w:asciiTheme="majorHAnsi" w:hAnsiTheme="majorHAnsi" w:cstheme="majorHAnsi"/>
                <w:b/>
                <w:bCs/>
                <w:sz w:val="18"/>
                <w:szCs w:val="18"/>
              </w:rPr>
            </w:pPr>
          </w:p>
        </w:tc>
        <w:tc>
          <w:tcPr>
            <w:tcW w:w="3118" w:type="dxa"/>
          </w:tcPr>
          <w:p w14:paraId="79653F46" w14:textId="77777777" w:rsidR="00BC4A0C" w:rsidRPr="00BC4A0C" w:rsidRDefault="00BC4A0C" w:rsidP="00BC4A0C">
            <w:pPr>
              <w:rPr>
                <w:rFonts w:asciiTheme="majorHAnsi" w:hAnsiTheme="majorHAnsi" w:cstheme="majorHAnsi"/>
                <w:b/>
                <w:bCs/>
                <w:sz w:val="18"/>
                <w:szCs w:val="18"/>
              </w:rPr>
            </w:pPr>
          </w:p>
          <w:p w14:paraId="3C395817"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t>Rozhodnutí: Námitka se zamítá</w:t>
            </w:r>
          </w:p>
          <w:p w14:paraId="7EF54757"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Odůvodnění viz námitka č.IX.</w:t>
            </w:r>
          </w:p>
          <w:p w14:paraId="22BEBE68" w14:textId="77777777" w:rsidR="00BC4A0C" w:rsidRPr="00BC4A0C" w:rsidRDefault="00BC4A0C" w:rsidP="00BC4A0C">
            <w:pPr>
              <w:rPr>
                <w:rFonts w:asciiTheme="majorHAnsi" w:hAnsiTheme="majorHAnsi" w:cstheme="majorHAnsi"/>
                <w:sz w:val="18"/>
                <w:szCs w:val="18"/>
              </w:rPr>
            </w:pPr>
          </w:p>
          <w:p w14:paraId="0A9B618B" w14:textId="77777777" w:rsidR="00BC4A0C" w:rsidRPr="00BC4A0C" w:rsidRDefault="00BC4A0C" w:rsidP="00BC4A0C">
            <w:pPr>
              <w:rPr>
                <w:rFonts w:asciiTheme="majorHAnsi" w:hAnsiTheme="majorHAnsi" w:cstheme="majorHAnsi"/>
                <w:b/>
                <w:bCs/>
                <w:sz w:val="18"/>
                <w:szCs w:val="18"/>
              </w:rPr>
            </w:pPr>
          </w:p>
          <w:p w14:paraId="05F9C919"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b/>
                <w:bCs/>
                <w:sz w:val="18"/>
                <w:szCs w:val="18"/>
              </w:rPr>
              <w:t>Námitce se vyhovuje</w:t>
            </w:r>
            <w:r w:rsidRPr="00BC4A0C">
              <w:rPr>
                <w:rFonts w:asciiTheme="majorHAnsi" w:hAnsiTheme="majorHAnsi" w:cstheme="majorHAnsi"/>
                <w:sz w:val="18"/>
                <w:szCs w:val="18"/>
              </w:rPr>
              <w:t>.</w:t>
            </w:r>
          </w:p>
          <w:p w14:paraId="5AA46F04"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u w:val="single"/>
              </w:rPr>
              <w:t>Odůvodnění:</w:t>
            </w:r>
            <w:r w:rsidRPr="00BC4A0C">
              <w:rPr>
                <w:rFonts w:asciiTheme="majorHAnsi" w:hAnsiTheme="majorHAnsi" w:cstheme="majorHAnsi"/>
                <w:sz w:val="18"/>
                <w:szCs w:val="18"/>
              </w:rPr>
              <w:t xml:space="preserve"> Stejný požadavek uplatnila obec z rozhodnutí zastupitelstva.</w:t>
            </w:r>
          </w:p>
          <w:p w14:paraId="7143C95D" w14:textId="77777777" w:rsidR="00BC4A0C" w:rsidRPr="00BC4A0C" w:rsidRDefault="00BC4A0C" w:rsidP="00BC4A0C">
            <w:pPr>
              <w:rPr>
                <w:rFonts w:asciiTheme="majorHAnsi" w:hAnsiTheme="majorHAnsi" w:cstheme="majorHAnsi"/>
                <w:sz w:val="18"/>
                <w:szCs w:val="18"/>
              </w:rPr>
            </w:pPr>
          </w:p>
          <w:p w14:paraId="5090D79D"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t>Námitka se zamítá.</w:t>
            </w:r>
          </w:p>
          <w:p w14:paraId="5FAC925A"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u w:val="single"/>
              </w:rPr>
              <w:t>Odůvodnění:</w:t>
            </w:r>
            <w:r w:rsidRPr="00BC4A0C">
              <w:rPr>
                <w:rFonts w:asciiTheme="majorHAnsi" w:hAnsiTheme="majorHAnsi" w:cstheme="majorHAnsi"/>
                <w:sz w:val="18"/>
                <w:szCs w:val="18"/>
              </w:rPr>
              <w:t xml:space="preserve"> viz odůvodnění námitky č. I.</w:t>
            </w:r>
          </w:p>
          <w:p w14:paraId="7A776B3F" w14:textId="77777777" w:rsidR="00BC4A0C" w:rsidRPr="00BC4A0C" w:rsidRDefault="00BC4A0C" w:rsidP="00BC4A0C">
            <w:pPr>
              <w:rPr>
                <w:rFonts w:asciiTheme="majorHAnsi" w:hAnsiTheme="majorHAnsi" w:cstheme="majorHAnsi"/>
                <w:b/>
                <w:bCs/>
                <w:sz w:val="18"/>
                <w:szCs w:val="18"/>
              </w:rPr>
            </w:pPr>
          </w:p>
          <w:p w14:paraId="525A46F2" w14:textId="77777777" w:rsidR="00BC4A0C" w:rsidRPr="00BC4A0C" w:rsidRDefault="00BC4A0C" w:rsidP="00BC4A0C">
            <w:pPr>
              <w:rPr>
                <w:rFonts w:asciiTheme="majorHAnsi" w:hAnsiTheme="majorHAnsi" w:cstheme="majorHAnsi"/>
                <w:b/>
                <w:bCs/>
                <w:sz w:val="18"/>
                <w:szCs w:val="18"/>
              </w:rPr>
            </w:pPr>
          </w:p>
          <w:p w14:paraId="6C60A3E1" w14:textId="77777777" w:rsidR="00BC4A0C" w:rsidRPr="00BC4A0C" w:rsidRDefault="00BC4A0C" w:rsidP="00BC4A0C">
            <w:pPr>
              <w:rPr>
                <w:rFonts w:asciiTheme="majorHAnsi" w:hAnsiTheme="majorHAnsi" w:cstheme="majorHAnsi"/>
                <w:b/>
                <w:bCs/>
                <w:sz w:val="18"/>
                <w:szCs w:val="18"/>
              </w:rPr>
            </w:pPr>
          </w:p>
          <w:p w14:paraId="527BD324" w14:textId="77777777" w:rsidR="00BC4A0C" w:rsidRPr="00BC4A0C" w:rsidRDefault="00BC4A0C" w:rsidP="00BC4A0C">
            <w:pPr>
              <w:rPr>
                <w:rFonts w:asciiTheme="majorHAnsi" w:hAnsiTheme="majorHAnsi" w:cstheme="majorHAnsi"/>
                <w:b/>
                <w:bCs/>
                <w:sz w:val="18"/>
                <w:szCs w:val="18"/>
              </w:rPr>
            </w:pPr>
          </w:p>
          <w:p w14:paraId="735FF533" w14:textId="77777777" w:rsidR="00BC4A0C" w:rsidRPr="00BC4A0C" w:rsidRDefault="00BC4A0C" w:rsidP="00BC4A0C">
            <w:pPr>
              <w:rPr>
                <w:rFonts w:asciiTheme="majorHAnsi" w:hAnsiTheme="majorHAnsi" w:cstheme="majorHAnsi"/>
                <w:b/>
                <w:bCs/>
                <w:sz w:val="18"/>
                <w:szCs w:val="18"/>
              </w:rPr>
            </w:pPr>
          </w:p>
          <w:p w14:paraId="434E9FA9"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t>Námitka se zamítá.</w:t>
            </w:r>
          </w:p>
          <w:p w14:paraId="3A4FF33B"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sz w:val="18"/>
                <w:szCs w:val="18"/>
                <w:u w:val="single"/>
              </w:rPr>
              <w:t>Odůvodnění:</w:t>
            </w:r>
            <w:r w:rsidRPr="00BC4A0C">
              <w:rPr>
                <w:rFonts w:asciiTheme="majorHAnsi" w:hAnsiTheme="majorHAnsi" w:cstheme="majorHAnsi"/>
                <w:sz w:val="18"/>
                <w:szCs w:val="18"/>
              </w:rPr>
              <w:t xml:space="preserve"> Požadované informace ÚP obsahuje, popis současného stavu v textové části odůvodnění, kap. 11.4.3 – doprava drážní</w:t>
            </w:r>
            <w:r w:rsidRPr="00BC4A0C">
              <w:rPr>
                <w:rFonts w:asciiTheme="majorHAnsi" w:hAnsiTheme="majorHAnsi" w:cstheme="majorHAnsi"/>
                <w:b/>
                <w:bCs/>
                <w:sz w:val="18"/>
                <w:szCs w:val="18"/>
              </w:rPr>
              <w:t>.</w:t>
            </w:r>
          </w:p>
          <w:p w14:paraId="2832FA4C" w14:textId="77777777" w:rsidR="00BC4A0C" w:rsidRPr="00BC4A0C" w:rsidRDefault="00BC4A0C" w:rsidP="00BC4A0C">
            <w:pPr>
              <w:rPr>
                <w:rFonts w:asciiTheme="majorHAnsi" w:hAnsiTheme="majorHAnsi" w:cstheme="majorHAnsi"/>
                <w:b/>
                <w:bCs/>
                <w:sz w:val="18"/>
                <w:szCs w:val="18"/>
              </w:rPr>
            </w:pPr>
          </w:p>
          <w:p w14:paraId="46B9039C"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t>Námitka se zamítá.</w:t>
            </w:r>
          </w:p>
          <w:p w14:paraId="42CC54E2"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Odůvodnění viz námitka č. VIII.1</w:t>
            </w:r>
          </w:p>
          <w:p w14:paraId="33E13A71" w14:textId="77777777" w:rsidR="00BC4A0C" w:rsidRPr="00BC4A0C" w:rsidRDefault="00BC4A0C" w:rsidP="00BC4A0C">
            <w:pPr>
              <w:rPr>
                <w:rFonts w:asciiTheme="majorHAnsi" w:hAnsiTheme="majorHAnsi" w:cstheme="majorHAnsi"/>
                <w:sz w:val="18"/>
                <w:szCs w:val="18"/>
              </w:rPr>
            </w:pPr>
          </w:p>
          <w:p w14:paraId="628BE0CF" w14:textId="77777777" w:rsidR="00BC4A0C" w:rsidRPr="00BC4A0C" w:rsidRDefault="00BC4A0C" w:rsidP="00BC4A0C">
            <w:pPr>
              <w:rPr>
                <w:rFonts w:asciiTheme="majorHAnsi" w:hAnsiTheme="majorHAnsi" w:cstheme="majorHAnsi"/>
                <w:sz w:val="18"/>
                <w:szCs w:val="18"/>
              </w:rPr>
            </w:pPr>
          </w:p>
          <w:p w14:paraId="2B3C4449" w14:textId="77777777" w:rsidR="00BC4A0C" w:rsidRPr="00BC4A0C" w:rsidRDefault="00BC4A0C" w:rsidP="00BC4A0C">
            <w:pPr>
              <w:rPr>
                <w:rFonts w:asciiTheme="majorHAnsi" w:hAnsiTheme="majorHAnsi" w:cstheme="majorHAnsi"/>
                <w:sz w:val="18"/>
                <w:szCs w:val="18"/>
              </w:rPr>
            </w:pPr>
          </w:p>
          <w:p w14:paraId="42146B41"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t>Námitka se zamítá.</w:t>
            </w:r>
          </w:p>
          <w:p w14:paraId="24636213"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u w:val="single"/>
              </w:rPr>
              <w:t>Odůvodnění:</w:t>
            </w:r>
            <w:r w:rsidRPr="00BC4A0C">
              <w:rPr>
                <w:rFonts w:asciiTheme="majorHAnsi" w:hAnsiTheme="majorHAnsi" w:cstheme="majorHAnsi"/>
                <w:sz w:val="18"/>
                <w:szCs w:val="18"/>
              </w:rPr>
              <w:t xml:space="preserve"> O realizaci protihlukových opatření bude rozhodováno dle potřeby v konkrétních místech zástavby.</w:t>
            </w:r>
          </w:p>
          <w:p w14:paraId="13B634FE" w14:textId="77777777" w:rsidR="00BC4A0C" w:rsidRPr="00BC4A0C" w:rsidRDefault="00BC4A0C" w:rsidP="00BC4A0C">
            <w:pPr>
              <w:rPr>
                <w:rFonts w:asciiTheme="majorHAnsi" w:hAnsiTheme="majorHAnsi" w:cstheme="majorHAnsi"/>
                <w:sz w:val="18"/>
                <w:szCs w:val="18"/>
              </w:rPr>
            </w:pPr>
          </w:p>
          <w:p w14:paraId="501BAFB1" w14:textId="77777777" w:rsidR="00BC4A0C" w:rsidRPr="00BC4A0C" w:rsidRDefault="00BC4A0C" w:rsidP="00BC4A0C">
            <w:pPr>
              <w:rPr>
                <w:rFonts w:asciiTheme="majorHAnsi" w:hAnsiTheme="majorHAnsi" w:cstheme="majorHAnsi"/>
                <w:b/>
                <w:bCs/>
                <w:sz w:val="18"/>
                <w:szCs w:val="18"/>
              </w:rPr>
            </w:pPr>
          </w:p>
          <w:p w14:paraId="512FF4B6"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t>Námitce se částečně vyhovuje.</w:t>
            </w:r>
          </w:p>
          <w:p w14:paraId="37CBDB09"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Koridory CNU.KDS1 a CNU.KDS2 budou vypuštěny, koridor KTI1 (vodovod a kanalizace) bude ponechán, stavba není dokončena.</w:t>
            </w:r>
          </w:p>
          <w:p w14:paraId="229EB7D8" w14:textId="77777777" w:rsidR="00BC4A0C" w:rsidRPr="00BC4A0C" w:rsidRDefault="00BC4A0C" w:rsidP="00BC4A0C">
            <w:pPr>
              <w:rPr>
                <w:rFonts w:asciiTheme="majorHAnsi" w:hAnsiTheme="majorHAnsi" w:cstheme="majorHAnsi"/>
                <w:sz w:val="18"/>
                <w:szCs w:val="18"/>
              </w:rPr>
            </w:pPr>
          </w:p>
          <w:p w14:paraId="3DFFAF90" w14:textId="77777777" w:rsidR="00BC4A0C" w:rsidRPr="00BC4A0C" w:rsidRDefault="00BC4A0C" w:rsidP="00BC4A0C">
            <w:pPr>
              <w:rPr>
                <w:rFonts w:asciiTheme="majorHAnsi" w:hAnsiTheme="majorHAnsi" w:cstheme="majorHAnsi"/>
                <w:sz w:val="18"/>
                <w:szCs w:val="18"/>
              </w:rPr>
            </w:pPr>
          </w:p>
          <w:p w14:paraId="14FEF5D7" w14:textId="77777777" w:rsidR="00BC4A0C" w:rsidRPr="00BC4A0C" w:rsidRDefault="00BC4A0C" w:rsidP="00BC4A0C">
            <w:pPr>
              <w:rPr>
                <w:rFonts w:asciiTheme="majorHAnsi" w:hAnsiTheme="majorHAnsi" w:cstheme="majorHAnsi"/>
                <w:sz w:val="18"/>
                <w:szCs w:val="18"/>
              </w:rPr>
            </w:pPr>
          </w:p>
          <w:p w14:paraId="1429FA5F"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Koridory KDS1 a KDS2 budou vypuštěny.</w:t>
            </w:r>
          </w:p>
          <w:p w14:paraId="2976CA02" w14:textId="77777777" w:rsidR="00BC4A0C" w:rsidRPr="00BC4A0C" w:rsidRDefault="00BC4A0C" w:rsidP="00BC4A0C">
            <w:pPr>
              <w:rPr>
                <w:rFonts w:asciiTheme="majorHAnsi" w:hAnsiTheme="majorHAnsi" w:cstheme="majorHAnsi"/>
                <w:sz w:val="18"/>
                <w:szCs w:val="18"/>
              </w:rPr>
            </w:pPr>
          </w:p>
          <w:p w14:paraId="4D306ABE" w14:textId="77777777" w:rsidR="00BC4A0C" w:rsidRPr="00BC4A0C" w:rsidRDefault="00BC4A0C" w:rsidP="00BC4A0C">
            <w:pPr>
              <w:rPr>
                <w:rFonts w:asciiTheme="majorHAnsi" w:hAnsiTheme="majorHAnsi" w:cstheme="majorHAnsi"/>
                <w:sz w:val="18"/>
                <w:szCs w:val="18"/>
              </w:rPr>
            </w:pPr>
          </w:p>
          <w:p w14:paraId="557BE7D1" w14:textId="77777777" w:rsidR="00BC4A0C" w:rsidRPr="00BC4A0C" w:rsidRDefault="00BC4A0C" w:rsidP="00BC4A0C">
            <w:pPr>
              <w:rPr>
                <w:rFonts w:asciiTheme="majorHAnsi" w:hAnsiTheme="majorHAnsi" w:cstheme="majorHAnsi"/>
                <w:sz w:val="18"/>
                <w:szCs w:val="18"/>
              </w:rPr>
            </w:pPr>
          </w:p>
          <w:p w14:paraId="0D79333E"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t>Námitka se zamítá.</w:t>
            </w:r>
          </w:p>
          <w:p w14:paraId="7DAF7DBA"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u w:val="single"/>
              </w:rPr>
              <w:t>Odůvodnění:</w:t>
            </w:r>
            <w:r w:rsidRPr="00BC4A0C">
              <w:rPr>
                <w:rFonts w:asciiTheme="majorHAnsi" w:hAnsiTheme="majorHAnsi" w:cstheme="majorHAnsi"/>
                <w:sz w:val="18"/>
                <w:szCs w:val="18"/>
              </w:rPr>
              <w:t xml:space="preserve"> Popis současného stavu technických sítí a koncepce jejich rozšíření v souvislosti s rozvojem obce je v textové části odůvodnění  kap. 11.4.4 (str. 96 až 104).</w:t>
            </w:r>
          </w:p>
        </w:tc>
      </w:tr>
      <w:tr w:rsidR="00BC4A0C" w:rsidRPr="00BC4A0C" w14:paraId="19130C49" w14:textId="77777777" w:rsidTr="00CD657D">
        <w:tc>
          <w:tcPr>
            <w:tcW w:w="6096" w:type="dxa"/>
          </w:tcPr>
          <w:p w14:paraId="0C26DA8F" w14:textId="77777777" w:rsidR="00BC4A0C" w:rsidRPr="00BC4A0C" w:rsidRDefault="00BC4A0C" w:rsidP="00BC4A0C">
            <w:pPr>
              <w:pStyle w:val="Odstavecseseznamem"/>
              <w:numPr>
                <w:ilvl w:val="0"/>
                <w:numId w:val="55"/>
              </w:numPr>
              <w:rPr>
                <w:rFonts w:asciiTheme="majorHAnsi" w:hAnsiTheme="majorHAnsi" w:cstheme="majorHAnsi"/>
                <w:b/>
                <w:bCs/>
                <w:sz w:val="18"/>
                <w:szCs w:val="18"/>
              </w:rPr>
            </w:pPr>
            <w:r w:rsidRPr="00BC4A0C">
              <w:rPr>
                <w:rFonts w:asciiTheme="majorHAnsi" w:hAnsiTheme="majorHAnsi" w:cstheme="majorHAnsi"/>
                <w:b/>
                <w:bCs/>
                <w:sz w:val="18"/>
                <w:szCs w:val="18"/>
              </w:rPr>
              <w:lastRenderedPageBreak/>
              <w:t>Obec Ostrá.</w:t>
            </w:r>
          </w:p>
          <w:p w14:paraId="499B50CD" w14:textId="77777777" w:rsidR="00BC4A0C" w:rsidRPr="00BC4A0C" w:rsidRDefault="00BC4A0C" w:rsidP="00BC4A0C">
            <w:pPr>
              <w:rPr>
                <w:rFonts w:asciiTheme="majorHAnsi" w:hAnsiTheme="majorHAnsi" w:cstheme="majorHAnsi"/>
                <w:b/>
                <w:bCs/>
                <w:sz w:val="18"/>
                <w:szCs w:val="18"/>
              </w:rPr>
            </w:pPr>
          </w:p>
        </w:tc>
        <w:tc>
          <w:tcPr>
            <w:tcW w:w="3118" w:type="dxa"/>
          </w:tcPr>
          <w:p w14:paraId="6677B2CB" w14:textId="77777777" w:rsidR="00BC4A0C" w:rsidRPr="00BC4A0C" w:rsidRDefault="00BC4A0C" w:rsidP="00BC4A0C">
            <w:pPr>
              <w:rPr>
                <w:rFonts w:asciiTheme="majorHAnsi" w:hAnsiTheme="majorHAnsi" w:cstheme="majorHAnsi"/>
                <w:b/>
                <w:bCs/>
                <w:sz w:val="18"/>
                <w:szCs w:val="18"/>
              </w:rPr>
            </w:pPr>
          </w:p>
        </w:tc>
      </w:tr>
      <w:tr w:rsidR="00BC4A0C" w:rsidRPr="00BC4A0C" w14:paraId="4655F215" w14:textId="77777777" w:rsidTr="00CD657D">
        <w:tc>
          <w:tcPr>
            <w:tcW w:w="6096" w:type="dxa"/>
          </w:tcPr>
          <w:p w14:paraId="0ACB0DA3" w14:textId="77777777" w:rsidR="00BC4A0C" w:rsidRPr="00BC4A0C" w:rsidRDefault="00BC4A0C" w:rsidP="00BC4A0C">
            <w:pPr>
              <w:rPr>
                <w:rFonts w:asciiTheme="majorHAnsi" w:hAnsiTheme="majorHAnsi" w:cstheme="majorHAnsi"/>
                <w:sz w:val="18"/>
                <w:szCs w:val="18"/>
              </w:rPr>
            </w:pPr>
          </w:p>
          <w:p w14:paraId="2AD6D3C6"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t>Námitka:</w:t>
            </w:r>
          </w:p>
          <w:p w14:paraId="0E871731"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Pozemek parc. č. 1219/3 v k. ú je v KN zapsán jako ostatní plocha – ostatní komunikace, v ÚP Ostrá jako účelová komunikace. V mapě plánu společných zařízení v KPÚ je doplňkovou cestou. Po připomínce ze dne 13.7.2022 na obecní účelovou komunikaci (p. č. 1219/3) v k. ú. Ostrá navazuje ÚP Kostomlaty n. L. tzv. koncepční šipka, která ukazuje v jakém směru by „mohla“ být realizována cesta. Takto to bylo předneseno při projednávání ÚP dne 21.2.v Kostomlatech zpracovatelem ÚP Kostomlaty n. L.</w:t>
            </w:r>
          </w:p>
          <w:p w14:paraId="6F91787B"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Obec Ostrá podává následující připomínku: Na pozemek p. č. 1219/3 v ÚP Ostrá žádáme o „napojit“ v ÚP Kostomlaty n.L. místo naznačeného směru zajištění prostupnosti (t. j. místo koncepční šipky) účelovou komunikaci.</w:t>
            </w:r>
          </w:p>
          <w:p w14:paraId="3AC8040A" w14:textId="77777777" w:rsidR="00BC4A0C" w:rsidRPr="00BC4A0C" w:rsidRDefault="00BC4A0C" w:rsidP="00BC4A0C">
            <w:pPr>
              <w:pStyle w:val="Odstavecseseznamem"/>
              <w:ind w:left="1080"/>
              <w:rPr>
                <w:rFonts w:asciiTheme="majorHAnsi" w:hAnsiTheme="majorHAnsi" w:cstheme="majorHAnsi"/>
                <w:b/>
                <w:bCs/>
                <w:sz w:val="18"/>
                <w:szCs w:val="18"/>
              </w:rPr>
            </w:pPr>
          </w:p>
        </w:tc>
        <w:tc>
          <w:tcPr>
            <w:tcW w:w="3118" w:type="dxa"/>
          </w:tcPr>
          <w:p w14:paraId="264FC921"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t>Námitka se zamítá.</w:t>
            </w:r>
          </w:p>
          <w:p w14:paraId="5DE3B421" w14:textId="77777777" w:rsidR="00BC4A0C" w:rsidRPr="00BC4A0C" w:rsidRDefault="00BC4A0C" w:rsidP="00BC4A0C">
            <w:pPr>
              <w:rPr>
                <w:rFonts w:asciiTheme="majorHAnsi" w:hAnsiTheme="majorHAnsi" w:cstheme="majorHAnsi"/>
                <w:sz w:val="18"/>
                <w:szCs w:val="18"/>
                <w:u w:val="single"/>
              </w:rPr>
            </w:pPr>
            <w:r w:rsidRPr="00BC4A0C">
              <w:rPr>
                <w:rFonts w:asciiTheme="majorHAnsi" w:hAnsiTheme="majorHAnsi" w:cstheme="majorHAnsi"/>
                <w:sz w:val="18"/>
                <w:szCs w:val="18"/>
                <w:u w:val="single"/>
              </w:rPr>
              <w:t>Odůvodnění:</w:t>
            </w:r>
          </w:p>
          <w:p w14:paraId="03823839"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Navazující pozemek parc. č. 905/111 v k. ú. Kostomlaty je v KN zapsán jako orná půda a je i takto využíván – je rozorán. Pozemek končí uprostřed polí a dále nenavazuje na žádnou komunikaci. V územním plánu nemůže být vyznačen jako komunikace. Koncepční šipka naznačující vhodný směr prostupnosti územím a podmínky ploch AU a MU umožňují vybudování účelové komunikace</w:t>
            </w:r>
          </w:p>
          <w:p w14:paraId="35B39B34" w14:textId="77777777" w:rsidR="00BC4A0C" w:rsidRPr="00BC4A0C" w:rsidRDefault="00BC4A0C" w:rsidP="00BC4A0C">
            <w:pPr>
              <w:rPr>
                <w:rFonts w:asciiTheme="majorHAnsi" w:hAnsiTheme="majorHAnsi" w:cstheme="majorHAnsi"/>
                <w:sz w:val="18"/>
                <w:szCs w:val="18"/>
              </w:rPr>
            </w:pPr>
          </w:p>
        </w:tc>
      </w:tr>
      <w:tr w:rsidR="00BC4A0C" w:rsidRPr="00BC4A0C" w14:paraId="6C9E053F" w14:textId="77777777" w:rsidTr="00CD657D">
        <w:tc>
          <w:tcPr>
            <w:tcW w:w="6096" w:type="dxa"/>
          </w:tcPr>
          <w:p w14:paraId="6A34E173" w14:textId="77777777" w:rsidR="00BC4A0C" w:rsidRPr="00BC4A0C" w:rsidRDefault="00BC4A0C" w:rsidP="00BC4A0C">
            <w:pPr>
              <w:pStyle w:val="Odstavecseseznamem"/>
              <w:numPr>
                <w:ilvl w:val="0"/>
                <w:numId w:val="55"/>
              </w:numPr>
              <w:rPr>
                <w:rFonts w:asciiTheme="majorHAnsi" w:hAnsiTheme="majorHAnsi" w:cstheme="majorHAnsi"/>
                <w:b/>
                <w:bCs/>
                <w:sz w:val="18"/>
                <w:szCs w:val="18"/>
              </w:rPr>
            </w:pPr>
            <w:r w:rsidRPr="00BC4A0C">
              <w:rPr>
                <w:rFonts w:asciiTheme="majorHAnsi" w:hAnsiTheme="majorHAnsi" w:cstheme="majorHAnsi"/>
                <w:b/>
                <w:bCs/>
                <w:sz w:val="18"/>
                <w:szCs w:val="18"/>
              </w:rPr>
              <w:t>Radoušek Kamil, Rozkoš 42, Raoušková Petra, Rozkoš 42, Radoušek Jan, Nádražní 194, Kostomlaty n. L., Radoušek Jaroslav, Sadová 2112, Nymburk.</w:t>
            </w:r>
          </w:p>
          <w:p w14:paraId="09B9E01B" w14:textId="77777777" w:rsidR="00BC4A0C" w:rsidRPr="00BC4A0C" w:rsidRDefault="00BC4A0C" w:rsidP="00BC4A0C">
            <w:pPr>
              <w:rPr>
                <w:rFonts w:asciiTheme="majorHAnsi" w:hAnsiTheme="majorHAnsi" w:cstheme="majorHAnsi"/>
                <w:sz w:val="18"/>
                <w:szCs w:val="18"/>
              </w:rPr>
            </w:pPr>
          </w:p>
        </w:tc>
        <w:tc>
          <w:tcPr>
            <w:tcW w:w="3118" w:type="dxa"/>
          </w:tcPr>
          <w:p w14:paraId="3AD731CB" w14:textId="77777777" w:rsidR="00BC4A0C" w:rsidRPr="00BC4A0C" w:rsidRDefault="00BC4A0C" w:rsidP="00BC4A0C">
            <w:pPr>
              <w:rPr>
                <w:rFonts w:asciiTheme="majorHAnsi" w:hAnsiTheme="majorHAnsi" w:cstheme="majorHAnsi"/>
                <w:b/>
                <w:bCs/>
                <w:sz w:val="18"/>
                <w:szCs w:val="18"/>
              </w:rPr>
            </w:pPr>
          </w:p>
        </w:tc>
      </w:tr>
      <w:tr w:rsidR="00BC4A0C" w:rsidRPr="00BC4A0C" w14:paraId="06AA51D0" w14:textId="77777777" w:rsidTr="00CD657D">
        <w:tc>
          <w:tcPr>
            <w:tcW w:w="6096" w:type="dxa"/>
          </w:tcPr>
          <w:p w14:paraId="053C2D30"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t>Námitka:</w:t>
            </w:r>
          </w:p>
          <w:p w14:paraId="709E421B"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 xml:space="preserve">V návrhu ÚP Kostomlaty nad Labem ze IV/2022 byla navržena dle naší žádosti ze dne 5.11.2020 změna území na obytnou zástavbu Z10 a následně bylo toto území </w:t>
            </w:r>
            <w:r w:rsidRPr="00BC4A0C">
              <w:rPr>
                <w:rFonts w:asciiTheme="majorHAnsi" w:hAnsiTheme="majorHAnsi" w:cstheme="majorHAnsi"/>
                <w:sz w:val="18"/>
                <w:szCs w:val="18"/>
              </w:rPr>
              <w:lastRenderedPageBreak/>
              <w:t>v posledním ÚP XI/2023 změněno na NSzp (plochy smíšené nezastavěného území – zemědělské, přírodní pozemky) – území, o které se jedná je vyznačeno v mapě v příloze (jedná se o pozemky parc. č. 455/1, 455/3, 455/4, 840/17, 701/1, 840/1, 1366/3 v majetku rodiny Radouškových a dále pak pozemky parc. č. 840/19, 840/20, 840/15, 39, 1366/3, 1454/9, 1454/38).</w:t>
            </w:r>
          </w:p>
          <w:p w14:paraId="025B0471"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Prosím o projednání a žádáme o nápravu dle ÚP IV/2022 (parc. č. 455/1, 455/3, 455/4, 840/17, 701/1, 840/1, 1366/3) z důvodu budoucí výstavby rodinných domů, (narovnání hranic pozemků). Obecní úřad by jistě také ocenil, že by obecní pozemky parc. č. 1366/1, 840815, 840/16 momentálně bez jakéhokoliv významu by byly sloučeny v jeden celek vedle ČOP, což by mohlo být v budoucnu využito pro rozšíření či potřeby ČOP.</w:t>
            </w:r>
          </w:p>
          <w:p w14:paraId="78C615A0" w14:textId="77777777" w:rsidR="00BC4A0C" w:rsidRPr="00BC4A0C" w:rsidRDefault="00BC4A0C" w:rsidP="00BC4A0C">
            <w:pPr>
              <w:pStyle w:val="Odstavecseseznamem"/>
              <w:ind w:left="1080"/>
              <w:rPr>
                <w:rFonts w:asciiTheme="majorHAnsi" w:hAnsiTheme="majorHAnsi" w:cstheme="majorHAnsi"/>
                <w:b/>
                <w:bCs/>
                <w:sz w:val="18"/>
                <w:szCs w:val="18"/>
              </w:rPr>
            </w:pPr>
          </w:p>
        </w:tc>
        <w:tc>
          <w:tcPr>
            <w:tcW w:w="3118" w:type="dxa"/>
          </w:tcPr>
          <w:p w14:paraId="62388C44"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lastRenderedPageBreak/>
              <w:t>Námitka se zamítá.</w:t>
            </w:r>
          </w:p>
          <w:p w14:paraId="2E6A0843" w14:textId="77777777" w:rsidR="00BC4A0C" w:rsidRPr="00BC4A0C" w:rsidRDefault="00BC4A0C" w:rsidP="00BC4A0C">
            <w:pPr>
              <w:rPr>
                <w:rFonts w:asciiTheme="majorHAnsi" w:hAnsiTheme="majorHAnsi" w:cstheme="majorHAnsi"/>
                <w:sz w:val="18"/>
                <w:szCs w:val="18"/>
                <w:u w:val="single"/>
              </w:rPr>
            </w:pPr>
            <w:r w:rsidRPr="00BC4A0C">
              <w:rPr>
                <w:rFonts w:asciiTheme="majorHAnsi" w:hAnsiTheme="majorHAnsi" w:cstheme="majorHAnsi"/>
                <w:sz w:val="18"/>
                <w:szCs w:val="18"/>
                <w:u w:val="single"/>
              </w:rPr>
              <w:t>Odůvodnění:</w:t>
            </w:r>
          </w:p>
          <w:p w14:paraId="34CBB9F9"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lastRenderedPageBreak/>
              <w:t>Podle stávajícího ÚP se jedná o pozemky nezastavěného území, louky, pastviny a pole. Obec nechce rozšíření obytných ploch v této lokalitě. Pozemky se nacházejí východně od stávající čističky odpadních vod, tedy ve směru převládajících větrů. Obec řeší již v současné době množství stížností vlastníků nemovitostí umístěných východně od ČOV na obtěžování zápachem. V souvislosti se stanovením nových zastavitelných ploch se počítá i se zvýšením kapacity ČOV a tím i možným nárůstem negativních vlivů na okolí. Na zařazení pozemků do zastavitelných ploch není právní nárok.</w:t>
            </w:r>
          </w:p>
        </w:tc>
      </w:tr>
      <w:tr w:rsidR="00BC4A0C" w:rsidRPr="00BC4A0C" w14:paraId="242C4154" w14:textId="77777777" w:rsidTr="00CD657D">
        <w:tc>
          <w:tcPr>
            <w:tcW w:w="6096" w:type="dxa"/>
          </w:tcPr>
          <w:p w14:paraId="4F114F8F" w14:textId="77777777" w:rsidR="00BC4A0C" w:rsidRPr="00BC4A0C" w:rsidRDefault="00BC4A0C" w:rsidP="00BC4A0C">
            <w:pPr>
              <w:pStyle w:val="Odstavecseseznamem"/>
              <w:numPr>
                <w:ilvl w:val="0"/>
                <w:numId w:val="55"/>
              </w:numPr>
              <w:rPr>
                <w:rFonts w:asciiTheme="majorHAnsi" w:hAnsiTheme="majorHAnsi" w:cstheme="majorHAnsi"/>
                <w:b/>
                <w:bCs/>
                <w:sz w:val="18"/>
                <w:szCs w:val="18"/>
              </w:rPr>
            </w:pPr>
            <w:r w:rsidRPr="00BC4A0C">
              <w:rPr>
                <w:rFonts w:asciiTheme="majorHAnsi" w:hAnsiTheme="majorHAnsi" w:cstheme="majorHAnsi"/>
                <w:b/>
                <w:bCs/>
                <w:sz w:val="18"/>
                <w:szCs w:val="18"/>
              </w:rPr>
              <w:lastRenderedPageBreak/>
              <w:t>Hladíková Dana, 9. května 98, Kostomlaty n. L.</w:t>
            </w:r>
          </w:p>
          <w:p w14:paraId="66260739" w14:textId="77777777" w:rsidR="00BC4A0C" w:rsidRPr="00BC4A0C" w:rsidRDefault="00BC4A0C" w:rsidP="00BC4A0C">
            <w:pPr>
              <w:rPr>
                <w:rFonts w:asciiTheme="majorHAnsi" w:hAnsiTheme="majorHAnsi" w:cstheme="majorHAnsi"/>
                <w:b/>
                <w:bCs/>
                <w:sz w:val="18"/>
                <w:szCs w:val="18"/>
              </w:rPr>
            </w:pPr>
          </w:p>
        </w:tc>
        <w:tc>
          <w:tcPr>
            <w:tcW w:w="3118" w:type="dxa"/>
          </w:tcPr>
          <w:p w14:paraId="5BF01396" w14:textId="77777777" w:rsidR="00BC4A0C" w:rsidRPr="00BC4A0C" w:rsidRDefault="00BC4A0C" w:rsidP="00BC4A0C">
            <w:pPr>
              <w:rPr>
                <w:rFonts w:asciiTheme="majorHAnsi" w:hAnsiTheme="majorHAnsi" w:cstheme="majorHAnsi"/>
                <w:b/>
                <w:bCs/>
                <w:sz w:val="18"/>
                <w:szCs w:val="18"/>
              </w:rPr>
            </w:pPr>
          </w:p>
        </w:tc>
      </w:tr>
      <w:tr w:rsidR="00BC4A0C" w:rsidRPr="00BC4A0C" w14:paraId="08809CB6" w14:textId="77777777" w:rsidTr="00CD657D">
        <w:tc>
          <w:tcPr>
            <w:tcW w:w="6096" w:type="dxa"/>
          </w:tcPr>
          <w:p w14:paraId="50D2F334" w14:textId="77777777" w:rsidR="00BC4A0C" w:rsidRPr="00BC4A0C" w:rsidRDefault="00BC4A0C" w:rsidP="00BC4A0C">
            <w:pPr>
              <w:rPr>
                <w:rFonts w:asciiTheme="majorHAnsi" w:hAnsiTheme="majorHAnsi" w:cstheme="majorHAnsi"/>
                <w:sz w:val="18"/>
                <w:szCs w:val="18"/>
              </w:rPr>
            </w:pPr>
          </w:p>
          <w:p w14:paraId="47C8FADD"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t>Námitka:</w:t>
            </w:r>
          </w:p>
          <w:p w14:paraId="044CDC7C"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sz w:val="18"/>
                <w:szCs w:val="18"/>
              </w:rPr>
              <w:t>V návaznosti na veřejné projednání nového návrhu územního plánu obce Kostomlaty nad Labem, které proběhlo dne 21.2.2024, tímto vznáším požadavek na změnu představeného územního plánu. Konkrétně navrhuji provedení změny způsobu využití území, na kterém se mimo jiné nacházejí i mnou spoluvlastněné pozemky (701/1, 840/1), a to nově na plochu určenou k zastavění. Cílem navržené změny je možnost budoucího využití uvedených pozemků pro případnou zástavbu v podobě rodinných domů. Žádám tímto o zapracování navržené změny v rámci předpokládaných dalších úprav územního plánu v návaznosti na vypořádání připomínek vzešlých z veřejného projednání</w:t>
            </w:r>
          </w:p>
        </w:tc>
        <w:tc>
          <w:tcPr>
            <w:tcW w:w="3118" w:type="dxa"/>
          </w:tcPr>
          <w:p w14:paraId="13B33F9D" w14:textId="77777777" w:rsidR="00BC4A0C" w:rsidRPr="00BC4A0C" w:rsidRDefault="00BC4A0C" w:rsidP="00BC4A0C">
            <w:pPr>
              <w:rPr>
                <w:rFonts w:asciiTheme="majorHAnsi" w:hAnsiTheme="majorHAnsi" w:cstheme="majorHAnsi"/>
                <w:b/>
                <w:bCs/>
                <w:sz w:val="18"/>
                <w:szCs w:val="18"/>
              </w:rPr>
            </w:pPr>
          </w:p>
          <w:p w14:paraId="5E9C3736"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t>Námitka se zamítá.</w:t>
            </w:r>
          </w:p>
          <w:p w14:paraId="29FEEFE8" w14:textId="77777777" w:rsidR="00BC4A0C" w:rsidRPr="00BC4A0C" w:rsidRDefault="00BC4A0C" w:rsidP="00BC4A0C">
            <w:pPr>
              <w:rPr>
                <w:rFonts w:asciiTheme="majorHAnsi" w:hAnsiTheme="majorHAnsi" w:cstheme="majorHAnsi"/>
                <w:b/>
                <w:bCs/>
                <w:sz w:val="18"/>
                <w:szCs w:val="18"/>
              </w:rPr>
            </w:pPr>
          </w:p>
          <w:p w14:paraId="3446503A"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Odůvodnění viz námitka č. XII.</w:t>
            </w:r>
          </w:p>
        </w:tc>
      </w:tr>
      <w:tr w:rsidR="00BC4A0C" w:rsidRPr="00BC4A0C" w14:paraId="185AB6C7" w14:textId="77777777" w:rsidTr="00CD657D">
        <w:tc>
          <w:tcPr>
            <w:tcW w:w="6096" w:type="dxa"/>
          </w:tcPr>
          <w:p w14:paraId="4908AB36" w14:textId="77777777" w:rsidR="00BC4A0C" w:rsidRPr="00BC4A0C" w:rsidRDefault="00BC4A0C" w:rsidP="00BC4A0C">
            <w:pPr>
              <w:pStyle w:val="Odstavecseseznamem"/>
              <w:numPr>
                <w:ilvl w:val="0"/>
                <w:numId w:val="55"/>
              </w:numPr>
              <w:rPr>
                <w:rFonts w:asciiTheme="majorHAnsi" w:hAnsiTheme="majorHAnsi" w:cstheme="majorHAnsi"/>
                <w:b/>
                <w:bCs/>
                <w:sz w:val="18"/>
                <w:szCs w:val="18"/>
              </w:rPr>
            </w:pPr>
            <w:r w:rsidRPr="00BC4A0C">
              <w:rPr>
                <w:rFonts w:asciiTheme="majorHAnsi" w:hAnsiTheme="majorHAnsi" w:cstheme="majorHAnsi"/>
                <w:b/>
                <w:bCs/>
                <w:sz w:val="18"/>
                <w:szCs w:val="18"/>
              </w:rPr>
              <w:t>Bc. Čermáková Lucie. Vichrova 1916, Lysá nad Labem</w:t>
            </w:r>
          </w:p>
          <w:p w14:paraId="6C9D2030" w14:textId="77777777" w:rsidR="00BC4A0C" w:rsidRPr="00BC4A0C" w:rsidRDefault="00BC4A0C" w:rsidP="00BC4A0C">
            <w:pPr>
              <w:rPr>
                <w:rFonts w:asciiTheme="majorHAnsi" w:hAnsiTheme="majorHAnsi" w:cstheme="majorHAnsi"/>
                <w:sz w:val="18"/>
                <w:szCs w:val="18"/>
              </w:rPr>
            </w:pPr>
          </w:p>
        </w:tc>
        <w:tc>
          <w:tcPr>
            <w:tcW w:w="3118" w:type="dxa"/>
          </w:tcPr>
          <w:p w14:paraId="62E8CF04" w14:textId="77777777" w:rsidR="00BC4A0C" w:rsidRPr="00BC4A0C" w:rsidRDefault="00BC4A0C" w:rsidP="00BC4A0C">
            <w:pPr>
              <w:rPr>
                <w:rFonts w:asciiTheme="majorHAnsi" w:hAnsiTheme="majorHAnsi" w:cstheme="majorHAnsi"/>
                <w:b/>
                <w:bCs/>
                <w:sz w:val="18"/>
                <w:szCs w:val="18"/>
              </w:rPr>
            </w:pPr>
          </w:p>
        </w:tc>
      </w:tr>
      <w:tr w:rsidR="00BC4A0C" w:rsidRPr="00BC4A0C" w14:paraId="58AB6005" w14:textId="77777777" w:rsidTr="00CD657D">
        <w:tc>
          <w:tcPr>
            <w:tcW w:w="6096" w:type="dxa"/>
          </w:tcPr>
          <w:p w14:paraId="6B22C077" w14:textId="77777777" w:rsidR="00BC4A0C" w:rsidRPr="00BC4A0C" w:rsidRDefault="00BC4A0C" w:rsidP="00BC4A0C">
            <w:pPr>
              <w:rPr>
                <w:rFonts w:asciiTheme="majorHAnsi" w:hAnsiTheme="majorHAnsi" w:cstheme="majorHAnsi"/>
                <w:sz w:val="18"/>
                <w:szCs w:val="18"/>
                <w:u w:val="single"/>
              </w:rPr>
            </w:pPr>
            <w:r w:rsidRPr="00BC4A0C">
              <w:rPr>
                <w:rFonts w:asciiTheme="majorHAnsi" w:hAnsiTheme="majorHAnsi" w:cstheme="majorHAnsi"/>
                <w:sz w:val="18"/>
                <w:szCs w:val="18"/>
                <w:u w:val="single"/>
              </w:rPr>
              <w:t xml:space="preserve">Námitka: </w:t>
            </w:r>
          </w:p>
          <w:p w14:paraId="2F3E7CB5"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V návaznosti na veřejné projednání nového návrhu územního plánu obce Kostomlaty nad Labem, které proběhlo dne 21.2.2024, tímto vznáším požadavek na změnu představeného územního plánu. Konkrétně navrhuji provedení změny způsobu využití území, na kterém se mimo jiné nacházejí i mnou vlastněné pozemky (1366/3, 1454/9) , a to nově na plochu určenou k zastavění. Cílem navržené změny je možnost budoucího využití uvedených pozemků pro případnou zástavbu v podobě rodinných domů, popřípadě k jinému obdobnému využití, které není stávajícím návrhem územního plánu umožněno. Žádám tímto o zapracování navržené změny v rámci předpokládaných dalších úprav územního plánu v návaznosti na vypořádání připomínek vzešlých z veřejného projednání.</w:t>
            </w:r>
          </w:p>
          <w:p w14:paraId="0B42FFC1" w14:textId="77777777" w:rsidR="00BC4A0C" w:rsidRPr="00BC4A0C" w:rsidRDefault="00BC4A0C" w:rsidP="00BC4A0C">
            <w:pPr>
              <w:pStyle w:val="Odstavecseseznamem"/>
              <w:ind w:left="1080"/>
              <w:rPr>
                <w:rFonts w:asciiTheme="majorHAnsi" w:hAnsiTheme="majorHAnsi" w:cstheme="majorHAnsi"/>
                <w:b/>
                <w:bCs/>
                <w:sz w:val="18"/>
                <w:szCs w:val="18"/>
              </w:rPr>
            </w:pPr>
          </w:p>
        </w:tc>
        <w:tc>
          <w:tcPr>
            <w:tcW w:w="3118" w:type="dxa"/>
          </w:tcPr>
          <w:p w14:paraId="245A33FB" w14:textId="77777777" w:rsidR="00BC4A0C" w:rsidRPr="00BC4A0C" w:rsidRDefault="00BC4A0C" w:rsidP="00BC4A0C">
            <w:pPr>
              <w:rPr>
                <w:rFonts w:asciiTheme="majorHAnsi" w:hAnsiTheme="majorHAnsi" w:cstheme="majorHAnsi"/>
                <w:b/>
                <w:bCs/>
                <w:sz w:val="18"/>
                <w:szCs w:val="18"/>
              </w:rPr>
            </w:pPr>
          </w:p>
          <w:p w14:paraId="3388E5BF"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t>Námitka se zamítá.</w:t>
            </w:r>
          </w:p>
          <w:p w14:paraId="25E2A7C1" w14:textId="77777777" w:rsidR="00BC4A0C" w:rsidRPr="00BC4A0C" w:rsidRDefault="00BC4A0C" w:rsidP="00BC4A0C">
            <w:pPr>
              <w:rPr>
                <w:rFonts w:asciiTheme="majorHAnsi" w:hAnsiTheme="majorHAnsi" w:cstheme="majorHAnsi"/>
                <w:b/>
                <w:bCs/>
                <w:sz w:val="18"/>
                <w:szCs w:val="18"/>
              </w:rPr>
            </w:pPr>
          </w:p>
          <w:p w14:paraId="034A6904"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sz w:val="18"/>
                <w:szCs w:val="18"/>
              </w:rPr>
              <w:t>Odůvodnění viz námitka č. XII</w:t>
            </w:r>
          </w:p>
        </w:tc>
      </w:tr>
      <w:tr w:rsidR="00BC4A0C" w:rsidRPr="00BC4A0C" w14:paraId="5DE1FFBB" w14:textId="77777777" w:rsidTr="00CD657D">
        <w:tc>
          <w:tcPr>
            <w:tcW w:w="6096" w:type="dxa"/>
          </w:tcPr>
          <w:p w14:paraId="418F880B" w14:textId="77777777" w:rsidR="00BC4A0C" w:rsidRPr="00BC4A0C" w:rsidRDefault="00BC4A0C" w:rsidP="00BC4A0C">
            <w:pPr>
              <w:rPr>
                <w:rFonts w:asciiTheme="majorHAnsi" w:hAnsiTheme="majorHAnsi" w:cstheme="majorHAnsi"/>
                <w:b/>
                <w:bCs/>
                <w:sz w:val="18"/>
                <w:szCs w:val="18"/>
              </w:rPr>
            </w:pPr>
          </w:p>
          <w:p w14:paraId="3A62F1E0" w14:textId="77777777" w:rsidR="00BC4A0C" w:rsidRPr="00BC4A0C" w:rsidRDefault="00BC4A0C" w:rsidP="00BC4A0C">
            <w:pPr>
              <w:rPr>
                <w:rFonts w:asciiTheme="majorHAnsi" w:hAnsiTheme="majorHAnsi" w:cstheme="majorHAnsi"/>
                <w:b/>
                <w:bCs/>
                <w:sz w:val="18"/>
                <w:szCs w:val="18"/>
              </w:rPr>
            </w:pPr>
          </w:p>
          <w:p w14:paraId="00E5FD17"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t>Námitky došlé po termínu:</w:t>
            </w:r>
          </w:p>
          <w:p w14:paraId="122AFF40" w14:textId="77777777" w:rsidR="00BC4A0C" w:rsidRPr="00BC4A0C" w:rsidRDefault="00BC4A0C" w:rsidP="00BC4A0C">
            <w:pPr>
              <w:rPr>
                <w:rFonts w:asciiTheme="majorHAnsi" w:hAnsiTheme="majorHAnsi" w:cstheme="majorHAnsi"/>
                <w:b/>
                <w:bCs/>
                <w:sz w:val="18"/>
                <w:szCs w:val="18"/>
              </w:rPr>
            </w:pPr>
          </w:p>
          <w:p w14:paraId="168EEDF4" w14:textId="77777777" w:rsidR="00BC4A0C" w:rsidRPr="00BC4A0C" w:rsidRDefault="00BC4A0C" w:rsidP="00BC4A0C">
            <w:pPr>
              <w:rPr>
                <w:rFonts w:asciiTheme="majorHAnsi" w:hAnsiTheme="majorHAnsi" w:cstheme="majorHAnsi"/>
                <w:sz w:val="18"/>
                <w:szCs w:val="18"/>
                <w:u w:val="single"/>
              </w:rPr>
            </w:pPr>
          </w:p>
        </w:tc>
        <w:tc>
          <w:tcPr>
            <w:tcW w:w="3118" w:type="dxa"/>
          </w:tcPr>
          <w:p w14:paraId="044B755C" w14:textId="77777777" w:rsidR="00BC4A0C" w:rsidRPr="00BC4A0C" w:rsidRDefault="00BC4A0C" w:rsidP="00BC4A0C">
            <w:pPr>
              <w:rPr>
                <w:rFonts w:asciiTheme="majorHAnsi" w:hAnsiTheme="majorHAnsi" w:cstheme="majorHAnsi"/>
                <w:b/>
                <w:bCs/>
                <w:sz w:val="18"/>
                <w:szCs w:val="18"/>
              </w:rPr>
            </w:pPr>
          </w:p>
        </w:tc>
      </w:tr>
      <w:tr w:rsidR="00BC4A0C" w:rsidRPr="00BC4A0C" w14:paraId="4C43F2F5" w14:textId="77777777" w:rsidTr="00CD657D">
        <w:tc>
          <w:tcPr>
            <w:tcW w:w="6096" w:type="dxa"/>
          </w:tcPr>
          <w:p w14:paraId="421C9F0F"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b/>
                <w:bCs/>
                <w:sz w:val="18"/>
                <w:szCs w:val="18"/>
              </w:rPr>
              <w:t xml:space="preserve">     XV.     J.  Nehasil (došlo 1.3.2024</w:t>
            </w:r>
            <w:r w:rsidRPr="00BC4A0C">
              <w:rPr>
                <w:rFonts w:asciiTheme="majorHAnsi" w:hAnsiTheme="majorHAnsi" w:cstheme="majorHAnsi"/>
                <w:sz w:val="18"/>
                <w:szCs w:val="18"/>
              </w:rPr>
              <w:t xml:space="preserve"> – nepodepsáno, neuvedena adresa a dat. narození)</w:t>
            </w:r>
          </w:p>
          <w:p w14:paraId="5F0ED6D1" w14:textId="77777777" w:rsidR="00BC4A0C" w:rsidRPr="00BC4A0C" w:rsidRDefault="00BC4A0C" w:rsidP="00BC4A0C">
            <w:pPr>
              <w:rPr>
                <w:rFonts w:asciiTheme="majorHAnsi" w:hAnsiTheme="majorHAnsi" w:cstheme="majorHAnsi"/>
                <w:b/>
                <w:bCs/>
                <w:sz w:val="18"/>
                <w:szCs w:val="18"/>
              </w:rPr>
            </w:pPr>
          </w:p>
        </w:tc>
        <w:tc>
          <w:tcPr>
            <w:tcW w:w="3118" w:type="dxa"/>
          </w:tcPr>
          <w:p w14:paraId="5753FDFF" w14:textId="77777777" w:rsidR="00BC4A0C" w:rsidRPr="00BC4A0C" w:rsidRDefault="00BC4A0C" w:rsidP="00BC4A0C">
            <w:pPr>
              <w:rPr>
                <w:rFonts w:asciiTheme="majorHAnsi" w:hAnsiTheme="majorHAnsi" w:cstheme="majorHAnsi"/>
                <w:b/>
                <w:bCs/>
                <w:sz w:val="18"/>
                <w:szCs w:val="18"/>
              </w:rPr>
            </w:pPr>
          </w:p>
        </w:tc>
      </w:tr>
      <w:tr w:rsidR="00BC4A0C" w:rsidRPr="00BC4A0C" w14:paraId="7FC2591B" w14:textId="77777777" w:rsidTr="00CD657D">
        <w:tc>
          <w:tcPr>
            <w:tcW w:w="6096" w:type="dxa"/>
          </w:tcPr>
          <w:p w14:paraId="65CC7A3E" w14:textId="77777777" w:rsidR="00BC4A0C" w:rsidRPr="00BC4A0C" w:rsidRDefault="00BC4A0C" w:rsidP="00BC4A0C">
            <w:pPr>
              <w:rPr>
                <w:rFonts w:asciiTheme="majorHAnsi" w:hAnsiTheme="majorHAnsi" w:cstheme="majorHAnsi"/>
                <w:sz w:val="18"/>
                <w:szCs w:val="18"/>
                <w:u w:val="single"/>
              </w:rPr>
            </w:pPr>
            <w:r w:rsidRPr="00BC4A0C">
              <w:rPr>
                <w:rFonts w:asciiTheme="majorHAnsi" w:hAnsiTheme="majorHAnsi" w:cstheme="majorHAnsi"/>
                <w:sz w:val="18"/>
                <w:szCs w:val="18"/>
                <w:u w:val="single"/>
              </w:rPr>
              <w:t xml:space="preserve">Námitka: </w:t>
            </w:r>
          </w:p>
          <w:p w14:paraId="707A832C"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 xml:space="preserve">Nesouhlasím se smíšenou zástavbou před – na svých pozemcích č. 473 a 274/20 a ani v dalších místech obce. Kde se jedná o zástavbu na orné půdě. Důvody jsou následující: starostka v obci nechala zničit tři parky ohraničené vzácnými kanadskými dřevinami zakoupenými po r. 1918. ty byly zakoupeny na zemské výstavě v Praze. Jednalo se o parky, kde byl postaven pomník obětem z 1. světové války, park s církevním křížkem a třetí park s obecní studní. Mezi každým parkem z obou jejich stran byly ponechány cesty pro vstup na pozemky s ornou půdou, a kde předchozí majitelé nechali část těchto pozemků ze své orné půdy obci k zřízení těchto parků, ale s uvedenými cestami pro vstup na své pozemky, </w:t>
            </w:r>
            <w:r w:rsidRPr="00BC4A0C">
              <w:rPr>
                <w:rFonts w:asciiTheme="majorHAnsi" w:hAnsiTheme="majorHAnsi" w:cstheme="majorHAnsi"/>
                <w:sz w:val="18"/>
                <w:szCs w:val="18"/>
              </w:rPr>
              <w:lastRenderedPageBreak/>
              <w:t>bez nichž by se k jejich obhospodařování nebylo možné dostat! K tomu došlo po digitalizaci, bez projednání s dotyčnými vlastníky těchto pozemků. O uvedené bylo žádáno vlastníky viz. Dopis z 11.3.2022. do dnešního dne jsme od paní starostky neobdrželi žádnou odpověď! Běhala pouze u ing. Jahna na katastrálním úřadu v Nbk, aby obnovili zrušenou cestu Fr. Brynycha. Důvod byl ten, že bez ní by se pan Jiří Šnajdr nedostal na pozemek svého domu. A tak je to i s územním plánem obce Lán. Nebylo provedeno řádné referendum s občany uvedené obce, aby si kdokoliv zadával svévolné vypracování zástavby!</w:t>
            </w:r>
          </w:p>
          <w:p w14:paraId="27072958" w14:textId="77777777" w:rsidR="00BC4A0C" w:rsidRPr="00BC4A0C" w:rsidRDefault="00BC4A0C" w:rsidP="00BC4A0C">
            <w:pPr>
              <w:rPr>
                <w:rFonts w:asciiTheme="majorHAnsi" w:hAnsiTheme="majorHAnsi" w:cstheme="majorHAnsi"/>
                <w:b/>
                <w:bCs/>
                <w:sz w:val="18"/>
                <w:szCs w:val="18"/>
              </w:rPr>
            </w:pPr>
          </w:p>
        </w:tc>
        <w:tc>
          <w:tcPr>
            <w:tcW w:w="3118" w:type="dxa"/>
          </w:tcPr>
          <w:p w14:paraId="58C9E045"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lastRenderedPageBreak/>
              <w:t>Námitka se zamítá.</w:t>
            </w:r>
          </w:p>
          <w:p w14:paraId="53ADA5F6" w14:textId="77777777" w:rsidR="00BC4A0C" w:rsidRPr="00BC4A0C" w:rsidRDefault="00BC4A0C" w:rsidP="00BC4A0C">
            <w:pPr>
              <w:rPr>
                <w:rFonts w:asciiTheme="majorHAnsi" w:hAnsiTheme="majorHAnsi" w:cstheme="majorHAnsi"/>
                <w:b/>
                <w:bCs/>
                <w:sz w:val="18"/>
                <w:szCs w:val="18"/>
              </w:rPr>
            </w:pPr>
          </w:p>
          <w:p w14:paraId="47C4A19D"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Odůvodnění:</w:t>
            </w:r>
          </w:p>
          <w:p w14:paraId="5D78D64E"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 xml:space="preserve">Pozemky parc. č. 473 a 274/20 jsou v ploše Z18, kde navržené zástavbové plochy doplňují proluky ve stávající zástavbě podél silnice III/3317. pozemek před těmito pozemky směrem k silnici III/3317, parc. č. 133 je v ploše ZP (zeleň a parkově upravené plochy). </w:t>
            </w:r>
            <w:r w:rsidRPr="00BC4A0C">
              <w:rPr>
                <w:rFonts w:asciiTheme="majorHAnsi" w:hAnsiTheme="majorHAnsi" w:cstheme="majorHAnsi"/>
                <w:sz w:val="18"/>
                <w:szCs w:val="18"/>
              </w:rPr>
              <w:lastRenderedPageBreak/>
              <w:t>Využití plochy je podmíněno zpracováním územní studie, která zaručí možnost vstupu do navazujících polností. Využití pozemku pro výstavbu není pro majitele povinností, jen možností. Pokud si majitel přeje svůj pozemek dále využívat jako ornou půdu, nic mu v tom nebrání.</w:t>
            </w:r>
          </w:p>
        </w:tc>
      </w:tr>
      <w:tr w:rsidR="00BC4A0C" w:rsidRPr="00BC4A0C" w14:paraId="471977D4" w14:textId="77777777" w:rsidTr="00CD657D">
        <w:trPr>
          <w:trHeight w:val="562"/>
        </w:trPr>
        <w:tc>
          <w:tcPr>
            <w:tcW w:w="6096" w:type="dxa"/>
          </w:tcPr>
          <w:p w14:paraId="5DE15ACA" w14:textId="77777777" w:rsidR="00BC4A0C" w:rsidRPr="00BC4A0C" w:rsidRDefault="00BC4A0C" w:rsidP="00BC4A0C">
            <w:pPr>
              <w:pStyle w:val="Odstavecseseznamem"/>
              <w:numPr>
                <w:ilvl w:val="0"/>
                <w:numId w:val="55"/>
              </w:numPr>
              <w:rPr>
                <w:rFonts w:asciiTheme="majorHAnsi" w:hAnsiTheme="majorHAnsi" w:cstheme="majorHAnsi"/>
                <w:b/>
                <w:bCs/>
                <w:sz w:val="18"/>
                <w:szCs w:val="18"/>
              </w:rPr>
            </w:pPr>
            <w:r w:rsidRPr="00BC4A0C">
              <w:rPr>
                <w:rFonts w:asciiTheme="majorHAnsi" w:hAnsiTheme="majorHAnsi" w:cstheme="majorHAnsi"/>
                <w:b/>
                <w:bCs/>
                <w:sz w:val="18"/>
                <w:szCs w:val="18"/>
              </w:rPr>
              <w:lastRenderedPageBreak/>
              <w:t>Jana Švondrová, Na Ladech 447, Kostomlaty nad Labem (došlo 11.3.2024)</w:t>
            </w:r>
          </w:p>
          <w:p w14:paraId="2964EC7F" w14:textId="77777777" w:rsidR="00BC4A0C" w:rsidRPr="00BC4A0C" w:rsidRDefault="00BC4A0C" w:rsidP="00BC4A0C">
            <w:pPr>
              <w:rPr>
                <w:rFonts w:asciiTheme="majorHAnsi" w:hAnsiTheme="majorHAnsi" w:cstheme="majorHAnsi"/>
                <w:sz w:val="18"/>
                <w:szCs w:val="18"/>
                <w:u w:val="single"/>
              </w:rPr>
            </w:pPr>
          </w:p>
        </w:tc>
        <w:tc>
          <w:tcPr>
            <w:tcW w:w="3118" w:type="dxa"/>
          </w:tcPr>
          <w:p w14:paraId="1FD19A4E" w14:textId="77777777" w:rsidR="00BC4A0C" w:rsidRPr="00BC4A0C" w:rsidRDefault="00BC4A0C" w:rsidP="00BC4A0C">
            <w:pPr>
              <w:rPr>
                <w:rFonts w:asciiTheme="majorHAnsi" w:hAnsiTheme="majorHAnsi" w:cstheme="majorHAnsi"/>
                <w:b/>
                <w:bCs/>
                <w:sz w:val="18"/>
                <w:szCs w:val="18"/>
              </w:rPr>
            </w:pPr>
          </w:p>
        </w:tc>
      </w:tr>
      <w:tr w:rsidR="00BC4A0C" w:rsidRPr="00BC4A0C" w14:paraId="3F70C474" w14:textId="77777777" w:rsidTr="00CD657D">
        <w:tc>
          <w:tcPr>
            <w:tcW w:w="6096" w:type="dxa"/>
          </w:tcPr>
          <w:p w14:paraId="3716E385" w14:textId="77777777" w:rsidR="00BC4A0C" w:rsidRPr="00BC4A0C" w:rsidRDefault="00BC4A0C" w:rsidP="00BC4A0C">
            <w:pPr>
              <w:rPr>
                <w:rFonts w:asciiTheme="majorHAnsi" w:hAnsiTheme="majorHAnsi" w:cstheme="majorHAnsi"/>
                <w:sz w:val="18"/>
                <w:szCs w:val="18"/>
                <w:u w:val="single"/>
              </w:rPr>
            </w:pPr>
            <w:r w:rsidRPr="00BC4A0C">
              <w:rPr>
                <w:rFonts w:asciiTheme="majorHAnsi" w:hAnsiTheme="majorHAnsi" w:cstheme="majorHAnsi"/>
                <w:sz w:val="18"/>
                <w:szCs w:val="18"/>
                <w:u w:val="single"/>
              </w:rPr>
              <w:t>Námitka:</w:t>
            </w:r>
          </w:p>
          <w:p w14:paraId="0423478D"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Nesouhlasím se záměrem zařazení části pozemku p. č. 894/39 jako plocha pro veřejně prospěšné stavby dopravní infrastruktury (Koridor CNU.KDZ1), v připravovaném novém územním plánu obce Kostomlaty nad Labem. Tímto záměrem dojde k znehodnocení našeho soukromého pozemku, dojde k velmi výraznému omezení vlastnických práv. část pozemku je v rámci nového územního plánu obce Kostomlaty nad Labem zařazena pro bytovou výstavbu a část pozemku je zcela znehodnocena. Navrhovaný koridor (přeložka silnice II. třídy III/3317) spojující obce za železniční tratí (Lány, Rozkoš) se silnicí II/331 je veden přes soukromé pozemky v blízkosti bytové zástavby, které trvale znehodnotí a následně uzavře budoucí možný rozvoj v dané lokalitě. Silniční spojnici by bylo možné vést dále od obce, po pozemcích v jejich vlastnictví, (vede zde již prašná cesta) a napojit na silnice II/331 spojující města Lysá nad Labem a Nymburk v místě vyústění budoucího obchvatu viz grafická mapa UPD ve Středočeském kraji. Přestože při veřejném projednání dne 21.2.2024 bylo sděleno, že od záměru je prozatím upuštěno, není vyloučena jeho budoucí realizace.</w:t>
            </w:r>
          </w:p>
          <w:p w14:paraId="587CA4B8" w14:textId="77777777" w:rsidR="00BC4A0C" w:rsidRPr="00BC4A0C" w:rsidRDefault="00BC4A0C" w:rsidP="00BC4A0C">
            <w:pPr>
              <w:rPr>
                <w:rFonts w:asciiTheme="majorHAnsi" w:hAnsiTheme="majorHAnsi" w:cstheme="majorHAnsi"/>
                <w:sz w:val="18"/>
                <w:szCs w:val="18"/>
                <w:u w:val="single"/>
              </w:rPr>
            </w:pPr>
          </w:p>
        </w:tc>
        <w:tc>
          <w:tcPr>
            <w:tcW w:w="3118" w:type="dxa"/>
          </w:tcPr>
          <w:p w14:paraId="40C7FF09"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t>Námitka se zamítá.</w:t>
            </w:r>
          </w:p>
          <w:p w14:paraId="538FCE17" w14:textId="77777777" w:rsidR="00BC4A0C" w:rsidRPr="00BC4A0C" w:rsidRDefault="00BC4A0C" w:rsidP="00BC4A0C">
            <w:pPr>
              <w:rPr>
                <w:rFonts w:asciiTheme="majorHAnsi" w:hAnsiTheme="majorHAnsi" w:cstheme="majorHAnsi"/>
                <w:b/>
                <w:bCs/>
                <w:sz w:val="18"/>
                <w:szCs w:val="18"/>
              </w:rPr>
            </w:pPr>
          </w:p>
          <w:p w14:paraId="4EE22FAE" w14:textId="77777777" w:rsidR="00BC4A0C" w:rsidRPr="00BC4A0C" w:rsidRDefault="00BC4A0C" w:rsidP="00BC4A0C">
            <w:pPr>
              <w:rPr>
                <w:rFonts w:asciiTheme="majorHAnsi" w:hAnsiTheme="majorHAnsi" w:cstheme="majorHAnsi"/>
                <w:sz w:val="18"/>
                <w:szCs w:val="18"/>
                <w:u w:val="single"/>
              </w:rPr>
            </w:pPr>
            <w:r w:rsidRPr="00BC4A0C">
              <w:rPr>
                <w:rFonts w:asciiTheme="majorHAnsi" w:hAnsiTheme="majorHAnsi" w:cstheme="majorHAnsi"/>
                <w:sz w:val="18"/>
                <w:szCs w:val="18"/>
                <w:u w:val="single"/>
              </w:rPr>
              <w:t>Odůvodnění:</w:t>
            </w:r>
          </w:p>
          <w:p w14:paraId="564C128E"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Část pozemku parc. č. 894/39 se nachází v zastavitelné ploše Z.09 (BI), část, která je zasažena koridorem KDZ1 je ponechána v ploše AU. Koridor KDZ1 je ponechán – viz odůvodnění námitky č. I.</w:t>
            </w:r>
          </w:p>
        </w:tc>
      </w:tr>
    </w:tbl>
    <w:p w14:paraId="42F12D27" w14:textId="77777777" w:rsidR="00CD657D" w:rsidRDefault="00CD657D" w:rsidP="00300530">
      <w:pPr>
        <w:spacing w:after="120" w:line="240" w:lineRule="auto"/>
        <w:ind w:firstLine="709"/>
        <w:jc w:val="both"/>
        <w:rPr>
          <w:rFonts w:asciiTheme="majorHAnsi" w:hAnsiTheme="majorHAnsi" w:cstheme="majorHAnsi"/>
          <w:color w:val="4472C4" w:themeColor="accent5"/>
          <w:sz w:val="18"/>
          <w:szCs w:val="20"/>
        </w:rPr>
      </w:pPr>
    </w:p>
    <w:p w14:paraId="3235CE7E" w14:textId="3AB38FBB" w:rsidR="00BC4A0C" w:rsidRPr="00CD657D" w:rsidRDefault="00BC4A0C" w:rsidP="00BC4A0C">
      <w:pPr>
        <w:spacing w:after="120" w:line="240" w:lineRule="auto"/>
        <w:ind w:firstLine="709"/>
        <w:jc w:val="both"/>
        <w:rPr>
          <w:rFonts w:asciiTheme="majorHAnsi" w:hAnsiTheme="majorHAnsi" w:cstheme="majorHAnsi"/>
          <w:sz w:val="18"/>
          <w:szCs w:val="20"/>
        </w:rPr>
      </w:pPr>
      <w:r w:rsidRPr="00CD657D">
        <w:rPr>
          <w:rFonts w:asciiTheme="majorHAnsi" w:hAnsiTheme="majorHAnsi" w:cstheme="majorHAnsi"/>
          <w:sz w:val="18"/>
          <w:szCs w:val="20"/>
        </w:rPr>
        <w:t>Rozhodnutí o námitkách</w:t>
      </w:r>
      <w:r>
        <w:rPr>
          <w:rFonts w:asciiTheme="majorHAnsi" w:hAnsiTheme="majorHAnsi" w:cstheme="majorHAnsi"/>
          <w:sz w:val="18"/>
          <w:szCs w:val="20"/>
        </w:rPr>
        <w:t xml:space="preserve"> – opakované veřejné projednání ÚP Kostomlaty nad Labem</w:t>
      </w:r>
      <w:r>
        <w:rPr>
          <w:rFonts w:asciiTheme="majorHAnsi" w:hAnsiTheme="majorHAnsi" w:cstheme="majorHAnsi"/>
          <w:sz w:val="18"/>
          <w:szCs w:val="20"/>
        </w:rPr>
        <w:t>:</w:t>
      </w:r>
    </w:p>
    <w:tbl>
      <w:tblPr>
        <w:tblStyle w:val="Mkatabulky"/>
        <w:tblW w:w="9209" w:type="dxa"/>
        <w:tblLayout w:type="fixed"/>
        <w:tblLook w:val="04A0" w:firstRow="1" w:lastRow="0" w:firstColumn="1" w:lastColumn="0" w:noHBand="0" w:noVBand="1"/>
      </w:tblPr>
      <w:tblGrid>
        <w:gridCol w:w="396"/>
        <w:gridCol w:w="5695"/>
        <w:gridCol w:w="3118"/>
      </w:tblGrid>
      <w:tr w:rsidR="00BC4A0C" w:rsidRPr="00BC4A0C" w14:paraId="71B4AA15" w14:textId="77777777" w:rsidTr="00BC4A0C">
        <w:trPr>
          <w:tblHeader/>
        </w:trPr>
        <w:tc>
          <w:tcPr>
            <w:tcW w:w="396" w:type="dxa"/>
          </w:tcPr>
          <w:p w14:paraId="63A2FC7A" w14:textId="77777777" w:rsidR="00BC4A0C" w:rsidRDefault="00BC4A0C" w:rsidP="00AD5AED">
            <w:pPr>
              <w:rPr>
                <w:rFonts w:asciiTheme="majorHAnsi" w:hAnsiTheme="majorHAnsi" w:cstheme="majorHAnsi"/>
                <w:b/>
                <w:bCs/>
                <w:sz w:val="18"/>
                <w:szCs w:val="18"/>
              </w:rPr>
            </w:pPr>
            <w:r w:rsidRPr="00BC4A0C">
              <w:rPr>
                <w:rFonts w:asciiTheme="majorHAnsi" w:hAnsiTheme="majorHAnsi" w:cstheme="majorHAnsi"/>
                <w:b/>
                <w:bCs/>
                <w:sz w:val="18"/>
                <w:szCs w:val="18"/>
              </w:rPr>
              <w:t>Č.</w:t>
            </w:r>
          </w:p>
          <w:p w14:paraId="46918816" w14:textId="77777777" w:rsidR="00BC4A0C" w:rsidRPr="00BC4A0C" w:rsidRDefault="00BC4A0C" w:rsidP="00AD5AED">
            <w:pPr>
              <w:rPr>
                <w:rFonts w:asciiTheme="majorHAnsi" w:hAnsiTheme="majorHAnsi" w:cstheme="majorHAnsi"/>
                <w:b/>
                <w:bCs/>
                <w:sz w:val="18"/>
                <w:szCs w:val="18"/>
              </w:rPr>
            </w:pPr>
          </w:p>
        </w:tc>
        <w:tc>
          <w:tcPr>
            <w:tcW w:w="5695" w:type="dxa"/>
          </w:tcPr>
          <w:p w14:paraId="581E9612" w14:textId="77777777" w:rsidR="00BC4A0C" w:rsidRPr="00BC4A0C" w:rsidRDefault="00BC4A0C" w:rsidP="00AD5AED">
            <w:pPr>
              <w:rPr>
                <w:rFonts w:asciiTheme="majorHAnsi" w:hAnsiTheme="majorHAnsi" w:cstheme="majorHAnsi"/>
                <w:b/>
                <w:bCs/>
                <w:sz w:val="18"/>
                <w:szCs w:val="18"/>
              </w:rPr>
            </w:pPr>
            <w:r w:rsidRPr="00BC4A0C">
              <w:rPr>
                <w:rFonts w:asciiTheme="majorHAnsi" w:hAnsiTheme="majorHAnsi" w:cstheme="majorHAnsi"/>
                <w:b/>
                <w:bCs/>
                <w:sz w:val="18"/>
                <w:szCs w:val="18"/>
              </w:rPr>
              <w:t>Podatel / námitka</w:t>
            </w:r>
          </w:p>
        </w:tc>
        <w:tc>
          <w:tcPr>
            <w:tcW w:w="3118" w:type="dxa"/>
          </w:tcPr>
          <w:p w14:paraId="287027D4" w14:textId="77777777" w:rsidR="00BC4A0C" w:rsidRPr="00BC4A0C" w:rsidRDefault="00BC4A0C" w:rsidP="00AD5AED">
            <w:pPr>
              <w:rPr>
                <w:rFonts w:asciiTheme="majorHAnsi" w:hAnsiTheme="majorHAnsi" w:cstheme="majorHAnsi"/>
                <w:b/>
                <w:bCs/>
                <w:sz w:val="18"/>
                <w:szCs w:val="18"/>
              </w:rPr>
            </w:pPr>
            <w:r w:rsidRPr="00BC4A0C">
              <w:rPr>
                <w:rFonts w:asciiTheme="majorHAnsi" w:hAnsiTheme="majorHAnsi" w:cstheme="majorHAnsi"/>
                <w:b/>
                <w:bCs/>
                <w:sz w:val="18"/>
                <w:szCs w:val="18"/>
              </w:rPr>
              <w:t>Rozhodnutí / odůvodnění</w:t>
            </w:r>
          </w:p>
        </w:tc>
      </w:tr>
      <w:tr w:rsidR="00BC4A0C" w:rsidRPr="00BC4A0C" w14:paraId="41E6FBDA" w14:textId="77777777" w:rsidTr="00BC4A0C">
        <w:tc>
          <w:tcPr>
            <w:tcW w:w="396" w:type="dxa"/>
          </w:tcPr>
          <w:p w14:paraId="3AEDDF11" w14:textId="77777777" w:rsidR="00BC4A0C" w:rsidRPr="00BC4A0C" w:rsidRDefault="00BC4A0C" w:rsidP="00AD5AED">
            <w:pPr>
              <w:rPr>
                <w:rFonts w:asciiTheme="majorHAnsi" w:hAnsiTheme="majorHAnsi" w:cstheme="majorHAnsi"/>
                <w:b/>
                <w:bCs/>
                <w:sz w:val="18"/>
                <w:szCs w:val="18"/>
              </w:rPr>
            </w:pPr>
            <w:r w:rsidRPr="00BC4A0C">
              <w:rPr>
                <w:rFonts w:asciiTheme="majorHAnsi" w:hAnsiTheme="majorHAnsi" w:cstheme="majorHAnsi"/>
                <w:b/>
                <w:bCs/>
                <w:sz w:val="18"/>
                <w:szCs w:val="18"/>
              </w:rPr>
              <w:t xml:space="preserve">1. </w:t>
            </w:r>
          </w:p>
        </w:tc>
        <w:tc>
          <w:tcPr>
            <w:tcW w:w="5695" w:type="dxa"/>
          </w:tcPr>
          <w:p w14:paraId="52935755" w14:textId="77777777" w:rsidR="00BC4A0C" w:rsidRPr="00BC4A0C" w:rsidRDefault="00BC4A0C" w:rsidP="00AD5AED">
            <w:pPr>
              <w:rPr>
                <w:rFonts w:asciiTheme="majorHAnsi" w:hAnsiTheme="majorHAnsi" w:cstheme="majorHAnsi"/>
                <w:b/>
                <w:bCs/>
                <w:sz w:val="18"/>
                <w:szCs w:val="18"/>
              </w:rPr>
            </w:pPr>
            <w:r w:rsidRPr="00BC4A0C">
              <w:rPr>
                <w:rFonts w:asciiTheme="majorHAnsi" w:hAnsiTheme="majorHAnsi" w:cstheme="majorHAnsi"/>
                <w:b/>
                <w:bCs/>
                <w:sz w:val="18"/>
                <w:szCs w:val="18"/>
              </w:rPr>
              <w:t>Stanislava Bártová , Kostomlaty nad Labem</w:t>
            </w:r>
          </w:p>
          <w:p w14:paraId="798A2EA5" w14:textId="77777777" w:rsidR="00BC4A0C" w:rsidRPr="00BC4A0C" w:rsidRDefault="00BC4A0C" w:rsidP="00AD5AED">
            <w:pPr>
              <w:rPr>
                <w:rFonts w:asciiTheme="majorHAnsi" w:hAnsiTheme="majorHAnsi" w:cstheme="majorHAnsi"/>
                <w:b/>
                <w:bCs/>
                <w:sz w:val="18"/>
                <w:szCs w:val="18"/>
              </w:rPr>
            </w:pPr>
          </w:p>
          <w:p w14:paraId="452C56D1"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Předmětem připomínky je hranice koridoru CNZ.D322 (Modernizace železniční trati č. 231) na pozemku č. 119. žádám o posunutí hranice koridoru až na vnější hranici pozemku č. 119.</w:t>
            </w:r>
          </w:p>
          <w:p w14:paraId="510B78E6"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Odůvodnění připomínky:</w:t>
            </w:r>
          </w:p>
          <w:p w14:paraId="4029FBC0"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V příloze přikládám dokument z veřejné prezentace „Modernizace traťového úseku Nymburk – Lysá nad Labem“ ze dne 20.06.2024. z tohoto dokumentu není patrné žádné využití dotčeného pozemku při modernizaci traťového koridoru. pro samotnou realizaci modernizace traťového koridoru je tento pozemek obtížně využitelný. Pozemek  je od traťového tělesa oddělen zdí a je zde značný výškový rozdíl. Z těchto důvodů se domnívám, že není důvod začlenit dotčenou část pozemku č. 119 do koridoru CNZ.D322.</w:t>
            </w:r>
          </w:p>
          <w:p w14:paraId="25ABD9AE" w14:textId="77777777" w:rsidR="00BC4A0C" w:rsidRPr="00BC4A0C" w:rsidRDefault="00BC4A0C" w:rsidP="00AD5AED">
            <w:pPr>
              <w:rPr>
                <w:rFonts w:asciiTheme="majorHAnsi" w:hAnsiTheme="majorHAnsi" w:cstheme="majorHAnsi"/>
                <w:sz w:val="18"/>
                <w:szCs w:val="18"/>
              </w:rPr>
            </w:pPr>
          </w:p>
          <w:p w14:paraId="4CCAB563"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noProof/>
                <w:sz w:val="18"/>
                <w:szCs w:val="18"/>
              </w:rPr>
              <w:lastRenderedPageBreak/>
              <w:drawing>
                <wp:inline distT="0" distB="0" distL="0" distR="0" wp14:anchorId="17F16F5A" wp14:editId="7ED28ECF">
                  <wp:extent cx="3518895" cy="1828800"/>
                  <wp:effectExtent l="0" t="0" r="5715" b="0"/>
                  <wp:docPr id="1546201089"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201089" name=""/>
                          <pic:cNvPicPr/>
                        </pic:nvPicPr>
                        <pic:blipFill>
                          <a:blip r:embed="rId59"/>
                          <a:stretch>
                            <a:fillRect/>
                          </a:stretch>
                        </pic:blipFill>
                        <pic:spPr>
                          <a:xfrm>
                            <a:off x="0" y="0"/>
                            <a:ext cx="3557882" cy="1849062"/>
                          </a:xfrm>
                          <a:prstGeom prst="rect">
                            <a:avLst/>
                          </a:prstGeom>
                        </pic:spPr>
                      </pic:pic>
                    </a:graphicData>
                  </a:graphic>
                </wp:inline>
              </w:drawing>
            </w:r>
          </w:p>
        </w:tc>
        <w:tc>
          <w:tcPr>
            <w:tcW w:w="3118" w:type="dxa"/>
          </w:tcPr>
          <w:p w14:paraId="179D7441" w14:textId="77777777" w:rsidR="00BC4A0C" w:rsidRPr="00BC4A0C" w:rsidRDefault="00BC4A0C" w:rsidP="00AD5AED">
            <w:pPr>
              <w:rPr>
                <w:rFonts w:asciiTheme="majorHAnsi" w:hAnsiTheme="majorHAnsi" w:cstheme="majorHAnsi"/>
                <w:b/>
                <w:bCs/>
                <w:sz w:val="18"/>
                <w:szCs w:val="18"/>
              </w:rPr>
            </w:pPr>
            <w:r w:rsidRPr="00BC4A0C">
              <w:rPr>
                <w:rFonts w:asciiTheme="majorHAnsi" w:hAnsiTheme="majorHAnsi" w:cstheme="majorHAnsi"/>
                <w:b/>
                <w:bCs/>
                <w:sz w:val="18"/>
                <w:szCs w:val="18"/>
              </w:rPr>
              <w:lastRenderedPageBreak/>
              <w:t xml:space="preserve">Rozhodnutí: námitka se zamítá. </w:t>
            </w:r>
          </w:p>
          <w:p w14:paraId="0E819A90" w14:textId="77777777" w:rsidR="00BC4A0C" w:rsidRPr="00BC4A0C" w:rsidRDefault="00BC4A0C" w:rsidP="00AD5AED">
            <w:pPr>
              <w:rPr>
                <w:rFonts w:asciiTheme="majorHAnsi" w:hAnsiTheme="majorHAnsi" w:cstheme="majorHAnsi"/>
                <w:b/>
                <w:bCs/>
                <w:sz w:val="18"/>
                <w:szCs w:val="18"/>
              </w:rPr>
            </w:pPr>
          </w:p>
          <w:p w14:paraId="1D133B97" w14:textId="77777777" w:rsidR="00BC4A0C" w:rsidRPr="00BC4A0C" w:rsidRDefault="00BC4A0C" w:rsidP="00AD5AED">
            <w:pPr>
              <w:rPr>
                <w:rFonts w:asciiTheme="majorHAnsi" w:hAnsiTheme="majorHAnsi" w:cstheme="majorHAnsi"/>
                <w:b/>
                <w:bCs/>
                <w:sz w:val="18"/>
                <w:szCs w:val="18"/>
              </w:rPr>
            </w:pPr>
            <w:r w:rsidRPr="00BC4A0C">
              <w:rPr>
                <w:rFonts w:asciiTheme="majorHAnsi" w:hAnsiTheme="majorHAnsi" w:cstheme="majorHAnsi"/>
                <w:b/>
                <w:bCs/>
                <w:sz w:val="18"/>
                <w:szCs w:val="18"/>
              </w:rPr>
              <w:t>Odůvodnění:</w:t>
            </w:r>
          </w:p>
          <w:p w14:paraId="05E1C8F4"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Proti předcházejícímu návrhu územního plánu je koridor CNU.KD3 zúžen na šíři stanovenou ZÚR Středočeského kraje. V této šíři musí být v územním plánu ponechán. Využití pozemku nelze vyloučit.</w:t>
            </w:r>
          </w:p>
        </w:tc>
      </w:tr>
      <w:tr w:rsidR="00BC4A0C" w:rsidRPr="00BC4A0C" w14:paraId="1B420F04" w14:textId="77777777" w:rsidTr="00BC4A0C">
        <w:tc>
          <w:tcPr>
            <w:tcW w:w="396" w:type="dxa"/>
          </w:tcPr>
          <w:p w14:paraId="5558B169" w14:textId="77777777" w:rsidR="00BC4A0C" w:rsidRPr="00BC4A0C" w:rsidRDefault="00BC4A0C" w:rsidP="00AD5AED">
            <w:pPr>
              <w:rPr>
                <w:rFonts w:asciiTheme="majorHAnsi" w:hAnsiTheme="majorHAnsi" w:cstheme="majorHAnsi"/>
                <w:b/>
                <w:bCs/>
                <w:sz w:val="18"/>
                <w:szCs w:val="18"/>
              </w:rPr>
            </w:pPr>
            <w:r w:rsidRPr="00BC4A0C">
              <w:rPr>
                <w:rFonts w:asciiTheme="majorHAnsi" w:hAnsiTheme="majorHAnsi" w:cstheme="majorHAnsi"/>
                <w:b/>
                <w:bCs/>
                <w:sz w:val="18"/>
                <w:szCs w:val="18"/>
              </w:rPr>
              <w:t>2.</w:t>
            </w:r>
          </w:p>
        </w:tc>
        <w:tc>
          <w:tcPr>
            <w:tcW w:w="5695" w:type="dxa"/>
          </w:tcPr>
          <w:p w14:paraId="469AF378" w14:textId="77777777" w:rsidR="00BC4A0C" w:rsidRPr="00BC4A0C" w:rsidRDefault="00BC4A0C" w:rsidP="00AD5AED">
            <w:pPr>
              <w:rPr>
                <w:rFonts w:asciiTheme="majorHAnsi" w:hAnsiTheme="majorHAnsi" w:cstheme="majorHAnsi"/>
                <w:b/>
                <w:bCs/>
                <w:sz w:val="18"/>
                <w:szCs w:val="18"/>
              </w:rPr>
            </w:pPr>
            <w:r w:rsidRPr="00BC4A0C">
              <w:rPr>
                <w:rFonts w:asciiTheme="majorHAnsi" w:hAnsiTheme="majorHAnsi" w:cstheme="majorHAnsi"/>
                <w:b/>
                <w:bCs/>
                <w:sz w:val="18"/>
                <w:szCs w:val="18"/>
              </w:rPr>
              <w:t>Dagros, s. r. o. IČO 26807203</w:t>
            </w:r>
          </w:p>
          <w:p w14:paraId="417B12C4" w14:textId="77777777" w:rsidR="00BC4A0C" w:rsidRPr="00BC4A0C" w:rsidRDefault="00BC4A0C" w:rsidP="00AD5AED">
            <w:pPr>
              <w:rPr>
                <w:rFonts w:asciiTheme="majorHAnsi" w:hAnsiTheme="majorHAnsi" w:cstheme="majorHAnsi"/>
                <w:sz w:val="18"/>
                <w:szCs w:val="18"/>
              </w:rPr>
            </w:pPr>
          </w:p>
          <w:p w14:paraId="298BD0AE"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Námitka se týká nově vyznačeného omezení na pozemku č. 749/2 v katastrálním území</w:t>
            </w:r>
          </w:p>
          <w:p w14:paraId="73D17721"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Kostomlaty nad Labem, který je v našem vlastnictví. Omezení, které máme na mysli je v návrhu UP</w:t>
            </w:r>
          </w:p>
          <w:p w14:paraId="45D4179C"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značeno CNU.KD3.</w:t>
            </w:r>
          </w:p>
          <w:p w14:paraId="749AA7CA"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Vysvětlení námitky:</w:t>
            </w:r>
          </w:p>
          <w:p w14:paraId="6C23F4B4"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V návrhu UP pro první veřejné projednání, které proběhlo 21. 02. 2024, byl p. p. č. 749/2 veden</w:t>
            </w:r>
          </w:p>
          <w:p w14:paraId="3A6F9534"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jako změnová plocha Z.13 VL, způsob využití výroba lehká (viz. příloha obr. 1). V tomto návrhu, hranice</w:t>
            </w:r>
          </w:p>
          <w:p w14:paraId="65BBB073"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dopravní stavby kopírovala náš pozemek (749/2) a zásadním způsobem do něj nezasahovala, ani</w:t>
            </w:r>
          </w:p>
          <w:p w14:paraId="6C6D0D55"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neovlivňovala náš plánovaný rozvoj areálu.</w:t>
            </w:r>
          </w:p>
          <w:p w14:paraId="2EA562C0"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V návrhu UP pro druhé (opakované) veřejné projednání, které proběhlo 05. 03. 2025, je však</w:t>
            </w:r>
          </w:p>
          <w:p w14:paraId="19CA36BF"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značná část p. p. č. 749/2 určena pro výstavbu dopravní stavby související s modernizací železniční trati</w:t>
            </w:r>
          </w:p>
          <w:p w14:paraId="7DA2EC70"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č. 231, která má sloužit k propojení místních komunikací. V návrhu územního plánu obce Kostomlaty</w:t>
            </w:r>
          </w:p>
          <w:p w14:paraId="6E558796"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nad Labem je tato plocha označena jako CNU.KD3 (viz. příloha obr. 2).</w:t>
            </w:r>
          </w:p>
          <w:p w14:paraId="623F6BEB"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S touto navrhovanou změnou UP nesouhlasíme, podáváme k ní námitku a níže uvádíme</w:t>
            </w:r>
          </w:p>
          <w:p w14:paraId="361BFBE6"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přesné argumenty proč je toto řešení pro nás nepřípustné, a konstruktivně navrhujeme možné</w:t>
            </w:r>
          </w:p>
          <w:p w14:paraId="6A9B851D"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úpravy, po jejichž zapracování pro plánovaný nadjezd můžeme předmětnou část našich</w:t>
            </w:r>
          </w:p>
          <w:p w14:paraId="6B4E8C37"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stavebních pozemků poskytnout.</w:t>
            </w:r>
          </w:p>
          <w:p w14:paraId="3F65FC49"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Odůvodnění:</w:t>
            </w:r>
          </w:p>
          <w:p w14:paraId="468C6259"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1) S tímto novým návrhem UP nesouhlasíme, protože plocha veřejně prospěšné stavby CNU.KD3,</w:t>
            </w:r>
          </w:p>
          <w:p w14:paraId="12A5C468"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(tak jak je zakreslena na obr. 2 v příloze), zásadním a nekompromisním způsobem zasahuje do</w:t>
            </w:r>
          </w:p>
          <w:p w14:paraId="7C6C759C"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našich vlastnických práv, limituje plánovaný rozvoj areálu, v neposlední řadě má v tomto</w:t>
            </w:r>
          </w:p>
          <w:p w14:paraId="67E8EBD6"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místě výrazný dopad na krajinný ráz a nevhodně omezuje výhledy do krajiny.</w:t>
            </w:r>
          </w:p>
          <w:p w14:paraId="6DAC6ED8"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2) Na základě prvního veřejného projednání UP, které proběhlo 21. 02. 2024, jsme začali</w:t>
            </w:r>
          </w:p>
          <w:p w14:paraId="0B254936"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zpracovávat projekční záměr rozšíření areálu naší společnosti. Tento koncept využíval celou</w:t>
            </w:r>
          </w:p>
          <w:p w14:paraId="30765018"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plochu našich pozemků (p. č. 749/2, 749/6, 749/9), při respektování ochranného pásma</w:t>
            </w:r>
          </w:p>
          <w:p w14:paraId="45EB7A64"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železnice a související podzemní infrastruktury. Studie je nyní ve finální fázi a její 1. etapa je již</w:t>
            </w:r>
          </w:p>
          <w:p w14:paraId="75C327B7"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zpracována do projektové dokumentace pro stavební povolení a probíhá její projednávání.</w:t>
            </w:r>
          </w:p>
          <w:p w14:paraId="5AD78C11"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lastRenderedPageBreak/>
              <w:t>Navrhovaným umístěním plochy CNU.KD3, je způsobeno, že náš záměr nebude možné</w:t>
            </w:r>
          </w:p>
          <w:p w14:paraId="1A255A4B"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plnohodnotně dokončit a zprovoznit v plánovaném rozsahu.</w:t>
            </w:r>
          </w:p>
          <w:p w14:paraId="2605BB3A"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3) Na prvním veřejném projednání návrhu nového UP nepadla žádná zmínka o možném záboru p.</w:t>
            </w:r>
          </w:p>
          <w:p w14:paraId="44EC5A97"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p. č. 749/2 pro dopravní či jinou obslužnost. Předložený koncept územního plánu nás nijak</w:t>
            </w:r>
          </w:p>
          <w:p w14:paraId="3A5C2760"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zásadněji neomezoval (byť též do našeho pozemku zasahoval) a proto jsme proti tomuto návrhu,</w:t>
            </w:r>
          </w:p>
          <w:p w14:paraId="7C5F6384"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v určeném termínu žádnou námitku nepodávali.</w:t>
            </w:r>
          </w:p>
          <w:p w14:paraId="7279B064"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4) Dále jsme názoru, že navržené úpravy UP (příloha obr. 1, 2) nedodržují některé další zásady.</w:t>
            </w:r>
          </w:p>
          <w:p w14:paraId="4170ECD5"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Oproti současně platnému UP dochází ke zmenšení plochy zastavitelného území. Dochází</w:t>
            </w:r>
          </w:p>
          <w:p w14:paraId="243A6EA3"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k němu bez náhrady a bez označení. Nové územní plány by neměly bez náhrady ubírat plochu</w:t>
            </w:r>
          </w:p>
          <w:p w14:paraId="70B33316"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zastavitelných území. V příloze na obr. 3 je provedeno proložení současně platného územního</w:t>
            </w:r>
          </w:p>
          <w:p w14:paraId="25BBC4F6"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plánu a katastrální mapy, (zdroj z veřejně přístupného portálu gis.kr-stradocesky.cz). Z něho je</w:t>
            </w:r>
          </w:p>
          <w:p w14:paraId="2F7FCF7C"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patrné, že dle současně platného UP je do zastavitelných ploch zahrnut i pozemek 749/10. Tento</w:t>
            </w:r>
          </w:p>
          <w:p w14:paraId="554791C6"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byl ovšem z návrhu na nový UP zcela vyjmut!</w:t>
            </w:r>
          </w:p>
          <w:p w14:paraId="35B04EF1"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Shrnutí a návrh možného řešení</w:t>
            </w:r>
          </w:p>
          <w:p w14:paraId="47D1509D"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Navrhovaná varianta územního plánu se zakreslenou změnovou plochou CNU-KD3 je pro nás</w:t>
            </w:r>
          </w:p>
          <w:p w14:paraId="440E6170"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neakceptovatelná a žádáme o úpravu územního plánu obce Kostomlaty nad Labem, respektive návrat</w:t>
            </w:r>
          </w:p>
          <w:p w14:paraId="76BCEDAF"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k řešení, které bylo uvedeno v odsouhlaseném konceptu ÚP.</w:t>
            </w:r>
          </w:p>
          <w:p w14:paraId="48F75746"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Rozumíme nadřazenému zájmu pro rozvoj a umísťování dopravních staveb, ale je potřeba volit</w:t>
            </w:r>
          </w:p>
          <w:p w14:paraId="53DBE648"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řešení, která nebudou zásadním způsobem omezovat zájmy vlastníků pozemků, na kterých už je navíc</w:t>
            </w:r>
          </w:p>
          <w:p w14:paraId="361E276E"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připravován jiný investiční záměr. Omezení našeho pozemku plochou CNU-KD3 by znamenalo zcela</w:t>
            </w:r>
          </w:p>
          <w:p w14:paraId="3DDB878B"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zásadní přepracování našeho projektu a jak jsme již ověřili do zredukovaného území by se již vše</w:t>
            </w:r>
          </w:p>
          <w:p w14:paraId="29EBBE82"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nepodařilo umístit, respektive vyžádalo by si to rozšíření zastavitelného území východním směrem –</w:t>
            </w:r>
          </w:p>
          <w:p w14:paraId="53F840FD"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což je i v souladu s výše uvedeným bodem č.4 odůvodnění námitky. Abychom náš záměr mohli na</w:t>
            </w:r>
          </w:p>
          <w:p w14:paraId="75E219DA"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zredukovaném území přepracovat je nezbytné do plochy Z.13 VL zahrnout i pozemky 749/10 a 749/11</w:t>
            </w:r>
          </w:p>
          <w:p w14:paraId="7E06A844"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v k. ú. Kostomlaty nad Labem, které jsou též v našem vlastnictví, viz. příloha obr. 4. Toto považujeme za</w:t>
            </w:r>
          </w:p>
          <w:p w14:paraId="60724471"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vhodné východisko, jak skloubit obcí odsouhlasený rozvoj území s požadavky na modernizaci</w:t>
            </w:r>
          </w:p>
          <w:p w14:paraId="1AB89A1D"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železniční infrastruktury.</w:t>
            </w:r>
          </w:p>
          <w:p w14:paraId="36FD1610"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noProof/>
                <w:sz w:val="18"/>
                <w:szCs w:val="18"/>
              </w:rPr>
              <w:lastRenderedPageBreak/>
              <w:drawing>
                <wp:inline distT="0" distB="0" distL="0" distR="0" wp14:anchorId="32A1A783" wp14:editId="445612A7">
                  <wp:extent cx="3533775" cy="2194928"/>
                  <wp:effectExtent l="0" t="0" r="0" b="0"/>
                  <wp:docPr id="2108947604"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8947604" name=""/>
                          <pic:cNvPicPr/>
                        </pic:nvPicPr>
                        <pic:blipFill>
                          <a:blip r:embed="rId60"/>
                          <a:stretch>
                            <a:fillRect/>
                          </a:stretch>
                        </pic:blipFill>
                        <pic:spPr>
                          <a:xfrm>
                            <a:off x="0" y="0"/>
                            <a:ext cx="3541374" cy="2199648"/>
                          </a:xfrm>
                          <a:prstGeom prst="rect">
                            <a:avLst/>
                          </a:prstGeom>
                        </pic:spPr>
                      </pic:pic>
                    </a:graphicData>
                  </a:graphic>
                </wp:inline>
              </w:drawing>
            </w:r>
          </w:p>
        </w:tc>
        <w:tc>
          <w:tcPr>
            <w:tcW w:w="3118" w:type="dxa"/>
          </w:tcPr>
          <w:p w14:paraId="26444140" w14:textId="77777777" w:rsidR="00BC4A0C" w:rsidRPr="00BC4A0C" w:rsidRDefault="00BC4A0C" w:rsidP="00AD5AED">
            <w:pPr>
              <w:rPr>
                <w:rFonts w:asciiTheme="majorHAnsi" w:hAnsiTheme="majorHAnsi" w:cstheme="majorHAnsi"/>
                <w:b/>
                <w:bCs/>
                <w:sz w:val="18"/>
                <w:szCs w:val="18"/>
              </w:rPr>
            </w:pPr>
            <w:r w:rsidRPr="00BC4A0C">
              <w:rPr>
                <w:rFonts w:asciiTheme="majorHAnsi" w:hAnsiTheme="majorHAnsi" w:cstheme="majorHAnsi"/>
                <w:b/>
                <w:bCs/>
                <w:sz w:val="18"/>
                <w:szCs w:val="18"/>
              </w:rPr>
              <w:lastRenderedPageBreak/>
              <w:t>Rozhodnutí:</w:t>
            </w:r>
          </w:p>
          <w:p w14:paraId="2387FB22" w14:textId="77777777" w:rsidR="00BC4A0C" w:rsidRPr="00BC4A0C" w:rsidRDefault="00BC4A0C" w:rsidP="00AD5AED">
            <w:pPr>
              <w:rPr>
                <w:rFonts w:asciiTheme="majorHAnsi" w:hAnsiTheme="majorHAnsi" w:cstheme="majorHAnsi"/>
                <w:b/>
                <w:bCs/>
                <w:sz w:val="18"/>
                <w:szCs w:val="18"/>
              </w:rPr>
            </w:pPr>
            <w:r w:rsidRPr="00BC4A0C">
              <w:rPr>
                <w:rFonts w:asciiTheme="majorHAnsi" w:hAnsiTheme="majorHAnsi" w:cstheme="majorHAnsi"/>
                <w:b/>
                <w:bCs/>
                <w:sz w:val="18"/>
                <w:szCs w:val="18"/>
              </w:rPr>
              <w:t>Námitce se částečně vyhovuje.</w:t>
            </w:r>
          </w:p>
          <w:p w14:paraId="32BA1ABF"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 xml:space="preserve">Do zastavitelné plochy VL bude zařazena část pozemku parc. č. 749/10 o výměře odpovídající ploše, která je pro využití zablokována umístěním koridoru CNU.KD3. </w:t>
            </w:r>
          </w:p>
          <w:p w14:paraId="28A0F199" w14:textId="77777777" w:rsidR="00BC4A0C" w:rsidRPr="00BC4A0C" w:rsidRDefault="00BC4A0C" w:rsidP="00AD5AED">
            <w:pPr>
              <w:rPr>
                <w:rFonts w:asciiTheme="majorHAnsi" w:hAnsiTheme="majorHAnsi" w:cstheme="majorHAnsi"/>
                <w:sz w:val="18"/>
                <w:szCs w:val="18"/>
              </w:rPr>
            </w:pPr>
          </w:p>
          <w:p w14:paraId="416136C0" w14:textId="77777777" w:rsidR="00BC4A0C" w:rsidRPr="00BC4A0C" w:rsidRDefault="00BC4A0C" w:rsidP="00AD5AED">
            <w:pPr>
              <w:rPr>
                <w:rFonts w:asciiTheme="majorHAnsi" w:hAnsiTheme="majorHAnsi" w:cstheme="majorHAnsi"/>
                <w:b/>
                <w:bCs/>
                <w:sz w:val="18"/>
                <w:szCs w:val="18"/>
              </w:rPr>
            </w:pPr>
            <w:r w:rsidRPr="00BC4A0C">
              <w:rPr>
                <w:rFonts w:asciiTheme="majorHAnsi" w:hAnsiTheme="majorHAnsi" w:cstheme="majorHAnsi"/>
                <w:b/>
                <w:bCs/>
                <w:sz w:val="18"/>
                <w:szCs w:val="18"/>
              </w:rPr>
              <w:t>Odůvodnění:</w:t>
            </w:r>
          </w:p>
          <w:p w14:paraId="497E381E"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 xml:space="preserve">V době po 1. veřejném projednání byl na pozemku parc. č. 749/2 prvním stanoven koridor CDÚ-KD3, zabírající cca 3650 m2 zastavitelné plochy, která byla novým návrhem ÚP vymezena pro rozvoj společnosti. </w:t>
            </w:r>
          </w:p>
          <w:p w14:paraId="0A3BC4F9"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Při porovnání se stávajícím územním plánem je zřejmé, že nově zastavitelná plocha je vymezena právě jen směrem k železniční trati.  Celý pozemek pac. č. 749/9 a jižní část pozemku parc. č. 749/2 je jako zastavitelná plocha již v současném ÚP  a při bližším prozkoumání je zjevné, že jako zastavitelná plocha je vymezena i část pozemku parc. č. 749/10.  </w:t>
            </w:r>
          </w:p>
          <w:p w14:paraId="3200316A"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Společnost Dagros na základě stávajícího územního plánu má zpracovanou projektovou dokumentaci (kterou s námi již několikrát konzultovala) a v nejbližší době podá žádost o stavební povolení na halu, která je umístěna na pozemku parc. č. 749/9 a 749/2, čili její stávající areál bude téměř cely stavebně využit. Část pozemku parc. č. 749/10 o výměře cca 3640 m2 (140 x 26 m) bude stanovena jako zastavitelná plocha s funkčním využitím VL.</w:t>
            </w:r>
          </w:p>
          <w:p w14:paraId="4C7488BF" w14:textId="77777777" w:rsidR="00BC4A0C" w:rsidRPr="00BC4A0C" w:rsidRDefault="00BC4A0C" w:rsidP="00AD5AED">
            <w:pPr>
              <w:rPr>
                <w:rFonts w:asciiTheme="majorHAnsi" w:hAnsiTheme="majorHAnsi" w:cstheme="majorHAnsi"/>
                <w:sz w:val="18"/>
                <w:szCs w:val="18"/>
              </w:rPr>
            </w:pPr>
          </w:p>
          <w:p w14:paraId="2DAEEE0A"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Nově vymezený koridor</w:t>
            </w:r>
          </w:p>
          <w:p w14:paraId="2AEEC9A1"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noProof/>
                <w:sz w:val="18"/>
                <w:szCs w:val="18"/>
              </w:rPr>
              <w:lastRenderedPageBreak/>
              <w:drawing>
                <wp:inline distT="0" distB="0" distL="0" distR="0" wp14:anchorId="788E90B6" wp14:editId="6661C665">
                  <wp:extent cx="1852228" cy="2619375"/>
                  <wp:effectExtent l="0" t="0" r="0" b="0"/>
                  <wp:docPr id="2109912167"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858661" cy="2628472"/>
                          </a:xfrm>
                          <a:prstGeom prst="rect">
                            <a:avLst/>
                          </a:prstGeom>
                          <a:noFill/>
                          <a:ln>
                            <a:noFill/>
                          </a:ln>
                        </pic:spPr>
                      </pic:pic>
                    </a:graphicData>
                  </a:graphic>
                </wp:inline>
              </w:drawing>
            </w:r>
          </w:p>
          <w:p w14:paraId="25B9F0B8" w14:textId="77777777" w:rsidR="00BC4A0C" w:rsidRPr="00BC4A0C" w:rsidRDefault="00BC4A0C" w:rsidP="00AD5AED">
            <w:pPr>
              <w:rPr>
                <w:rFonts w:asciiTheme="majorHAnsi" w:hAnsiTheme="majorHAnsi" w:cstheme="majorHAnsi"/>
                <w:sz w:val="18"/>
                <w:szCs w:val="18"/>
              </w:rPr>
            </w:pPr>
          </w:p>
          <w:p w14:paraId="69548467" w14:textId="77777777" w:rsidR="00BC4A0C" w:rsidRPr="00BC4A0C" w:rsidRDefault="00BC4A0C" w:rsidP="00AD5AED">
            <w:pPr>
              <w:rPr>
                <w:rFonts w:asciiTheme="majorHAnsi" w:hAnsiTheme="majorHAnsi" w:cstheme="majorHAnsi"/>
                <w:sz w:val="18"/>
                <w:szCs w:val="18"/>
              </w:rPr>
            </w:pPr>
          </w:p>
          <w:p w14:paraId="6A686125"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noProof/>
                <w:sz w:val="18"/>
                <w:szCs w:val="18"/>
              </w:rPr>
              <w:drawing>
                <wp:inline distT="0" distB="0" distL="0" distR="0" wp14:anchorId="487DBAA5" wp14:editId="30E543AB">
                  <wp:extent cx="1838758" cy="2600325"/>
                  <wp:effectExtent l="0" t="0" r="9525" b="0"/>
                  <wp:docPr id="1909917658" name="Obrázek 4" descr="Obsah obrázku diagram, Plán, schématické, Technický výkres&#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917658" name="Obrázek 4" descr="Obsah obrázku diagram, Plán, schématické, Technický výkres&#10;&#10;Obsah generovaný pomocí AI může být nesprávný."/>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844392" cy="2608293"/>
                          </a:xfrm>
                          <a:prstGeom prst="rect">
                            <a:avLst/>
                          </a:prstGeom>
                          <a:noFill/>
                          <a:ln>
                            <a:noFill/>
                          </a:ln>
                        </pic:spPr>
                      </pic:pic>
                    </a:graphicData>
                  </a:graphic>
                </wp:inline>
              </w:drawing>
            </w:r>
          </w:p>
          <w:p w14:paraId="4163C0B4"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Nový zábor ZPF a plocha dopravního koridoru.</w:t>
            </w:r>
          </w:p>
          <w:p w14:paraId="2AE48153" w14:textId="77777777" w:rsidR="00BC4A0C" w:rsidRPr="00BC4A0C" w:rsidRDefault="00BC4A0C" w:rsidP="00AD5AED">
            <w:pPr>
              <w:rPr>
                <w:rFonts w:asciiTheme="majorHAnsi" w:hAnsiTheme="majorHAnsi" w:cstheme="majorHAnsi"/>
                <w:sz w:val="18"/>
                <w:szCs w:val="18"/>
              </w:rPr>
            </w:pPr>
          </w:p>
        </w:tc>
      </w:tr>
      <w:tr w:rsidR="00BC4A0C" w:rsidRPr="00BC4A0C" w14:paraId="04A8B29D" w14:textId="77777777" w:rsidTr="00BC4A0C">
        <w:tc>
          <w:tcPr>
            <w:tcW w:w="396" w:type="dxa"/>
          </w:tcPr>
          <w:p w14:paraId="5046D954" w14:textId="77777777" w:rsidR="00BC4A0C" w:rsidRPr="00BC4A0C" w:rsidRDefault="00BC4A0C" w:rsidP="00AD5AED">
            <w:pPr>
              <w:rPr>
                <w:rFonts w:asciiTheme="majorHAnsi" w:hAnsiTheme="majorHAnsi" w:cstheme="majorHAnsi"/>
                <w:sz w:val="18"/>
                <w:szCs w:val="18"/>
              </w:rPr>
            </w:pPr>
          </w:p>
          <w:p w14:paraId="490C534B" w14:textId="77777777" w:rsidR="00BC4A0C" w:rsidRPr="00BC4A0C" w:rsidRDefault="00BC4A0C" w:rsidP="00AD5AED">
            <w:pPr>
              <w:rPr>
                <w:rFonts w:asciiTheme="majorHAnsi" w:hAnsiTheme="majorHAnsi" w:cstheme="majorHAnsi"/>
                <w:b/>
                <w:bCs/>
                <w:sz w:val="18"/>
                <w:szCs w:val="18"/>
              </w:rPr>
            </w:pPr>
            <w:r w:rsidRPr="00BC4A0C">
              <w:rPr>
                <w:rFonts w:asciiTheme="majorHAnsi" w:hAnsiTheme="majorHAnsi" w:cstheme="majorHAnsi"/>
                <w:b/>
                <w:bCs/>
                <w:sz w:val="18"/>
                <w:szCs w:val="18"/>
              </w:rPr>
              <w:t>3</w:t>
            </w:r>
          </w:p>
        </w:tc>
        <w:tc>
          <w:tcPr>
            <w:tcW w:w="5695" w:type="dxa"/>
          </w:tcPr>
          <w:p w14:paraId="78E42DAC" w14:textId="77777777" w:rsidR="00BC4A0C" w:rsidRPr="00BC4A0C" w:rsidRDefault="00BC4A0C" w:rsidP="00AD5AED">
            <w:pPr>
              <w:rPr>
                <w:rFonts w:asciiTheme="majorHAnsi" w:hAnsiTheme="majorHAnsi" w:cstheme="majorHAnsi"/>
                <w:sz w:val="18"/>
                <w:szCs w:val="18"/>
              </w:rPr>
            </w:pPr>
          </w:p>
          <w:p w14:paraId="64B91FFC" w14:textId="77777777" w:rsidR="00BC4A0C" w:rsidRPr="00BC4A0C" w:rsidRDefault="00BC4A0C" w:rsidP="00AD5AED">
            <w:pPr>
              <w:rPr>
                <w:rFonts w:asciiTheme="majorHAnsi" w:hAnsiTheme="majorHAnsi" w:cstheme="majorHAnsi"/>
                <w:b/>
                <w:bCs/>
                <w:sz w:val="18"/>
                <w:szCs w:val="18"/>
              </w:rPr>
            </w:pPr>
            <w:r w:rsidRPr="00BC4A0C">
              <w:rPr>
                <w:rFonts w:asciiTheme="majorHAnsi" w:hAnsiTheme="majorHAnsi" w:cstheme="majorHAnsi"/>
                <w:b/>
                <w:bCs/>
                <w:sz w:val="18"/>
                <w:szCs w:val="18"/>
              </w:rPr>
              <w:t>Radoušek Kamil, Rozkoš 42</w:t>
            </w:r>
          </w:p>
          <w:p w14:paraId="2D0CF42B" w14:textId="77777777" w:rsidR="00BC4A0C" w:rsidRPr="00BC4A0C" w:rsidRDefault="00BC4A0C" w:rsidP="00AD5AED">
            <w:pPr>
              <w:rPr>
                <w:rFonts w:asciiTheme="majorHAnsi" w:hAnsiTheme="majorHAnsi" w:cstheme="majorHAnsi"/>
                <w:b/>
                <w:bCs/>
                <w:sz w:val="18"/>
                <w:szCs w:val="18"/>
              </w:rPr>
            </w:pPr>
            <w:r w:rsidRPr="00BC4A0C">
              <w:rPr>
                <w:rFonts w:asciiTheme="majorHAnsi" w:hAnsiTheme="majorHAnsi" w:cstheme="majorHAnsi"/>
                <w:b/>
                <w:bCs/>
                <w:sz w:val="18"/>
                <w:szCs w:val="18"/>
              </w:rPr>
              <w:t>Radoušková Petra, Rozkoš 42</w:t>
            </w:r>
          </w:p>
          <w:p w14:paraId="64FFE57E" w14:textId="77777777" w:rsidR="00BC4A0C" w:rsidRPr="00BC4A0C" w:rsidRDefault="00BC4A0C" w:rsidP="00AD5AED">
            <w:pPr>
              <w:rPr>
                <w:rFonts w:asciiTheme="majorHAnsi" w:hAnsiTheme="majorHAnsi" w:cstheme="majorHAnsi"/>
                <w:b/>
                <w:bCs/>
                <w:sz w:val="18"/>
                <w:szCs w:val="18"/>
              </w:rPr>
            </w:pPr>
            <w:r w:rsidRPr="00BC4A0C">
              <w:rPr>
                <w:rFonts w:asciiTheme="majorHAnsi" w:hAnsiTheme="majorHAnsi" w:cstheme="majorHAnsi"/>
                <w:b/>
                <w:bCs/>
                <w:sz w:val="18"/>
                <w:szCs w:val="18"/>
              </w:rPr>
              <w:t>Radoušek Jan, Kostomlaty nad Labem  194</w:t>
            </w:r>
          </w:p>
          <w:p w14:paraId="481404BD" w14:textId="77777777" w:rsidR="00BC4A0C" w:rsidRPr="00BC4A0C" w:rsidRDefault="00BC4A0C" w:rsidP="00AD5AED">
            <w:pPr>
              <w:rPr>
                <w:rFonts w:asciiTheme="majorHAnsi" w:hAnsiTheme="majorHAnsi" w:cstheme="majorHAnsi"/>
                <w:b/>
                <w:bCs/>
                <w:sz w:val="18"/>
                <w:szCs w:val="18"/>
              </w:rPr>
            </w:pPr>
            <w:r w:rsidRPr="00BC4A0C">
              <w:rPr>
                <w:rFonts w:asciiTheme="majorHAnsi" w:hAnsiTheme="majorHAnsi" w:cstheme="majorHAnsi"/>
                <w:b/>
                <w:bCs/>
                <w:sz w:val="18"/>
                <w:szCs w:val="18"/>
              </w:rPr>
              <w:t>Radoušek Jaroslav, Nymburk 2115</w:t>
            </w:r>
          </w:p>
          <w:p w14:paraId="4306AB10" w14:textId="77777777" w:rsidR="00BC4A0C" w:rsidRPr="00BC4A0C" w:rsidRDefault="00BC4A0C" w:rsidP="00AD5AED">
            <w:pPr>
              <w:rPr>
                <w:rFonts w:asciiTheme="majorHAnsi" w:hAnsiTheme="majorHAnsi" w:cstheme="majorHAnsi"/>
                <w:b/>
                <w:bCs/>
                <w:sz w:val="18"/>
                <w:szCs w:val="18"/>
              </w:rPr>
            </w:pPr>
          </w:p>
          <w:p w14:paraId="71DD6DEF"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Obracíme se opětovně s námitkou a dotazem ohledně ÚP Kostomlaty nad Labem ze IV/2022, kde byla dle naší žádosti ze dne5.11.2020 změna území na obytnou zástavbu Z10 a následně bylo toto území v posledním ÚP  XI/2023 změněno na NSzp (plochy smíšené nezastavěného území – zemědělské, přírodní pozemky) – území o které se jedná je vyznačeno v mapě v příloze.</w:t>
            </w:r>
          </w:p>
          <w:p w14:paraId="56CF63F5"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Prosím o projednání námitky a žádáme o nápravu dle ÚP IV/2022 (parc. č. 455/1, 455/3, 455/4, 840/17, 1366/1, 840/19, 701/1, 1366/3, 840/16, 840/15) z důvodu budoucí výstavby (narovnání hranic pozemků).</w:t>
            </w:r>
          </w:p>
          <w:p w14:paraId="6D3A8AD6" w14:textId="77777777" w:rsidR="00BC4A0C" w:rsidRPr="00BC4A0C" w:rsidRDefault="00BC4A0C" w:rsidP="00BC4A0C">
            <w:pPr>
              <w:pStyle w:val="Odstavecseseznamem"/>
              <w:numPr>
                <w:ilvl w:val="0"/>
                <w:numId w:val="57"/>
              </w:numPr>
              <w:rPr>
                <w:rFonts w:asciiTheme="majorHAnsi" w:hAnsiTheme="majorHAnsi" w:cstheme="majorHAnsi"/>
                <w:sz w:val="18"/>
                <w:szCs w:val="18"/>
              </w:rPr>
            </w:pPr>
            <w:r w:rsidRPr="00BC4A0C">
              <w:rPr>
                <w:rFonts w:asciiTheme="majorHAnsi" w:hAnsiTheme="majorHAnsi" w:cstheme="majorHAnsi"/>
                <w:sz w:val="18"/>
                <w:szCs w:val="18"/>
              </w:rPr>
              <w:t>Na pozemcích parc. č. 455/1, 455/3, 455/4 a z části na pozemcích parc. č. 840/17, 1366/1, 840/19 by byli vystavěny 3 rodinné domy dle plánku a návrhu GP.</w:t>
            </w:r>
          </w:p>
          <w:p w14:paraId="79ED35F7" w14:textId="77777777" w:rsidR="00BC4A0C" w:rsidRPr="00BC4A0C" w:rsidRDefault="00BC4A0C" w:rsidP="00BC4A0C">
            <w:pPr>
              <w:pStyle w:val="Odstavecseseznamem"/>
              <w:numPr>
                <w:ilvl w:val="0"/>
                <w:numId w:val="57"/>
              </w:numPr>
              <w:rPr>
                <w:rFonts w:asciiTheme="majorHAnsi" w:hAnsiTheme="majorHAnsi" w:cstheme="majorHAnsi"/>
                <w:sz w:val="18"/>
                <w:szCs w:val="18"/>
              </w:rPr>
            </w:pPr>
            <w:r w:rsidRPr="00BC4A0C">
              <w:rPr>
                <w:rFonts w:asciiTheme="majorHAnsi" w:hAnsiTheme="majorHAnsi" w:cstheme="majorHAnsi"/>
                <w:sz w:val="18"/>
                <w:szCs w:val="18"/>
              </w:rPr>
              <w:t>2) ohledně narovnání hranic a přílohy plánku by na pozemcích parc. č. 701/1, 1366/3, 840/16, 840/15, 840/17, 1366/1, 840/19 vznikla rekreační oblast pro výstavbu rekreačních objektů.</w:t>
            </w:r>
          </w:p>
          <w:p w14:paraId="1C3C393F" w14:textId="77777777" w:rsidR="00BC4A0C" w:rsidRPr="00BC4A0C" w:rsidRDefault="00BC4A0C" w:rsidP="00BC4A0C">
            <w:pPr>
              <w:pStyle w:val="Odstavecseseznamem"/>
              <w:numPr>
                <w:ilvl w:val="0"/>
                <w:numId w:val="57"/>
              </w:numPr>
              <w:rPr>
                <w:rFonts w:asciiTheme="majorHAnsi" w:hAnsiTheme="majorHAnsi" w:cstheme="majorHAnsi"/>
                <w:sz w:val="18"/>
                <w:szCs w:val="18"/>
              </w:rPr>
            </w:pPr>
            <w:r w:rsidRPr="00BC4A0C">
              <w:rPr>
                <w:rFonts w:asciiTheme="majorHAnsi" w:hAnsiTheme="majorHAnsi" w:cstheme="majorHAnsi"/>
                <w:sz w:val="18"/>
                <w:szCs w:val="18"/>
              </w:rPr>
              <w:t>3¨obecní úřad by jistě také ocenil, že parc. č. 1366/1, 840/15, 840/16 – momentálně bez jakéhokoliv významu a vzhledem nepravidelným hranicím a poloze pozemků by byli sloučeny v jeden celek vedle ČOP, což by mohlo být v budoucnu využito pro rozšíření čip potřeby ČOP.</w:t>
            </w:r>
          </w:p>
          <w:p w14:paraId="4D6CEABF" w14:textId="77777777" w:rsidR="00BC4A0C" w:rsidRPr="00BC4A0C" w:rsidRDefault="00BC4A0C" w:rsidP="00BC4A0C">
            <w:pPr>
              <w:pStyle w:val="Odstavecseseznamem"/>
              <w:numPr>
                <w:ilvl w:val="0"/>
                <w:numId w:val="57"/>
              </w:numPr>
              <w:rPr>
                <w:rFonts w:asciiTheme="majorHAnsi" w:hAnsiTheme="majorHAnsi" w:cstheme="majorHAnsi"/>
                <w:sz w:val="18"/>
                <w:szCs w:val="18"/>
              </w:rPr>
            </w:pPr>
            <w:r w:rsidRPr="00BC4A0C">
              <w:rPr>
                <w:rFonts w:asciiTheme="majorHAnsi" w:hAnsiTheme="majorHAnsi" w:cstheme="majorHAnsi"/>
                <w:sz w:val="18"/>
                <w:szCs w:val="18"/>
              </w:rPr>
              <w:t>Námitka proti budoucí výstavbě, která byla nově navržena na pozemcích parc. č. 839/21, 839/9, 839/22, 839/20.</w:t>
            </w:r>
          </w:p>
          <w:p w14:paraId="66767874" w14:textId="77777777" w:rsidR="00BC4A0C" w:rsidRPr="00BC4A0C" w:rsidRDefault="00BC4A0C" w:rsidP="00BC4A0C">
            <w:pPr>
              <w:pStyle w:val="Odstavecseseznamem"/>
              <w:numPr>
                <w:ilvl w:val="0"/>
                <w:numId w:val="57"/>
              </w:numPr>
              <w:rPr>
                <w:rFonts w:asciiTheme="majorHAnsi" w:hAnsiTheme="majorHAnsi" w:cstheme="majorHAnsi"/>
                <w:sz w:val="18"/>
                <w:szCs w:val="18"/>
              </w:rPr>
            </w:pPr>
            <w:r w:rsidRPr="00BC4A0C">
              <w:rPr>
                <w:rFonts w:asciiTheme="majorHAnsi" w:hAnsiTheme="majorHAnsi" w:cstheme="majorHAnsi"/>
                <w:sz w:val="18"/>
                <w:szCs w:val="18"/>
              </w:rPr>
              <w:t xml:space="preserve">5) vzhledem k tomu, že byla nově navržena budoucí výstavba na pozemcích v bodu 4), namísto námi navržených, tak nevidíme důvod, proč by našim požadavkům nebylo vyhověno. </w:t>
            </w:r>
          </w:p>
          <w:p w14:paraId="69F7D686" w14:textId="77777777" w:rsidR="00BC4A0C" w:rsidRPr="00BC4A0C" w:rsidRDefault="00BC4A0C" w:rsidP="00AD5AED">
            <w:pPr>
              <w:rPr>
                <w:rFonts w:asciiTheme="majorHAnsi" w:hAnsiTheme="majorHAnsi" w:cstheme="majorHAnsi"/>
                <w:noProof/>
                <w:sz w:val="18"/>
                <w:szCs w:val="18"/>
              </w:rPr>
            </w:pPr>
            <w:r w:rsidRPr="00BC4A0C">
              <w:rPr>
                <w:rFonts w:asciiTheme="majorHAnsi" w:hAnsiTheme="majorHAnsi" w:cstheme="majorHAnsi"/>
                <w:sz w:val="18"/>
                <w:szCs w:val="18"/>
              </w:rPr>
              <w:t>Tímto vás žádáme o zahrnutí do ÚP pozemky pod bodem č. 1) a 2) dle našich požadavků. Navrhujeme úhradu nákladů na pořízení ÚP nebo jeho změny dle našeho návrhu ve výši 60.000,0 Kč.</w:t>
            </w:r>
            <w:r w:rsidRPr="00BC4A0C">
              <w:rPr>
                <w:rFonts w:asciiTheme="majorHAnsi" w:hAnsiTheme="majorHAnsi" w:cstheme="majorHAnsi"/>
                <w:noProof/>
                <w:sz w:val="18"/>
                <w:szCs w:val="18"/>
              </w:rPr>
              <w:t xml:space="preserve"> </w:t>
            </w:r>
          </w:p>
          <w:p w14:paraId="63EDD175" w14:textId="77777777" w:rsidR="00BC4A0C" w:rsidRPr="00BC4A0C" w:rsidRDefault="00BC4A0C" w:rsidP="00AD5AED">
            <w:pPr>
              <w:rPr>
                <w:rFonts w:asciiTheme="majorHAnsi" w:hAnsiTheme="majorHAnsi" w:cstheme="majorHAnsi"/>
                <w:sz w:val="18"/>
                <w:szCs w:val="18"/>
              </w:rPr>
            </w:pPr>
          </w:p>
          <w:p w14:paraId="35895C3B"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noProof/>
                <w:sz w:val="18"/>
                <w:szCs w:val="18"/>
              </w:rPr>
              <w:lastRenderedPageBreak/>
              <w:drawing>
                <wp:inline distT="0" distB="0" distL="0" distR="0" wp14:anchorId="0CC67130" wp14:editId="60E84A96">
                  <wp:extent cx="3540433" cy="1695450"/>
                  <wp:effectExtent l="0" t="0" r="3175" b="0"/>
                  <wp:docPr id="371554496"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554496" name=""/>
                          <pic:cNvPicPr/>
                        </pic:nvPicPr>
                        <pic:blipFill>
                          <a:blip r:embed="rId63"/>
                          <a:stretch>
                            <a:fillRect/>
                          </a:stretch>
                        </pic:blipFill>
                        <pic:spPr>
                          <a:xfrm>
                            <a:off x="0" y="0"/>
                            <a:ext cx="3542425" cy="1696404"/>
                          </a:xfrm>
                          <a:prstGeom prst="rect">
                            <a:avLst/>
                          </a:prstGeom>
                        </pic:spPr>
                      </pic:pic>
                    </a:graphicData>
                  </a:graphic>
                </wp:inline>
              </w:drawing>
            </w:r>
          </w:p>
        </w:tc>
        <w:tc>
          <w:tcPr>
            <w:tcW w:w="3118" w:type="dxa"/>
          </w:tcPr>
          <w:p w14:paraId="71A41E65" w14:textId="77777777" w:rsidR="00BC4A0C" w:rsidRPr="00BC4A0C" w:rsidRDefault="00BC4A0C" w:rsidP="00AD5AED">
            <w:pPr>
              <w:rPr>
                <w:rFonts w:asciiTheme="majorHAnsi" w:hAnsiTheme="majorHAnsi" w:cstheme="majorHAnsi"/>
                <w:sz w:val="18"/>
                <w:szCs w:val="18"/>
              </w:rPr>
            </w:pPr>
          </w:p>
          <w:p w14:paraId="402EF629" w14:textId="77777777" w:rsidR="00BC4A0C" w:rsidRPr="00BC4A0C" w:rsidRDefault="00BC4A0C" w:rsidP="00AD5AED">
            <w:pPr>
              <w:rPr>
                <w:rFonts w:asciiTheme="majorHAnsi" w:hAnsiTheme="majorHAnsi" w:cstheme="majorHAnsi"/>
                <w:b/>
                <w:bCs/>
                <w:sz w:val="18"/>
                <w:szCs w:val="18"/>
              </w:rPr>
            </w:pPr>
            <w:r w:rsidRPr="00BC4A0C">
              <w:rPr>
                <w:rFonts w:asciiTheme="majorHAnsi" w:hAnsiTheme="majorHAnsi" w:cstheme="majorHAnsi"/>
                <w:b/>
                <w:bCs/>
                <w:sz w:val="18"/>
                <w:szCs w:val="18"/>
              </w:rPr>
              <w:t>Rozhodnutí: Námitka se zamítá.</w:t>
            </w:r>
          </w:p>
          <w:p w14:paraId="64A66B45" w14:textId="77777777" w:rsidR="00BC4A0C" w:rsidRPr="00BC4A0C" w:rsidRDefault="00BC4A0C" w:rsidP="00AD5AED">
            <w:pPr>
              <w:rPr>
                <w:rFonts w:asciiTheme="majorHAnsi" w:hAnsiTheme="majorHAnsi" w:cstheme="majorHAnsi"/>
                <w:b/>
                <w:bCs/>
                <w:sz w:val="18"/>
                <w:szCs w:val="18"/>
              </w:rPr>
            </w:pPr>
          </w:p>
          <w:p w14:paraId="5F6E10E1" w14:textId="77777777" w:rsidR="00BC4A0C" w:rsidRPr="00BC4A0C" w:rsidRDefault="00BC4A0C" w:rsidP="00AD5AED">
            <w:pPr>
              <w:rPr>
                <w:rFonts w:asciiTheme="majorHAnsi" w:hAnsiTheme="majorHAnsi" w:cstheme="majorHAnsi"/>
                <w:b/>
                <w:bCs/>
                <w:sz w:val="18"/>
                <w:szCs w:val="18"/>
              </w:rPr>
            </w:pPr>
            <w:r w:rsidRPr="00BC4A0C">
              <w:rPr>
                <w:rFonts w:asciiTheme="majorHAnsi" w:hAnsiTheme="majorHAnsi" w:cstheme="majorHAnsi"/>
                <w:b/>
                <w:bCs/>
                <w:sz w:val="18"/>
                <w:szCs w:val="18"/>
              </w:rPr>
              <w:t>Odůvodnění:</w:t>
            </w:r>
          </w:p>
          <w:p w14:paraId="1C8A6746"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Námitka se nevztahuje k věcem, které byly v územním plánu změněny po prvním veřejném projednání. O námitce tak bylo již rozhodnuto v rámci rozhodnutí o námitkách k 1. VP.</w:t>
            </w:r>
          </w:p>
        </w:tc>
      </w:tr>
      <w:tr w:rsidR="00BC4A0C" w:rsidRPr="00BC4A0C" w14:paraId="142CC5FF" w14:textId="77777777" w:rsidTr="00BC4A0C">
        <w:tc>
          <w:tcPr>
            <w:tcW w:w="396" w:type="dxa"/>
          </w:tcPr>
          <w:p w14:paraId="56D8DDC4" w14:textId="77777777" w:rsidR="00BC4A0C" w:rsidRPr="00BC4A0C" w:rsidRDefault="00BC4A0C" w:rsidP="00AD5AED">
            <w:pPr>
              <w:rPr>
                <w:rFonts w:asciiTheme="majorHAnsi" w:hAnsiTheme="majorHAnsi" w:cstheme="majorHAnsi"/>
                <w:b/>
                <w:bCs/>
                <w:sz w:val="18"/>
                <w:szCs w:val="18"/>
              </w:rPr>
            </w:pPr>
            <w:r w:rsidRPr="00BC4A0C">
              <w:rPr>
                <w:rFonts w:asciiTheme="majorHAnsi" w:hAnsiTheme="majorHAnsi" w:cstheme="majorHAnsi"/>
                <w:b/>
                <w:bCs/>
                <w:sz w:val="18"/>
                <w:szCs w:val="18"/>
              </w:rPr>
              <w:t>4.</w:t>
            </w:r>
          </w:p>
        </w:tc>
        <w:tc>
          <w:tcPr>
            <w:tcW w:w="5695" w:type="dxa"/>
          </w:tcPr>
          <w:p w14:paraId="58C092E6" w14:textId="77777777" w:rsidR="00BC4A0C" w:rsidRPr="00BC4A0C" w:rsidRDefault="00BC4A0C" w:rsidP="00AD5AED">
            <w:pPr>
              <w:rPr>
                <w:rFonts w:asciiTheme="majorHAnsi" w:hAnsiTheme="majorHAnsi" w:cstheme="majorHAnsi"/>
                <w:b/>
                <w:bCs/>
                <w:sz w:val="18"/>
                <w:szCs w:val="18"/>
              </w:rPr>
            </w:pPr>
            <w:r w:rsidRPr="00BC4A0C">
              <w:rPr>
                <w:rFonts w:asciiTheme="majorHAnsi" w:hAnsiTheme="majorHAnsi" w:cstheme="majorHAnsi"/>
                <w:b/>
                <w:bCs/>
                <w:sz w:val="18"/>
                <w:szCs w:val="18"/>
              </w:rPr>
              <w:t>Jana Švondrová, Kostomlaty nad Labem 447</w:t>
            </w:r>
          </w:p>
          <w:p w14:paraId="6ED07491" w14:textId="77777777" w:rsidR="00BC4A0C" w:rsidRPr="00BC4A0C" w:rsidRDefault="00BC4A0C" w:rsidP="00AD5AED">
            <w:pPr>
              <w:rPr>
                <w:rFonts w:asciiTheme="majorHAnsi" w:hAnsiTheme="majorHAnsi" w:cstheme="majorHAnsi"/>
                <w:sz w:val="18"/>
                <w:szCs w:val="18"/>
              </w:rPr>
            </w:pPr>
          </w:p>
          <w:p w14:paraId="4E14D7E9"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 xml:space="preserve">Tímto vznáším námitku proti návrhu územního plná obce Kostomlaty nad Labem, konkrétně </w:t>
            </w:r>
          </w:p>
          <w:p w14:paraId="10ABDB97"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proti zařazení části mého pozemku p. č. 894/39 jako plochy pro veřejně prospěšné stavby dopravní infrastruktury (Koridor CNU.KDZ1).</w:t>
            </w:r>
          </w:p>
          <w:p w14:paraId="2C13F072"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Tento krok považuji za opodstatněný neboť:</w:t>
            </w:r>
          </w:p>
          <w:p w14:paraId="13FC0EEC"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Sousední pozemek p. č. 894/22, který je rovněž dotčen koridorem (CNU.KD2), je v návrhu územního plánu zcela ponechán v kategorii individuálního bydlení viz Příloha č.1, zatímco můj pozemek p. č. 894/39 byl bez řádného odůvodnění částečně přeřazen do plochy pro veřejně prospěšné stavby dopravní infrastruktury. Tento nerovný přístup postrádá objektivní zdůvodnění a působí diskriminačně vůči mému vlastnickému právu. Neexistuje žádný konkrétní důkaz ani odůvodnění k nutnosti zařazení části mého pozemku p. č. 894/39 jako plochy pro veřejně prospěšné stavby dopravní infrastruktury. vhledem k tomu, že dosud nebyla zpracována dokumentace pro územní rozhodnutí (DÚR) ani záborový elaborát, který by jasně definoval dočasné a trvalé zábory pro jednotlivé pozemky, neexistuje žádný relevantní podklad k nutnosti zařazení části mého pozemku p. č. 894/39 jako plochy pro veřejně prospěšné stavby dopravní infrastruktury.</w:t>
            </w:r>
          </w:p>
          <w:p w14:paraId="47D52E7A"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 xml:space="preserve">Na základě jednání se zástupci Správy železnic a projektové firmy bylo potvrzeno, že se v tuto chvíli nepočítá s trvalým záborem mého pozemku. Bude nutný pouze úzký dočasný zábor (maximálně 1 rok). Navrhovaná změna zásadně omezuje mé vlastnické právo a znehodnocuje pozemek, aniž by byl prokázán její nezbytný veřejný přínos. Správa železnic: „Vašemu pozemku se nelze vyhnout, nicméně jeho zásah je pouze v jihozápadním rohu (viz výřez z dokumentace). </w:t>
            </w:r>
          </w:p>
          <w:p w14:paraId="5864E7BE"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Podložená vyjádření:</w:t>
            </w:r>
          </w:p>
          <w:p w14:paraId="321B53AB"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Správa železnic: Pozemek je zasažen stavbou náhradní komunikace (obchvat) za zrušené přejezdy v lokalitě Kostomlat. Podél této komunikace (u paty náspu) bude ještě úzký dočasný zábor (do 1 roku) pro účely stavby“.</w:t>
            </w:r>
          </w:p>
          <w:p w14:paraId="5D659352"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Zástupce projektové firmy: Změnu ÚP pořizovala obec. Předpokládám, že je to z důvodu prostorové rezervy, aby byla možnost polohu přeložky případně upravit. Jsem přesvědčený, že tuto možnost nevyužijeme – trasa přeložky je víceméně stabilizovaná.“</w:t>
            </w:r>
          </w:p>
          <w:p w14:paraId="37769461" w14:textId="714B2D56" w:rsid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Vzhledem k výše uvedeným skutečnostem žádám zařazení celého mého pozemku p. č. 894/39 do kategorie individuálního bydlení.</w:t>
            </w:r>
          </w:p>
          <w:p w14:paraId="51D5D155" w14:textId="77777777" w:rsidR="00BC4A0C" w:rsidRPr="00BC4A0C" w:rsidRDefault="00BC4A0C" w:rsidP="00AD5AED">
            <w:pPr>
              <w:rPr>
                <w:rFonts w:asciiTheme="majorHAnsi" w:hAnsiTheme="majorHAnsi" w:cstheme="majorHAnsi"/>
                <w:sz w:val="18"/>
                <w:szCs w:val="18"/>
              </w:rPr>
            </w:pPr>
          </w:p>
          <w:p w14:paraId="5B270FC6"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noProof/>
                <w:sz w:val="18"/>
                <w:szCs w:val="18"/>
              </w:rPr>
              <w:lastRenderedPageBreak/>
              <w:drawing>
                <wp:inline distT="0" distB="0" distL="0" distR="0" wp14:anchorId="3E4F463D" wp14:editId="158F2E05">
                  <wp:extent cx="2482853" cy="3511215"/>
                  <wp:effectExtent l="317" t="0" r="0" b="0"/>
                  <wp:docPr id="1537912607" name="Obrázek 2" descr="Obsah obrázku text, mapa, diagram, řada/pruh&#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912607" name="Obrázek 2" descr="Obsah obrázku text, mapa, diagram, řada/pruh&#10;&#10;Obsah generovaný pomocí AI může být nesprávný."/>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rot="5400000">
                            <a:off x="0" y="0"/>
                            <a:ext cx="2487075" cy="3517186"/>
                          </a:xfrm>
                          <a:prstGeom prst="rect">
                            <a:avLst/>
                          </a:prstGeom>
                          <a:noFill/>
                          <a:ln>
                            <a:noFill/>
                          </a:ln>
                        </pic:spPr>
                      </pic:pic>
                    </a:graphicData>
                  </a:graphic>
                </wp:inline>
              </w:drawing>
            </w:r>
          </w:p>
          <w:p w14:paraId="5046E197" w14:textId="77777777" w:rsidR="00BC4A0C" w:rsidRPr="00BC4A0C" w:rsidRDefault="00BC4A0C" w:rsidP="00AD5AED">
            <w:pPr>
              <w:rPr>
                <w:rFonts w:asciiTheme="majorHAnsi" w:hAnsiTheme="majorHAnsi" w:cstheme="majorHAnsi"/>
                <w:sz w:val="18"/>
                <w:szCs w:val="18"/>
              </w:rPr>
            </w:pPr>
          </w:p>
        </w:tc>
        <w:tc>
          <w:tcPr>
            <w:tcW w:w="3118" w:type="dxa"/>
          </w:tcPr>
          <w:p w14:paraId="4A492D21" w14:textId="77777777" w:rsidR="00BC4A0C" w:rsidRPr="00BC4A0C" w:rsidRDefault="00BC4A0C" w:rsidP="00AD5AED">
            <w:pPr>
              <w:rPr>
                <w:rFonts w:asciiTheme="majorHAnsi" w:hAnsiTheme="majorHAnsi" w:cstheme="majorHAnsi"/>
                <w:b/>
                <w:bCs/>
                <w:sz w:val="18"/>
                <w:szCs w:val="18"/>
              </w:rPr>
            </w:pPr>
            <w:r w:rsidRPr="00BC4A0C">
              <w:rPr>
                <w:rFonts w:asciiTheme="majorHAnsi" w:hAnsiTheme="majorHAnsi" w:cstheme="majorHAnsi"/>
                <w:b/>
                <w:bCs/>
                <w:sz w:val="18"/>
                <w:szCs w:val="18"/>
              </w:rPr>
              <w:lastRenderedPageBreak/>
              <w:t>Rozhodnutí: námitka se zamítá.</w:t>
            </w:r>
          </w:p>
          <w:p w14:paraId="74552B91" w14:textId="77777777" w:rsidR="00BC4A0C" w:rsidRPr="00BC4A0C" w:rsidRDefault="00BC4A0C" w:rsidP="00AD5AED">
            <w:pPr>
              <w:rPr>
                <w:rFonts w:asciiTheme="majorHAnsi" w:hAnsiTheme="majorHAnsi" w:cstheme="majorHAnsi"/>
                <w:b/>
                <w:bCs/>
                <w:sz w:val="18"/>
                <w:szCs w:val="18"/>
              </w:rPr>
            </w:pPr>
          </w:p>
          <w:p w14:paraId="02755F0D" w14:textId="77777777" w:rsidR="00BC4A0C" w:rsidRPr="00BC4A0C" w:rsidRDefault="00BC4A0C" w:rsidP="00AD5AED">
            <w:pPr>
              <w:rPr>
                <w:rFonts w:asciiTheme="majorHAnsi" w:hAnsiTheme="majorHAnsi" w:cstheme="majorHAnsi"/>
                <w:b/>
                <w:bCs/>
                <w:sz w:val="18"/>
                <w:szCs w:val="18"/>
              </w:rPr>
            </w:pPr>
            <w:r w:rsidRPr="00BC4A0C">
              <w:rPr>
                <w:rFonts w:asciiTheme="majorHAnsi" w:hAnsiTheme="majorHAnsi" w:cstheme="majorHAnsi"/>
                <w:b/>
                <w:bCs/>
                <w:sz w:val="18"/>
                <w:szCs w:val="18"/>
              </w:rPr>
              <w:t>Odůvodnění:</w:t>
            </w:r>
          </w:p>
          <w:p w14:paraId="6BCC357C"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Netýká se změn, které byly v návrhu územního plánu provedeny po prvním veřejném projednání. O námitce již bylo rozhodnuto po prvním veřejném projednání.</w:t>
            </w:r>
          </w:p>
        </w:tc>
      </w:tr>
      <w:tr w:rsidR="00BC4A0C" w:rsidRPr="00BC4A0C" w14:paraId="27EBE3B7" w14:textId="77777777" w:rsidTr="00BC4A0C">
        <w:tc>
          <w:tcPr>
            <w:tcW w:w="396" w:type="dxa"/>
          </w:tcPr>
          <w:p w14:paraId="14B47A11" w14:textId="77777777" w:rsidR="00BC4A0C" w:rsidRPr="00BC4A0C" w:rsidRDefault="00BC4A0C" w:rsidP="00AD5AED">
            <w:pPr>
              <w:rPr>
                <w:rFonts w:asciiTheme="majorHAnsi" w:hAnsiTheme="majorHAnsi" w:cstheme="majorHAnsi"/>
                <w:b/>
                <w:bCs/>
                <w:sz w:val="18"/>
                <w:szCs w:val="18"/>
              </w:rPr>
            </w:pPr>
            <w:r w:rsidRPr="00BC4A0C">
              <w:rPr>
                <w:rFonts w:asciiTheme="majorHAnsi" w:hAnsiTheme="majorHAnsi" w:cstheme="majorHAnsi"/>
                <w:b/>
                <w:bCs/>
                <w:sz w:val="18"/>
                <w:szCs w:val="18"/>
              </w:rPr>
              <w:t>5.</w:t>
            </w:r>
          </w:p>
        </w:tc>
        <w:tc>
          <w:tcPr>
            <w:tcW w:w="5695" w:type="dxa"/>
          </w:tcPr>
          <w:p w14:paraId="6ABB9B04" w14:textId="77777777" w:rsidR="00BC4A0C" w:rsidRPr="00BC4A0C" w:rsidRDefault="00BC4A0C" w:rsidP="00AD5AED">
            <w:pPr>
              <w:rPr>
                <w:rFonts w:asciiTheme="majorHAnsi" w:hAnsiTheme="majorHAnsi" w:cstheme="majorHAnsi"/>
                <w:b/>
                <w:bCs/>
                <w:sz w:val="18"/>
                <w:szCs w:val="18"/>
              </w:rPr>
            </w:pPr>
            <w:r w:rsidRPr="00BC4A0C">
              <w:rPr>
                <w:rFonts w:asciiTheme="majorHAnsi" w:hAnsiTheme="majorHAnsi" w:cstheme="majorHAnsi"/>
                <w:b/>
                <w:bCs/>
                <w:sz w:val="18"/>
                <w:szCs w:val="18"/>
              </w:rPr>
              <w:t>Josef Touš, Kostomlaty nad Labem 126</w:t>
            </w:r>
          </w:p>
          <w:p w14:paraId="3A36D52D" w14:textId="77777777" w:rsidR="00BC4A0C" w:rsidRPr="00BC4A0C" w:rsidRDefault="00BC4A0C" w:rsidP="00AD5AED">
            <w:pPr>
              <w:rPr>
                <w:rFonts w:asciiTheme="majorHAnsi" w:hAnsiTheme="majorHAnsi" w:cstheme="majorHAnsi"/>
                <w:sz w:val="18"/>
                <w:szCs w:val="18"/>
              </w:rPr>
            </w:pPr>
          </w:p>
          <w:p w14:paraId="649CE853"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Námitky proti navrženému znění ÚP obce Kostomlaty nad Labem</w:t>
            </w:r>
          </w:p>
          <w:p w14:paraId="7289B534"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V reakci na získané informace z druhého veřejného projednání věci dne 5. 3. 2025</w:t>
            </w:r>
          </w:p>
          <w:p w14:paraId="27F9922A"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I. Požaduji</w:t>
            </w:r>
          </w:p>
          <w:p w14:paraId="2C691BEB"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Zastavit proces schvalování aktualizace ÚP obce do doby než zastupitelstvo obce jako ze zákona jediný</w:t>
            </w:r>
          </w:p>
          <w:p w14:paraId="5760C4DC"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oprávněný subjekt rozhodne o tom co bude či nebude v ÚP obsaženo. ZO o ÚP nejednali, tedy tím ani</w:t>
            </w:r>
          </w:p>
          <w:p w14:paraId="366D187E"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neumožnili spoluobčanům být takovému jednání přítomni a případně na něm uplatnit jejich zákonem</w:t>
            </w:r>
          </w:p>
          <w:p w14:paraId="12517B2F"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garantovanou možnost se k projednávané problematice vyjadřovat.</w:t>
            </w:r>
          </w:p>
          <w:p w14:paraId="5AEF72A5"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Připomínám, že starosta či jeho zástupce sice zastupuje obec na venek, ale nemá žádné kompetence či</w:t>
            </w:r>
          </w:p>
          <w:p w14:paraId="2F0E031A"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pravomoci při takovýchto jednáních prosazovat cokoli, co před tím nebylo projednáno a schváleno ZO.</w:t>
            </w:r>
          </w:p>
          <w:p w14:paraId="4799CA25"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Při pročítání odůvodnění návrhu ÚP je na vícero místech uvedeno, že to či ono bylo z ÚP vypuštěno po</w:t>
            </w:r>
          </w:p>
          <w:p w14:paraId="71ECD524"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společném jednání. Na můj opakovaný dotaz na 2. veřejném projednávání návrhu ÚP, kdo rozhodoval</w:t>
            </w:r>
          </w:p>
          <w:p w14:paraId="25B9AEE8"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o tom, co bude v ÚP, jste odpověděla, že to byl zpracovatel, Vy jako pořizovatel a starostka co by pověřený</w:t>
            </w:r>
          </w:p>
          <w:p w14:paraId="5F77B240"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člen vedení obce. V podkladech pro to veřejné projednávání je i nejednou uvedeno, že to či ono bylo</w:t>
            </w:r>
          </w:p>
          <w:p w14:paraId="0DFE3564"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z ÚP vypuštěno na návrh obce. V samotném textu odůvodnění na straně 7 je v prioritě (16) uvedeno:</w:t>
            </w:r>
          </w:p>
          <w:p w14:paraId="6C5305A2"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Při stanovování způsobu využití území v územně plánovací dokumentaci upřednostnit komplexní řešení před uplatňováním jednostranných hledisek a požadavků, které ve svých důsledcích zhoršují stav i hodnoty</w:t>
            </w:r>
          </w:p>
          <w:p w14:paraId="480BFC8E"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území. Vhodná řešení územního rozvoje je zapotřebí hledat ve spolupráci s obyvateli území i s jeho</w:t>
            </w:r>
          </w:p>
          <w:p w14:paraId="0EE4B239"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uživateli a v souladu s určením a charakterem oblastí, os, ploch a koridorů vymezených v PÚR ČR.</w:t>
            </w:r>
          </w:p>
          <w:p w14:paraId="7695F7FD" w14:textId="77777777" w:rsidR="00BC4A0C" w:rsidRPr="00BC4A0C" w:rsidRDefault="00BC4A0C" w:rsidP="00AD5AED">
            <w:pPr>
              <w:rPr>
                <w:rFonts w:asciiTheme="majorHAnsi" w:hAnsiTheme="majorHAnsi" w:cstheme="majorHAnsi"/>
                <w:sz w:val="18"/>
                <w:szCs w:val="18"/>
              </w:rPr>
            </w:pPr>
          </w:p>
          <w:p w14:paraId="7257A975"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Jedním ze základních principů tvorby územního plánu je komunikace nejen s městem a dotčenými orgány,</w:t>
            </w:r>
          </w:p>
          <w:p w14:paraId="280CD3C8"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ale také s širší veřejností. V rámci přípravy zadání ÚP byly shromážděny jednotlivé podněty a požadavky</w:t>
            </w:r>
          </w:p>
          <w:p w14:paraId="0F257740"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vlastníků pozemků a městské samosprávy na změny v území, které byly v rámci zpracování návrhu ÚP</w:t>
            </w:r>
          </w:p>
          <w:p w14:paraId="2B5C92B1"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lastRenderedPageBreak/>
              <w:t>vyhodnoceny a případně zapracovány. Při stanovování způsobu využití území byla upřednostněna komplexní řešení před parciálními zájmy – v tomto smyslu byly do koncepce řešení nového ÚP převzaty pouze koncepční a odůvodněné principy řešení stávající ÚPD.</w:t>
            </w:r>
          </w:p>
          <w:p w14:paraId="19744BDF"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Kdyby zpracovatel ÚP dbal těchto svých proklamací, nemusel by svoje původní návrhy rušit dle přání</w:t>
            </w:r>
          </w:p>
          <w:p w14:paraId="1D8F6D00"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nikoho nereprezentující osoby takovými křečovitými texty jako je například tento:</w:t>
            </w:r>
          </w:p>
          <w:p w14:paraId="22555B50"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(21) Vymezit a chránit ve spolupráci s dotčenými obcemi před zastavěním pozemky nezbytné pro vytvoření</w:t>
            </w:r>
          </w:p>
          <w:p w14:paraId="3F9CDC63"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souvislých ploch veřejně přístupné zeleně v rozvojových oblastech a v rozvojových osách a ve specifických</w:t>
            </w:r>
          </w:p>
          <w:p w14:paraId="7FBF9103"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oblastech, na jejichž území je krajina negativně poznamenána lidskou činností, s využitím její přirozené obnovy; cílem je zachování souvislých ploch nezastavěného území v bezprostředním okolí velkých měst,</w:t>
            </w:r>
          </w:p>
          <w:p w14:paraId="732B1221"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způsobilých pro nenáročné formy krátkodobé rekreace a dále pro vznik a rozvoj lesních porostů a zachování</w:t>
            </w:r>
          </w:p>
          <w:p w14:paraId="56636782"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prostupnosti krajiny.</w:t>
            </w:r>
          </w:p>
          <w:p w14:paraId="3E86D93E"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V rámci řešení ÚP Kostomlaty nad Labem je kladen důraz na ochranu volné krajiny a její dostupnost ze sídel,</w:t>
            </w:r>
          </w:p>
          <w:p w14:paraId="5648F265"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a to zejména vymezením uceleného a vzájemně propojeného systému veřejných prostranství a veřejně</w:t>
            </w:r>
          </w:p>
          <w:p w14:paraId="4787E27C"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přístupné zeleně. Územní plán chrání před zastavěním pozemky bezprostředně obepínající jednotlivá sídla</w:t>
            </w:r>
          </w:p>
          <w:p w14:paraId="43088810"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a nepřipouští jejich srůstání, čímž vytváří podmínky pro zachování souvislých pásů nezastavěného území</w:t>
            </w:r>
          </w:p>
          <w:p w14:paraId="39589F8F"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oddělující jednotlivá sídla. Současně je řešením územního plánu respektováno sídelní uspořádání území a</w:t>
            </w:r>
          </w:p>
          <w:p w14:paraId="17EE114F"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dostupnost rekreačního zázemí ve volné krajině. Konkrétním řešením územního plánu, naplňujícím prioritu</w:t>
            </w:r>
          </w:p>
          <w:p w14:paraId="231ACDCE"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(21), je například vytvoření přechodového pásu nepobytové rekreace v nezastavěném území (MU.r) na</w:t>
            </w:r>
          </w:p>
          <w:p w14:paraId="565623F6"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jihovýchodním okraji zástavby města mezi rezidenční zástavbou a intenzivně zemědělsky využívanou</w:t>
            </w:r>
          </w:p>
          <w:p w14:paraId="41AE8330"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krajinou.</w:t>
            </w:r>
          </w:p>
          <w:p w14:paraId="5EEB94B7"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Už jenom dodám, že velkoměstské sídlo Kostomlaty nad Labem má cca 1300 obyvatel, naprosto nehrozí,</w:t>
            </w:r>
          </w:p>
          <w:p w14:paraId="0EB506E0"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že by na jihu obce mělo vzniknout jakékoli další sídlo a tímto vyhověním nelegitimizovanému požadavku</w:t>
            </w:r>
          </w:p>
          <w:p w14:paraId="51D58369"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obce bez náhrady znemožňujete v budoucnu stavbu silničního obchvatu. Takže pro cca 20 obyvatel tzv.</w:t>
            </w:r>
          </w:p>
          <w:p w14:paraId="071F2A4A"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nové zástavby, kteří mají zeleně kolem svých RD tolik, kolik jinde v obci není, vyhrazujete ještě zelený</w:t>
            </w:r>
          </w:p>
          <w:p w14:paraId="51A615E0"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pás 150 m široký i na jihu, kde je ve stávajícím ÚP územní rezerva pro silniční obchvat 70 m daleko od</w:t>
            </w:r>
          </w:p>
          <w:p w14:paraId="6BA206AB"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těch RD. To znemožní stavbu obchvatu, který jediný může ulehčit desetinásobku počtu spoluobčanů,</w:t>
            </w:r>
          </w:p>
          <w:p w14:paraId="41E6B539"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kterým vede tranzitní silniční doprava několik metrů od jejich domů a jiné řešení této velmi obtěžující</w:t>
            </w:r>
          </w:p>
          <w:p w14:paraId="4AC32326"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situace neexistuje. Kromě toho by ten obchvat umožnil odvést z dalších obydlených část obce i přejezdy</w:t>
            </w:r>
          </w:p>
          <w:p w14:paraId="3B2841AC"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zemědělské techniky, kamionů s pískem z pískovny Doubrava…</w:t>
            </w:r>
          </w:p>
          <w:p w14:paraId="126C274C"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II. Něco obecných poznámek</w:t>
            </w:r>
          </w:p>
          <w:p w14:paraId="5A2C50D8"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Jak už jsem uvedl na tom projednávání, v předložených materiálech návrhu nového ÚP je množství chyb</w:t>
            </w:r>
          </w:p>
          <w:p w14:paraId="71265E2F"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a vad:</w:t>
            </w:r>
          </w:p>
          <w:p w14:paraId="67F82A9B"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-Méně podstatné – 82 km do MĚ, obec leží v povodí Vltavy, nelinearita na ose x snad ve všech grafech</w:t>
            </w:r>
          </w:p>
          <w:p w14:paraId="36876E20"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vývoje počtu obyvatel, bytů…,</w:t>
            </w:r>
          </w:p>
          <w:p w14:paraId="04989819"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-MNOHO PODKLADŮ, ze kterých návrh ÚP vychází JE ZASTARALÝCH - z roku 2016 i starší: např.</w:t>
            </w:r>
          </w:p>
          <w:p w14:paraId="6D0F9BB8"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lastRenderedPageBreak/>
              <w:t>demografická data, sčítání počtu vozidel…</w:t>
            </w:r>
          </w:p>
          <w:p w14:paraId="0AD5DB3B"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-Už poněkud závažnější vady jsou: např. SVAZEK OBCÍ KOSTOMLATSKO již od roku 2022 NEEXISTUJE</w:t>
            </w:r>
          </w:p>
          <w:p w14:paraId="494823CD"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-DOPRAVNÍ CESTA MEZINÁRODNÍHO VÝZNAMU - řeka Labe je uvedena, ale NEPOROVNATELNĚ</w:t>
            </w:r>
          </w:p>
          <w:p w14:paraId="6F92403E"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VÝZNAMNĚJŠÍ MEZINÁRODNÍ DOPRAVNÍ ŽELEZNIČNÍ KORIDOR HAMBURK - STŘEDOZEMNÍ MOŘE</w:t>
            </w:r>
          </w:p>
          <w:p w14:paraId="58B78362"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ZMÍNĚN VŮBEC NENÍ, Tato železnice je v návrhu jednou nazývána Lysá – Nymburk, jindy zase Všetaty</w:t>
            </w:r>
          </w:p>
          <w:p w14:paraId="13381FFE"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 Kolín…</w:t>
            </w:r>
          </w:p>
          <w:p w14:paraId="6B30217F"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-Nenašel jsem přehledy o stávajících HLUKOVÝCH ÚROVNÍCH od všech obec zasahujících zdrojů, nic</w:t>
            </w:r>
          </w:p>
          <w:p w14:paraId="3081F741"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o vibracích, stejně tak o PRACHOVÝCH MIKROČÁSTICÍCH… Natož že by to byly informace aktuální.</w:t>
            </w:r>
          </w:p>
          <w:p w14:paraId="04F744AB"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-INFORMACE O INŽENÝRSKÝCH SÍTÍCH, VODOVOD, KANALIZACE JSOU NEAKTUÁLNÍ, realita je již</w:t>
            </w:r>
          </w:p>
          <w:p w14:paraId="1D12159C"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naprosto jiná</w:t>
            </w:r>
          </w:p>
          <w:p w14:paraId="59D3D212"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-ZA VELMI VÁŽNÉ VADY TOHOTO NÁVRHU AKTUALIZACE ÚP POVAŽJI:</w:t>
            </w:r>
          </w:p>
          <w:p w14:paraId="2E2ED28F"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-V NÁVRHU ÚP ZAKRESLENÉ REZERVY PRO STAVBY SPOJENÉ S REKONSTRUKCÍ ŽELEZNICE</w:t>
            </w:r>
          </w:p>
          <w:p w14:paraId="55507F81"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nejenom že neodpovídají rok starým informacím investora, JSOU VADNÉ I Z MNOHEM VÁŽNĚJŠÍCH DŮVODŮ… Přitom právě existence tří kolejového železničního koridoru (3KŽK) velmi významně obec ovlivňuje, v mnoha směrech přímo limituje…</w:t>
            </w:r>
          </w:p>
          <w:p w14:paraId="0C38639D"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-Jako PRIORITNÍ JE OPĚT NAVRHOVÁNA ZÁSTAVBA BI NA ZPF V 1. BON. TŘÍDĚ.</w:t>
            </w:r>
          </w:p>
          <w:p w14:paraId="6A523927"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-V ODŮVODNĚNÍ ÚP JE ZMÍNĚNA SPOUSTA BOHULIBÝCH PRIORIT, NAPŘÍKLAD O TOM, ŽE</w:t>
            </w:r>
          </w:p>
          <w:p w14:paraId="6F677311"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1) JE TŘEBA CHRÁNIT ZPF, ZEJMÉNA PŮDY v I. a II. bonitní třídě, bránit ATOMIZACI POZEMKŮ,</w:t>
            </w:r>
          </w:p>
          <w:p w14:paraId="6EB65493"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2) Ještě hojněji je připomínána PRŮCHODNOST KRAJINOU,</w:t>
            </w:r>
          </w:p>
          <w:p w14:paraId="63D77FEA"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3) Jsou tam požadavky NEVYTVÁŘET IZOLOVANÉ NÁSLEDNĚ SOCIÁLNĚ VYLOUČENÉ LOKALITY</w:t>
            </w:r>
          </w:p>
          <w:p w14:paraId="5D531F3B"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4) Je prý třeba zabránit obsazení území (například přiblížením se k těmto prostorám zástavbou) v místech, kde by mohly v budoucnu vést komunikace…</w:t>
            </w:r>
          </w:p>
          <w:p w14:paraId="58E1F180"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Pak je na místě otázka, PROČ JSOU TYTO TOLIKRÁT V NÁVRHU PROKLAMOVANÉ PRIORITY V PŘEDLOŽENÉM NÁVRHU ZCELA IGNOROVÁNY?</w:t>
            </w:r>
          </w:p>
          <w:p w14:paraId="6EFA97E2"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-V odůvodnění návrhu ÚP je uvedena proklamace:</w:t>
            </w:r>
          </w:p>
          <w:p w14:paraId="1EA1B7E2"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j) s ohledem na charakter území a kvalitu vystavěného prostředí vyhodnocovat a, je-li to účelné vymezovat vhodné plochy pro výrobu; plochy pro výrobu elektřiny, plynu a tepla včetně ploch pro jejich výrobu z obnovitelných zdrojů vymezovat rovněž s ohledem na cíle politik, strategií a koncepcí veřejné správy v oblasti energetiky a klimatu; ÚP Kostomlaty nad Labem reguluje možnost realizace výroben elektřiny v řešeném území v rámci stanovených podmínek jednotlivých ploch s rozdílným způsobem využití.</w:t>
            </w:r>
          </w:p>
          <w:p w14:paraId="3D181977"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Pak se občané dovědí až při zahájení 2. veřejného projednáván, že realita je naprosto jiná: FVE je celoplošně na území obce zakázána. A jak se vzápětí ukázalo, nikdo se ani neobtěžoval k tomu rozhodnutí, které je i v rozporu se zájmy obce, zeptat se na názor majitele takto postižených polí.</w:t>
            </w:r>
          </w:p>
          <w:p w14:paraId="6095C531"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Ještě bych mohl dlouho pokračovat, ale již nemám čas. To je i důvod, proč i toto moje vyjádření je takto</w:t>
            </w:r>
          </w:p>
          <w:p w14:paraId="6CBAD645"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odbyté. Celé to divadlo s veřejným projednáváním a časovými limity závaznými pouze pro občany je</w:t>
            </w:r>
          </w:p>
          <w:p w14:paraId="56BAFD5E"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nastaveno tak, že občan nemá šanci si během několik dnů prostudovat stovky stran podkladů, zpracovat</w:t>
            </w:r>
          </w:p>
          <w:p w14:paraId="5E96D2FE"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k tomu vyjádření. No je to především vizitka těch, kdo tento materiál a z něj nový ÚP obce vytvořili. Ta vizitka tu bude k vidění dalších 15 – 20 let.</w:t>
            </w:r>
          </w:p>
          <w:p w14:paraId="5B293DED" w14:textId="77777777" w:rsidR="00BC4A0C" w:rsidRPr="00BC4A0C" w:rsidRDefault="00BC4A0C" w:rsidP="00AD5AED">
            <w:pPr>
              <w:rPr>
                <w:rFonts w:asciiTheme="majorHAnsi" w:hAnsiTheme="majorHAnsi" w:cstheme="majorHAnsi"/>
                <w:sz w:val="18"/>
                <w:szCs w:val="18"/>
              </w:rPr>
            </w:pPr>
          </w:p>
          <w:p w14:paraId="58399D44" w14:textId="77777777" w:rsidR="00BC4A0C" w:rsidRPr="00BC4A0C" w:rsidRDefault="00BC4A0C" w:rsidP="00AD5AED">
            <w:pPr>
              <w:rPr>
                <w:rFonts w:asciiTheme="majorHAnsi" w:hAnsiTheme="majorHAnsi" w:cstheme="majorHAnsi"/>
                <w:sz w:val="18"/>
                <w:szCs w:val="18"/>
              </w:rPr>
            </w:pPr>
          </w:p>
        </w:tc>
        <w:tc>
          <w:tcPr>
            <w:tcW w:w="3118" w:type="dxa"/>
          </w:tcPr>
          <w:p w14:paraId="35531052" w14:textId="77777777" w:rsidR="00BC4A0C" w:rsidRPr="00BC4A0C" w:rsidRDefault="00BC4A0C" w:rsidP="00AD5AED">
            <w:pPr>
              <w:rPr>
                <w:rFonts w:asciiTheme="majorHAnsi" w:hAnsiTheme="majorHAnsi" w:cstheme="majorHAnsi"/>
                <w:b/>
                <w:bCs/>
                <w:sz w:val="18"/>
                <w:szCs w:val="18"/>
              </w:rPr>
            </w:pPr>
            <w:r w:rsidRPr="00BC4A0C">
              <w:rPr>
                <w:rFonts w:asciiTheme="majorHAnsi" w:hAnsiTheme="majorHAnsi" w:cstheme="majorHAnsi"/>
                <w:b/>
                <w:bCs/>
                <w:sz w:val="18"/>
                <w:szCs w:val="18"/>
              </w:rPr>
              <w:lastRenderedPageBreak/>
              <w:t>Rozhodnutí: námitky se zamítají.</w:t>
            </w:r>
          </w:p>
          <w:p w14:paraId="4EA5F2BA" w14:textId="77777777" w:rsidR="00BC4A0C" w:rsidRPr="00BC4A0C" w:rsidRDefault="00BC4A0C" w:rsidP="00AD5AED">
            <w:pPr>
              <w:rPr>
                <w:rFonts w:asciiTheme="majorHAnsi" w:hAnsiTheme="majorHAnsi" w:cstheme="majorHAnsi"/>
                <w:b/>
                <w:bCs/>
                <w:sz w:val="18"/>
                <w:szCs w:val="18"/>
              </w:rPr>
            </w:pPr>
          </w:p>
          <w:p w14:paraId="4F5DBAB6" w14:textId="77777777" w:rsidR="00BC4A0C" w:rsidRPr="00BC4A0C" w:rsidRDefault="00BC4A0C" w:rsidP="00AD5AED">
            <w:pPr>
              <w:rPr>
                <w:rFonts w:asciiTheme="majorHAnsi" w:hAnsiTheme="majorHAnsi" w:cstheme="majorHAnsi"/>
                <w:b/>
                <w:bCs/>
                <w:sz w:val="18"/>
                <w:szCs w:val="18"/>
              </w:rPr>
            </w:pPr>
            <w:r w:rsidRPr="00BC4A0C">
              <w:rPr>
                <w:rFonts w:asciiTheme="majorHAnsi" w:hAnsiTheme="majorHAnsi" w:cstheme="majorHAnsi"/>
                <w:b/>
                <w:bCs/>
                <w:sz w:val="18"/>
                <w:szCs w:val="18"/>
              </w:rPr>
              <w:t>Odůvodnění:</w:t>
            </w:r>
          </w:p>
          <w:p w14:paraId="59D0BC98"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Podání bylo učiněno pouze mailem, bez elektronického podpisu a nebylo ve lhůtě do 5 dnů doplněno podle správního řádu § 37 odst. (2) a (4).</w:t>
            </w:r>
          </w:p>
          <w:p w14:paraId="37E00350"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Námitky se netýkají věcí, které byly v návrhu územního plánu změněny po prvním veřejném projednání, ani se nedotýkají přímo vlastnických práv podatele.</w:t>
            </w:r>
          </w:p>
        </w:tc>
      </w:tr>
      <w:tr w:rsidR="00BC4A0C" w:rsidRPr="00BC4A0C" w14:paraId="5DB1CFA0" w14:textId="77777777" w:rsidTr="00BC4A0C">
        <w:tc>
          <w:tcPr>
            <w:tcW w:w="396" w:type="dxa"/>
          </w:tcPr>
          <w:p w14:paraId="1F8B9A2E"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lastRenderedPageBreak/>
              <w:t>6.</w:t>
            </w:r>
          </w:p>
        </w:tc>
        <w:tc>
          <w:tcPr>
            <w:tcW w:w="5695" w:type="dxa"/>
          </w:tcPr>
          <w:p w14:paraId="49A6A11D" w14:textId="77777777" w:rsidR="00BC4A0C" w:rsidRPr="00BC4A0C" w:rsidRDefault="00BC4A0C" w:rsidP="00AD5AED">
            <w:pPr>
              <w:rPr>
                <w:rFonts w:asciiTheme="majorHAnsi" w:hAnsiTheme="majorHAnsi" w:cstheme="majorHAnsi"/>
                <w:b/>
                <w:bCs/>
                <w:sz w:val="18"/>
                <w:szCs w:val="18"/>
              </w:rPr>
            </w:pPr>
            <w:r w:rsidRPr="00BC4A0C">
              <w:rPr>
                <w:rFonts w:asciiTheme="majorHAnsi" w:hAnsiTheme="majorHAnsi" w:cstheme="majorHAnsi"/>
                <w:b/>
                <w:bCs/>
                <w:sz w:val="18"/>
                <w:szCs w:val="18"/>
              </w:rPr>
              <w:t>Ing. Daniela Vítovcová, Praha 5</w:t>
            </w:r>
          </w:p>
          <w:p w14:paraId="187FBD8A" w14:textId="77777777" w:rsidR="00BC4A0C" w:rsidRPr="00BC4A0C" w:rsidRDefault="00BC4A0C" w:rsidP="00AD5AED">
            <w:pPr>
              <w:rPr>
                <w:rFonts w:asciiTheme="majorHAnsi" w:hAnsiTheme="majorHAnsi" w:cstheme="majorHAnsi"/>
                <w:sz w:val="18"/>
                <w:szCs w:val="18"/>
              </w:rPr>
            </w:pPr>
          </w:p>
          <w:p w14:paraId="77970F1A"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Jsem vlastníkem pozemků parc. č. 828/14, 541, 545, 828/17, 828/11, 548/3, v katastrálním území Kostomlaty nad Labem v obci Kostomlaty nad Labem. Zmíněné nemovitosti pronajímám zemědělské společnosti pro intenzivní zemědělskou činnost. Jako vlastník pozemků dotčených návrhem řešení v souladu s ustanovením § 52 odst. 2 a 3 zákona č. 183/2006 Sb., stavební zákon, v platném znění, podávám proti návrhu územního plánu obce Kostomlaty nad Labem ze dne 5. 3. 2025 v zákonné lhůtě 7 dnů tímto následující námitky:</w:t>
            </w:r>
          </w:p>
          <w:p w14:paraId="792B4C95"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Námitka se týká článku 6.2. odstavec (77) pododstavec d2. V článku jsou dotčena práva na umístění dočasného zařízení pro výrobu energie z obnovitelných zdrojů využívající energii slunečního záření s celkovým výkonem výrobny elektřiny větším než 50 kW.</w:t>
            </w:r>
          </w:p>
          <w:p w14:paraId="0D25DEF4"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Výše uvedené námitky odůvodňuji takto:</w:t>
            </w:r>
          </w:p>
          <w:p w14:paraId="00E6DCA2"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Společnost ČEZ vypracovala návrh na dočasné umístění součástí zařízení na výrobu elektrické energie za slunečního záření (fotovoltaické elektrárny, dále jen „FVE“) na části výše uvedených pozemků. Tento návrh jsem připravena akceptovat. V návrhu dočasného umístění FVE, který byl představen zastupitelstvu obce, byly přiblíženy konkrétní finanční i nefinanční benefity pro obyvatele obce. Dále byl podrobně vysvětlen veřejný zájem na výstavbě konkrétních zařízení na výrobu elektrické energie z obnovitelných zdrojů. Tyto stavby jsou nenahraditelné pro dodržení závazku o ukončení provozu elektráren na fosilní paliva, jakož i</w:t>
            </w:r>
          </w:p>
          <w:p w14:paraId="33AAE9DA"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dalších závazků, které pro Českou republiku, tedy i pro jednotlivé územně samosprávné celky, vyplývají z politiky Evropské unie o ochraně životního prostředí. Pozemků vhodných pro stavbu FVE je omezené množství, a proto, s ohledem na budoucnost, cítím, že je nezodpovědné a krátkozraké tento návrh nevyužít.</w:t>
            </w:r>
          </w:p>
          <w:p w14:paraId="3EDA101C"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Návrh společnosti ČEZ obsahuje i řešení pro citlivé zakomponování dočasné stavby do krajiny tak, aby působila co nejméně rušivě. Jako majitelka dotčených pozemků vítám možnost regenerace půdy a celého ekosystému, který by nebyl, po dobu fungování zařízení, využíván pro intenzivní zemědělství. Obec si navrhovaným zněním územního plánu do budoucna zcela uzavírá prostor umisťovat na vymezeném území tyto veřejně prospěšné stavby. Ty jsou přitom v souladu s veřejným zájmem na ochraně životního prostředí a evropskou politikou ochrany životního prostředí jedním z nejúčinnějších nástrojů výroby elektrické energie z obnovitelných zdrojů. Hodnocení dopadů konkrétních záměrů bude přitom nadále podléhat posouzení v rámci řízení o povolení konkrétních záměrů. Úprava, která FVE apriori a zcela plošně zakazuje, je i z tohoto důvodu nepřiměřená.</w:t>
            </w:r>
          </w:p>
          <w:p w14:paraId="4EA8E530"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Z výše uvedených důvodů se domnívám, že plošný zákaz pro umisťování FVE nepřiměřeně zasahuje do mého vlastnického práva. Stejně tak v návrhu územního plánu není dostatečně odůvodněn zásah do veřejného zájmu na výrobě elektrické energie z obnovitelných zdrojů. Proto navrhuji vyškrtnutí pododstavce d2 odstavce (77) článku 6.2. ve znění „stavby a zařízení pro výrobu energie z obnovitelných zdrojů využívající energii slunečního záření s celkovým elektrickým výkonem výrobny elektřiny nad 50 kW“.</w:t>
            </w:r>
          </w:p>
          <w:p w14:paraId="406D50E2" w14:textId="77777777" w:rsidR="00BC4A0C" w:rsidRPr="00BC4A0C" w:rsidRDefault="00BC4A0C" w:rsidP="00AD5AED">
            <w:pPr>
              <w:rPr>
                <w:rFonts w:asciiTheme="majorHAnsi" w:hAnsiTheme="majorHAnsi" w:cstheme="majorHAnsi"/>
                <w:sz w:val="18"/>
                <w:szCs w:val="18"/>
              </w:rPr>
            </w:pPr>
          </w:p>
        </w:tc>
        <w:tc>
          <w:tcPr>
            <w:tcW w:w="3118" w:type="dxa"/>
          </w:tcPr>
          <w:p w14:paraId="3CC4BDE7" w14:textId="77777777" w:rsidR="00BC4A0C" w:rsidRPr="00BC4A0C" w:rsidRDefault="00BC4A0C" w:rsidP="00AD5AED">
            <w:pPr>
              <w:rPr>
                <w:rFonts w:asciiTheme="majorHAnsi" w:hAnsiTheme="majorHAnsi" w:cstheme="majorHAnsi"/>
                <w:b/>
                <w:bCs/>
                <w:sz w:val="18"/>
                <w:szCs w:val="18"/>
              </w:rPr>
            </w:pPr>
            <w:r w:rsidRPr="00BC4A0C">
              <w:rPr>
                <w:rFonts w:asciiTheme="majorHAnsi" w:hAnsiTheme="majorHAnsi" w:cstheme="majorHAnsi"/>
                <w:b/>
                <w:bCs/>
                <w:sz w:val="18"/>
                <w:szCs w:val="18"/>
              </w:rPr>
              <w:t>Rozhodnutí: námitka se zamítá.</w:t>
            </w:r>
          </w:p>
          <w:p w14:paraId="62B60B8D" w14:textId="77777777" w:rsidR="00BC4A0C" w:rsidRPr="00BC4A0C" w:rsidRDefault="00BC4A0C" w:rsidP="00AD5AED">
            <w:pPr>
              <w:rPr>
                <w:rFonts w:asciiTheme="majorHAnsi" w:hAnsiTheme="majorHAnsi" w:cstheme="majorHAnsi"/>
                <w:b/>
                <w:bCs/>
                <w:sz w:val="18"/>
                <w:szCs w:val="18"/>
              </w:rPr>
            </w:pPr>
          </w:p>
          <w:p w14:paraId="7CE608BF" w14:textId="77777777" w:rsidR="00BC4A0C" w:rsidRPr="00BC4A0C" w:rsidRDefault="00BC4A0C" w:rsidP="00AD5AED">
            <w:pPr>
              <w:rPr>
                <w:rFonts w:asciiTheme="majorHAnsi" w:hAnsiTheme="majorHAnsi" w:cstheme="majorHAnsi"/>
                <w:b/>
                <w:bCs/>
                <w:sz w:val="18"/>
                <w:szCs w:val="18"/>
              </w:rPr>
            </w:pPr>
            <w:r w:rsidRPr="00BC4A0C">
              <w:rPr>
                <w:rFonts w:asciiTheme="majorHAnsi" w:hAnsiTheme="majorHAnsi" w:cstheme="majorHAnsi"/>
                <w:b/>
                <w:bCs/>
                <w:sz w:val="18"/>
                <w:szCs w:val="18"/>
              </w:rPr>
              <w:t>Odůvodnění:</w:t>
            </w:r>
          </w:p>
          <w:p w14:paraId="1FEA7024"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 xml:space="preserve">Na plochách pro zemědělství se omezuje velikost výrobny FVE s instalovaným výkonem větším než 50 kW z důvodu zamezení vzniku velkých FVE parků, které by narušily krajinný ráz a ovlivnily hlavní způsob využití, kterým je zemědělská výroba a pozemky ZPF.  </w:t>
            </w:r>
          </w:p>
          <w:p w14:paraId="7FDCC627"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Umístění staveb a zařízení pro výrobu elektrické energie z obnovitelných zdrojů jsou v dostatečné míře umožněny v ostatních zastavitelných funkčních plochách.</w:t>
            </w:r>
          </w:p>
          <w:p w14:paraId="53AAC565" w14:textId="77777777" w:rsidR="00BC4A0C" w:rsidRPr="00BC4A0C" w:rsidRDefault="00BC4A0C" w:rsidP="00AD5AED">
            <w:pPr>
              <w:rPr>
                <w:rFonts w:asciiTheme="majorHAnsi" w:hAnsiTheme="majorHAnsi" w:cstheme="majorHAnsi"/>
                <w:sz w:val="18"/>
                <w:szCs w:val="18"/>
              </w:rPr>
            </w:pPr>
          </w:p>
          <w:p w14:paraId="59639E03" w14:textId="77777777" w:rsidR="00BC4A0C" w:rsidRPr="00BC4A0C" w:rsidRDefault="00BC4A0C" w:rsidP="00AD5AED">
            <w:pPr>
              <w:rPr>
                <w:rFonts w:asciiTheme="majorHAnsi" w:hAnsiTheme="majorHAnsi" w:cstheme="majorHAnsi"/>
                <w:sz w:val="18"/>
                <w:szCs w:val="18"/>
              </w:rPr>
            </w:pPr>
          </w:p>
        </w:tc>
      </w:tr>
      <w:tr w:rsidR="00BC4A0C" w:rsidRPr="00BC4A0C" w14:paraId="4F87328A" w14:textId="77777777" w:rsidTr="00BC4A0C">
        <w:tc>
          <w:tcPr>
            <w:tcW w:w="396" w:type="dxa"/>
          </w:tcPr>
          <w:p w14:paraId="0977149B" w14:textId="77777777" w:rsidR="00BC4A0C" w:rsidRPr="00BC4A0C" w:rsidRDefault="00BC4A0C" w:rsidP="00AD5AED">
            <w:pPr>
              <w:rPr>
                <w:rFonts w:asciiTheme="majorHAnsi" w:hAnsiTheme="majorHAnsi" w:cstheme="majorHAnsi"/>
                <w:b/>
                <w:bCs/>
                <w:sz w:val="18"/>
                <w:szCs w:val="18"/>
              </w:rPr>
            </w:pPr>
            <w:r w:rsidRPr="00BC4A0C">
              <w:rPr>
                <w:rFonts w:asciiTheme="majorHAnsi" w:hAnsiTheme="majorHAnsi" w:cstheme="majorHAnsi"/>
                <w:b/>
                <w:bCs/>
                <w:sz w:val="18"/>
                <w:szCs w:val="18"/>
              </w:rPr>
              <w:t>7.</w:t>
            </w:r>
          </w:p>
        </w:tc>
        <w:tc>
          <w:tcPr>
            <w:tcW w:w="5695" w:type="dxa"/>
          </w:tcPr>
          <w:p w14:paraId="385E2BDE" w14:textId="77777777" w:rsidR="00BC4A0C" w:rsidRPr="00BC4A0C" w:rsidRDefault="00BC4A0C" w:rsidP="00AD5AED">
            <w:pPr>
              <w:rPr>
                <w:rFonts w:asciiTheme="majorHAnsi" w:hAnsiTheme="majorHAnsi" w:cstheme="majorHAnsi"/>
                <w:b/>
                <w:bCs/>
                <w:sz w:val="18"/>
                <w:szCs w:val="18"/>
              </w:rPr>
            </w:pPr>
            <w:r w:rsidRPr="00BC4A0C">
              <w:rPr>
                <w:rFonts w:asciiTheme="majorHAnsi" w:hAnsiTheme="majorHAnsi" w:cstheme="majorHAnsi"/>
                <w:b/>
                <w:bCs/>
                <w:sz w:val="18"/>
                <w:szCs w:val="18"/>
              </w:rPr>
              <w:t>Miroslava Zajanová, Kostomlaty, Lány 12</w:t>
            </w:r>
          </w:p>
          <w:p w14:paraId="0FC5A7E9" w14:textId="77777777" w:rsidR="00BC4A0C" w:rsidRPr="00BC4A0C" w:rsidRDefault="00BC4A0C" w:rsidP="00AD5AED">
            <w:pPr>
              <w:rPr>
                <w:rFonts w:asciiTheme="majorHAnsi" w:hAnsiTheme="majorHAnsi" w:cstheme="majorHAnsi"/>
                <w:sz w:val="18"/>
                <w:szCs w:val="18"/>
              </w:rPr>
            </w:pPr>
          </w:p>
          <w:p w14:paraId="2CC75B54"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Pozemky dotčené námitkou: 276/10, 276/4, 278/6, 389/3</w:t>
            </w:r>
          </w:p>
          <w:p w14:paraId="77077C81"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Nesouhlasím s rozsahem a umístěním koridoru CNZ.KD1, konkrétně umístění přeložky III/3317 varianta sever. Přeložka je nevhodně umístěna a snižuje ekonomickou hodnotu mého pozemku. Omezuje také kvalitu pobývání na mém pozemku, rekreaci obyvatel a život zvířat. Omezuje možnost výstavby domu a v případě realizace přeložky zamezuje možnosti výstavby domu.</w:t>
            </w:r>
          </w:p>
          <w:p w14:paraId="75405CA4"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 xml:space="preserve">Odůvodnění námitky: dle vyjádření zastupitelů a projektanta na předchozím veřejném projednání, se severní varianta přeložky měla vyloučit. Zastupitelé </w:t>
            </w:r>
            <w:r w:rsidRPr="00BC4A0C">
              <w:rPr>
                <w:rFonts w:asciiTheme="majorHAnsi" w:hAnsiTheme="majorHAnsi" w:cstheme="majorHAnsi"/>
                <w:sz w:val="18"/>
                <w:szCs w:val="18"/>
              </w:rPr>
              <w:lastRenderedPageBreak/>
              <w:t>obce Kostomlaty nad Labem odhlasovali zrušení severní varianty přeložky III/3317. V současné době pod severní variantou probíhá stavba rodinného domu. Ponechání severní varianty by značně zkomplikovalo / znemožnilo například výstavbu garáže.</w:t>
            </w:r>
          </w:p>
        </w:tc>
        <w:tc>
          <w:tcPr>
            <w:tcW w:w="3118" w:type="dxa"/>
          </w:tcPr>
          <w:p w14:paraId="412F027A" w14:textId="77777777" w:rsidR="00BC4A0C" w:rsidRPr="00BC4A0C" w:rsidRDefault="00BC4A0C" w:rsidP="00AD5AED">
            <w:pPr>
              <w:rPr>
                <w:rFonts w:asciiTheme="majorHAnsi" w:hAnsiTheme="majorHAnsi" w:cstheme="majorHAnsi"/>
                <w:b/>
                <w:bCs/>
                <w:sz w:val="18"/>
                <w:szCs w:val="18"/>
              </w:rPr>
            </w:pPr>
            <w:r w:rsidRPr="00BC4A0C">
              <w:rPr>
                <w:rFonts w:asciiTheme="majorHAnsi" w:hAnsiTheme="majorHAnsi" w:cstheme="majorHAnsi"/>
                <w:b/>
                <w:bCs/>
                <w:sz w:val="18"/>
                <w:szCs w:val="18"/>
              </w:rPr>
              <w:lastRenderedPageBreak/>
              <w:t>Rozhodnutí: Námitka se zamítá.</w:t>
            </w:r>
          </w:p>
          <w:p w14:paraId="437EE8BF" w14:textId="77777777" w:rsidR="00BC4A0C" w:rsidRPr="00BC4A0C" w:rsidRDefault="00BC4A0C" w:rsidP="00AD5AED">
            <w:pPr>
              <w:rPr>
                <w:rFonts w:asciiTheme="majorHAnsi" w:hAnsiTheme="majorHAnsi" w:cstheme="majorHAnsi"/>
                <w:b/>
                <w:bCs/>
                <w:sz w:val="18"/>
                <w:szCs w:val="18"/>
              </w:rPr>
            </w:pPr>
          </w:p>
          <w:p w14:paraId="76B3CCD6" w14:textId="77777777" w:rsidR="00BC4A0C" w:rsidRPr="00BC4A0C" w:rsidRDefault="00BC4A0C" w:rsidP="00AD5AED">
            <w:pPr>
              <w:rPr>
                <w:rFonts w:asciiTheme="majorHAnsi" w:hAnsiTheme="majorHAnsi" w:cstheme="majorHAnsi"/>
                <w:b/>
                <w:bCs/>
                <w:sz w:val="18"/>
                <w:szCs w:val="18"/>
              </w:rPr>
            </w:pPr>
            <w:r w:rsidRPr="00BC4A0C">
              <w:rPr>
                <w:rFonts w:asciiTheme="majorHAnsi" w:hAnsiTheme="majorHAnsi" w:cstheme="majorHAnsi"/>
                <w:b/>
                <w:bCs/>
                <w:sz w:val="18"/>
                <w:szCs w:val="18"/>
              </w:rPr>
              <w:t>Odůvodnění:</w:t>
            </w:r>
          </w:p>
          <w:p w14:paraId="6AC62BB2"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Námitka se netýká změn, které byly v návrhu územního plánu provedeny po 1. veřejném projednání.</w:t>
            </w:r>
          </w:p>
        </w:tc>
      </w:tr>
      <w:tr w:rsidR="00BC4A0C" w:rsidRPr="00BC4A0C" w14:paraId="1A4303B1" w14:textId="77777777" w:rsidTr="00BC4A0C">
        <w:tc>
          <w:tcPr>
            <w:tcW w:w="396" w:type="dxa"/>
          </w:tcPr>
          <w:p w14:paraId="10AAC11C" w14:textId="77777777" w:rsidR="00BC4A0C" w:rsidRPr="00BC4A0C" w:rsidRDefault="00BC4A0C" w:rsidP="00AD5AED">
            <w:pPr>
              <w:rPr>
                <w:rFonts w:asciiTheme="majorHAnsi" w:hAnsiTheme="majorHAnsi" w:cstheme="majorHAnsi"/>
                <w:b/>
                <w:bCs/>
                <w:sz w:val="18"/>
                <w:szCs w:val="18"/>
              </w:rPr>
            </w:pPr>
            <w:r w:rsidRPr="00BC4A0C">
              <w:rPr>
                <w:rFonts w:asciiTheme="majorHAnsi" w:hAnsiTheme="majorHAnsi" w:cstheme="majorHAnsi"/>
                <w:b/>
                <w:bCs/>
                <w:sz w:val="18"/>
                <w:szCs w:val="18"/>
              </w:rPr>
              <w:lastRenderedPageBreak/>
              <w:t>8.</w:t>
            </w:r>
          </w:p>
        </w:tc>
        <w:tc>
          <w:tcPr>
            <w:tcW w:w="5695" w:type="dxa"/>
          </w:tcPr>
          <w:p w14:paraId="01BF1502" w14:textId="77777777" w:rsidR="00BC4A0C" w:rsidRPr="00BC4A0C" w:rsidRDefault="00BC4A0C" w:rsidP="00AD5AED">
            <w:pPr>
              <w:rPr>
                <w:rFonts w:asciiTheme="majorHAnsi" w:hAnsiTheme="majorHAnsi" w:cstheme="majorHAnsi"/>
                <w:b/>
                <w:bCs/>
                <w:sz w:val="18"/>
                <w:szCs w:val="18"/>
              </w:rPr>
            </w:pPr>
            <w:r w:rsidRPr="00BC4A0C">
              <w:rPr>
                <w:rFonts w:asciiTheme="majorHAnsi" w:hAnsiTheme="majorHAnsi" w:cstheme="majorHAnsi"/>
                <w:b/>
                <w:bCs/>
                <w:sz w:val="18"/>
                <w:szCs w:val="18"/>
              </w:rPr>
              <w:t>Ing Jiří Malypetr, Praha 4 – Chodov</w:t>
            </w:r>
          </w:p>
          <w:p w14:paraId="1A95AC4B" w14:textId="77777777" w:rsidR="00BC4A0C" w:rsidRPr="00BC4A0C" w:rsidRDefault="00BC4A0C" w:rsidP="00AD5AED">
            <w:pPr>
              <w:rPr>
                <w:rFonts w:asciiTheme="majorHAnsi" w:hAnsiTheme="majorHAnsi" w:cstheme="majorHAnsi"/>
                <w:sz w:val="18"/>
                <w:szCs w:val="18"/>
              </w:rPr>
            </w:pPr>
          </w:p>
          <w:p w14:paraId="7AFF866C"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Jsem vlastníkem pozemků parc. č. 751/20, 751/8, 751/6, 751/7, 954/5, 954/8 zapsaných na LV 981 v katastrálním území Kostomlaty nad Labem.</w:t>
            </w:r>
          </w:p>
          <w:p w14:paraId="37D4D186"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Námitka se týká článku 10 odstavec (87) textové části územního plánu s datem I/2025.</w:t>
            </w:r>
          </w:p>
          <w:p w14:paraId="7A76D7EB"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V návrhu pro opakované veřejné projednávání tohoto územního plánu (konané dne 5.3.2025) se vymezuje nová územní rezerva R.2 pro individuální bydlení. Naopak dříve vymezená územní rezerva R.1 pro individuální bydlení je uvedena jako neobsazená. Námitka se tedy týká změny pro územní rezervu R.1.</w:t>
            </w:r>
          </w:p>
          <w:p w14:paraId="3C465532"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Odůvodnění námitky: v návrhu územního plánu XI/2023 byla vymezena územní rezerva pro individuální bydlení R.1, která zahrnuje mj. i moje výše uvedené pozemky. Tato původně vymezená územní rezerva byla při projednávání autory představena jako nejlepší varianta pro rozvoj obce. Zdůvodnění bylo věcné a logické (dobrá využitelnost vzhledem k poloze, vhodná harmonizace tvaru obecní zástavby, zvýšená společenská poptávka po bydlení atd.). navrhovaná územní rezerva R.2 je naproti tomu odůvodněna toliko odkazem na historický územní plán z roku 2002. Podrobnější odůvodnění, proč ke změně vymezení polohy územní rezervy, nijak neobsahuje. V těchto souvislostech navrhuji ponechání územní  rezervy R.1 pro individuální bydlení tak, jak byla vymezena v předchozím návrhu územního plánu s datem XI/2023.</w:t>
            </w:r>
          </w:p>
        </w:tc>
        <w:tc>
          <w:tcPr>
            <w:tcW w:w="3118" w:type="dxa"/>
          </w:tcPr>
          <w:p w14:paraId="713F3EB2" w14:textId="77777777" w:rsidR="00BC4A0C" w:rsidRPr="00BC4A0C" w:rsidRDefault="00BC4A0C" w:rsidP="00AD5AED">
            <w:pPr>
              <w:rPr>
                <w:rFonts w:asciiTheme="majorHAnsi" w:hAnsiTheme="majorHAnsi" w:cstheme="majorHAnsi"/>
                <w:b/>
                <w:bCs/>
                <w:sz w:val="18"/>
                <w:szCs w:val="18"/>
              </w:rPr>
            </w:pPr>
            <w:r w:rsidRPr="00BC4A0C">
              <w:rPr>
                <w:rFonts w:asciiTheme="majorHAnsi" w:hAnsiTheme="majorHAnsi" w:cstheme="majorHAnsi"/>
                <w:b/>
                <w:bCs/>
                <w:sz w:val="18"/>
                <w:szCs w:val="18"/>
              </w:rPr>
              <w:t>Rozhodnutí: Námitka se zamítá.</w:t>
            </w:r>
          </w:p>
          <w:p w14:paraId="22552335" w14:textId="77777777" w:rsidR="00BC4A0C" w:rsidRPr="00BC4A0C" w:rsidRDefault="00BC4A0C" w:rsidP="00AD5AED">
            <w:pPr>
              <w:rPr>
                <w:rFonts w:asciiTheme="majorHAnsi" w:hAnsiTheme="majorHAnsi" w:cstheme="majorHAnsi"/>
                <w:sz w:val="18"/>
                <w:szCs w:val="18"/>
              </w:rPr>
            </w:pPr>
          </w:p>
          <w:p w14:paraId="37347B80" w14:textId="77777777" w:rsidR="00BC4A0C" w:rsidRPr="00BC4A0C" w:rsidRDefault="00BC4A0C" w:rsidP="00AD5AED">
            <w:pPr>
              <w:rPr>
                <w:rFonts w:asciiTheme="majorHAnsi" w:hAnsiTheme="majorHAnsi" w:cstheme="majorHAnsi"/>
                <w:b/>
                <w:bCs/>
                <w:sz w:val="18"/>
                <w:szCs w:val="18"/>
              </w:rPr>
            </w:pPr>
            <w:r w:rsidRPr="00BC4A0C">
              <w:rPr>
                <w:rFonts w:asciiTheme="majorHAnsi" w:hAnsiTheme="majorHAnsi" w:cstheme="majorHAnsi"/>
                <w:b/>
                <w:bCs/>
                <w:sz w:val="18"/>
                <w:szCs w:val="18"/>
              </w:rPr>
              <w:t>Odůvodnění:</w:t>
            </w:r>
          </w:p>
          <w:p w14:paraId="7372AFC5"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Přesunutí plochy územní rezervy z východní části území na západ (dle současného územního plánu) vychází z požadavku zastupitelstva obce. Vzhledem k tomu, že se jedná o plochu územní rezervy, její využití je podmíněno vydáním změny územního plánu. Vymezením plochy územní rezervy nevzniká právo na stavební využití pozemků, a tedy se nejedná ani o zásah do práv vlastníka. Rozhodnutí o budoucím rozvoji obce je dle § 27 stavebního zákona v kompetenci samosprávy.</w:t>
            </w:r>
          </w:p>
          <w:p w14:paraId="11CE0358" w14:textId="77777777" w:rsidR="00BC4A0C" w:rsidRPr="00BC4A0C" w:rsidRDefault="00BC4A0C" w:rsidP="00AD5AED">
            <w:pPr>
              <w:rPr>
                <w:rFonts w:asciiTheme="majorHAnsi" w:hAnsiTheme="majorHAnsi" w:cstheme="majorHAnsi"/>
                <w:sz w:val="18"/>
                <w:szCs w:val="18"/>
              </w:rPr>
            </w:pPr>
          </w:p>
          <w:p w14:paraId="2762F44D" w14:textId="77777777" w:rsidR="00BC4A0C" w:rsidRPr="00BC4A0C" w:rsidRDefault="00BC4A0C" w:rsidP="00AD5AED">
            <w:pPr>
              <w:rPr>
                <w:rFonts w:asciiTheme="majorHAnsi" w:hAnsiTheme="majorHAnsi" w:cstheme="majorHAnsi"/>
                <w:sz w:val="18"/>
                <w:szCs w:val="18"/>
              </w:rPr>
            </w:pPr>
          </w:p>
        </w:tc>
      </w:tr>
    </w:tbl>
    <w:p w14:paraId="45A71DF2" w14:textId="77777777" w:rsidR="00BC4A0C" w:rsidRPr="006070EA" w:rsidRDefault="00BC4A0C" w:rsidP="00300530">
      <w:pPr>
        <w:spacing w:after="120" w:line="240" w:lineRule="auto"/>
        <w:ind w:firstLine="709"/>
        <w:jc w:val="both"/>
        <w:rPr>
          <w:rFonts w:asciiTheme="majorHAnsi" w:hAnsiTheme="majorHAnsi" w:cstheme="majorHAnsi"/>
          <w:color w:val="4472C4" w:themeColor="accent5"/>
          <w:sz w:val="18"/>
          <w:szCs w:val="20"/>
        </w:rPr>
      </w:pPr>
    </w:p>
    <w:p w14:paraId="25D7BD1F" w14:textId="77777777" w:rsidR="003716AF" w:rsidRPr="006070EA" w:rsidRDefault="003716AF" w:rsidP="00487210">
      <w:pPr>
        <w:pStyle w:val="Odstavecseseznamem"/>
        <w:keepNext/>
        <w:numPr>
          <w:ilvl w:val="0"/>
          <w:numId w:val="1"/>
        </w:numPr>
        <w:pBdr>
          <w:top w:val="single" w:sz="8" w:space="1" w:color="auto"/>
          <w:left w:val="single" w:sz="8" w:space="4" w:color="auto"/>
          <w:bottom w:val="single" w:sz="8" w:space="1" w:color="auto"/>
          <w:right w:val="single" w:sz="8" w:space="4" w:color="auto"/>
        </w:pBdr>
        <w:shd w:val="clear" w:color="auto" w:fill="F2F2F2" w:themeFill="background1" w:themeFillShade="F2"/>
        <w:spacing w:before="200" w:after="200" w:line="240" w:lineRule="auto"/>
        <w:ind w:left="709" w:hanging="709"/>
        <w:contextualSpacing w:val="0"/>
        <w:jc w:val="both"/>
        <w:outlineLvl w:val="0"/>
        <w:rPr>
          <w:rFonts w:asciiTheme="majorHAnsi" w:hAnsiTheme="majorHAnsi" w:cstheme="majorHAnsi"/>
          <w:b/>
          <w:sz w:val="24"/>
          <w:szCs w:val="28"/>
        </w:rPr>
      </w:pPr>
      <w:bookmarkStart w:id="490" w:name="_Toc424119889"/>
      <w:bookmarkStart w:id="491" w:name="_Toc204678247"/>
      <w:r w:rsidRPr="006070EA">
        <w:rPr>
          <w:rFonts w:asciiTheme="majorHAnsi" w:hAnsiTheme="majorHAnsi" w:cstheme="majorHAnsi"/>
          <w:b/>
          <w:sz w:val="24"/>
          <w:szCs w:val="28"/>
        </w:rPr>
        <w:t>VYHODNOCENÍ PŘIPOMÍNEK</w:t>
      </w:r>
      <w:bookmarkEnd w:id="490"/>
      <w:bookmarkEnd w:id="491"/>
    </w:p>
    <w:p w14:paraId="607F216E" w14:textId="77777777" w:rsidR="003716AF" w:rsidRPr="006070EA" w:rsidRDefault="003716AF" w:rsidP="00487210">
      <w:pPr>
        <w:spacing w:after="120" w:line="240" w:lineRule="auto"/>
        <w:ind w:firstLine="709"/>
        <w:rPr>
          <w:rFonts w:asciiTheme="majorHAnsi" w:hAnsiTheme="majorHAnsi" w:cstheme="majorHAnsi"/>
          <w:i/>
          <w:sz w:val="18"/>
          <w:szCs w:val="20"/>
        </w:rPr>
      </w:pPr>
      <w:r w:rsidRPr="006070EA">
        <w:rPr>
          <w:rFonts w:asciiTheme="majorHAnsi" w:hAnsiTheme="majorHAnsi" w:cstheme="majorHAnsi"/>
          <w:i/>
          <w:sz w:val="18"/>
          <w:szCs w:val="20"/>
        </w:rPr>
        <w:t>Zákon č. 500/2004 Sb., správní řád, § 172</w:t>
      </w:r>
    </w:p>
    <w:p w14:paraId="08326AA2" w14:textId="77777777" w:rsidR="003716AF" w:rsidRPr="006070EA" w:rsidRDefault="003716AF" w:rsidP="00487210">
      <w:pPr>
        <w:spacing w:after="120" w:line="240" w:lineRule="auto"/>
        <w:ind w:left="709"/>
        <w:rPr>
          <w:rFonts w:asciiTheme="majorHAnsi" w:hAnsiTheme="majorHAnsi" w:cstheme="majorHAnsi"/>
          <w:b/>
          <w:i/>
          <w:sz w:val="18"/>
          <w:szCs w:val="20"/>
        </w:rPr>
      </w:pPr>
      <w:r w:rsidRPr="006070EA">
        <w:rPr>
          <w:rFonts w:asciiTheme="majorHAnsi" w:hAnsiTheme="majorHAnsi" w:cstheme="majorHAnsi"/>
          <w:b/>
          <w:i/>
          <w:sz w:val="18"/>
          <w:szCs w:val="20"/>
        </w:rPr>
        <w:t>Zpracovává pořizovatel.</w:t>
      </w:r>
    </w:p>
    <w:p w14:paraId="29E0B787" w14:textId="77777777" w:rsidR="00CD657D" w:rsidRPr="00CD657D" w:rsidRDefault="00CD657D" w:rsidP="00CD657D">
      <w:pPr>
        <w:spacing w:after="120" w:line="240" w:lineRule="auto"/>
        <w:ind w:firstLine="709"/>
        <w:jc w:val="both"/>
        <w:rPr>
          <w:rFonts w:asciiTheme="majorHAnsi" w:hAnsiTheme="majorHAnsi" w:cstheme="majorHAnsi"/>
          <w:sz w:val="18"/>
          <w:szCs w:val="20"/>
        </w:rPr>
      </w:pPr>
      <w:r w:rsidRPr="00CD657D">
        <w:rPr>
          <w:rFonts w:asciiTheme="majorHAnsi" w:hAnsiTheme="majorHAnsi" w:cstheme="majorHAnsi"/>
          <w:sz w:val="18"/>
          <w:szCs w:val="20"/>
        </w:rPr>
        <w:t>Připomínky podané ke společnému jednání:</w:t>
      </w:r>
    </w:p>
    <w:tbl>
      <w:tblPr>
        <w:tblW w:w="9240" w:type="dxa"/>
        <w:tblInd w:w="-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6103"/>
        <w:gridCol w:w="3137"/>
      </w:tblGrid>
      <w:tr w:rsidR="00CD657D" w:rsidRPr="00BC4A0C" w14:paraId="14555C9F" w14:textId="77777777" w:rsidTr="00BC4A0C">
        <w:trPr>
          <w:trHeight w:val="135"/>
          <w:tblHeader/>
        </w:trPr>
        <w:tc>
          <w:tcPr>
            <w:tcW w:w="6103" w:type="dxa"/>
          </w:tcPr>
          <w:p w14:paraId="2FE98BF5" w14:textId="77777777" w:rsidR="00CD657D" w:rsidRPr="00BC4A0C" w:rsidRDefault="00CD657D" w:rsidP="00AD5AED">
            <w:pPr>
              <w:rPr>
                <w:rFonts w:asciiTheme="majorHAnsi" w:hAnsiTheme="majorHAnsi" w:cstheme="majorHAnsi"/>
                <w:b/>
                <w:bCs/>
                <w:sz w:val="18"/>
                <w:szCs w:val="18"/>
              </w:rPr>
            </w:pPr>
            <w:r w:rsidRPr="00BC4A0C">
              <w:rPr>
                <w:rFonts w:asciiTheme="majorHAnsi" w:hAnsiTheme="majorHAnsi" w:cstheme="majorHAnsi"/>
                <w:b/>
                <w:bCs/>
                <w:sz w:val="18"/>
                <w:szCs w:val="18"/>
              </w:rPr>
              <w:t>Podatel / připomínka</w:t>
            </w:r>
          </w:p>
        </w:tc>
        <w:tc>
          <w:tcPr>
            <w:tcW w:w="3137" w:type="dxa"/>
          </w:tcPr>
          <w:p w14:paraId="2DAB0115" w14:textId="77777777" w:rsidR="00CD657D" w:rsidRPr="00BC4A0C" w:rsidRDefault="00CD657D" w:rsidP="00AD5AED">
            <w:pPr>
              <w:rPr>
                <w:rFonts w:asciiTheme="majorHAnsi" w:hAnsiTheme="majorHAnsi" w:cstheme="majorHAnsi"/>
                <w:b/>
                <w:bCs/>
                <w:sz w:val="18"/>
                <w:szCs w:val="18"/>
              </w:rPr>
            </w:pPr>
            <w:r w:rsidRPr="00BC4A0C">
              <w:rPr>
                <w:rFonts w:asciiTheme="majorHAnsi" w:hAnsiTheme="majorHAnsi" w:cstheme="majorHAnsi"/>
                <w:b/>
                <w:bCs/>
                <w:sz w:val="18"/>
                <w:szCs w:val="18"/>
              </w:rPr>
              <w:t>Vypořádání</w:t>
            </w:r>
          </w:p>
        </w:tc>
      </w:tr>
      <w:tr w:rsidR="00CD657D" w:rsidRPr="00CD657D" w14:paraId="49966A59" w14:textId="77777777" w:rsidTr="00AD5AED">
        <w:trPr>
          <w:trHeight w:val="135"/>
        </w:trPr>
        <w:tc>
          <w:tcPr>
            <w:tcW w:w="6103" w:type="dxa"/>
          </w:tcPr>
          <w:p w14:paraId="29CEF902" w14:textId="77777777" w:rsidR="00CD657D" w:rsidRPr="00CD657D" w:rsidRDefault="00CD657D" w:rsidP="00AD5AED">
            <w:pPr>
              <w:rPr>
                <w:rFonts w:asciiTheme="majorHAnsi" w:hAnsiTheme="majorHAnsi" w:cstheme="majorHAnsi"/>
                <w:sz w:val="18"/>
                <w:szCs w:val="18"/>
              </w:rPr>
            </w:pPr>
            <w:r w:rsidRPr="00CD657D">
              <w:rPr>
                <w:rFonts w:asciiTheme="majorHAnsi" w:hAnsiTheme="majorHAnsi" w:cstheme="majorHAnsi"/>
                <w:b/>
                <w:bCs/>
                <w:sz w:val="18"/>
                <w:szCs w:val="18"/>
              </w:rPr>
              <w:t>Mgr. Petra Dobiášová, Dětská 359, Milovice n. Labem</w:t>
            </w:r>
            <w:r w:rsidRPr="00CD657D">
              <w:rPr>
                <w:rFonts w:asciiTheme="majorHAnsi" w:hAnsiTheme="majorHAnsi" w:cstheme="majorHAnsi"/>
                <w:sz w:val="18"/>
                <w:szCs w:val="18"/>
              </w:rPr>
              <w:t xml:space="preserve"> Pozemky parc. č. 894/24, 894/36, 952/5, využití pozemků pro rekreaci, nebo pro stavby pro bydlení</w:t>
            </w:r>
          </w:p>
        </w:tc>
        <w:tc>
          <w:tcPr>
            <w:tcW w:w="3137" w:type="dxa"/>
          </w:tcPr>
          <w:p w14:paraId="043392E1" w14:textId="77777777" w:rsidR="00CD657D" w:rsidRPr="00CD657D" w:rsidRDefault="00CD657D" w:rsidP="00AD5AED">
            <w:pPr>
              <w:rPr>
                <w:rFonts w:asciiTheme="majorHAnsi" w:hAnsiTheme="majorHAnsi" w:cstheme="majorHAnsi"/>
                <w:sz w:val="18"/>
                <w:szCs w:val="18"/>
              </w:rPr>
            </w:pPr>
            <w:r w:rsidRPr="00CD657D">
              <w:rPr>
                <w:rFonts w:asciiTheme="majorHAnsi" w:hAnsiTheme="majorHAnsi" w:cstheme="majorHAnsi"/>
                <w:sz w:val="18"/>
                <w:szCs w:val="18"/>
              </w:rPr>
              <w:t>Zamítnuto, viz námitka č. VI.</w:t>
            </w:r>
          </w:p>
        </w:tc>
      </w:tr>
      <w:tr w:rsidR="00CD657D" w:rsidRPr="00CD657D" w14:paraId="66992518" w14:textId="77777777" w:rsidTr="00AD5AED">
        <w:trPr>
          <w:trHeight w:val="135"/>
        </w:trPr>
        <w:tc>
          <w:tcPr>
            <w:tcW w:w="6103" w:type="dxa"/>
          </w:tcPr>
          <w:p w14:paraId="2A7AC368" w14:textId="77777777" w:rsidR="00CD657D" w:rsidRPr="00CD657D" w:rsidRDefault="00CD657D" w:rsidP="00AD5AED">
            <w:pPr>
              <w:rPr>
                <w:rFonts w:asciiTheme="majorHAnsi" w:hAnsiTheme="majorHAnsi" w:cstheme="majorHAnsi"/>
                <w:b/>
                <w:bCs/>
                <w:sz w:val="18"/>
                <w:szCs w:val="18"/>
              </w:rPr>
            </w:pPr>
            <w:r w:rsidRPr="00CD657D">
              <w:rPr>
                <w:rFonts w:asciiTheme="majorHAnsi" w:hAnsiTheme="majorHAnsi" w:cstheme="majorHAnsi"/>
                <w:b/>
                <w:bCs/>
                <w:sz w:val="18"/>
                <w:szCs w:val="18"/>
              </w:rPr>
              <w:t>Bc. Martin Mejzr, Spojovací 1467/25, Čelákovice</w:t>
            </w:r>
          </w:p>
          <w:p w14:paraId="42A735E9" w14:textId="77777777" w:rsidR="00CD657D" w:rsidRPr="00CD657D" w:rsidRDefault="00CD657D" w:rsidP="00AD5AED">
            <w:pPr>
              <w:rPr>
                <w:rFonts w:asciiTheme="majorHAnsi" w:hAnsiTheme="majorHAnsi" w:cstheme="majorHAnsi"/>
                <w:sz w:val="18"/>
                <w:szCs w:val="18"/>
              </w:rPr>
            </w:pPr>
            <w:r w:rsidRPr="00CD657D">
              <w:rPr>
                <w:rFonts w:asciiTheme="majorHAnsi" w:hAnsiTheme="majorHAnsi" w:cstheme="majorHAnsi"/>
                <w:sz w:val="18"/>
                <w:szCs w:val="18"/>
              </w:rPr>
              <w:t>Nesouhlasí s umístěním koridoru KDZ1 na jeho pozemku parc. č. 894/21 v k. ú Kostomlaty nad Labem, požaduje zařazení do plochy BI</w:t>
            </w:r>
          </w:p>
        </w:tc>
        <w:tc>
          <w:tcPr>
            <w:tcW w:w="3137" w:type="dxa"/>
          </w:tcPr>
          <w:p w14:paraId="23CC1046" w14:textId="77777777" w:rsidR="00CD657D" w:rsidRPr="00CD657D" w:rsidRDefault="00CD657D" w:rsidP="00AD5AED">
            <w:pPr>
              <w:rPr>
                <w:rFonts w:asciiTheme="majorHAnsi" w:hAnsiTheme="majorHAnsi" w:cstheme="majorHAnsi"/>
                <w:sz w:val="18"/>
                <w:szCs w:val="18"/>
              </w:rPr>
            </w:pPr>
            <w:r w:rsidRPr="00CD657D">
              <w:rPr>
                <w:rFonts w:asciiTheme="majorHAnsi" w:hAnsiTheme="majorHAnsi" w:cstheme="majorHAnsi"/>
                <w:sz w:val="18"/>
                <w:szCs w:val="18"/>
              </w:rPr>
              <w:t>Zamítnuto, viz námitka č.I</w:t>
            </w:r>
          </w:p>
        </w:tc>
      </w:tr>
      <w:tr w:rsidR="00CD657D" w:rsidRPr="00CD657D" w14:paraId="4511BB54" w14:textId="77777777" w:rsidTr="00AD5AED">
        <w:trPr>
          <w:trHeight w:val="135"/>
        </w:trPr>
        <w:tc>
          <w:tcPr>
            <w:tcW w:w="6103" w:type="dxa"/>
          </w:tcPr>
          <w:p w14:paraId="1C30F77E" w14:textId="77777777" w:rsidR="00CD657D" w:rsidRPr="00CD657D" w:rsidRDefault="00CD657D" w:rsidP="00AD5AED">
            <w:pPr>
              <w:rPr>
                <w:rFonts w:asciiTheme="majorHAnsi" w:hAnsiTheme="majorHAnsi" w:cstheme="majorHAnsi"/>
                <w:b/>
                <w:bCs/>
                <w:sz w:val="18"/>
                <w:szCs w:val="18"/>
              </w:rPr>
            </w:pPr>
            <w:r w:rsidRPr="00CD657D">
              <w:rPr>
                <w:rFonts w:asciiTheme="majorHAnsi" w:hAnsiTheme="majorHAnsi" w:cstheme="majorHAnsi"/>
                <w:b/>
                <w:bCs/>
                <w:sz w:val="18"/>
                <w:szCs w:val="18"/>
              </w:rPr>
              <w:t>Stanislava Bártová, Kostomlaty nad Labem</w:t>
            </w:r>
          </w:p>
          <w:p w14:paraId="1D935439" w14:textId="77777777" w:rsidR="00CD657D" w:rsidRPr="00CD657D" w:rsidRDefault="00CD657D" w:rsidP="00AD5AED">
            <w:pPr>
              <w:rPr>
                <w:rFonts w:asciiTheme="majorHAnsi" w:hAnsiTheme="majorHAnsi" w:cstheme="majorHAnsi"/>
                <w:sz w:val="18"/>
                <w:szCs w:val="18"/>
              </w:rPr>
            </w:pPr>
            <w:r w:rsidRPr="00CD657D">
              <w:rPr>
                <w:rFonts w:asciiTheme="majorHAnsi" w:hAnsiTheme="majorHAnsi" w:cstheme="majorHAnsi"/>
                <w:sz w:val="18"/>
                <w:szCs w:val="18"/>
              </w:rPr>
              <w:t>Nesouhlasí s umístěním plochy VP na části pozemku parc. č. 119 v k. ú. KnL, požaduje celý jako plochu BI.</w:t>
            </w:r>
          </w:p>
        </w:tc>
        <w:tc>
          <w:tcPr>
            <w:tcW w:w="3137" w:type="dxa"/>
          </w:tcPr>
          <w:p w14:paraId="3812D212" w14:textId="77777777" w:rsidR="00CD657D" w:rsidRPr="00CD657D" w:rsidRDefault="00CD657D" w:rsidP="00AD5AED">
            <w:pPr>
              <w:rPr>
                <w:rFonts w:asciiTheme="majorHAnsi" w:hAnsiTheme="majorHAnsi" w:cstheme="majorHAnsi"/>
                <w:sz w:val="18"/>
                <w:szCs w:val="18"/>
              </w:rPr>
            </w:pPr>
            <w:r w:rsidRPr="00CD657D">
              <w:rPr>
                <w:rFonts w:asciiTheme="majorHAnsi" w:hAnsiTheme="majorHAnsi" w:cstheme="majorHAnsi"/>
                <w:sz w:val="18"/>
                <w:szCs w:val="18"/>
              </w:rPr>
              <w:t>Připomínce se vyhovuje, celý pozemek je vyznačen jako stabilizovaná plocha BV, jeho severní část však zůstává v koridoru KDZ1 a v ochranném pásmu železnice.</w:t>
            </w:r>
          </w:p>
        </w:tc>
      </w:tr>
      <w:tr w:rsidR="00CD657D" w:rsidRPr="00CD657D" w14:paraId="6CF5A6AE" w14:textId="77777777" w:rsidTr="00AD5AED">
        <w:trPr>
          <w:trHeight w:val="135"/>
        </w:trPr>
        <w:tc>
          <w:tcPr>
            <w:tcW w:w="6103" w:type="dxa"/>
          </w:tcPr>
          <w:p w14:paraId="544C6799" w14:textId="77777777" w:rsidR="00CD657D" w:rsidRPr="00CD657D" w:rsidRDefault="00CD657D" w:rsidP="00AD5AED">
            <w:pPr>
              <w:rPr>
                <w:rFonts w:asciiTheme="majorHAnsi" w:hAnsiTheme="majorHAnsi" w:cstheme="majorHAnsi"/>
                <w:b/>
                <w:bCs/>
                <w:sz w:val="18"/>
                <w:szCs w:val="18"/>
              </w:rPr>
            </w:pPr>
            <w:r w:rsidRPr="00CD657D">
              <w:rPr>
                <w:rFonts w:asciiTheme="majorHAnsi" w:hAnsiTheme="majorHAnsi" w:cstheme="majorHAnsi"/>
                <w:b/>
                <w:bCs/>
                <w:sz w:val="18"/>
                <w:szCs w:val="18"/>
              </w:rPr>
              <w:t>Ivana Kvasničková, Na Zemské stezce 474, Lysá nad Labem.</w:t>
            </w:r>
          </w:p>
          <w:p w14:paraId="122F2982" w14:textId="77777777" w:rsidR="00CD657D" w:rsidRPr="00CD657D" w:rsidRDefault="00CD657D" w:rsidP="00AD5AED">
            <w:pPr>
              <w:rPr>
                <w:rFonts w:asciiTheme="majorHAnsi" w:hAnsiTheme="majorHAnsi" w:cstheme="majorHAnsi"/>
                <w:sz w:val="18"/>
                <w:szCs w:val="18"/>
              </w:rPr>
            </w:pPr>
            <w:r w:rsidRPr="00CD657D">
              <w:rPr>
                <w:rFonts w:asciiTheme="majorHAnsi" w:hAnsiTheme="majorHAnsi" w:cstheme="majorHAnsi"/>
                <w:sz w:val="18"/>
                <w:szCs w:val="18"/>
              </w:rPr>
              <w:t>Připomínka shodná s námitkou č. V. k návrhu ÚP pro veřejné projednání.</w:t>
            </w:r>
          </w:p>
        </w:tc>
        <w:tc>
          <w:tcPr>
            <w:tcW w:w="3137" w:type="dxa"/>
          </w:tcPr>
          <w:p w14:paraId="36581A4C" w14:textId="77777777" w:rsidR="00CD657D" w:rsidRPr="00CD657D" w:rsidRDefault="00CD657D" w:rsidP="00AD5AED">
            <w:pPr>
              <w:rPr>
                <w:rFonts w:asciiTheme="majorHAnsi" w:hAnsiTheme="majorHAnsi" w:cstheme="majorHAnsi"/>
                <w:sz w:val="18"/>
                <w:szCs w:val="18"/>
              </w:rPr>
            </w:pPr>
            <w:r w:rsidRPr="00CD657D">
              <w:rPr>
                <w:rFonts w:asciiTheme="majorHAnsi" w:hAnsiTheme="majorHAnsi" w:cstheme="majorHAnsi"/>
                <w:sz w:val="18"/>
                <w:szCs w:val="18"/>
              </w:rPr>
              <w:t>Zamítnuto, odůvodnění viz. Námitka č.I.</w:t>
            </w:r>
          </w:p>
        </w:tc>
      </w:tr>
      <w:tr w:rsidR="00CD657D" w:rsidRPr="00CD657D" w14:paraId="4523CC4D" w14:textId="77777777" w:rsidTr="00AD5AED">
        <w:trPr>
          <w:trHeight w:val="135"/>
        </w:trPr>
        <w:tc>
          <w:tcPr>
            <w:tcW w:w="6103" w:type="dxa"/>
          </w:tcPr>
          <w:p w14:paraId="27084F95" w14:textId="77777777" w:rsidR="00CD657D" w:rsidRPr="00CD657D" w:rsidRDefault="00CD657D" w:rsidP="00AD5AED">
            <w:pPr>
              <w:rPr>
                <w:rFonts w:asciiTheme="majorHAnsi" w:hAnsiTheme="majorHAnsi" w:cstheme="majorHAnsi"/>
                <w:b/>
                <w:bCs/>
                <w:sz w:val="18"/>
                <w:szCs w:val="18"/>
              </w:rPr>
            </w:pPr>
            <w:r w:rsidRPr="00CD657D">
              <w:rPr>
                <w:rFonts w:asciiTheme="majorHAnsi" w:hAnsiTheme="majorHAnsi" w:cstheme="majorHAnsi"/>
                <w:b/>
                <w:bCs/>
                <w:sz w:val="18"/>
                <w:szCs w:val="18"/>
              </w:rPr>
              <w:t>Miroslava Zajanová, Lány 12</w:t>
            </w:r>
          </w:p>
          <w:p w14:paraId="04E1D00A" w14:textId="77777777" w:rsidR="00CD657D" w:rsidRPr="00CD657D" w:rsidRDefault="00CD657D" w:rsidP="00AD5AED">
            <w:pPr>
              <w:rPr>
                <w:rFonts w:asciiTheme="majorHAnsi" w:hAnsiTheme="majorHAnsi" w:cstheme="majorHAnsi"/>
                <w:sz w:val="18"/>
                <w:szCs w:val="18"/>
              </w:rPr>
            </w:pPr>
            <w:r w:rsidRPr="00CD657D">
              <w:rPr>
                <w:rFonts w:asciiTheme="majorHAnsi" w:hAnsiTheme="majorHAnsi" w:cstheme="majorHAnsi"/>
                <w:sz w:val="18"/>
                <w:szCs w:val="18"/>
              </w:rPr>
              <w:t>Nesouhlasí s vymezením koridoru KDZ na pozemku parc. č. 276/11 a 276/10 v k. ú. KnL, nesouhlas s šířkou koridoru.</w:t>
            </w:r>
          </w:p>
        </w:tc>
        <w:tc>
          <w:tcPr>
            <w:tcW w:w="3137" w:type="dxa"/>
          </w:tcPr>
          <w:p w14:paraId="65F6B8FE" w14:textId="77777777" w:rsidR="00CD657D" w:rsidRPr="00CD657D" w:rsidRDefault="00CD657D" w:rsidP="00AD5AED">
            <w:pPr>
              <w:rPr>
                <w:rFonts w:asciiTheme="majorHAnsi" w:hAnsiTheme="majorHAnsi" w:cstheme="majorHAnsi"/>
                <w:sz w:val="18"/>
                <w:szCs w:val="18"/>
              </w:rPr>
            </w:pPr>
            <w:r w:rsidRPr="00CD657D">
              <w:rPr>
                <w:rFonts w:asciiTheme="majorHAnsi" w:hAnsiTheme="majorHAnsi" w:cstheme="majorHAnsi"/>
                <w:sz w:val="18"/>
                <w:szCs w:val="18"/>
              </w:rPr>
              <w:t>Zamítnuto, odůvodnění viz námitka č.I.</w:t>
            </w:r>
          </w:p>
        </w:tc>
      </w:tr>
      <w:tr w:rsidR="00CD657D" w:rsidRPr="00CD657D" w14:paraId="0531DD90" w14:textId="77777777" w:rsidTr="00AD5AED">
        <w:trPr>
          <w:trHeight w:val="135"/>
        </w:trPr>
        <w:tc>
          <w:tcPr>
            <w:tcW w:w="6103" w:type="dxa"/>
          </w:tcPr>
          <w:p w14:paraId="0961929F" w14:textId="77777777" w:rsidR="00CD657D" w:rsidRPr="00CD657D" w:rsidRDefault="00CD657D" w:rsidP="00AD5AED">
            <w:pPr>
              <w:rPr>
                <w:rFonts w:asciiTheme="majorHAnsi" w:hAnsiTheme="majorHAnsi" w:cstheme="majorHAnsi"/>
                <w:sz w:val="18"/>
                <w:szCs w:val="18"/>
              </w:rPr>
            </w:pPr>
            <w:r w:rsidRPr="00CD657D">
              <w:rPr>
                <w:rFonts w:asciiTheme="majorHAnsi" w:hAnsiTheme="majorHAnsi" w:cstheme="majorHAnsi"/>
                <w:b/>
                <w:bCs/>
                <w:sz w:val="18"/>
                <w:szCs w:val="18"/>
              </w:rPr>
              <w:t>Jakub Zajan, Lány 12</w:t>
            </w:r>
            <w:r w:rsidRPr="00CD657D">
              <w:rPr>
                <w:rFonts w:asciiTheme="majorHAnsi" w:hAnsiTheme="majorHAnsi" w:cstheme="majorHAnsi"/>
                <w:sz w:val="18"/>
                <w:szCs w:val="18"/>
              </w:rPr>
              <w:t xml:space="preserve"> </w:t>
            </w:r>
          </w:p>
          <w:p w14:paraId="7F429FC5" w14:textId="77777777" w:rsidR="00CD657D" w:rsidRPr="00CD657D" w:rsidRDefault="00CD657D" w:rsidP="00AD5AED">
            <w:pPr>
              <w:rPr>
                <w:rFonts w:asciiTheme="majorHAnsi" w:hAnsiTheme="majorHAnsi" w:cstheme="majorHAnsi"/>
                <w:b/>
                <w:bCs/>
                <w:sz w:val="18"/>
                <w:szCs w:val="18"/>
              </w:rPr>
            </w:pPr>
            <w:r w:rsidRPr="00CD657D">
              <w:rPr>
                <w:rFonts w:asciiTheme="majorHAnsi" w:hAnsiTheme="majorHAnsi" w:cstheme="majorHAnsi"/>
                <w:sz w:val="18"/>
                <w:szCs w:val="18"/>
              </w:rPr>
              <w:lastRenderedPageBreak/>
              <w:t>Nesouhlasí s vymezením koridoru KDZ na pozemku parc. č. 276/12 v k. ú. KnL, nesouhlas s šířkou koridoru.</w:t>
            </w:r>
          </w:p>
        </w:tc>
        <w:tc>
          <w:tcPr>
            <w:tcW w:w="3137" w:type="dxa"/>
          </w:tcPr>
          <w:p w14:paraId="39F849BE" w14:textId="77777777" w:rsidR="00CD657D" w:rsidRPr="00CD657D" w:rsidRDefault="00CD657D" w:rsidP="00AD5AED">
            <w:pPr>
              <w:rPr>
                <w:rFonts w:asciiTheme="majorHAnsi" w:hAnsiTheme="majorHAnsi" w:cstheme="majorHAnsi"/>
                <w:sz w:val="18"/>
                <w:szCs w:val="18"/>
              </w:rPr>
            </w:pPr>
            <w:r w:rsidRPr="00CD657D">
              <w:rPr>
                <w:rFonts w:asciiTheme="majorHAnsi" w:hAnsiTheme="majorHAnsi" w:cstheme="majorHAnsi"/>
                <w:sz w:val="18"/>
                <w:szCs w:val="18"/>
              </w:rPr>
              <w:lastRenderedPageBreak/>
              <w:t>Zamítnuto, odůvodnění viz námitka č.I.</w:t>
            </w:r>
          </w:p>
        </w:tc>
      </w:tr>
      <w:tr w:rsidR="00CD657D" w:rsidRPr="00CD657D" w14:paraId="05BF652C" w14:textId="77777777" w:rsidTr="00AD5AED">
        <w:trPr>
          <w:trHeight w:val="135"/>
        </w:trPr>
        <w:tc>
          <w:tcPr>
            <w:tcW w:w="6103" w:type="dxa"/>
          </w:tcPr>
          <w:p w14:paraId="650D8120" w14:textId="77777777" w:rsidR="00CD657D" w:rsidRPr="00CD657D" w:rsidRDefault="00CD657D" w:rsidP="00AD5AED">
            <w:pPr>
              <w:rPr>
                <w:rFonts w:asciiTheme="majorHAnsi" w:hAnsiTheme="majorHAnsi" w:cstheme="majorHAnsi"/>
                <w:b/>
                <w:bCs/>
                <w:sz w:val="18"/>
                <w:szCs w:val="18"/>
              </w:rPr>
            </w:pPr>
            <w:r w:rsidRPr="00CD657D">
              <w:rPr>
                <w:rFonts w:asciiTheme="majorHAnsi" w:hAnsiTheme="majorHAnsi" w:cstheme="majorHAnsi"/>
                <w:b/>
                <w:bCs/>
                <w:sz w:val="18"/>
                <w:szCs w:val="18"/>
              </w:rPr>
              <w:t>Hrstková Edita, Kaštanová 919/23, Olomouc</w:t>
            </w:r>
          </w:p>
          <w:p w14:paraId="521FA215" w14:textId="77777777" w:rsidR="00CD657D" w:rsidRPr="00CD657D" w:rsidRDefault="00CD657D" w:rsidP="00AD5AED">
            <w:pPr>
              <w:rPr>
                <w:rFonts w:asciiTheme="majorHAnsi" w:hAnsiTheme="majorHAnsi" w:cstheme="majorHAnsi"/>
                <w:sz w:val="18"/>
                <w:szCs w:val="18"/>
              </w:rPr>
            </w:pPr>
            <w:r w:rsidRPr="00CD657D">
              <w:rPr>
                <w:rFonts w:asciiTheme="majorHAnsi" w:hAnsiTheme="majorHAnsi" w:cstheme="majorHAnsi"/>
                <w:sz w:val="18"/>
                <w:szCs w:val="18"/>
              </w:rPr>
              <w:t xml:space="preserve">Nesouhlasí s vymezením zastavitelných ploch Z01 – Z05 a Z16 – Z19, z důvodu záboru ZPF a zásahu do krajiny. </w:t>
            </w:r>
          </w:p>
        </w:tc>
        <w:tc>
          <w:tcPr>
            <w:tcW w:w="3137" w:type="dxa"/>
          </w:tcPr>
          <w:p w14:paraId="2299EA54" w14:textId="77777777" w:rsidR="00CD657D" w:rsidRPr="00CD657D" w:rsidRDefault="00CD657D" w:rsidP="00AD5AED">
            <w:pPr>
              <w:rPr>
                <w:rFonts w:asciiTheme="majorHAnsi" w:hAnsiTheme="majorHAnsi" w:cstheme="majorHAnsi"/>
                <w:sz w:val="18"/>
                <w:szCs w:val="18"/>
              </w:rPr>
            </w:pPr>
            <w:r w:rsidRPr="00CD657D">
              <w:rPr>
                <w:rFonts w:asciiTheme="majorHAnsi" w:hAnsiTheme="majorHAnsi" w:cstheme="majorHAnsi"/>
                <w:sz w:val="18"/>
                <w:szCs w:val="18"/>
              </w:rPr>
              <w:t>Z návrhu byly vypuštěny navržené zastavitelné plochy Z01, Z02 a Z05, z důvodu omezení velikosti zastavitelných ploch pro bydlení. Plochy Z03, Z04 a Z16 – Z19 byly projednány a odsouhlaseny orgánem ochrany ZPF a jsou v návrhu ponechány.</w:t>
            </w:r>
          </w:p>
        </w:tc>
      </w:tr>
      <w:tr w:rsidR="00CD657D" w:rsidRPr="00CD657D" w14:paraId="71706214" w14:textId="77777777" w:rsidTr="00AD5AED">
        <w:trPr>
          <w:trHeight w:val="135"/>
        </w:trPr>
        <w:tc>
          <w:tcPr>
            <w:tcW w:w="6103" w:type="dxa"/>
          </w:tcPr>
          <w:p w14:paraId="1A98F57F" w14:textId="77777777" w:rsidR="00CD657D" w:rsidRPr="00CD657D" w:rsidRDefault="00CD657D" w:rsidP="00AD5AED">
            <w:pPr>
              <w:spacing w:after="0"/>
              <w:rPr>
                <w:rFonts w:asciiTheme="majorHAnsi" w:hAnsiTheme="majorHAnsi" w:cstheme="majorHAnsi"/>
                <w:b/>
                <w:bCs/>
                <w:sz w:val="18"/>
                <w:szCs w:val="18"/>
              </w:rPr>
            </w:pPr>
            <w:r w:rsidRPr="00CD657D">
              <w:rPr>
                <w:rFonts w:asciiTheme="majorHAnsi" w:hAnsiTheme="majorHAnsi" w:cstheme="majorHAnsi"/>
                <w:b/>
                <w:bCs/>
                <w:sz w:val="18"/>
                <w:szCs w:val="18"/>
              </w:rPr>
              <w:t xml:space="preserve">Martin Ilko,Vápensko 30,  </w:t>
            </w:r>
          </w:p>
          <w:p w14:paraId="790EB890" w14:textId="77777777" w:rsidR="00CD657D" w:rsidRPr="00CD657D" w:rsidRDefault="00CD657D" w:rsidP="00AD5AED">
            <w:pPr>
              <w:spacing w:after="0"/>
              <w:rPr>
                <w:rFonts w:asciiTheme="majorHAnsi" w:hAnsiTheme="majorHAnsi" w:cstheme="majorHAnsi"/>
                <w:b/>
                <w:bCs/>
                <w:sz w:val="18"/>
                <w:szCs w:val="18"/>
              </w:rPr>
            </w:pPr>
            <w:r w:rsidRPr="00CD657D">
              <w:rPr>
                <w:rFonts w:asciiTheme="majorHAnsi" w:hAnsiTheme="majorHAnsi" w:cstheme="majorHAnsi"/>
                <w:b/>
                <w:bCs/>
                <w:sz w:val="18"/>
                <w:szCs w:val="18"/>
              </w:rPr>
              <w:t xml:space="preserve">Ladislava Ilková, Sídliště 1426, Lysá nad Labem </w:t>
            </w:r>
          </w:p>
          <w:p w14:paraId="44CB6BB1" w14:textId="77777777" w:rsidR="00CD657D" w:rsidRPr="00CD657D" w:rsidRDefault="00CD657D" w:rsidP="00AD5AED">
            <w:pPr>
              <w:spacing w:after="0"/>
              <w:rPr>
                <w:rFonts w:asciiTheme="majorHAnsi" w:hAnsiTheme="majorHAnsi" w:cstheme="majorHAnsi"/>
                <w:b/>
                <w:bCs/>
                <w:sz w:val="18"/>
                <w:szCs w:val="18"/>
              </w:rPr>
            </w:pPr>
          </w:p>
          <w:p w14:paraId="4AEF370C" w14:textId="77777777" w:rsidR="00CD657D" w:rsidRPr="00CD657D" w:rsidRDefault="00CD657D" w:rsidP="00CD657D">
            <w:pPr>
              <w:pStyle w:val="Odstavecseseznamem"/>
              <w:numPr>
                <w:ilvl w:val="0"/>
                <w:numId w:val="48"/>
              </w:numPr>
              <w:rPr>
                <w:rFonts w:asciiTheme="majorHAnsi" w:hAnsiTheme="majorHAnsi" w:cstheme="majorHAnsi"/>
                <w:sz w:val="18"/>
                <w:szCs w:val="18"/>
              </w:rPr>
            </w:pPr>
            <w:r w:rsidRPr="00CD657D">
              <w:rPr>
                <w:rFonts w:asciiTheme="majorHAnsi" w:hAnsiTheme="majorHAnsi" w:cstheme="majorHAnsi"/>
                <w:sz w:val="18"/>
                <w:szCs w:val="18"/>
              </w:rPr>
              <w:t>Požadavek upravení regulačních podmínek v textové části ÚP, u ploch SV, doplnit formulaci „rodinné bydlení s užitkovými zahradami a chovem drobného domácího zvířectva.</w:t>
            </w:r>
          </w:p>
          <w:p w14:paraId="561FA7B7" w14:textId="77777777" w:rsidR="00CD657D" w:rsidRPr="00CD657D" w:rsidRDefault="00CD657D" w:rsidP="00CD657D">
            <w:pPr>
              <w:pStyle w:val="Odstavecseseznamem"/>
              <w:numPr>
                <w:ilvl w:val="0"/>
                <w:numId w:val="48"/>
              </w:numPr>
              <w:rPr>
                <w:rFonts w:asciiTheme="majorHAnsi" w:hAnsiTheme="majorHAnsi" w:cstheme="majorHAnsi"/>
                <w:sz w:val="18"/>
                <w:szCs w:val="18"/>
              </w:rPr>
            </w:pPr>
            <w:r w:rsidRPr="00CD657D">
              <w:rPr>
                <w:rFonts w:asciiTheme="majorHAnsi" w:hAnsiTheme="majorHAnsi" w:cstheme="majorHAnsi"/>
                <w:sz w:val="18"/>
                <w:szCs w:val="18"/>
              </w:rPr>
              <w:t>Nesouhlas se zařazením pozemků parc. č. 312/2 a 316/5 a 313 v k ú Hronětice do zastavitelné plochy.</w:t>
            </w:r>
          </w:p>
          <w:p w14:paraId="177207F3" w14:textId="77777777" w:rsidR="00CD657D" w:rsidRPr="00CD657D" w:rsidRDefault="00CD657D" w:rsidP="00AD5AED">
            <w:pPr>
              <w:pStyle w:val="Odstavecseseznamem"/>
              <w:ind w:left="360"/>
              <w:rPr>
                <w:rFonts w:asciiTheme="majorHAnsi" w:hAnsiTheme="majorHAnsi" w:cstheme="majorHAnsi"/>
                <w:sz w:val="18"/>
                <w:szCs w:val="18"/>
              </w:rPr>
            </w:pPr>
          </w:p>
        </w:tc>
        <w:tc>
          <w:tcPr>
            <w:tcW w:w="3137" w:type="dxa"/>
          </w:tcPr>
          <w:p w14:paraId="0CA7C168" w14:textId="77777777" w:rsidR="00CD657D" w:rsidRPr="00CD657D" w:rsidRDefault="00CD657D" w:rsidP="00AD5AED">
            <w:pPr>
              <w:spacing w:after="0"/>
              <w:rPr>
                <w:rFonts w:asciiTheme="majorHAnsi" w:hAnsiTheme="majorHAnsi" w:cstheme="majorHAnsi"/>
                <w:sz w:val="18"/>
                <w:szCs w:val="18"/>
              </w:rPr>
            </w:pPr>
            <w:r w:rsidRPr="00CD657D">
              <w:rPr>
                <w:rFonts w:asciiTheme="majorHAnsi" w:hAnsiTheme="majorHAnsi" w:cstheme="majorHAnsi"/>
                <w:sz w:val="18"/>
                <w:szCs w:val="18"/>
              </w:rPr>
              <w:t>Zamítnuto.</w:t>
            </w:r>
          </w:p>
          <w:p w14:paraId="1AB37B3D" w14:textId="77777777" w:rsidR="00CD657D" w:rsidRPr="00CD657D" w:rsidRDefault="00CD657D" w:rsidP="00CD657D">
            <w:pPr>
              <w:pStyle w:val="Odstavecseseznamem"/>
              <w:numPr>
                <w:ilvl w:val="0"/>
                <w:numId w:val="49"/>
              </w:numPr>
              <w:spacing w:after="0"/>
              <w:rPr>
                <w:rFonts w:asciiTheme="majorHAnsi" w:hAnsiTheme="majorHAnsi" w:cstheme="majorHAnsi"/>
                <w:sz w:val="18"/>
                <w:szCs w:val="18"/>
              </w:rPr>
            </w:pPr>
            <w:r w:rsidRPr="00CD657D">
              <w:rPr>
                <w:rFonts w:asciiTheme="majorHAnsi" w:hAnsiTheme="majorHAnsi" w:cstheme="majorHAnsi"/>
                <w:sz w:val="18"/>
                <w:szCs w:val="18"/>
              </w:rPr>
              <w:t>Podmínky plochy SV umožňují doprovodné stavby a činnosti k funkci bydlení v míře nesnižující kvalitu prostředí.</w:t>
            </w:r>
          </w:p>
          <w:p w14:paraId="728B9F6F" w14:textId="77777777" w:rsidR="00CD657D" w:rsidRPr="00CD657D" w:rsidRDefault="00CD657D" w:rsidP="00CD657D">
            <w:pPr>
              <w:pStyle w:val="Odstavecseseznamem"/>
              <w:numPr>
                <w:ilvl w:val="0"/>
                <w:numId w:val="49"/>
              </w:numPr>
              <w:spacing w:after="0"/>
              <w:rPr>
                <w:rFonts w:asciiTheme="majorHAnsi" w:hAnsiTheme="majorHAnsi" w:cstheme="majorHAnsi"/>
                <w:sz w:val="18"/>
                <w:szCs w:val="18"/>
              </w:rPr>
            </w:pPr>
            <w:r w:rsidRPr="00CD657D">
              <w:rPr>
                <w:rFonts w:asciiTheme="majorHAnsi" w:hAnsiTheme="majorHAnsi" w:cstheme="majorHAnsi"/>
                <w:sz w:val="18"/>
                <w:szCs w:val="18"/>
              </w:rPr>
              <w:t>Pozemky č. 312/2 a 313 jsou v návrhu ÚP stanoveny jako ZK – krajinná zeleň, pozemek parc. č. 316/5 jev ploše AU – zemědělské všeobecné.</w:t>
            </w:r>
          </w:p>
        </w:tc>
      </w:tr>
      <w:tr w:rsidR="00CD657D" w:rsidRPr="00CD657D" w14:paraId="52FF69FA" w14:textId="77777777" w:rsidTr="00AD5AED">
        <w:trPr>
          <w:trHeight w:val="135"/>
        </w:trPr>
        <w:tc>
          <w:tcPr>
            <w:tcW w:w="6103" w:type="dxa"/>
          </w:tcPr>
          <w:p w14:paraId="7F6F83BC" w14:textId="77777777" w:rsidR="00CD657D" w:rsidRPr="00CD657D" w:rsidRDefault="00CD657D" w:rsidP="00AD5AED">
            <w:pPr>
              <w:spacing w:after="0"/>
              <w:rPr>
                <w:rFonts w:asciiTheme="majorHAnsi" w:hAnsiTheme="majorHAnsi" w:cstheme="majorHAnsi"/>
                <w:b/>
                <w:bCs/>
                <w:sz w:val="18"/>
                <w:szCs w:val="18"/>
              </w:rPr>
            </w:pPr>
            <w:r w:rsidRPr="00CD657D">
              <w:rPr>
                <w:rFonts w:asciiTheme="majorHAnsi" w:hAnsiTheme="majorHAnsi" w:cstheme="majorHAnsi"/>
                <w:b/>
                <w:bCs/>
                <w:sz w:val="18"/>
                <w:szCs w:val="18"/>
              </w:rPr>
              <w:t>Červený Jan, 9. května 115 Kostomlaty n. L.</w:t>
            </w:r>
          </w:p>
          <w:p w14:paraId="741DC7D8" w14:textId="77777777" w:rsidR="00CD657D" w:rsidRPr="00CD657D" w:rsidRDefault="00CD657D" w:rsidP="00AD5AED">
            <w:pPr>
              <w:rPr>
                <w:rFonts w:asciiTheme="majorHAnsi" w:hAnsiTheme="majorHAnsi" w:cstheme="majorHAnsi"/>
                <w:sz w:val="18"/>
                <w:szCs w:val="18"/>
              </w:rPr>
            </w:pPr>
            <w:r w:rsidRPr="00CD657D">
              <w:rPr>
                <w:rFonts w:asciiTheme="majorHAnsi" w:hAnsiTheme="majorHAnsi" w:cstheme="majorHAnsi"/>
                <w:sz w:val="18"/>
                <w:szCs w:val="18"/>
              </w:rPr>
              <w:t>Požaduje pozemky parc. č. 353, 352/1, 352/3 354/2 v k. ú K.n.L stanovit jako plochu BI, nikoli OV.</w:t>
            </w:r>
          </w:p>
        </w:tc>
        <w:tc>
          <w:tcPr>
            <w:tcW w:w="3137" w:type="dxa"/>
          </w:tcPr>
          <w:p w14:paraId="35888FBF" w14:textId="77777777" w:rsidR="00CD657D" w:rsidRPr="00CD657D" w:rsidRDefault="00CD657D" w:rsidP="00AD5AED">
            <w:pPr>
              <w:spacing w:after="0"/>
              <w:rPr>
                <w:rFonts w:asciiTheme="majorHAnsi" w:hAnsiTheme="majorHAnsi" w:cstheme="majorHAnsi"/>
                <w:sz w:val="18"/>
                <w:szCs w:val="18"/>
              </w:rPr>
            </w:pPr>
            <w:r w:rsidRPr="00CD657D">
              <w:rPr>
                <w:rFonts w:asciiTheme="majorHAnsi" w:hAnsiTheme="majorHAnsi" w:cstheme="majorHAnsi"/>
                <w:sz w:val="18"/>
                <w:szCs w:val="18"/>
              </w:rPr>
              <w:t>Připomínce je vyhověno, jedná se o pozemky ve stabilizované části obce, jde stávající stavbu rodinného domu a související zahradu.</w:t>
            </w:r>
          </w:p>
        </w:tc>
      </w:tr>
      <w:tr w:rsidR="00CD657D" w:rsidRPr="00CD657D" w14:paraId="74CDC2FA" w14:textId="77777777" w:rsidTr="00AD5AED">
        <w:trPr>
          <w:trHeight w:val="135"/>
        </w:trPr>
        <w:tc>
          <w:tcPr>
            <w:tcW w:w="6103" w:type="dxa"/>
          </w:tcPr>
          <w:p w14:paraId="2B9182A0" w14:textId="77777777" w:rsidR="00CD657D" w:rsidRPr="00CD657D" w:rsidRDefault="00CD657D" w:rsidP="00AD5AED">
            <w:pPr>
              <w:spacing w:after="0"/>
              <w:rPr>
                <w:rFonts w:asciiTheme="majorHAnsi" w:hAnsiTheme="majorHAnsi" w:cstheme="majorHAnsi"/>
                <w:b/>
                <w:bCs/>
                <w:sz w:val="18"/>
                <w:szCs w:val="18"/>
              </w:rPr>
            </w:pPr>
            <w:r w:rsidRPr="00CD657D">
              <w:rPr>
                <w:rFonts w:asciiTheme="majorHAnsi" w:hAnsiTheme="majorHAnsi" w:cstheme="majorHAnsi"/>
                <w:b/>
                <w:bCs/>
                <w:sz w:val="18"/>
                <w:szCs w:val="18"/>
              </w:rPr>
              <w:t>Ing. Dana Teichmanová, Kolmá 528, Kostomlaty nad Labem</w:t>
            </w:r>
          </w:p>
          <w:p w14:paraId="084CEFB2" w14:textId="77777777" w:rsidR="00CD657D" w:rsidRPr="00CD657D" w:rsidRDefault="00CD657D" w:rsidP="00AD5AED">
            <w:pPr>
              <w:rPr>
                <w:rFonts w:asciiTheme="majorHAnsi" w:hAnsiTheme="majorHAnsi" w:cstheme="majorHAnsi"/>
                <w:sz w:val="18"/>
                <w:szCs w:val="18"/>
              </w:rPr>
            </w:pPr>
            <w:r w:rsidRPr="00CD657D">
              <w:rPr>
                <w:rFonts w:asciiTheme="majorHAnsi" w:hAnsiTheme="majorHAnsi" w:cstheme="majorHAnsi"/>
                <w:sz w:val="18"/>
                <w:szCs w:val="18"/>
              </w:rPr>
              <w:t>Požaduje zrušení koridoru pro jižní silniční obchvat silnice II/331.</w:t>
            </w:r>
          </w:p>
        </w:tc>
        <w:tc>
          <w:tcPr>
            <w:tcW w:w="3137" w:type="dxa"/>
          </w:tcPr>
          <w:p w14:paraId="0A9442A7" w14:textId="77777777" w:rsidR="00CD657D" w:rsidRPr="00CD657D" w:rsidRDefault="00CD657D" w:rsidP="00AD5AED">
            <w:pPr>
              <w:spacing w:after="0"/>
              <w:rPr>
                <w:rFonts w:asciiTheme="majorHAnsi" w:hAnsiTheme="majorHAnsi" w:cstheme="majorHAnsi"/>
                <w:sz w:val="18"/>
                <w:szCs w:val="18"/>
              </w:rPr>
            </w:pPr>
            <w:r w:rsidRPr="00CD657D">
              <w:rPr>
                <w:rFonts w:asciiTheme="majorHAnsi" w:hAnsiTheme="majorHAnsi" w:cstheme="majorHAnsi"/>
                <w:sz w:val="18"/>
                <w:szCs w:val="18"/>
              </w:rPr>
              <w:t>Koridor pro jižní obchvat byl vypuštěn na požadavek zastupitelstva obce.</w:t>
            </w:r>
          </w:p>
        </w:tc>
      </w:tr>
      <w:tr w:rsidR="00CD657D" w:rsidRPr="00CD657D" w14:paraId="6F45D6F7" w14:textId="77777777" w:rsidTr="00AD5AED">
        <w:trPr>
          <w:trHeight w:val="135"/>
        </w:trPr>
        <w:tc>
          <w:tcPr>
            <w:tcW w:w="6103" w:type="dxa"/>
          </w:tcPr>
          <w:p w14:paraId="14BDE782" w14:textId="77777777" w:rsidR="00CD657D" w:rsidRPr="00CD657D" w:rsidRDefault="00CD657D" w:rsidP="00AD5AED">
            <w:pPr>
              <w:spacing w:after="0"/>
              <w:rPr>
                <w:rFonts w:asciiTheme="majorHAnsi" w:hAnsiTheme="majorHAnsi" w:cstheme="majorHAnsi"/>
                <w:b/>
                <w:bCs/>
                <w:sz w:val="18"/>
                <w:szCs w:val="18"/>
              </w:rPr>
            </w:pPr>
            <w:r w:rsidRPr="00CD657D">
              <w:rPr>
                <w:rFonts w:asciiTheme="majorHAnsi" w:hAnsiTheme="majorHAnsi" w:cstheme="majorHAnsi"/>
                <w:b/>
                <w:bCs/>
                <w:sz w:val="18"/>
                <w:szCs w:val="18"/>
              </w:rPr>
              <w:t>Jiří Nehasil, Dr. Chmelaře 235, Křinec.</w:t>
            </w:r>
          </w:p>
          <w:p w14:paraId="54673546" w14:textId="77777777" w:rsidR="00CD657D" w:rsidRPr="00CD657D" w:rsidRDefault="00CD657D" w:rsidP="00AD5AED">
            <w:pPr>
              <w:rPr>
                <w:rFonts w:asciiTheme="majorHAnsi" w:hAnsiTheme="majorHAnsi" w:cstheme="majorHAnsi"/>
                <w:sz w:val="18"/>
                <w:szCs w:val="18"/>
              </w:rPr>
            </w:pPr>
            <w:r w:rsidRPr="00CD657D">
              <w:rPr>
                <w:rFonts w:asciiTheme="majorHAnsi" w:hAnsiTheme="majorHAnsi" w:cstheme="majorHAnsi"/>
                <w:sz w:val="18"/>
                <w:szCs w:val="18"/>
              </w:rPr>
              <w:t>Nesouhlasí se smíšenou zástavbou před pozemky č. 473 a 274/20 v k. ú. Lány.</w:t>
            </w:r>
          </w:p>
        </w:tc>
        <w:tc>
          <w:tcPr>
            <w:tcW w:w="3137" w:type="dxa"/>
          </w:tcPr>
          <w:p w14:paraId="1673B079" w14:textId="77777777" w:rsidR="00CD657D" w:rsidRPr="00CD657D" w:rsidRDefault="00CD657D" w:rsidP="00AD5AED">
            <w:pPr>
              <w:spacing w:after="0"/>
              <w:rPr>
                <w:rFonts w:asciiTheme="majorHAnsi" w:hAnsiTheme="majorHAnsi" w:cstheme="majorHAnsi"/>
                <w:sz w:val="18"/>
                <w:szCs w:val="18"/>
              </w:rPr>
            </w:pPr>
            <w:r w:rsidRPr="00CD657D">
              <w:rPr>
                <w:rFonts w:asciiTheme="majorHAnsi" w:hAnsiTheme="majorHAnsi" w:cstheme="majorHAnsi"/>
                <w:sz w:val="18"/>
                <w:szCs w:val="18"/>
              </w:rPr>
              <w:t>Zamítnuto, viz námitka č. XV.</w:t>
            </w:r>
          </w:p>
        </w:tc>
      </w:tr>
      <w:tr w:rsidR="00CD657D" w:rsidRPr="00CD657D" w14:paraId="671F03D0" w14:textId="77777777" w:rsidTr="00AD5AED">
        <w:trPr>
          <w:trHeight w:val="135"/>
        </w:trPr>
        <w:tc>
          <w:tcPr>
            <w:tcW w:w="6103" w:type="dxa"/>
          </w:tcPr>
          <w:p w14:paraId="6554A6BB" w14:textId="77777777" w:rsidR="00CD657D" w:rsidRPr="00CD657D" w:rsidRDefault="00CD657D" w:rsidP="00AD5AED">
            <w:pPr>
              <w:spacing w:after="0"/>
              <w:rPr>
                <w:rFonts w:asciiTheme="majorHAnsi" w:hAnsiTheme="majorHAnsi" w:cstheme="majorHAnsi"/>
                <w:b/>
                <w:bCs/>
                <w:sz w:val="18"/>
                <w:szCs w:val="18"/>
              </w:rPr>
            </w:pPr>
            <w:r w:rsidRPr="00CD657D">
              <w:rPr>
                <w:rFonts w:asciiTheme="majorHAnsi" w:hAnsiTheme="majorHAnsi" w:cstheme="majorHAnsi"/>
                <w:b/>
                <w:bCs/>
                <w:sz w:val="18"/>
                <w:szCs w:val="18"/>
              </w:rPr>
              <w:t>Obec Ostrá</w:t>
            </w:r>
          </w:p>
          <w:p w14:paraId="7B8D4E70" w14:textId="77777777" w:rsidR="00CD657D" w:rsidRPr="00CD657D" w:rsidRDefault="00CD657D" w:rsidP="00AD5AED">
            <w:pPr>
              <w:rPr>
                <w:rFonts w:asciiTheme="majorHAnsi" w:hAnsiTheme="majorHAnsi" w:cstheme="majorHAnsi"/>
                <w:sz w:val="18"/>
                <w:szCs w:val="18"/>
              </w:rPr>
            </w:pPr>
            <w:r w:rsidRPr="00CD657D">
              <w:rPr>
                <w:rFonts w:asciiTheme="majorHAnsi" w:hAnsiTheme="majorHAnsi" w:cstheme="majorHAnsi"/>
                <w:sz w:val="18"/>
                <w:szCs w:val="18"/>
              </w:rPr>
              <w:t>Připomínka shodná s námitkou č. XI. K návrhu ÚP pro veřejné projednání.</w:t>
            </w:r>
          </w:p>
        </w:tc>
        <w:tc>
          <w:tcPr>
            <w:tcW w:w="3137" w:type="dxa"/>
          </w:tcPr>
          <w:p w14:paraId="77071E36" w14:textId="77777777" w:rsidR="00CD657D" w:rsidRPr="00CD657D" w:rsidRDefault="00CD657D" w:rsidP="00AD5AED">
            <w:pPr>
              <w:spacing w:after="0"/>
              <w:rPr>
                <w:rFonts w:asciiTheme="majorHAnsi" w:hAnsiTheme="majorHAnsi" w:cstheme="majorHAnsi"/>
                <w:sz w:val="18"/>
                <w:szCs w:val="18"/>
              </w:rPr>
            </w:pPr>
            <w:r w:rsidRPr="00CD657D">
              <w:rPr>
                <w:rFonts w:asciiTheme="majorHAnsi" w:hAnsiTheme="majorHAnsi" w:cstheme="majorHAnsi"/>
                <w:sz w:val="18"/>
                <w:szCs w:val="18"/>
              </w:rPr>
              <w:t>Zamítnuto, odůvodnění viz námitka č. XI.</w:t>
            </w:r>
          </w:p>
        </w:tc>
      </w:tr>
    </w:tbl>
    <w:p w14:paraId="49D108F7" w14:textId="77777777" w:rsidR="00CD657D" w:rsidRDefault="00CD657D" w:rsidP="00CD657D">
      <w:pPr>
        <w:rPr>
          <w:rFonts w:asciiTheme="majorHAnsi" w:hAnsiTheme="majorHAnsi" w:cstheme="majorHAnsi"/>
          <w:color w:val="4472C4" w:themeColor="accent5"/>
          <w:sz w:val="18"/>
          <w:szCs w:val="18"/>
        </w:rPr>
      </w:pPr>
    </w:p>
    <w:p w14:paraId="3308EBAD" w14:textId="77777777" w:rsidR="00CD657D" w:rsidRPr="00BC4A0C" w:rsidRDefault="00CD657D" w:rsidP="00BC4A0C">
      <w:pPr>
        <w:spacing w:after="120" w:line="240" w:lineRule="auto"/>
        <w:ind w:firstLine="709"/>
        <w:jc w:val="both"/>
        <w:rPr>
          <w:rFonts w:asciiTheme="majorHAnsi" w:hAnsiTheme="majorHAnsi" w:cstheme="majorHAnsi"/>
          <w:sz w:val="18"/>
          <w:szCs w:val="20"/>
        </w:rPr>
      </w:pPr>
      <w:r w:rsidRPr="00BC4A0C">
        <w:rPr>
          <w:rFonts w:asciiTheme="majorHAnsi" w:hAnsiTheme="majorHAnsi" w:cstheme="majorHAnsi"/>
          <w:sz w:val="18"/>
          <w:szCs w:val="20"/>
        </w:rPr>
        <w:t>ÚPRAVA ÚP NA ZÁKLADĚ POŽADAVKŮ ZASTUPITELSTVA OBCE</w:t>
      </w:r>
    </w:p>
    <w:tbl>
      <w:tblPr>
        <w:tblStyle w:val="Mkatabulky"/>
        <w:tblW w:w="9214" w:type="dxa"/>
        <w:tblInd w:w="-5" w:type="dxa"/>
        <w:tblLook w:val="04A0" w:firstRow="1" w:lastRow="0" w:firstColumn="1" w:lastColumn="0" w:noHBand="0" w:noVBand="1"/>
      </w:tblPr>
      <w:tblGrid>
        <w:gridCol w:w="3686"/>
        <w:gridCol w:w="5528"/>
      </w:tblGrid>
      <w:tr w:rsidR="00CD657D" w:rsidRPr="00CD657D" w14:paraId="2F2201A4" w14:textId="77777777" w:rsidTr="00BC4A0C">
        <w:tc>
          <w:tcPr>
            <w:tcW w:w="3686" w:type="dxa"/>
          </w:tcPr>
          <w:p w14:paraId="784616FF" w14:textId="77777777" w:rsidR="00CD657D" w:rsidRPr="00CD657D" w:rsidRDefault="00CD657D" w:rsidP="00CD657D">
            <w:pPr>
              <w:pStyle w:val="Odstavecseseznamem"/>
              <w:numPr>
                <w:ilvl w:val="0"/>
                <w:numId w:val="50"/>
              </w:numPr>
              <w:rPr>
                <w:rFonts w:asciiTheme="majorHAnsi" w:hAnsiTheme="majorHAnsi" w:cstheme="majorHAnsi"/>
                <w:sz w:val="18"/>
                <w:szCs w:val="18"/>
              </w:rPr>
            </w:pPr>
            <w:bookmarkStart w:id="492" w:name="_Hlk175903617"/>
            <w:r w:rsidRPr="00CD657D">
              <w:rPr>
                <w:rFonts w:asciiTheme="majorHAnsi" w:hAnsiTheme="majorHAnsi" w:cstheme="majorHAnsi"/>
                <w:sz w:val="18"/>
                <w:szCs w:val="18"/>
              </w:rPr>
              <w:t>Zařazení Hronětického náhonu mezi veřejně prospěšné stavby</w:t>
            </w:r>
          </w:p>
        </w:tc>
        <w:tc>
          <w:tcPr>
            <w:tcW w:w="5528" w:type="dxa"/>
          </w:tcPr>
          <w:p w14:paraId="33ED3BF5" w14:textId="77777777" w:rsidR="00CD657D" w:rsidRPr="00CD657D" w:rsidRDefault="00CD657D" w:rsidP="00AD5AED">
            <w:pPr>
              <w:rPr>
                <w:rFonts w:asciiTheme="majorHAnsi" w:hAnsiTheme="majorHAnsi" w:cstheme="majorHAnsi"/>
                <w:sz w:val="18"/>
                <w:szCs w:val="18"/>
              </w:rPr>
            </w:pPr>
            <w:r w:rsidRPr="00CD657D">
              <w:rPr>
                <w:rFonts w:asciiTheme="majorHAnsi" w:hAnsiTheme="majorHAnsi" w:cstheme="majorHAnsi"/>
                <w:sz w:val="18"/>
                <w:szCs w:val="18"/>
              </w:rPr>
              <w:t>Hronětický náhon je stanoven jako součást územního systému ekologické stability – lokální biokoridor LBK.2. Bude vymezen jako VPO pro zajištění funkčnosti skladebné části ÚSES.</w:t>
            </w:r>
          </w:p>
        </w:tc>
      </w:tr>
      <w:bookmarkEnd w:id="492"/>
      <w:tr w:rsidR="00CD657D" w:rsidRPr="00CD657D" w14:paraId="0B2702E4" w14:textId="77777777" w:rsidTr="00BC4A0C">
        <w:tc>
          <w:tcPr>
            <w:tcW w:w="3686" w:type="dxa"/>
          </w:tcPr>
          <w:p w14:paraId="46A5D009" w14:textId="77777777" w:rsidR="00CD657D" w:rsidRPr="00CD657D" w:rsidRDefault="00CD657D" w:rsidP="00CD657D">
            <w:pPr>
              <w:pStyle w:val="Odstavecseseznamem"/>
              <w:numPr>
                <w:ilvl w:val="0"/>
                <w:numId w:val="50"/>
              </w:numPr>
              <w:rPr>
                <w:rFonts w:asciiTheme="majorHAnsi" w:hAnsiTheme="majorHAnsi" w:cstheme="majorHAnsi"/>
                <w:sz w:val="18"/>
                <w:szCs w:val="18"/>
              </w:rPr>
            </w:pPr>
            <w:r w:rsidRPr="00CD657D">
              <w:rPr>
                <w:rFonts w:asciiTheme="majorHAnsi" w:hAnsiTheme="majorHAnsi" w:cstheme="majorHAnsi"/>
                <w:sz w:val="18"/>
                <w:szCs w:val="18"/>
              </w:rPr>
              <w:t xml:space="preserve">Vyloučení možnosti umístění FVE v extravilánu obce. </w:t>
            </w:r>
          </w:p>
        </w:tc>
        <w:tc>
          <w:tcPr>
            <w:tcW w:w="5528" w:type="dxa"/>
          </w:tcPr>
          <w:p w14:paraId="622AD2D7" w14:textId="77777777" w:rsidR="00CD657D" w:rsidRPr="00CD657D" w:rsidRDefault="00CD657D" w:rsidP="00AD5AED">
            <w:pPr>
              <w:spacing w:line="259" w:lineRule="auto"/>
              <w:rPr>
                <w:rFonts w:asciiTheme="majorHAnsi" w:hAnsiTheme="majorHAnsi" w:cstheme="majorHAnsi"/>
                <w:sz w:val="18"/>
                <w:szCs w:val="18"/>
              </w:rPr>
            </w:pPr>
            <w:bookmarkStart w:id="493" w:name="_Hlk175903639"/>
            <w:r w:rsidRPr="00CD657D">
              <w:rPr>
                <w:rFonts w:asciiTheme="majorHAnsi" w:hAnsiTheme="majorHAnsi" w:cstheme="majorHAnsi"/>
                <w:sz w:val="18"/>
                <w:szCs w:val="18"/>
              </w:rPr>
              <w:t xml:space="preserve">V kapitole 6. stanovení podmínek pro využití ploch s rozdílným způsobem využití, bude u ploch </w:t>
            </w:r>
          </w:p>
          <w:p w14:paraId="1FE77FB0" w14:textId="77777777" w:rsidR="00CD657D" w:rsidRPr="00CD657D" w:rsidRDefault="00CD657D" w:rsidP="00AD5AED">
            <w:pPr>
              <w:spacing w:line="259" w:lineRule="auto"/>
              <w:rPr>
                <w:rFonts w:asciiTheme="majorHAnsi" w:hAnsiTheme="majorHAnsi" w:cstheme="majorHAnsi"/>
                <w:b/>
                <w:bCs/>
                <w:sz w:val="18"/>
                <w:szCs w:val="18"/>
              </w:rPr>
            </w:pPr>
            <w:r w:rsidRPr="00CD657D">
              <w:rPr>
                <w:rFonts w:asciiTheme="majorHAnsi" w:hAnsiTheme="majorHAnsi" w:cstheme="majorHAnsi"/>
                <w:b/>
                <w:bCs/>
                <w:sz w:val="18"/>
                <w:szCs w:val="18"/>
              </w:rPr>
              <w:t>(79) zemědělské všeobecné (AU)</w:t>
            </w:r>
          </w:p>
          <w:p w14:paraId="0F1A46E7" w14:textId="77777777" w:rsidR="00CD657D" w:rsidRPr="00CD657D" w:rsidRDefault="00CD657D" w:rsidP="00AD5AED">
            <w:pPr>
              <w:spacing w:line="259" w:lineRule="auto"/>
              <w:rPr>
                <w:rFonts w:asciiTheme="majorHAnsi" w:hAnsiTheme="majorHAnsi" w:cstheme="majorHAnsi"/>
                <w:b/>
                <w:bCs/>
                <w:sz w:val="18"/>
                <w:szCs w:val="18"/>
              </w:rPr>
            </w:pPr>
            <w:r w:rsidRPr="00CD657D">
              <w:rPr>
                <w:rFonts w:asciiTheme="majorHAnsi" w:hAnsiTheme="majorHAnsi" w:cstheme="majorHAnsi"/>
                <w:b/>
                <w:bCs/>
                <w:sz w:val="18"/>
                <w:szCs w:val="18"/>
              </w:rPr>
              <w:t xml:space="preserve"> (82) smíšené nezastavěného území, (MU.zp) </w:t>
            </w:r>
          </w:p>
          <w:p w14:paraId="7E1EB5B9" w14:textId="77777777" w:rsidR="00CD657D" w:rsidRPr="00CD657D" w:rsidRDefault="00CD657D" w:rsidP="00AD5AED">
            <w:pPr>
              <w:spacing w:line="259" w:lineRule="auto"/>
              <w:rPr>
                <w:rFonts w:asciiTheme="majorHAnsi" w:hAnsiTheme="majorHAnsi" w:cstheme="majorHAnsi"/>
                <w:sz w:val="18"/>
                <w:szCs w:val="18"/>
              </w:rPr>
            </w:pPr>
            <w:r w:rsidRPr="00CD657D">
              <w:rPr>
                <w:rFonts w:asciiTheme="majorHAnsi" w:hAnsiTheme="majorHAnsi" w:cstheme="majorHAnsi"/>
                <w:sz w:val="18"/>
                <w:szCs w:val="18"/>
              </w:rPr>
              <w:t>doplněn regulativ takto:</w:t>
            </w:r>
          </w:p>
          <w:p w14:paraId="7B2E880B" w14:textId="77777777" w:rsidR="00CD657D" w:rsidRPr="00CD657D" w:rsidRDefault="00CD657D" w:rsidP="00AD5AED">
            <w:pPr>
              <w:rPr>
                <w:rFonts w:asciiTheme="majorHAnsi" w:hAnsiTheme="majorHAnsi" w:cstheme="majorHAnsi"/>
                <w:sz w:val="18"/>
                <w:szCs w:val="18"/>
              </w:rPr>
            </w:pPr>
          </w:p>
          <w:p w14:paraId="4326085B" w14:textId="77777777" w:rsidR="00CD657D" w:rsidRPr="00CD657D" w:rsidRDefault="00CD657D" w:rsidP="00AD5AED">
            <w:pPr>
              <w:spacing w:after="160" w:line="259" w:lineRule="auto"/>
              <w:rPr>
                <w:rFonts w:asciiTheme="majorHAnsi" w:hAnsiTheme="majorHAnsi" w:cstheme="majorHAnsi"/>
                <w:b/>
                <w:bCs/>
                <w:sz w:val="18"/>
                <w:szCs w:val="18"/>
              </w:rPr>
            </w:pPr>
            <w:r w:rsidRPr="00CD657D">
              <w:rPr>
                <w:rFonts w:asciiTheme="majorHAnsi" w:hAnsiTheme="majorHAnsi" w:cstheme="majorHAnsi"/>
                <w:b/>
                <w:bCs/>
                <w:sz w:val="18"/>
                <w:szCs w:val="18"/>
              </w:rPr>
              <w:t>D. nepřípustné využití</w:t>
            </w:r>
          </w:p>
          <w:p w14:paraId="251B565D" w14:textId="77777777" w:rsidR="00CD657D" w:rsidRPr="00CD657D" w:rsidRDefault="00CD657D" w:rsidP="00AD5AED">
            <w:pPr>
              <w:rPr>
                <w:rFonts w:asciiTheme="majorHAnsi" w:hAnsiTheme="majorHAnsi" w:cstheme="majorHAnsi"/>
                <w:b/>
                <w:bCs/>
                <w:sz w:val="18"/>
                <w:szCs w:val="18"/>
              </w:rPr>
            </w:pPr>
            <w:r w:rsidRPr="00CD657D">
              <w:rPr>
                <w:rFonts w:asciiTheme="majorHAnsi" w:hAnsiTheme="majorHAnsi" w:cstheme="majorHAnsi"/>
                <w:sz w:val="18"/>
                <w:szCs w:val="18"/>
              </w:rPr>
              <w:t>Stavby a zařízení pro výrobu energie z obnovitelných zdrojů využívající energii slunečního záření s celkovým instalovaným elektrickým výkonem výrobny elektřiny nad 50 kW.</w:t>
            </w:r>
          </w:p>
          <w:bookmarkEnd w:id="493"/>
          <w:p w14:paraId="24CCF651" w14:textId="77777777" w:rsidR="00CD657D" w:rsidRPr="00CD657D" w:rsidRDefault="00CD657D" w:rsidP="00AD5AED">
            <w:pPr>
              <w:rPr>
                <w:rFonts w:asciiTheme="majorHAnsi" w:hAnsiTheme="majorHAnsi" w:cstheme="majorHAnsi"/>
                <w:sz w:val="18"/>
                <w:szCs w:val="18"/>
                <w:u w:val="single"/>
              </w:rPr>
            </w:pPr>
            <w:r w:rsidRPr="00CD657D">
              <w:rPr>
                <w:rFonts w:asciiTheme="majorHAnsi" w:hAnsiTheme="majorHAnsi" w:cstheme="majorHAnsi"/>
                <w:sz w:val="18"/>
                <w:szCs w:val="18"/>
                <w:u w:val="single"/>
              </w:rPr>
              <w:t>Odůvodnění:</w:t>
            </w:r>
          </w:p>
          <w:p w14:paraId="68471CC1" w14:textId="50EB1EAF" w:rsidR="00CD657D" w:rsidRPr="00CD657D" w:rsidRDefault="00CD657D" w:rsidP="00AD5AED">
            <w:pPr>
              <w:rPr>
                <w:rFonts w:asciiTheme="majorHAnsi" w:hAnsiTheme="majorHAnsi" w:cstheme="majorHAnsi"/>
                <w:sz w:val="18"/>
                <w:szCs w:val="18"/>
              </w:rPr>
            </w:pPr>
            <w:r w:rsidRPr="00CD657D">
              <w:rPr>
                <w:rFonts w:asciiTheme="majorHAnsi" w:hAnsiTheme="majorHAnsi" w:cstheme="majorHAnsi"/>
                <w:sz w:val="18"/>
                <w:szCs w:val="18"/>
              </w:rPr>
              <w:t xml:space="preserve">Na plochách pro zemědělství se omezuje velikost takové výrobny instalovaným výkonem z důvodu zamezení vzniku velkých FVE parků, které by narušily krajinný ráz a ovlivnily hlavní způsob využití, kterým je zemědělská výroba a pozemky ZPF. Splnění požadavků § 19 odst. 1 písm. j)  zákona č. 183/2006 Sb., , tj. požadavek na vymezování ploch pro výrobny z obnovitelných zdrojů, je zajištěno tak, že umístění těchto staveb umožňují všechny ostatní plochy, </w:t>
            </w:r>
          </w:p>
        </w:tc>
      </w:tr>
    </w:tbl>
    <w:p w14:paraId="2FE37210" w14:textId="316A61EE" w:rsidR="00CD657D" w:rsidRPr="00CD657D" w:rsidRDefault="00CD657D" w:rsidP="00CD657D">
      <w:pPr>
        <w:rPr>
          <w:rFonts w:asciiTheme="majorHAnsi" w:hAnsiTheme="majorHAnsi" w:cstheme="majorHAnsi"/>
          <w:sz w:val="18"/>
          <w:szCs w:val="18"/>
        </w:rPr>
        <w:sectPr w:rsidR="00CD657D" w:rsidRPr="00CD657D" w:rsidSect="0065127D">
          <w:headerReference w:type="default" r:id="rId65"/>
          <w:footerReference w:type="default" r:id="rId66"/>
          <w:pgSz w:w="11906" w:h="16838"/>
          <w:pgMar w:top="1418" w:right="1418" w:bottom="1418" w:left="1418" w:header="709" w:footer="709" w:gutter="0"/>
          <w:pgNumType w:start="3"/>
          <w:cols w:space="708"/>
          <w:docGrid w:linePitch="360"/>
        </w:sectPr>
      </w:pPr>
    </w:p>
    <w:p w14:paraId="439BA215" w14:textId="77777777" w:rsidR="003716AF" w:rsidRPr="006070EA" w:rsidRDefault="003716AF" w:rsidP="00487210">
      <w:pPr>
        <w:pStyle w:val="Odstavecseseznamem"/>
        <w:keepNext/>
        <w:numPr>
          <w:ilvl w:val="0"/>
          <w:numId w:val="1"/>
        </w:numPr>
        <w:pBdr>
          <w:top w:val="single" w:sz="8" w:space="1" w:color="auto"/>
          <w:left w:val="single" w:sz="8" w:space="4" w:color="auto"/>
          <w:bottom w:val="single" w:sz="8" w:space="1" w:color="auto"/>
          <w:right w:val="single" w:sz="8" w:space="4" w:color="auto"/>
        </w:pBdr>
        <w:shd w:val="clear" w:color="auto" w:fill="F2F2F2" w:themeFill="background1" w:themeFillShade="F2"/>
        <w:spacing w:before="200" w:after="200" w:line="240" w:lineRule="auto"/>
        <w:ind w:left="709" w:hanging="709"/>
        <w:contextualSpacing w:val="0"/>
        <w:jc w:val="both"/>
        <w:outlineLvl w:val="0"/>
        <w:rPr>
          <w:rFonts w:asciiTheme="majorHAnsi" w:hAnsiTheme="majorHAnsi" w:cstheme="majorHAnsi"/>
          <w:b/>
          <w:sz w:val="24"/>
          <w:szCs w:val="28"/>
        </w:rPr>
      </w:pPr>
      <w:bookmarkStart w:id="494" w:name="_Toc424119890"/>
      <w:bookmarkStart w:id="495" w:name="_Toc204678248"/>
      <w:r w:rsidRPr="006070EA">
        <w:rPr>
          <w:rFonts w:asciiTheme="majorHAnsi" w:hAnsiTheme="majorHAnsi" w:cstheme="majorHAnsi"/>
          <w:b/>
          <w:sz w:val="24"/>
          <w:szCs w:val="28"/>
        </w:rPr>
        <w:lastRenderedPageBreak/>
        <w:t xml:space="preserve">OBSAH TEXTOVÉ ČÁSTI </w:t>
      </w:r>
      <w:r w:rsidR="00CA1F2C" w:rsidRPr="006070EA">
        <w:rPr>
          <w:rFonts w:asciiTheme="majorHAnsi" w:hAnsiTheme="majorHAnsi" w:cstheme="majorHAnsi"/>
          <w:b/>
          <w:sz w:val="24"/>
          <w:szCs w:val="28"/>
        </w:rPr>
        <w:t xml:space="preserve">ODŮVODNĚNÍ </w:t>
      </w:r>
      <w:r w:rsidRPr="006070EA">
        <w:rPr>
          <w:rFonts w:asciiTheme="majorHAnsi" w:hAnsiTheme="majorHAnsi" w:cstheme="majorHAnsi"/>
          <w:b/>
          <w:sz w:val="24"/>
          <w:szCs w:val="28"/>
        </w:rPr>
        <w:t>ÚZEMNÍHO PLÁNU</w:t>
      </w:r>
      <w:bookmarkEnd w:id="494"/>
      <w:bookmarkEnd w:id="495"/>
      <w:r w:rsidR="008C192E" w:rsidRPr="006070EA">
        <w:rPr>
          <w:rFonts w:asciiTheme="majorHAnsi" w:hAnsiTheme="majorHAnsi" w:cstheme="majorHAnsi"/>
          <w:b/>
          <w:sz w:val="24"/>
          <w:szCs w:val="28"/>
        </w:rPr>
        <w:t xml:space="preserve"> </w:t>
      </w:r>
    </w:p>
    <w:bookmarkStart w:id="496" w:name="_Toc424119891"/>
    <w:p w14:paraId="39CC0831" w14:textId="7265602C" w:rsidR="005922F8" w:rsidRPr="005922F8" w:rsidRDefault="00F309F7">
      <w:pPr>
        <w:pStyle w:val="Obsah1"/>
        <w:rPr>
          <w:rFonts w:asciiTheme="minorHAnsi" w:eastAsiaTheme="minorEastAsia" w:hAnsiTheme="minorHAnsi" w:cstheme="minorBidi"/>
          <w:caps w:val="0"/>
          <w:kern w:val="2"/>
          <w:sz w:val="24"/>
          <w:szCs w:val="24"/>
          <w:lang w:eastAsia="cs-CZ"/>
          <w14:ligatures w14:val="standardContextual"/>
        </w:rPr>
      </w:pPr>
      <w:r w:rsidRPr="005922F8">
        <w:rPr>
          <w:szCs w:val="28"/>
        </w:rPr>
        <w:fldChar w:fldCharType="begin"/>
      </w:r>
      <w:r w:rsidR="008C192E" w:rsidRPr="005922F8">
        <w:rPr>
          <w:szCs w:val="28"/>
        </w:rPr>
        <w:instrText xml:space="preserve"> TOC \o "1-4" \h \z \u </w:instrText>
      </w:r>
      <w:r w:rsidRPr="005922F8">
        <w:rPr>
          <w:szCs w:val="28"/>
        </w:rPr>
        <w:fldChar w:fldCharType="separate"/>
      </w:r>
      <w:hyperlink w:anchor="_Toc204678161" w:history="1">
        <w:r w:rsidR="005922F8" w:rsidRPr="005922F8">
          <w:rPr>
            <w:rStyle w:val="Hypertextovodkaz"/>
          </w:rPr>
          <w:t>1</w:t>
        </w:r>
        <w:r w:rsidR="005922F8" w:rsidRPr="005922F8">
          <w:rPr>
            <w:rFonts w:asciiTheme="minorHAnsi" w:eastAsiaTheme="minorEastAsia" w:hAnsiTheme="minorHAnsi" w:cstheme="minorBidi"/>
            <w:caps w:val="0"/>
            <w:kern w:val="2"/>
            <w:sz w:val="24"/>
            <w:szCs w:val="24"/>
            <w:lang w:eastAsia="cs-CZ"/>
            <w14:ligatures w14:val="standardContextual"/>
          </w:rPr>
          <w:tab/>
        </w:r>
        <w:r w:rsidR="005922F8" w:rsidRPr="005922F8">
          <w:rPr>
            <w:rStyle w:val="Hypertextovodkaz"/>
          </w:rPr>
          <w:t>POSTUP PŘI POŘÍZENÍ ÚZEMNÍHO PLÁNU</w:t>
        </w:r>
        <w:r w:rsidR="005922F8" w:rsidRPr="005922F8">
          <w:rPr>
            <w:webHidden/>
          </w:rPr>
          <w:tab/>
        </w:r>
        <w:r w:rsidR="005922F8" w:rsidRPr="005922F8">
          <w:rPr>
            <w:webHidden/>
          </w:rPr>
          <w:fldChar w:fldCharType="begin"/>
        </w:r>
        <w:r w:rsidR="005922F8" w:rsidRPr="005922F8">
          <w:rPr>
            <w:webHidden/>
          </w:rPr>
          <w:instrText xml:space="preserve"> PAGEREF _Toc204678161 \h </w:instrText>
        </w:r>
        <w:r w:rsidR="005922F8" w:rsidRPr="005922F8">
          <w:rPr>
            <w:webHidden/>
          </w:rPr>
        </w:r>
        <w:r w:rsidR="005922F8" w:rsidRPr="005922F8">
          <w:rPr>
            <w:webHidden/>
          </w:rPr>
          <w:fldChar w:fldCharType="separate"/>
        </w:r>
        <w:r w:rsidR="00BC4A0C">
          <w:rPr>
            <w:webHidden/>
          </w:rPr>
          <w:t>3</w:t>
        </w:r>
        <w:r w:rsidR="005922F8" w:rsidRPr="005922F8">
          <w:rPr>
            <w:webHidden/>
          </w:rPr>
          <w:fldChar w:fldCharType="end"/>
        </w:r>
      </w:hyperlink>
    </w:p>
    <w:p w14:paraId="6362FFDD" w14:textId="7C9B0689" w:rsidR="005922F8" w:rsidRPr="005922F8" w:rsidRDefault="005922F8">
      <w:pPr>
        <w:pStyle w:val="Obsah1"/>
        <w:rPr>
          <w:rFonts w:asciiTheme="minorHAnsi" w:eastAsiaTheme="minorEastAsia" w:hAnsiTheme="minorHAnsi" w:cstheme="minorBidi"/>
          <w:caps w:val="0"/>
          <w:kern w:val="2"/>
          <w:sz w:val="24"/>
          <w:szCs w:val="24"/>
          <w:lang w:eastAsia="cs-CZ"/>
          <w14:ligatures w14:val="standardContextual"/>
        </w:rPr>
      </w:pPr>
      <w:hyperlink w:anchor="_Toc204678162" w:history="1">
        <w:r w:rsidRPr="005922F8">
          <w:rPr>
            <w:rStyle w:val="Hypertextovodkaz"/>
          </w:rPr>
          <w:t>2</w:t>
        </w:r>
        <w:r w:rsidRPr="005922F8">
          <w:rPr>
            <w:rFonts w:asciiTheme="minorHAnsi" w:eastAsiaTheme="minorEastAsia" w:hAnsiTheme="minorHAnsi" w:cstheme="minorBidi"/>
            <w:caps w:val="0"/>
            <w:kern w:val="2"/>
            <w:sz w:val="24"/>
            <w:szCs w:val="24"/>
            <w:lang w:eastAsia="cs-CZ"/>
            <w14:ligatures w14:val="standardContextual"/>
          </w:rPr>
          <w:tab/>
        </w:r>
        <w:r w:rsidRPr="005922F8">
          <w:rPr>
            <w:rStyle w:val="Hypertextovodkaz"/>
          </w:rPr>
          <w:t>VYHODNOCENÍ KOORDINACE VYUŽÍVÁNÍ ÚZEMÍ Z HLEDISKA ŠIRŠÍCH VZTAHŮ V ÚZEMÍ</w:t>
        </w:r>
        <w:r w:rsidRPr="005922F8">
          <w:rPr>
            <w:webHidden/>
          </w:rPr>
          <w:tab/>
        </w:r>
        <w:r w:rsidRPr="005922F8">
          <w:rPr>
            <w:webHidden/>
          </w:rPr>
          <w:fldChar w:fldCharType="begin"/>
        </w:r>
        <w:r w:rsidRPr="005922F8">
          <w:rPr>
            <w:webHidden/>
          </w:rPr>
          <w:instrText xml:space="preserve"> PAGEREF _Toc204678162 \h </w:instrText>
        </w:r>
        <w:r w:rsidRPr="005922F8">
          <w:rPr>
            <w:webHidden/>
          </w:rPr>
        </w:r>
        <w:r w:rsidRPr="005922F8">
          <w:rPr>
            <w:webHidden/>
          </w:rPr>
          <w:fldChar w:fldCharType="separate"/>
        </w:r>
        <w:r w:rsidR="00BC4A0C">
          <w:rPr>
            <w:webHidden/>
          </w:rPr>
          <w:t>4</w:t>
        </w:r>
        <w:r w:rsidRPr="005922F8">
          <w:rPr>
            <w:webHidden/>
          </w:rPr>
          <w:fldChar w:fldCharType="end"/>
        </w:r>
      </w:hyperlink>
    </w:p>
    <w:p w14:paraId="67FEA6BC" w14:textId="76CB9E6B" w:rsidR="005922F8" w:rsidRPr="005922F8" w:rsidRDefault="005922F8">
      <w:pPr>
        <w:pStyle w:val="Obsah2"/>
        <w:rPr>
          <w:rFonts w:asciiTheme="minorHAnsi" w:eastAsiaTheme="minorEastAsia" w:hAnsiTheme="minorHAnsi" w:cstheme="minorBidi"/>
          <w:b w:val="0"/>
          <w:kern w:val="2"/>
          <w:sz w:val="24"/>
          <w:szCs w:val="24"/>
          <w:lang w:eastAsia="cs-CZ"/>
          <w14:ligatures w14:val="standardContextual"/>
        </w:rPr>
      </w:pPr>
      <w:hyperlink w:anchor="_Toc204678163" w:history="1">
        <w:r w:rsidRPr="005922F8">
          <w:rPr>
            <w:rStyle w:val="Hypertextovodkaz"/>
            <w:b w:val="0"/>
          </w:rPr>
          <w:t>2.1</w:t>
        </w:r>
        <w:r w:rsidRPr="005922F8">
          <w:rPr>
            <w:rFonts w:asciiTheme="minorHAnsi" w:eastAsiaTheme="minorEastAsia" w:hAnsiTheme="minorHAnsi" w:cstheme="minorBidi"/>
            <w:b w:val="0"/>
            <w:kern w:val="2"/>
            <w:sz w:val="24"/>
            <w:szCs w:val="24"/>
            <w:lang w:eastAsia="cs-CZ"/>
            <w14:ligatures w14:val="standardContextual"/>
          </w:rPr>
          <w:tab/>
        </w:r>
        <w:r w:rsidRPr="005922F8">
          <w:rPr>
            <w:rStyle w:val="Hypertextovodkaz"/>
            <w:b w:val="0"/>
          </w:rPr>
          <w:t>Základní údaje o obci Kostomlaty nad Labem</w:t>
        </w:r>
        <w:r w:rsidRPr="005922F8">
          <w:rPr>
            <w:b w:val="0"/>
            <w:webHidden/>
          </w:rPr>
          <w:tab/>
        </w:r>
        <w:r w:rsidRPr="005922F8">
          <w:rPr>
            <w:b w:val="0"/>
            <w:webHidden/>
          </w:rPr>
          <w:fldChar w:fldCharType="begin"/>
        </w:r>
        <w:r w:rsidRPr="005922F8">
          <w:rPr>
            <w:b w:val="0"/>
            <w:webHidden/>
          </w:rPr>
          <w:instrText xml:space="preserve"> PAGEREF _Toc204678163 \h </w:instrText>
        </w:r>
        <w:r w:rsidRPr="005922F8">
          <w:rPr>
            <w:b w:val="0"/>
            <w:webHidden/>
          </w:rPr>
        </w:r>
        <w:r w:rsidRPr="005922F8">
          <w:rPr>
            <w:b w:val="0"/>
            <w:webHidden/>
          </w:rPr>
          <w:fldChar w:fldCharType="separate"/>
        </w:r>
        <w:r w:rsidR="00BC4A0C">
          <w:rPr>
            <w:b w:val="0"/>
            <w:webHidden/>
          </w:rPr>
          <w:t>4</w:t>
        </w:r>
        <w:r w:rsidRPr="005922F8">
          <w:rPr>
            <w:b w:val="0"/>
            <w:webHidden/>
          </w:rPr>
          <w:fldChar w:fldCharType="end"/>
        </w:r>
      </w:hyperlink>
    </w:p>
    <w:p w14:paraId="2F4F7841" w14:textId="24CCAFDC" w:rsidR="005922F8" w:rsidRPr="005922F8" w:rsidRDefault="005922F8">
      <w:pPr>
        <w:pStyle w:val="Obsah2"/>
        <w:rPr>
          <w:rFonts w:asciiTheme="minorHAnsi" w:eastAsiaTheme="minorEastAsia" w:hAnsiTheme="minorHAnsi" w:cstheme="minorBidi"/>
          <w:b w:val="0"/>
          <w:kern w:val="2"/>
          <w:sz w:val="24"/>
          <w:szCs w:val="24"/>
          <w:lang w:eastAsia="cs-CZ"/>
          <w14:ligatures w14:val="standardContextual"/>
        </w:rPr>
      </w:pPr>
      <w:hyperlink w:anchor="_Toc204678164" w:history="1">
        <w:r w:rsidRPr="005922F8">
          <w:rPr>
            <w:rStyle w:val="Hypertextovodkaz"/>
            <w:b w:val="0"/>
          </w:rPr>
          <w:t>2.2</w:t>
        </w:r>
        <w:r w:rsidRPr="005922F8">
          <w:rPr>
            <w:rFonts w:asciiTheme="minorHAnsi" w:eastAsiaTheme="minorEastAsia" w:hAnsiTheme="minorHAnsi" w:cstheme="minorBidi"/>
            <w:b w:val="0"/>
            <w:kern w:val="2"/>
            <w:sz w:val="24"/>
            <w:szCs w:val="24"/>
            <w:lang w:eastAsia="cs-CZ"/>
            <w14:ligatures w14:val="standardContextual"/>
          </w:rPr>
          <w:tab/>
        </w:r>
        <w:r w:rsidRPr="005922F8">
          <w:rPr>
            <w:rStyle w:val="Hypertextovodkaz"/>
            <w:b w:val="0"/>
          </w:rPr>
          <w:t>Postavení obce v systému osídlení a koordinace řešení ÚP s ÚPD sousedních obcí</w:t>
        </w:r>
        <w:r w:rsidRPr="005922F8">
          <w:rPr>
            <w:b w:val="0"/>
            <w:webHidden/>
          </w:rPr>
          <w:tab/>
        </w:r>
        <w:r w:rsidRPr="005922F8">
          <w:rPr>
            <w:b w:val="0"/>
            <w:webHidden/>
          </w:rPr>
          <w:fldChar w:fldCharType="begin"/>
        </w:r>
        <w:r w:rsidRPr="005922F8">
          <w:rPr>
            <w:b w:val="0"/>
            <w:webHidden/>
          </w:rPr>
          <w:instrText xml:space="preserve"> PAGEREF _Toc204678164 \h </w:instrText>
        </w:r>
        <w:r w:rsidRPr="005922F8">
          <w:rPr>
            <w:b w:val="0"/>
            <w:webHidden/>
          </w:rPr>
        </w:r>
        <w:r w:rsidRPr="005922F8">
          <w:rPr>
            <w:b w:val="0"/>
            <w:webHidden/>
          </w:rPr>
          <w:fldChar w:fldCharType="separate"/>
        </w:r>
        <w:r w:rsidR="00BC4A0C">
          <w:rPr>
            <w:b w:val="0"/>
            <w:webHidden/>
          </w:rPr>
          <w:t>4</w:t>
        </w:r>
        <w:r w:rsidRPr="005922F8">
          <w:rPr>
            <w:b w:val="0"/>
            <w:webHidden/>
          </w:rPr>
          <w:fldChar w:fldCharType="end"/>
        </w:r>
      </w:hyperlink>
    </w:p>
    <w:p w14:paraId="16C5160E" w14:textId="554A6AE4" w:rsidR="005922F8" w:rsidRPr="005922F8" w:rsidRDefault="005922F8">
      <w:pPr>
        <w:pStyle w:val="Obsah2"/>
        <w:rPr>
          <w:rFonts w:asciiTheme="minorHAnsi" w:eastAsiaTheme="minorEastAsia" w:hAnsiTheme="minorHAnsi" w:cstheme="minorBidi"/>
          <w:b w:val="0"/>
          <w:kern w:val="2"/>
          <w:sz w:val="24"/>
          <w:szCs w:val="24"/>
          <w:lang w:eastAsia="cs-CZ"/>
          <w14:ligatures w14:val="standardContextual"/>
        </w:rPr>
      </w:pPr>
      <w:hyperlink w:anchor="_Toc204678165" w:history="1">
        <w:r w:rsidRPr="005922F8">
          <w:rPr>
            <w:rStyle w:val="Hypertextovodkaz"/>
            <w:b w:val="0"/>
          </w:rPr>
          <w:t>2.3</w:t>
        </w:r>
        <w:r w:rsidRPr="005922F8">
          <w:rPr>
            <w:rFonts w:asciiTheme="minorHAnsi" w:eastAsiaTheme="minorEastAsia" w:hAnsiTheme="minorHAnsi" w:cstheme="minorBidi"/>
            <w:b w:val="0"/>
            <w:kern w:val="2"/>
            <w:sz w:val="24"/>
            <w:szCs w:val="24"/>
            <w:lang w:eastAsia="cs-CZ"/>
            <w14:ligatures w14:val="standardContextual"/>
          </w:rPr>
          <w:tab/>
        </w:r>
        <w:r w:rsidRPr="005922F8">
          <w:rPr>
            <w:rStyle w:val="Hypertextovodkaz"/>
            <w:b w:val="0"/>
          </w:rPr>
          <w:t>Širší dopravní vztahy, širší vztahy technické infrastruktury</w:t>
        </w:r>
        <w:r w:rsidRPr="005922F8">
          <w:rPr>
            <w:b w:val="0"/>
            <w:webHidden/>
          </w:rPr>
          <w:tab/>
        </w:r>
        <w:r w:rsidRPr="005922F8">
          <w:rPr>
            <w:b w:val="0"/>
            <w:webHidden/>
          </w:rPr>
          <w:fldChar w:fldCharType="begin"/>
        </w:r>
        <w:r w:rsidRPr="005922F8">
          <w:rPr>
            <w:b w:val="0"/>
            <w:webHidden/>
          </w:rPr>
          <w:instrText xml:space="preserve"> PAGEREF _Toc204678165 \h </w:instrText>
        </w:r>
        <w:r w:rsidRPr="005922F8">
          <w:rPr>
            <w:b w:val="0"/>
            <w:webHidden/>
          </w:rPr>
        </w:r>
        <w:r w:rsidRPr="005922F8">
          <w:rPr>
            <w:b w:val="0"/>
            <w:webHidden/>
          </w:rPr>
          <w:fldChar w:fldCharType="separate"/>
        </w:r>
        <w:r w:rsidR="00BC4A0C">
          <w:rPr>
            <w:b w:val="0"/>
            <w:webHidden/>
          </w:rPr>
          <w:t>6</w:t>
        </w:r>
        <w:r w:rsidRPr="005922F8">
          <w:rPr>
            <w:b w:val="0"/>
            <w:webHidden/>
          </w:rPr>
          <w:fldChar w:fldCharType="end"/>
        </w:r>
      </w:hyperlink>
    </w:p>
    <w:p w14:paraId="21EBD2A8" w14:textId="732A1714" w:rsidR="005922F8" w:rsidRPr="005922F8" w:rsidRDefault="005922F8">
      <w:pPr>
        <w:pStyle w:val="Obsah2"/>
        <w:rPr>
          <w:rFonts w:asciiTheme="minorHAnsi" w:eastAsiaTheme="minorEastAsia" w:hAnsiTheme="minorHAnsi" w:cstheme="minorBidi"/>
          <w:b w:val="0"/>
          <w:kern w:val="2"/>
          <w:sz w:val="24"/>
          <w:szCs w:val="24"/>
          <w:lang w:eastAsia="cs-CZ"/>
          <w14:ligatures w14:val="standardContextual"/>
        </w:rPr>
      </w:pPr>
      <w:hyperlink w:anchor="_Toc204678166" w:history="1">
        <w:r w:rsidRPr="005922F8">
          <w:rPr>
            <w:rStyle w:val="Hypertextovodkaz"/>
            <w:b w:val="0"/>
          </w:rPr>
          <w:t>2.4</w:t>
        </w:r>
        <w:r w:rsidRPr="005922F8">
          <w:rPr>
            <w:rFonts w:asciiTheme="minorHAnsi" w:eastAsiaTheme="minorEastAsia" w:hAnsiTheme="minorHAnsi" w:cstheme="minorBidi"/>
            <w:b w:val="0"/>
            <w:kern w:val="2"/>
            <w:sz w:val="24"/>
            <w:szCs w:val="24"/>
            <w:lang w:eastAsia="cs-CZ"/>
            <w14:ligatures w14:val="standardContextual"/>
          </w:rPr>
          <w:tab/>
        </w:r>
        <w:r w:rsidRPr="005922F8">
          <w:rPr>
            <w:rStyle w:val="Hypertextovodkaz"/>
            <w:b w:val="0"/>
          </w:rPr>
          <w:t>Širší vztahy ÚSES a další přírodní systémy</w:t>
        </w:r>
        <w:r w:rsidRPr="005922F8">
          <w:rPr>
            <w:b w:val="0"/>
            <w:webHidden/>
          </w:rPr>
          <w:tab/>
        </w:r>
        <w:r w:rsidRPr="005922F8">
          <w:rPr>
            <w:b w:val="0"/>
            <w:webHidden/>
          </w:rPr>
          <w:fldChar w:fldCharType="begin"/>
        </w:r>
        <w:r w:rsidRPr="005922F8">
          <w:rPr>
            <w:b w:val="0"/>
            <w:webHidden/>
          </w:rPr>
          <w:instrText xml:space="preserve"> PAGEREF _Toc204678166 \h </w:instrText>
        </w:r>
        <w:r w:rsidRPr="005922F8">
          <w:rPr>
            <w:b w:val="0"/>
            <w:webHidden/>
          </w:rPr>
        </w:r>
        <w:r w:rsidRPr="005922F8">
          <w:rPr>
            <w:b w:val="0"/>
            <w:webHidden/>
          </w:rPr>
          <w:fldChar w:fldCharType="separate"/>
        </w:r>
        <w:r w:rsidR="00BC4A0C">
          <w:rPr>
            <w:b w:val="0"/>
            <w:webHidden/>
          </w:rPr>
          <w:t>6</w:t>
        </w:r>
        <w:r w:rsidRPr="005922F8">
          <w:rPr>
            <w:b w:val="0"/>
            <w:webHidden/>
          </w:rPr>
          <w:fldChar w:fldCharType="end"/>
        </w:r>
      </w:hyperlink>
    </w:p>
    <w:p w14:paraId="6EFD3A04" w14:textId="5FE35108" w:rsidR="005922F8" w:rsidRPr="005922F8" w:rsidRDefault="005922F8">
      <w:pPr>
        <w:pStyle w:val="Obsah1"/>
        <w:rPr>
          <w:rFonts w:asciiTheme="minorHAnsi" w:eastAsiaTheme="minorEastAsia" w:hAnsiTheme="minorHAnsi" w:cstheme="minorBidi"/>
          <w:caps w:val="0"/>
          <w:kern w:val="2"/>
          <w:sz w:val="24"/>
          <w:szCs w:val="24"/>
          <w:lang w:eastAsia="cs-CZ"/>
          <w14:ligatures w14:val="standardContextual"/>
        </w:rPr>
      </w:pPr>
      <w:hyperlink w:anchor="_Toc204678167" w:history="1">
        <w:r w:rsidRPr="005922F8">
          <w:rPr>
            <w:rStyle w:val="Hypertextovodkaz"/>
          </w:rPr>
          <w:t>3</w:t>
        </w:r>
        <w:r w:rsidRPr="005922F8">
          <w:rPr>
            <w:rFonts w:asciiTheme="minorHAnsi" w:eastAsiaTheme="minorEastAsia" w:hAnsiTheme="minorHAnsi" w:cstheme="minorBidi"/>
            <w:caps w:val="0"/>
            <w:kern w:val="2"/>
            <w:sz w:val="24"/>
            <w:szCs w:val="24"/>
            <w:lang w:eastAsia="cs-CZ"/>
            <w14:ligatures w14:val="standardContextual"/>
          </w:rPr>
          <w:tab/>
        </w:r>
        <w:r w:rsidRPr="005922F8">
          <w:rPr>
            <w:rStyle w:val="Hypertextovodkaz"/>
          </w:rPr>
          <w:t>VYHODNOCENÍ SOULADU ÚZEMNÍHO PLÁNU S POLITIKOU ÚZEMNÍHO ROZVOJE A ÚZEMNĚ PLÁNOVACÍ DOKUMENTACÍ VYDANOU KRAJEM</w:t>
        </w:r>
        <w:r w:rsidRPr="005922F8">
          <w:rPr>
            <w:webHidden/>
          </w:rPr>
          <w:tab/>
        </w:r>
        <w:r w:rsidRPr="005922F8">
          <w:rPr>
            <w:webHidden/>
          </w:rPr>
          <w:fldChar w:fldCharType="begin"/>
        </w:r>
        <w:r w:rsidRPr="005922F8">
          <w:rPr>
            <w:webHidden/>
          </w:rPr>
          <w:instrText xml:space="preserve"> PAGEREF _Toc204678167 \h </w:instrText>
        </w:r>
        <w:r w:rsidRPr="005922F8">
          <w:rPr>
            <w:webHidden/>
          </w:rPr>
        </w:r>
        <w:r w:rsidRPr="005922F8">
          <w:rPr>
            <w:webHidden/>
          </w:rPr>
          <w:fldChar w:fldCharType="separate"/>
        </w:r>
        <w:r w:rsidR="00BC4A0C">
          <w:rPr>
            <w:webHidden/>
          </w:rPr>
          <w:t>7</w:t>
        </w:r>
        <w:r w:rsidRPr="005922F8">
          <w:rPr>
            <w:webHidden/>
          </w:rPr>
          <w:fldChar w:fldCharType="end"/>
        </w:r>
      </w:hyperlink>
    </w:p>
    <w:p w14:paraId="03A79422" w14:textId="46798D1B" w:rsidR="005922F8" w:rsidRPr="005922F8" w:rsidRDefault="005922F8">
      <w:pPr>
        <w:pStyle w:val="Obsah2"/>
        <w:rPr>
          <w:rFonts w:asciiTheme="minorHAnsi" w:eastAsiaTheme="minorEastAsia" w:hAnsiTheme="minorHAnsi" w:cstheme="minorBidi"/>
          <w:b w:val="0"/>
          <w:kern w:val="2"/>
          <w:sz w:val="24"/>
          <w:szCs w:val="24"/>
          <w:lang w:eastAsia="cs-CZ"/>
          <w14:ligatures w14:val="standardContextual"/>
        </w:rPr>
      </w:pPr>
      <w:hyperlink w:anchor="_Toc204678168" w:history="1">
        <w:r w:rsidRPr="005922F8">
          <w:rPr>
            <w:rStyle w:val="Hypertextovodkaz"/>
            <w:b w:val="0"/>
          </w:rPr>
          <w:t>3.1</w:t>
        </w:r>
        <w:r w:rsidRPr="005922F8">
          <w:rPr>
            <w:rFonts w:asciiTheme="minorHAnsi" w:eastAsiaTheme="minorEastAsia" w:hAnsiTheme="minorHAnsi" w:cstheme="minorBidi"/>
            <w:b w:val="0"/>
            <w:kern w:val="2"/>
            <w:sz w:val="24"/>
            <w:szCs w:val="24"/>
            <w:lang w:eastAsia="cs-CZ"/>
            <w14:ligatures w14:val="standardContextual"/>
          </w:rPr>
          <w:tab/>
        </w:r>
        <w:r w:rsidRPr="005922F8">
          <w:rPr>
            <w:rStyle w:val="Hypertextovodkaz"/>
            <w:b w:val="0"/>
          </w:rPr>
          <w:t>Vyhodnocení souladu územního plánu s Politikou územního rozvoje</w:t>
        </w:r>
        <w:r w:rsidRPr="005922F8">
          <w:rPr>
            <w:b w:val="0"/>
            <w:webHidden/>
          </w:rPr>
          <w:tab/>
        </w:r>
        <w:r w:rsidRPr="005922F8">
          <w:rPr>
            <w:b w:val="0"/>
            <w:webHidden/>
          </w:rPr>
          <w:fldChar w:fldCharType="begin"/>
        </w:r>
        <w:r w:rsidRPr="005922F8">
          <w:rPr>
            <w:b w:val="0"/>
            <w:webHidden/>
          </w:rPr>
          <w:instrText xml:space="preserve"> PAGEREF _Toc204678168 \h </w:instrText>
        </w:r>
        <w:r w:rsidRPr="005922F8">
          <w:rPr>
            <w:b w:val="0"/>
            <w:webHidden/>
          </w:rPr>
        </w:r>
        <w:r w:rsidRPr="005922F8">
          <w:rPr>
            <w:b w:val="0"/>
            <w:webHidden/>
          </w:rPr>
          <w:fldChar w:fldCharType="separate"/>
        </w:r>
        <w:r w:rsidR="00BC4A0C">
          <w:rPr>
            <w:b w:val="0"/>
            <w:webHidden/>
          </w:rPr>
          <w:t>7</w:t>
        </w:r>
        <w:r w:rsidRPr="005922F8">
          <w:rPr>
            <w:b w:val="0"/>
            <w:webHidden/>
          </w:rPr>
          <w:fldChar w:fldCharType="end"/>
        </w:r>
      </w:hyperlink>
    </w:p>
    <w:p w14:paraId="4EEA8663" w14:textId="3AF93D8B" w:rsidR="005922F8" w:rsidRPr="005922F8" w:rsidRDefault="005922F8">
      <w:pPr>
        <w:pStyle w:val="Obsah2"/>
        <w:rPr>
          <w:rFonts w:asciiTheme="minorHAnsi" w:eastAsiaTheme="minorEastAsia" w:hAnsiTheme="minorHAnsi" w:cstheme="minorBidi"/>
          <w:b w:val="0"/>
          <w:kern w:val="2"/>
          <w:sz w:val="24"/>
          <w:szCs w:val="24"/>
          <w:lang w:eastAsia="cs-CZ"/>
          <w14:ligatures w14:val="standardContextual"/>
        </w:rPr>
      </w:pPr>
      <w:hyperlink w:anchor="_Toc204678169" w:history="1">
        <w:r w:rsidRPr="005922F8">
          <w:rPr>
            <w:rStyle w:val="Hypertextovodkaz"/>
            <w:b w:val="0"/>
          </w:rPr>
          <w:t>3.2</w:t>
        </w:r>
        <w:r w:rsidRPr="005922F8">
          <w:rPr>
            <w:rFonts w:asciiTheme="minorHAnsi" w:eastAsiaTheme="minorEastAsia" w:hAnsiTheme="minorHAnsi" w:cstheme="minorBidi"/>
            <w:b w:val="0"/>
            <w:kern w:val="2"/>
            <w:sz w:val="24"/>
            <w:szCs w:val="24"/>
            <w:lang w:eastAsia="cs-CZ"/>
            <w14:ligatures w14:val="standardContextual"/>
          </w:rPr>
          <w:tab/>
        </w:r>
        <w:r w:rsidRPr="005922F8">
          <w:rPr>
            <w:rStyle w:val="Hypertextovodkaz"/>
            <w:b w:val="0"/>
          </w:rPr>
          <w:t>Vyhodnocení souladu územního plánu s územně plánovací dokumentací vydanou krajem</w:t>
        </w:r>
        <w:r w:rsidRPr="005922F8">
          <w:rPr>
            <w:b w:val="0"/>
            <w:webHidden/>
          </w:rPr>
          <w:tab/>
        </w:r>
        <w:r w:rsidRPr="005922F8">
          <w:rPr>
            <w:b w:val="0"/>
            <w:webHidden/>
          </w:rPr>
          <w:fldChar w:fldCharType="begin"/>
        </w:r>
        <w:r w:rsidRPr="005922F8">
          <w:rPr>
            <w:b w:val="0"/>
            <w:webHidden/>
          </w:rPr>
          <w:instrText xml:space="preserve"> PAGEREF _Toc204678169 \h </w:instrText>
        </w:r>
        <w:r w:rsidRPr="005922F8">
          <w:rPr>
            <w:b w:val="0"/>
            <w:webHidden/>
          </w:rPr>
        </w:r>
        <w:r w:rsidRPr="005922F8">
          <w:rPr>
            <w:b w:val="0"/>
            <w:webHidden/>
          </w:rPr>
          <w:fldChar w:fldCharType="separate"/>
        </w:r>
        <w:r w:rsidR="00BC4A0C">
          <w:rPr>
            <w:b w:val="0"/>
            <w:webHidden/>
          </w:rPr>
          <w:t>12</w:t>
        </w:r>
        <w:r w:rsidRPr="005922F8">
          <w:rPr>
            <w:b w:val="0"/>
            <w:webHidden/>
          </w:rPr>
          <w:fldChar w:fldCharType="end"/>
        </w:r>
      </w:hyperlink>
    </w:p>
    <w:p w14:paraId="163259FC" w14:textId="0A6699CB" w:rsidR="005922F8" w:rsidRPr="005922F8" w:rsidRDefault="005922F8">
      <w:pPr>
        <w:pStyle w:val="Obsah1"/>
        <w:rPr>
          <w:rFonts w:asciiTheme="minorHAnsi" w:eastAsiaTheme="minorEastAsia" w:hAnsiTheme="minorHAnsi" w:cstheme="minorBidi"/>
          <w:caps w:val="0"/>
          <w:kern w:val="2"/>
          <w:sz w:val="24"/>
          <w:szCs w:val="24"/>
          <w:lang w:eastAsia="cs-CZ"/>
          <w14:ligatures w14:val="standardContextual"/>
        </w:rPr>
      </w:pPr>
      <w:hyperlink w:anchor="_Toc204678170" w:history="1">
        <w:r w:rsidRPr="005922F8">
          <w:rPr>
            <w:rStyle w:val="Hypertextovodkaz"/>
          </w:rPr>
          <w:t>4</w:t>
        </w:r>
        <w:r w:rsidRPr="005922F8">
          <w:rPr>
            <w:rFonts w:asciiTheme="minorHAnsi" w:eastAsiaTheme="minorEastAsia" w:hAnsiTheme="minorHAnsi" w:cstheme="minorBidi"/>
            <w:caps w:val="0"/>
            <w:kern w:val="2"/>
            <w:sz w:val="24"/>
            <w:szCs w:val="24"/>
            <w:lang w:eastAsia="cs-CZ"/>
            <w14:ligatures w14:val="standardContextual"/>
          </w:rPr>
          <w:tab/>
        </w:r>
        <w:r w:rsidRPr="005922F8">
          <w:rPr>
            <w:rStyle w:val="Hypertextovodkaz"/>
          </w:rPr>
          <w:t>VÝČET ZÁLEŽITOSTÍ NADMÍSTNÍHO VÝZNAMU, KTERÉ NEJSOU ŘEŠENY V ZÁSADÁCH ÚZEMNÍHO ROZVOJE (§ 43 ODST. 1 STAVEBNÍHO ZÁKONA), S ODŮVODNĚNÍM POTŘEBY JEJICH VYMEZENÍ</w:t>
        </w:r>
        <w:r w:rsidRPr="005922F8">
          <w:rPr>
            <w:webHidden/>
          </w:rPr>
          <w:tab/>
        </w:r>
        <w:r w:rsidRPr="005922F8">
          <w:rPr>
            <w:webHidden/>
          </w:rPr>
          <w:fldChar w:fldCharType="begin"/>
        </w:r>
        <w:r w:rsidRPr="005922F8">
          <w:rPr>
            <w:webHidden/>
          </w:rPr>
          <w:instrText xml:space="preserve"> PAGEREF _Toc204678170 \h </w:instrText>
        </w:r>
        <w:r w:rsidRPr="005922F8">
          <w:rPr>
            <w:webHidden/>
          </w:rPr>
        </w:r>
        <w:r w:rsidRPr="005922F8">
          <w:rPr>
            <w:webHidden/>
          </w:rPr>
          <w:fldChar w:fldCharType="separate"/>
        </w:r>
        <w:r w:rsidR="00BC4A0C">
          <w:rPr>
            <w:webHidden/>
          </w:rPr>
          <w:t>19</w:t>
        </w:r>
        <w:r w:rsidRPr="005922F8">
          <w:rPr>
            <w:webHidden/>
          </w:rPr>
          <w:fldChar w:fldCharType="end"/>
        </w:r>
      </w:hyperlink>
    </w:p>
    <w:p w14:paraId="24B2E01B" w14:textId="1EC1C400" w:rsidR="005922F8" w:rsidRPr="005922F8" w:rsidRDefault="005922F8">
      <w:pPr>
        <w:pStyle w:val="Obsah1"/>
        <w:rPr>
          <w:rFonts w:asciiTheme="minorHAnsi" w:eastAsiaTheme="minorEastAsia" w:hAnsiTheme="minorHAnsi" w:cstheme="minorBidi"/>
          <w:caps w:val="0"/>
          <w:kern w:val="2"/>
          <w:sz w:val="24"/>
          <w:szCs w:val="24"/>
          <w:lang w:eastAsia="cs-CZ"/>
          <w14:ligatures w14:val="standardContextual"/>
        </w:rPr>
      </w:pPr>
      <w:hyperlink w:anchor="_Toc204678171" w:history="1">
        <w:r w:rsidRPr="005922F8">
          <w:rPr>
            <w:rStyle w:val="Hypertextovodkaz"/>
          </w:rPr>
          <w:t>5</w:t>
        </w:r>
        <w:r w:rsidRPr="005922F8">
          <w:rPr>
            <w:rFonts w:asciiTheme="minorHAnsi" w:eastAsiaTheme="minorEastAsia" w:hAnsiTheme="minorHAnsi" w:cstheme="minorBidi"/>
            <w:caps w:val="0"/>
            <w:kern w:val="2"/>
            <w:sz w:val="24"/>
            <w:szCs w:val="24"/>
            <w:lang w:eastAsia="cs-CZ"/>
            <w14:ligatures w14:val="standardContextual"/>
          </w:rPr>
          <w:tab/>
        </w:r>
        <w:r w:rsidRPr="005922F8">
          <w:rPr>
            <w:rStyle w:val="Hypertextovodkaz"/>
          </w:rPr>
          <w:t>VYHODNOCENÍ SOULADU S CÍLI A ÚKOLY ÚZEMNÍHO PLÁNOVÁNÍ, ZEJMÉNA S POŽADAVKY NA OCHRANU ARCHITEKTONICKÝCH A URBANISTICKÝCH HODNOT V ÚZEMÍ A POŽADAVKY NA OCHRANU NEZASTAVĚNÉHO ÚZEMÍ</w:t>
        </w:r>
        <w:r w:rsidRPr="005922F8">
          <w:rPr>
            <w:webHidden/>
          </w:rPr>
          <w:tab/>
        </w:r>
        <w:r w:rsidRPr="005922F8">
          <w:rPr>
            <w:webHidden/>
          </w:rPr>
          <w:fldChar w:fldCharType="begin"/>
        </w:r>
        <w:r w:rsidRPr="005922F8">
          <w:rPr>
            <w:webHidden/>
          </w:rPr>
          <w:instrText xml:space="preserve"> PAGEREF _Toc204678171 \h </w:instrText>
        </w:r>
        <w:r w:rsidRPr="005922F8">
          <w:rPr>
            <w:webHidden/>
          </w:rPr>
        </w:r>
        <w:r w:rsidRPr="005922F8">
          <w:rPr>
            <w:webHidden/>
          </w:rPr>
          <w:fldChar w:fldCharType="separate"/>
        </w:r>
        <w:r w:rsidR="00BC4A0C">
          <w:rPr>
            <w:webHidden/>
          </w:rPr>
          <w:t>19</w:t>
        </w:r>
        <w:r w:rsidRPr="005922F8">
          <w:rPr>
            <w:webHidden/>
          </w:rPr>
          <w:fldChar w:fldCharType="end"/>
        </w:r>
      </w:hyperlink>
    </w:p>
    <w:p w14:paraId="7D4C3130" w14:textId="11BCA200" w:rsidR="005922F8" w:rsidRPr="005922F8" w:rsidRDefault="005922F8">
      <w:pPr>
        <w:pStyle w:val="Obsah2"/>
        <w:rPr>
          <w:rFonts w:asciiTheme="minorHAnsi" w:eastAsiaTheme="minorEastAsia" w:hAnsiTheme="minorHAnsi" w:cstheme="minorBidi"/>
          <w:b w:val="0"/>
          <w:kern w:val="2"/>
          <w:sz w:val="24"/>
          <w:szCs w:val="24"/>
          <w:lang w:eastAsia="cs-CZ"/>
          <w14:ligatures w14:val="standardContextual"/>
        </w:rPr>
      </w:pPr>
      <w:hyperlink w:anchor="_Toc204678172" w:history="1">
        <w:r w:rsidRPr="005922F8">
          <w:rPr>
            <w:rStyle w:val="Hypertextovodkaz"/>
            <w:b w:val="0"/>
          </w:rPr>
          <w:t>5.1</w:t>
        </w:r>
        <w:r w:rsidRPr="005922F8">
          <w:rPr>
            <w:rFonts w:asciiTheme="minorHAnsi" w:eastAsiaTheme="minorEastAsia" w:hAnsiTheme="minorHAnsi" w:cstheme="minorBidi"/>
            <w:b w:val="0"/>
            <w:kern w:val="2"/>
            <w:sz w:val="24"/>
            <w:szCs w:val="24"/>
            <w:lang w:eastAsia="cs-CZ"/>
            <w14:ligatures w14:val="standardContextual"/>
          </w:rPr>
          <w:tab/>
        </w:r>
        <w:r w:rsidRPr="005922F8">
          <w:rPr>
            <w:rStyle w:val="Hypertextovodkaz"/>
            <w:b w:val="0"/>
          </w:rPr>
          <w:t>Vyhodnocení souladu s cíli územního plánování</w:t>
        </w:r>
        <w:r w:rsidRPr="005922F8">
          <w:rPr>
            <w:b w:val="0"/>
            <w:webHidden/>
          </w:rPr>
          <w:tab/>
        </w:r>
        <w:r w:rsidRPr="005922F8">
          <w:rPr>
            <w:b w:val="0"/>
            <w:webHidden/>
          </w:rPr>
          <w:fldChar w:fldCharType="begin"/>
        </w:r>
        <w:r w:rsidRPr="005922F8">
          <w:rPr>
            <w:b w:val="0"/>
            <w:webHidden/>
          </w:rPr>
          <w:instrText xml:space="preserve"> PAGEREF _Toc204678172 \h </w:instrText>
        </w:r>
        <w:r w:rsidRPr="005922F8">
          <w:rPr>
            <w:b w:val="0"/>
            <w:webHidden/>
          </w:rPr>
        </w:r>
        <w:r w:rsidRPr="005922F8">
          <w:rPr>
            <w:b w:val="0"/>
            <w:webHidden/>
          </w:rPr>
          <w:fldChar w:fldCharType="separate"/>
        </w:r>
        <w:r w:rsidR="00BC4A0C">
          <w:rPr>
            <w:b w:val="0"/>
            <w:webHidden/>
          </w:rPr>
          <w:t>19</w:t>
        </w:r>
        <w:r w:rsidRPr="005922F8">
          <w:rPr>
            <w:b w:val="0"/>
            <w:webHidden/>
          </w:rPr>
          <w:fldChar w:fldCharType="end"/>
        </w:r>
      </w:hyperlink>
    </w:p>
    <w:p w14:paraId="6F080648" w14:textId="3834813C" w:rsidR="005922F8" w:rsidRPr="005922F8" w:rsidRDefault="005922F8">
      <w:pPr>
        <w:pStyle w:val="Obsah2"/>
        <w:rPr>
          <w:rFonts w:asciiTheme="minorHAnsi" w:eastAsiaTheme="minorEastAsia" w:hAnsiTheme="minorHAnsi" w:cstheme="minorBidi"/>
          <w:b w:val="0"/>
          <w:kern w:val="2"/>
          <w:sz w:val="24"/>
          <w:szCs w:val="24"/>
          <w:lang w:eastAsia="cs-CZ"/>
          <w14:ligatures w14:val="standardContextual"/>
        </w:rPr>
      </w:pPr>
      <w:hyperlink w:anchor="_Toc204678173" w:history="1">
        <w:r w:rsidRPr="005922F8">
          <w:rPr>
            <w:rStyle w:val="Hypertextovodkaz"/>
            <w:b w:val="0"/>
          </w:rPr>
          <w:t>5.2</w:t>
        </w:r>
        <w:r w:rsidRPr="005922F8">
          <w:rPr>
            <w:rFonts w:asciiTheme="minorHAnsi" w:eastAsiaTheme="minorEastAsia" w:hAnsiTheme="minorHAnsi" w:cstheme="minorBidi"/>
            <w:b w:val="0"/>
            <w:kern w:val="2"/>
            <w:sz w:val="24"/>
            <w:szCs w:val="24"/>
            <w:lang w:eastAsia="cs-CZ"/>
            <w14:ligatures w14:val="standardContextual"/>
          </w:rPr>
          <w:tab/>
        </w:r>
        <w:r w:rsidRPr="005922F8">
          <w:rPr>
            <w:rStyle w:val="Hypertextovodkaz"/>
            <w:b w:val="0"/>
          </w:rPr>
          <w:t>Vyhodnocení souladu s úkoly územního plánování</w:t>
        </w:r>
        <w:r w:rsidRPr="005922F8">
          <w:rPr>
            <w:b w:val="0"/>
            <w:webHidden/>
          </w:rPr>
          <w:tab/>
        </w:r>
        <w:r w:rsidRPr="005922F8">
          <w:rPr>
            <w:b w:val="0"/>
            <w:webHidden/>
          </w:rPr>
          <w:fldChar w:fldCharType="begin"/>
        </w:r>
        <w:r w:rsidRPr="005922F8">
          <w:rPr>
            <w:b w:val="0"/>
            <w:webHidden/>
          </w:rPr>
          <w:instrText xml:space="preserve"> PAGEREF _Toc204678173 \h </w:instrText>
        </w:r>
        <w:r w:rsidRPr="005922F8">
          <w:rPr>
            <w:b w:val="0"/>
            <w:webHidden/>
          </w:rPr>
        </w:r>
        <w:r w:rsidRPr="005922F8">
          <w:rPr>
            <w:b w:val="0"/>
            <w:webHidden/>
          </w:rPr>
          <w:fldChar w:fldCharType="separate"/>
        </w:r>
        <w:r w:rsidR="00BC4A0C">
          <w:rPr>
            <w:b w:val="0"/>
            <w:webHidden/>
          </w:rPr>
          <w:t>20</w:t>
        </w:r>
        <w:r w:rsidRPr="005922F8">
          <w:rPr>
            <w:b w:val="0"/>
            <w:webHidden/>
          </w:rPr>
          <w:fldChar w:fldCharType="end"/>
        </w:r>
      </w:hyperlink>
    </w:p>
    <w:p w14:paraId="21E5DE23" w14:textId="4A32397E" w:rsidR="005922F8" w:rsidRPr="005922F8" w:rsidRDefault="005922F8">
      <w:pPr>
        <w:pStyle w:val="Obsah1"/>
        <w:rPr>
          <w:rFonts w:asciiTheme="minorHAnsi" w:eastAsiaTheme="minorEastAsia" w:hAnsiTheme="minorHAnsi" w:cstheme="minorBidi"/>
          <w:caps w:val="0"/>
          <w:kern w:val="2"/>
          <w:sz w:val="24"/>
          <w:szCs w:val="24"/>
          <w:lang w:eastAsia="cs-CZ"/>
          <w14:ligatures w14:val="standardContextual"/>
        </w:rPr>
      </w:pPr>
      <w:hyperlink w:anchor="_Toc204678174" w:history="1">
        <w:r w:rsidRPr="005922F8">
          <w:rPr>
            <w:rStyle w:val="Hypertextovodkaz"/>
          </w:rPr>
          <w:t>6</w:t>
        </w:r>
        <w:r w:rsidRPr="005922F8">
          <w:rPr>
            <w:rFonts w:asciiTheme="minorHAnsi" w:eastAsiaTheme="minorEastAsia" w:hAnsiTheme="minorHAnsi" w:cstheme="minorBidi"/>
            <w:caps w:val="0"/>
            <w:kern w:val="2"/>
            <w:sz w:val="24"/>
            <w:szCs w:val="24"/>
            <w:lang w:eastAsia="cs-CZ"/>
            <w14:ligatures w14:val="standardContextual"/>
          </w:rPr>
          <w:tab/>
        </w:r>
        <w:r w:rsidRPr="005922F8">
          <w:rPr>
            <w:rStyle w:val="Hypertextovodkaz"/>
          </w:rPr>
          <w:t>VYHODNOCENÍ SOULADU S POŽADAVKY STAVEBNÍHO ZÁKONA A JEHO PROVÁDĚCÍCH PRÁVNÍCH PŘEDPISŮ</w:t>
        </w:r>
        <w:r w:rsidRPr="005922F8">
          <w:rPr>
            <w:webHidden/>
          </w:rPr>
          <w:tab/>
        </w:r>
        <w:r w:rsidRPr="005922F8">
          <w:rPr>
            <w:webHidden/>
          </w:rPr>
          <w:fldChar w:fldCharType="begin"/>
        </w:r>
        <w:r w:rsidRPr="005922F8">
          <w:rPr>
            <w:webHidden/>
          </w:rPr>
          <w:instrText xml:space="preserve"> PAGEREF _Toc204678174 \h </w:instrText>
        </w:r>
        <w:r w:rsidRPr="005922F8">
          <w:rPr>
            <w:webHidden/>
          </w:rPr>
        </w:r>
        <w:r w:rsidRPr="005922F8">
          <w:rPr>
            <w:webHidden/>
          </w:rPr>
          <w:fldChar w:fldCharType="separate"/>
        </w:r>
        <w:r w:rsidR="00BC4A0C">
          <w:rPr>
            <w:webHidden/>
          </w:rPr>
          <w:t>22</w:t>
        </w:r>
        <w:r w:rsidRPr="005922F8">
          <w:rPr>
            <w:webHidden/>
          </w:rPr>
          <w:fldChar w:fldCharType="end"/>
        </w:r>
      </w:hyperlink>
    </w:p>
    <w:p w14:paraId="0A87A070" w14:textId="51EBCA89" w:rsidR="005922F8" w:rsidRPr="005922F8" w:rsidRDefault="005922F8">
      <w:pPr>
        <w:pStyle w:val="Obsah1"/>
        <w:rPr>
          <w:rFonts w:asciiTheme="minorHAnsi" w:eastAsiaTheme="minorEastAsia" w:hAnsiTheme="minorHAnsi" w:cstheme="minorBidi"/>
          <w:caps w:val="0"/>
          <w:kern w:val="2"/>
          <w:sz w:val="24"/>
          <w:szCs w:val="24"/>
          <w:lang w:eastAsia="cs-CZ"/>
          <w14:ligatures w14:val="standardContextual"/>
        </w:rPr>
      </w:pPr>
      <w:hyperlink w:anchor="_Toc204678175" w:history="1">
        <w:r w:rsidRPr="005922F8">
          <w:rPr>
            <w:rStyle w:val="Hypertextovodkaz"/>
          </w:rPr>
          <w:t>7</w:t>
        </w:r>
        <w:r w:rsidRPr="005922F8">
          <w:rPr>
            <w:rFonts w:asciiTheme="minorHAnsi" w:eastAsiaTheme="minorEastAsia" w:hAnsiTheme="minorHAnsi" w:cstheme="minorBidi"/>
            <w:caps w:val="0"/>
            <w:kern w:val="2"/>
            <w:sz w:val="24"/>
            <w:szCs w:val="24"/>
            <w:lang w:eastAsia="cs-CZ"/>
            <w14:ligatures w14:val="standardContextual"/>
          </w:rPr>
          <w:tab/>
        </w:r>
        <w:r w:rsidRPr="005922F8">
          <w:rPr>
            <w:rStyle w:val="Hypertextovodkaz"/>
          </w:rPr>
          <w:t>VYHODNOCENÍ SOULADU S POŽADAVKY ZVLÁŠTNÍCH PRÁVNÍCH PŘEDPISŮ A SE STANOVISKY DOTČENÝCH ORGÁNŮ PODLE ZVLÁŠTNÍCH PRÁVNÍCH PŘEDPISŮ, POPŘÍPADĚ S VÝSLEDKEM ŘEŠENÍ ROZPORŮ</w:t>
        </w:r>
        <w:r w:rsidRPr="005922F8">
          <w:rPr>
            <w:webHidden/>
          </w:rPr>
          <w:tab/>
        </w:r>
        <w:r w:rsidRPr="005922F8">
          <w:rPr>
            <w:webHidden/>
          </w:rPr>
          <w:fldChar w:fldCharType="begin"/>
        </w:r>
        <w:r w:rsidRPr="005922F8">
          <w:rPr>
            <w:webHidden/>
          </w:rPr>
          <w:instrText xml:space="preserve"> PAGEREF _Toc204678175 \h </w:instrText>
        </w:r>
        <w:r w:rsidRPr="005922F8">
          <w:rPr>
            <w:webHidden/>
          </w:rPr>
        </w:r>
        <w:r w:rsidRPr="005922F8">
          <w:rPr>
            <w:webHidden/>
          </w:rPr>
          <w:fldChar w:fldCharType="separate"/>
        </w:r>
        <w:r w:rsidR="00BC4A0C">
          <w:rPr>
            <w:webHidden/>
          </w:rPr>
          <w:t>23</w:t>
        </w:r>
        <w:r w:rsidRPr="005922F8">
          <w:rPr>
            <w:webHidden/>
          </w:rPr>
          <w:fldChar w:fldCharType="end"/>
        </w:r>
      </w:hyperlink>
    </w:p>
    <w:p w14:paraId="10229340" w14:textId="6F36B027" w:rsidR="005922F8" w:rsidRPr="005922F8" w:rsidRDefault="005922F8">
      <w:pPr>
        <w:pStyle w:val="Obsah1"/>
        <w:rPr>
          <w:rFonts w:asciiTheme="minorHAnsi" w:eastAsiaTheme="minorEastAsia" w:hAnsiTheme="minorHAnsi" w:cstheme="minorBidi"/>
          <w:caps w:val="0"/>
          <w:kern w:val="2"/>
          <w:sz w:val="24"/>
          <w:szCs w:val="24"/>
          <w:lang w:eastAsia="cs-CZ"/>
          <w14:ligatures w14:val="standardContextual"/>
        </w:rPr>
      </w:pPr>
      <w:hyperlink w:anchor="_Toc204678176" w:history="1">
        <w:r w:rsidRPr="005922F8">
          <w:rPr>
            <w:rStyle w:val="Hypertextovodkaz"/>
          </w:rPr>
          <w:t>8</w:t>
        </w:r>
        <w:r w:rsidRPr="005922F8">
          <w:rPr>
            <w:rFonts w:asciiTheme="minorHAnsi" w:eastAsiaTheme="minorEastAsia" w:hAnsiTheme="minorHAnsi" w:cstheme="minorBidi"/>
            <w:caps w:val="0"/>
            <w:kern w:val="2"/>
            <w:sz w:val="24"/>
            <w:szCs w:val="24"/>
            <w:lang w:eastAsia="cs-CZ"/>
            <w14:ligatures w14:val="standardContextual"/>
          </w:rPr>
          <w:tab/>
        </w:r>
        <w:r w:rsidRPr="005922F8">
          <w:rPr>
            <w:rStyle w:val="Hypertextovodkaz"/>
          </w:rPr>
          <w:t>VÝSLEDEK PŘEZKOUMÁNÍ ÚZEMNÍHO PLÁNU PODLE § 53 ODST. 4 PÍSM A) AŽ D) STAVEBNÍHO ZÁKONA</w:t>
        </w:r>
        <w:r w:rsidRPr="005922F8">
          <w:rPr>
            <w:webHidden/>
          </w:rPr>
          <w:tab/>
        </w:r>
        <w:r w:rsidRPr="005922F8">
          <w:rPr>
            <w:webHidden/>
          </w:rPr>
          <w:fldChar w:fldCharType="begin"/>
        </w:r>
        <w:r w:rsidRPr="005922F8">
          <w:rPr>
            <w:webHidden/>
          </w:rPr>
          <w:instrText xml:space="preserve"> PAGEREF _Toc204678176 \h </w:instrText>
        </w:r>
        <w:r w:rsidRPr="005922F8">
          <w:rPr>
            <w:webHidden/>
          </w:rPr>
        </w:r>
        <w:r w:rsidRPr="005922F8">
          <w:rPr>
            <w:webHidden/>
          </w:rPr>
          <w:fldChar w:fldCharType="separate"/>
        </w:r>
        <w:r w:rsidR="00BC4A0C">
          <w:rPr>
            <w:webHidden/>
          </w:rPr>
          <w:t>23</w:t>
        </w:r>
        <w:r w:rsidRPr="005922F8">
          <w:rPr>
            <w:webHidden/>
          </w:rPr>
          <w:fldChar w:fldCharType="end"/>
        </w:r>
      </w:hyperlink>
    </w:p>
    <w:p w14:paraId="1977B852" w14:textId="76E255DE" w:rsidR="005922F8" w:rsidRPr="005922F8" w:rsidRDefault="005922F8">
      <w:pPr>
        <w:pStyle w:val="Obsah1"/>
        <w:rPr>
          <w:rFonts w:asciiTheme="minorHAnsi" w:eastAsiaTheme="minorEastAsia" w:hAnsiTheme="minorHAnsi" w:cstheme="minorBidi"/>
          <w:caps w:val="0"/>
          <w:kern w:val="2"/>
          <w:sz w:val="24"/>
          <w:szCs w:val="24"/>
          <w:lang w:eastAsia="cs-CZ"/>
          <w14:ligatures w14:val="standardContextual"/>
        </w:rPr>
      </w:pPr>
      <w:hyperlink w:anchor="_Toc204678177" w:history="1">
        <w:r w:rsidRPr="005922F8">
          <w:rPr>
            <w:rStyle w:val="Hypertextovodkaz"/>
          </w:rPr>
          <w:t>9</w:t>
        </w:r>
        <w:r w:rsidRPr="005922F8">
          <w:rPr>
            <w:rFonts w:asciiTheme="minorHAnsi" w:eastAsiaTheme="minorEastAsia" w:hAnsiTheme="minorHAnsi" w:cstheme="minorBidi"/>
            <w:caps w:val="0"/>
            <w:kern w:val="2"/>
            <w:sz w:val="24"/>
            <w:szCs w:val="24"/>
            <w:lang w:eastAsia="cs-CZ"/>
            <w14:ligatures w14:val="standardContextual"/>
          </w:rPr>
          <w:tab/>
        </w:r>
        <w:r w:rsidRPr="005922F8">
          <w:rPr>
            <w:rStyle w:val="Hypertextovodkaz"/>
          </w:rPr>
          <w:t>VYHODNOCENÍ SPLNĚNÍ POŽADAVKŮ ZADÁNÍ</w:t>
        </w:r>
        <w:r w:rsidRPr="005922F8">
          <w:rPr>
            <w:webHidden/>
          </w:rPr>
          <w:tab/>
        </w:r>
        <w:r w:rsidRPr="005922F8">
          <w:rPr>
            <w:webHidden/>
          </w:rPr>
          <w:fldChar w:fldCharType="begin"/>
        </w:r>
        <w:r w:rsidRPr="005922F8">
          <w:rPr>
            <w:webHidden/>
          </w:rPr>
          <w:instrText xml:space="preserve"> PAGEREF _Toc204678177 \h </w:instrText>
        </w:r>
        <w:r w:rsidRPr="005922F8">
          <w:rPr>
            <w:webHidden/>
          </w:rPr>
        </w:r>
        <w:r w:rsidRPr="005922F8">
          <w:rPr>
            <w:webHidden/>
          </w:rPr>
          <w:fldChar w:fldCharType="separate"/>
        </w:r>
        <w:r w:rsidR="00BC4A0C">
          <w:rPr>
            <w:webHidden/>
          </w:rPr>
          <w:t>24</w:t>
        </w:r>
        <w:r w:rsidRPr="005922F8">
          <w:rPr>
            <w:webHidden/>
          </w:rPr>
          <w:fldChar w:fldCharType="end"/>
        </w:r>
      </w:hyperlink>
    </w:p>
    <w:p w14:paraId="20E6F2DD" w14:textId="7FC9DD1D" w:rsidR="005922F8" w:rsidRPr="005922F8" w:rsidRDefault="005922F8">
      <w:pPr>
        <w:pStyle w:val="Obsah1"/>
        <w:rPr>
          <w:rFonts w:asciiTheme="minorHAnsi" w:eastAsiaTheme="minorEastAsia" w:hAnsiTheme="minorHAnsi" w:cstheme="minorBidi"/>
          <w:caps w:val="0"/>
          <w:kern w:val="2"/>
          <w:sz w:val="24"/>
          <w:szCs w:val="24"/>
          <w:lang w:eastAsia="cs-CZ"/>
          <w14:ligatures w14:val="standardContextual"/>
        </w:rPr>
      </w:pPr>
      <w:hyperlink w:anchor="_Toc204678178" w:history="1">
        <w:r w:rsidRPr="005922F8">
          <w:rPr>
            <w:rStyle w:val="Hypertextovodkaz"/>
          </w:rPr>
          <w:t>10</w:t>
        </w:r>
        <w:r w:rsidRPr="005922F8">
          <w:rPr>
            <w:rFonts w:asciiTheme="minorHAnsi" w:eastAsiaTheme="minorEastAsia" w:hAnsiTheme="minorHAnsi" w:cstheme="minorBidi"/>
            <w:caps w:val="0"/>
            <w:kern w:val="2"/>
            <w:sz w:val="24"/>
            <w:szCs w:val="24"/>
            <w:lang w:eastAsia="cs-CZ"/>
            <w14:ligatures w14:val="standardContextual"/>
          </w:rPr>
          <w:tab/>
        </w:r>
        <w:r w:rsidRPr="005922F8">
          <w:rPr>
            <w:rStyle w:val="Hypertextovodkaz"/>
          </w:rPr>
          <w:t>VYHODNOCENÍ ÚČELNÉHO VYUŽITÍ ZASTAVĚNÉHO ÚZEMÍ A VYHODNOCENÍ POTŘEBY VYMEZENÍ ZASTAVITELNÝCH PLOCH</w:t>
        </w:r>
        <w:r w:rsidRPr="005922F8">
          <w:rPr>
            <w:webHidden/>
          </w:rPr>
          <w:tab/>
        </w:r>
        <w:r w:rsidRPr="005922F8">
          <w:rPr>
            <w:webHidden/>
          </w:rPr>
          <w:fldChar w:fldCharType="begin"/>
        </w:r>
        <w:r w:rsidRPr="005922F8">
          <w:rPr>
            <w:webHidden/>
          </w:rPr>
          <w:instrText xml:space="preserve"> PAGEREF _Toc204678178 \h </w:instrText>
        </w:r>
        <w:r w:rsidRPr="005922F8">
          <w:rPr>
            <w:webHidden/>
          </w:rPr>
        </w:r>
        <w:r w:rsidRPr="005922F8">
          <w:rPr>
            <w:webHidden/>
          </w:rPr>
          <w:fldChar w:fldCharType="separate"/>
        </w:r>
        <w:r w:rsidR="00BC4A0C">
          <w:rPr>
            <w:webHidden/>
          </w:rPr>
          <w:t>33</w:t>
        </w:r>
        <w:r w:rsidRPr="005922F8">
          <w:rPr>
            <w:webHidden/>
          </w:rPr>
          <w:fldChar w:fldCharType="end"/>
        </w:r>
      </w:hyperlink>
    </w:p>
    <w:p w14:paraId="56FFD04A" w14:textId="24569D8C" w:rsidR="005922F8" w:rsidRPr="005922F8" w:rsidRDefault="005922F8">
      <w:pPr>
        <w:pStyle w:val="Obsah2"/>
        <w:rPr>
          <w:rFonts w:asciiTheme="minorHAnsi" w:eastAsiaTheme="minorEastAsia" w:hAnsiTheme="minorHAnsi" w:cstheme="minorBidi"/>
          <w:b w:val="0"/>
          <w:kern w:val="2"/>
          <w:sz w:val="24"/>
          <w:szCs w:val="24"/>
          <w:lang w:eastAsia="cs-CZ"/>
          <w14:ligatures w14:val="standardContextual"/>
        </w:rPr>
      </w:pPr>
      <w:hyperlink w:anchor="_Toc204678179" w:history="1">
        <w:r w:rsidRPr="005922F8">
          <w:rPr>
            <w:rStyle w:val="Hypertextovodkaz"/>
            <w:b w:val="0"/>
          </w:rPr>
          <w:t>10.1</w:t>
        </w:r>
        <w:r w:rsidRPr="005922F8">
          <w:rPr>
            <w:rFonts w:asciiTheme="minorHAnsi" w:eastAsiaTheme="minorEastAsia" w:hAnsiTheme="minorHAnsi" w:cstheme="minorBidi"/>
            <w:b w:val="0"/>
            <w:kern w:val="2"/>
            <w:sz w:val="24"/>
            <w:szCs w:val="24"/>
            <w:lang w:eastAsia="cs-CZ"/>
            <w14:ligatures w14:val="standardContextual"/>
          </w:rPr>
          <w:tab/>
        </w:r>
        <w:r w:rsidRPr="005922F8">
          <w:rPr>
            <w:rStyle w:val="Hypertextovodkaz"/>
            <w:b w:val="0"/>
          </w:rPr>
          <w:t>Vyhodnocení účelného využití zastavěného území</w:t>
        </w:r>
        <w:r w:rsidRPr="005922F8">
          <w:rPr>
            <w:b w:val="0"/>
            <w:webHidden/>
          </w:rPr>
          <w:tab/>
        </w:r>
        <w:r w:rsidRPr="005922F8">
          <w:rPr>
            <w:b w:val="0"/>
            <w:webHidden/>
          </w:rPr>
          <w:fldChar w:fldCharType="begin"/>
        </w:r>
        <w:r w:rsidRPr="005922F8">
          <w:rPr>
            <w:b w:val="0"/>
            <w:webHidden/>
          </w:rPr>
          <w:instrText xml:space="preserve"> PAGEREF _Toc204678179 \h </w:instrText>
        </w:r>
        <w:r w:rsidRPr="005922F8">
          <w:rPr>
            <w:b w:val="0"/>
            <w:webHidden/>
          </w:rPr>
        </w:r>
        <w:r w:rsidRPr="005922F8">
          <w:rPr>
            <w:b w:val="0"/>
            <w:webHidden/>
          </w:rPr>
          <w:fldChar w:fldCharType="separate"/>
        </w:r>
        <w:r w:rsidR="00BC4A0C">
          <w:rPr>
            <w:b w:val="0"/>
            <w:webHidden/>
          </w:rPr>
          <w:t>33</w:t>
        </w:r>
        <w:r w:rsidRPr="005922F8">
          <w:rPr>
            <w:b w:val="0"/>
            <w:webHidden/>
          </w:rPr>
          <w:fldChar w:fldCharType="end"/>
        </w:r>
      </w:hyperlink>
    </w:p>
    <w:p w14:paraId="2EE69614" w14:textId="17D2086E" w:rsidR="005922F8" w:rsidRPr="005922F8" w:rsidRDefault="005922F8">
      <w:pPr>
        <w:pStyle w:val="Obsah2"/>
        <w:rPr>
          <w:rFonts w:asciiTheme="minorHAnsi" w:eastAsiaTheme="minorEastAsia" w:hAnsiTheme="minorHAnsi" w:cstheme="minorBidi"/>
          <w:b w:val="0"/>
          <w:kern w:val="2"/>
          <w:sz w:val="24"/>
          <w:szCs w:val="24"/>
          <w:lang w:eastAsia="cs-CZ"/>
          <w14:ligatures w14:val="standardContextual"/>
        </w:rPr>
      </w:pPr>
      <w:hyperlink w:anchor="_Toc204678180" w:history="1">
        <w:r w:rsidRPr="005922F8">
          <w:rPr>
            <w:rStyle w:val="Hypertextovodkaz"/>
            <w:b w:val="0"/>
          </w:rPr>
          <w:t>10.2</w:t>
        </w:r>
        <w:r w:rsidRPr="005922F8">
          <w:rPr>
            <w:rFonts w:asciiTheme="minorHAnsi" w:eastAsiaTheme="minorEastAsia" w:hAnsiTheme="minorHAnsi" w:cstheme="minorBidi"/>
            <w:b w:val="0"/>
            <w:kern w:val="2"/>
            <w:sz w:val="24"/>
            <w:szCs w:val="24"/>
            <w:lang w:eastAsia="cs-CZ"/>
            <w14:ligatures w14:val="standardContextual"/>
          </w:rPr>
          <w:tab/>
        </w:r>
        <w:r w:rsidRPr="005922F8">
          <w:rPr>
            <w:rStyle w:val="Hypertextovodkaz"/>
            <w:b w:val="0"/>
          </w:rPr>
          <w:t>Sociodemografický vývoj území</w:t>
        </w:r>
        <w:r w:rsidRPr="005922F8">
          <w:rPr>
            <w:b w:val="0"/>
            <w:webHidden/>
          </w:rPr>
          <w:tab/>
        </w:r>
        <w:r w:rsidRPr="005922F8">
          <w:rPr>
            <w:b w:val="0"/>
            <w:webHidden/>
          </w:rPr>
          <w:fldChar w:fldCharType="begin"/>
        </w:r>
        <w:r w:rsidRPr="005922F8">
          <w:rPr>
            <w:b w:val="0"/>
            <w:webHidden/>
          </w:rPr>
          <w:instrText xml:space="preserve"> PAGEREF _Toc204678180 \h </w:instrText>
        </w:r>
        <w:r w:rsidRPr="005922F8">
          <w:rPr>
            <w:b w:val="0"/>
            <w:webHidden/>
          </w:rPr>
        </w:r>
        <w:r w:rsidRPr="005922F8">
          <w:rPr>
            <w:b w:val="0"/>
            <w:webHidden/>
          </w:rPr>
          <w:fldChar w:fldCharType="separate"/>
        </w:r>
        <w:r w:rsidR="00BC4A0C">
          <w:rPr>
            <w:b w:val="0"/>
            <w:webHidden/>
          </w:rPr>
          <w:t>36</w:t>
        </w:r>
        <w:r w:rsidRPr="005922F8">
          <w:rPr>
            <w:b w:val="0"/>
            <w:webHidden/>
          </w:rPr>
          <w:fldChar w:fldCharType="end"/>
        </w:r>
      </w:hyperlink>
    </w:p>
    <w:p w14:paraId="5F184605" w14:textId="7B90803B" w:rsidR="005922F8" w:rsidRPr="005922F8" w:rsidRDefault="005922F8">
      <w:pPr>
        <w:pStyle w:val="Obsah2"/>
        <w:rPr>
          <w:rFonts w:asciiTheme="minorHAnsi" w:eastAsiaTheme="minorEastAsia" w:hAnsiTheme="minorHAnsi" w:cstheme="minorBidi"/>
          <w:b w:val="0"/>
          <w:kern w:val="2"/>
          <w:sz w:val="24"/>
          <w:szCs w:val="24"/>
          <w:lang w:eastAsia="cs-CZ"/>
          <w14:ligatures w14:val="standardContextual"/>
        </w:rPr>
      </w:pPr>
      <w:hyperlink w:anchor="_Toc204678181" w:history="1">
        <w:r w:rsidRPr="005922F8">
          <w:rPr>
            <w:rStyle w:val="Hypertextovodkaz"/>
            <w:b w:val="0"/>
          </w:rPr>
          <w:t>10.3</w:t>
        </w:r>
        <w:r w:rsidRPr="005922F8">
          <w:rPr>
            <w:rFonts w:asciiTheme="minorHAnsi" w:eastAsiaTheme="minorEastAsia" w:hAnsiTheme="minorHAnsi" w:cstheme="minorBidi"/>
            <w:b w:val="0"/>
            <w:kern w:val="2"/>
            <w:sz w:val="24"/>
            <w:szCs w:val="24"/>
            <w:lang w:eastAsia="cs-CZ"/>
            <w14:ligatures w14:val="standardContextual"/>
          </w:rPr>
          <w:tab/>
        </w:r>
        <w:r w:rsidRPr="005922F8">
          <w:rPr>
            <w:rStyle w:val="Hypertextovodkaz"/>
            <w:b w:val="0"/>
          </w:rPr>
          <w:t>Vývoj domovního a bytového fondu</w:t>
        </w:r>
        <w:r w:rsidRPr="005922F8">
          <w:rPr>
            <w:b w:val="0"/>
            <w:webHidden/>
          </w:rPr>
          <w:tab/>
        </w:r>
        <w:r w:rsidRPr="005922F8">
          <w:rPr>
            <w:b w:val="0"/>
            <w:webHidden/>
          </w:rPr>
          <w:fldChar w:fldCharType="begin"/>
        </w:r>
        <w:r w:rsidRPr="005922F8">
          <w:rPr>
            <w:b w:val="0"/>
            <w:webHidden/>
          </w:rPr>
          <w:instrText xml:space="preserve"> PAGEREF _Toc204678181 \h </w:instrText>
        </w:r>
        <w:r w:rsidRPr="005922F8">
          <w:rPr>
            <w:b w:val="0"/>
            <w:webHidden/>
          </w:rPr>
        </w:r>
        <w:r w:rsidRPr="005922F8">
          <w:rPr>
            <w:b w:val="0"/>
            <w:webHidden/>
          </w:rPr>
          <w:fldChar w:fldCharType="separate"/>
        </w:r>
        <w:r w:rsidR="00BC4A0C">
          <w:rPr>
            <w:b w:val="0"/>
            <w:webHidden/>
          </w:rPr>
          <w:t>40</w:t>
        </w:r>
        <w:r w:rsidRPr="005922F8">
          <w:rPr>
            <w:b w:val="0"/>
            <w:webHidden/>
          </w:rPr>
          <w:fldChar w:fldCharType="end"/>
        </w:r>
      </w:hyperlink>
    </w:p>
    <w:p w14:paraId="414315F8" w14:textId="416D035C" w:rsidR="005922F8" w:rsidRPr="005922F8" w:rsidRDefault="005922F8">
      <w:pPr>
        <w:pStyle w:val="Obsah2"/>
        <w:rPr>
          <w:rFonts w:asciiTheme="minorHAnsi" w:eastAsiaTheme="minorEastAsia" w:hAnsiTheme="minorHAnsi" w:cstheme="minorBidi"/>
          <w:b w:val="0"/>
          <w:kern w:val="2"/>
          <w:sz w:val="24"/>
          <w:szCs w:val="24"/>
          <w:lang w:eastAsia="cs-CZ"/>
          <w14:ligatures w14:val="standardContextual"/>
        </w:rPr>
      </w:pPr>
      <w:hyperlink w:anchor="_Toc204678182" w:history="1">
        <w:r w:rsidRPr="005922F8">
          <w:rPr>
            <w:rStyle w:val="Hypertextovodkaz"/>
            <w:b w:val="0"/>
          </w:rPr>
          <w:t>10.4</w:t>
        </w:r>
        <w:r w:rsidRPr="005922F8">
          <w:rPr>
            <w:rFonts w:asciiTheme="minorHAnsi" w:eastAsiaTheme="minorEastAsia" w:hAnsiTheme="minorHAnsi" w:cstheme="minorBidi"/>
            <w:b w:val="0"/>
            <w:kern w:val="2"/>
            <w:sz w:val="24"/>
            <w:szCs w:val="24"/>
            <w:lang w:eastAsia="cs-CZ"/>
            <w14:ligatures w14:val="standardContextual"/>
          </w:rPr>
          <w:tab/>
        </w:r>
        <w:r w:rsidRPr="005922F8">
          <w:rPr>
            <w:rStyle w:val="Hypertextovodkaz"/>
            <w:b w:val="0"/>
          </w:rPr>
          <w:t>Vyhodnocení využití zastavitelných ploch vymezených ve schválené ÚPD obce Kostomlaty nad Labem</w:t>
        </w:r>
        <w:r w:rsidRPr="005922F8">
          <w:rPr>
            <w:b w:val="0"/>
            <w:webHidden/>
          </w:rPr>
          <w:tab/>
        </w:r>
        <w:r w:rsidRPr="005922F8">
          <w:rPr>
            <w:b w:val="0"/>
            <w:webHidden/>
          </w:rPr>
          <w:fldChar w:fldCharType="begin"/>
        </w:r>
        <w:r w:rsidRPr="005922F8">
          <w:rPr>
            <w:b w:val="0"/>
            <w:webHidden/>
          </w:rPr>
          <w:instrText xml:space="preserve"> PAGEREF _Toc204678182 \h </w:instrText>
        </w:r>
        <w:r w:rsidRPr="005922F8">
          <w:rPr>
            <w:b w:val="0"/>
            <w:webHidden/>
          </w:rPr>
        </w:r>
        <w:r w:rsidRPr="005922F8">
          <w:rPr>
            <w:b w:val="0"/>
            <w:webHidden/>
          </w:rPr>
          <w:fldChar w:fldCharType="separate"/>
        </w:r>
        <w:r w:rsidR="00BC4A0C">
          <w:rPr>
            <w:b w:val="0"/>
            <w:webHidden/>
          </w:rPr>
          <w:t>41</w:t>
        </w:r>
        <w:r w:rsidRPr="005922F8">
          <w:rPr>
            <w:b w:val="0"/>
            <w:webHidden/>
          </w:rPr>
          <w:fldChar w:fldCharType="end"/>
        </w:r>
      </w:hyperlink>
    </w:p>
    <w:p w14:paraId="45AE9100" w14:textId="00E85DD8" w:rsidR="005922F8" w:rsidRPr="005922F8" w:rsidRDefault="005922F8">
      <w:pPr>
        <w:pStyle w:val="Obsah2"/>
        <w:rPr>
          <w:rFonts w:asciiTheme="minorHAnsi" w:eastAsiaTheme="minorEastAsia" w:hAnsiTheme="minorHAnsi" w:cstheme="minorBidi"/>
          <w:b w:val="0"/>
          <w:kern w:val="2"/>
          <w:sz w:val="24"/>
          <w:szCs w:val="24"/>
          <w:lang w:eastAsia="cs-CZ"/>
          <w14:ligatures w14:val="standardContextual"/>
        </w:rPr>
      </w:pPr>
      <w:hyperlink w:anchor="_Toc204678183" w:history="1">
        <w:r w:rsidRPr="005922F8">
          <w:rPr>
            <w:rStyle w:val="Hypertextovodkaz"/>
            <w:b w:val="0"/>
          </w:rPr>
          <w:t>10.5</w:t>
        </w:r>
        <w:r w:rsidRPr="005922F8">
          <w:rPr>
            <w:rFonts w:asciiTheme="minorHAnsi" w:eastAsiaTheme="minorEastAsia" w:hAnsiTheme="minorHAnsi" w:cstheme="minorBidi"/>
            <w:b w:val="0"/>
            <w:kern w:val="2"/>
            <w:sz w:val="24"/>
            <w:szCs w:val="24"/>
            <w:lang w:eastAsia="cs-CZ"/>
            <w14:ligatures w14:val="standardContextual"/>
          </w:rPr>
          <w:tab/>
        </w:r>
        <w:r w:rsidRPr="005922F8">
          <w:rPr>
            <w:rStyle w:val="Hypertextovodkaz"/>
            <w:b w:val="0"/>
          </w:rPr>
          <w:t>Vyhodnocení podaných žádostí o změnu ÚPD (žádosti soukromých vlastníků) a způsob jejich vypořádání</w:t>
        </w:r>
        <w:r w:rsidRPr="005922F8">
          <w:rPr>
            <w:b w:val="0"/>
            <w:webHidden/>
          </w:rPr>
          <w:tab/>
        </w:r>
        <w:r w:rsidRPr="005922F8">
          <w:rPr>
            <w:b w:val="0"/>
            <w:webHidden/>
          </w:rPr>
          <w:fldChar w:fldCharType="begin"/>
        </w:r>
        <w:r w:rsidRPr="005922F8">
          <w:rPr>
            <w:b w:val="0"/>
            <w:webHidden/>
          </w:rPr>
          <w:instrText xml:space="preserve"> PAGEREF _Toc204678183 \h </w:instrText>
        </w:r>
        <w:r w:rsidRPr="005922F8">
          <w:rPr>
            <w:b w:val="0"/>
            <w:webHidden/>
          </w:rPr>
        </w:r>
        <w:r w:rsidRPr="005922F8">
          <w:rPr>
            <w:b w:val="0"/>
            <w:webHidden/>
          </w:rPr>
          <w:fldChar w:fldCharType="separate"/>
        </w:r>
        <w:r w:rsidR="00BC4A0C">
          <w:rPr>
            <w:b w:val="0"/>
            <w:webHidden/>
          </w:rPr>
          <w:t>42</w:t>
        </w:r>
        <w:r w:rsidRPr="005922F8">
          <w:rPr>
            <w:b w:val="0"/>
            <w:webHidden/>
          </w:rPr>
          <w:fldChar w:fldCharType="end"/>
        </w:r>
      </w:hyperlink>
    </w:p>
    <w:p w14:paraId="54FD98E5" w14:textId="72A4DF32" w:rsidR="005922F8" w:rsidRPr="005922F8" w:rsidRDefault="005922F8">
      <w:pPr>
        <w:pStyle w:val="Obsah2"/>
        <w:rPr>
          <w:rFonts w:asciiTheme="minorHAnsi" w:eastAsiaTheme="minorEastAsia" w:hAnsiTheme="minorHAnsi" w:cstheme="minorBidi"/>
          <w:b w:val="0"/>
          <w:kern w:val="2"/>
          <w:sz w:val="24"/>
          <w:szCs w:val="24"/>
          <w:lang w:eastAsia="cs-CZ"/>
          <w14:ligatures w14:val="standardContextual"/>
        </w:rPr>
      </w:pPr>
      <w:hyperlink w:anchor="_Toc204678184" w:history="1">
        <w:r w:rsidRPr="005922F8">
          <w:rPr>
            <w:rStyle w:val="Hypertextovodkaz"/>
            <w:b w:val="0"/>
          </w:rPr>
          <w:t>10.6</w:t>
        </w:r>
        <w:r w:rsidRPr="005922F8">
          <w:rPr>
            <w:rFonts w:asciiTheme="minorHAnsi" w:eastAsiaTheme="minorEastAsia" w:hAnsiTheme="minorHAnsi" w:cstheme="minorBidi"/>
            <w:b w:val="0"/>
            <w:kern w:val="2"/>
            <w:sz w:val="24"/>
            <w:szCs w:val="24"/>
            <w:lang w:eastAsia="cs-CZ"/>
            <w14:ligatures w14:val="standardContextual"/>
          </w:rPr>
          <w:tab/>
        </w:r>
        <w:r w:rsidRPr="005922F8">
          <w:rPr>
            <w:rStyle w:val="Hypertextovodkaz"/>
            <w:b w:val="0"/>
          </w:rPr>
          <w:t>Vyhodnocení potřeby vymezení zastavitelných ploch</w:t>
        </w:r>
        <w:r w:rsidRPr="005922F8">
          <w:rPr>
            <w:b w:val="0"/>
            <w:webHidden/>
          </w:rPr>
          <w:tab/>
        </w:r>
        <w:r w:rsidRPr="005922F8">
          <w:rPr>
            <w:b w:val="0"/>
            <w:webHidden/>
          </w:rPr>
          <w:fldChar w:fldCharType="begin"/>
        </w:r>
        <w:r w:rsidRPr="005922F8">
          <w:rPr>
            <w:b w:val="0"/>
            <w:webHidden/>
          </w:rPr>
          <w:instrText xml:space="preserve"> PAGEREF _Toc204678184 \h </w:instrText>
        </w:r>
        <w:r w:rsidRPr="005922F8">
          <w:rPr>
            <w:b w:val="0"/>
            <w:webHidden/>
          </w:rPr>
        </w:r>
        <w:r w:rsidRPr="005922F8">
          <w:rPr>
            <w:b w:val="0"/>
            <w:webHidden/>
          </w:rPr>
          <w:fldChar w:fldCharType="separate"/>
        </w:r>
        <w:r w:rsidR="00BC4A0C">
          <w:rPr>
            <w:b w:val="0"/>
            <w:webHidden/>
          </w:rPr>
          <w:t>49</w:t>
        </w:r>
        <w:r w:rsidRPr="005922F8">
          <w:rPr>
            <w:b w:val="0"/>
            <w:webHidden/>
          </w:rPr>
          <w:fldChar w:fldCharType="end"/>
        </w:r>
      </w:hyperlink>
    </w:p>
    <w:p w14:paraId="1FDF789D" w14:textId="77F20A68" w:rsidR="005922F8" w:rsidRPr="005922F8" w:rsidRDefault="005922F8">
      <w:pPr>
        <w:pStyle w:val="Obsah1"/>
        <w:rPr>
          <w:rFonts w:asciiTheme="minorHAnsi" w:eastAsiaTheme="minorEastAsia" w:hAnsiTheme="minorHAnsi" w:cstheme="minorBidi"/>
          <w:caps w:val="0"/>
          <w:kern w:val="2"/>
          <w:sz w:val="24"/>
          <w:szCs w:val="24"/>
          <w:lang w:eastAsia="cs-CZ"/>
          <w14:ligatures w14:val="standardContextual"/>
        </w:rPr>
      </w:pPr>
      <w:hyperlink w:anchor="_Toc204678185" w:history="1">
        <w:r w:rsidRPr="005922F8">
          <w:rPr>
            <w:rStyle w:val="Hypertextovodkaz"/>
          </w:rPr>
          <w:t>11</w:t>
        </w:r>
        <w:r w:rsidRPr="005922F8">
          <w:rPr>
            <w:rFonts w:asciiTheme="minorHAnsi" w:eastAsiaTheme="minorEastAsia" w:hAnsiTheme="minorHAnsi" w:cstheme="minorBidi"/>
            <w:caps w:val="0"/>
            <w:kern w:val="2"/>
            <w:sz w:val="24"/>
            <w:szCs w:val="24"/>
            <w:lang w:eastAsia="cs-CZ"/>
            <w14:ligatures w14:val="standardContextual"/>
          </w:rPr>
          <w:tab/>
        </w:r>
        <w:r w:rsidRPr="005922F8">
          <w:rPr>
            <w:rStyle w:val="Hypertextovodkaz"/>
          </w:rPr>
          <w:t>KOMPLEXNÍ ZDŮVODNĚNÍ PŘIJATÉHO ŘEŠENÍ</w:t>
        </w:r>
        <w:r w:rsidRPr="005922F8">
          <w:rPr>
            <w:webHidden/>
          </w:rPr>
          <w:tab/>
        </w:r>
        <w:r w:rsidRPr="005922F8">
          <w:rPr>
            <w:webHidden/>
          </w:rPr>
          <w:fldChar w:fldCharType="begin"/>
        </w:r>
        <w:r w:rsidRPr="005922F8">
          <w:rPr>
            <w:webHidden/>
          </w:rPr>
          <w:instrText xml:space="preserve"> PAGEREF _Toc204678185 \h </w:instrText>
        </w:r>
        <w:r w:rsidRPr="005922F8">
          <w:rPr>
            <w:webHidden/>
          </w:rPr>
        </w:r>
        <w:r w:rsidRPr="005922F8">
          <w:rPr>
            <w:webHidden/>
          </w:rPr>
          <w:fldChar w:fldCharType="separate"/>
        </w:r>
        <w:r w:rsidR="00BC4A0C">
          <w:rPr>
            <w:webHidden/>
          </w:rPr>
          <w:t>52</w:t>
        </w:r>
        <w:r w:rsidRPr="005922F8">
          <w:rPr>
            <w:webHidden/>
          </w:rPr>
          <w:fldChar w:fldCharType="end"/>
        </w:r>
      </w:hyperlink>
    </w:p>
    <w:p w14:paraId="5B22D655" w14:textId="65CDA756" w:rsidR="005922F8" w:rsidRPr="005922F8" w:rsidRDefault="005922F8">
      <w:pPr>
        <w:pStyle w:val="Obsah2"/>
        <w:rPr>
          <w:rFonts w:asciiTheme="minorHAnsi" w:eastAsiaTheme="minorEastAsia" w:hAnsiTheme="minorHAnsi" w:cstheme="minorBidi"/>
          <w:b w:val="0"/>
          <w:kern w:val="2"/>
          <w:sz w:val="24"/>
          <w:szCs w:val="24"/>
          <w:lang w:eastAsia="cs-CZ"/>
          <w14:ligatures w14:val="standardContextual"/>
        </w:rPr>
      </w:pPr>
      <w:hyperlink w:anchor="_Toc204678186" w:history="1">
        <w:r w:rsidRPr="005922F8">
          <w:rPr>
            <w:rStyle w:val="Hypertextovodkaz"/>
            <w:b w:val="0"/>
          </w:rPr>
          <w:t>11.1</w:t>
        </w:r>
        <w:r w:rsidRPr="005922F8">
          <w:rPr>
            <w:rFonts w:asciiTheme="minorHAnsi" w:eastAsiaTheme="minorEastAsia" w:hAnsiTheme="minorHAnsi" w:cstheme="minorBidi"/>
            <w:b w:val="0"/>
            <w:kern w:val="2"/>
            <w:sz w:val="24"/>
            <w:szCs w:val="24"/>
            <w:lang w:eastAsia="cs-CZ"/>
            <w14:ligatures w14:val="standardContextual"/>
          </w:rPr>
          <w:tab/>
        </w:r>
        <w:r w:rsidRPr="005922F8">
          <w:rPr>
            <w:rStyle w:val="Hypertextovodkaz"/>
            <w:b w:val="0"/>
          </w:rPr>
          <w:t>Odůvodnění vymezení zastavěného území</w:t>
        </w:r>
        <w:r w:rsidRPr="005922F8">
          <w:rPr>
            <w:b w:val="0"/>
            <w:webHidden/>
          </w:rPr>
          <w:tab/>
        </w:r>
        <w:r w:rsidRPr="005922F8">
          <w:rPr>
            <w:b w:val="0"/>
            <w:webHidden/>
          </w:rPr>
          <w:fldChar w:fldCharType="begin"/>
        </w:r>
        <w:r w:rsidRPr="005922F8">
          <w:rPr>
            <w:b w:val="0"/>
            <w:webHidden/>
          </w:rPr>
          <w:instrText xml:space="preserve"> PAGEREF _Toc204678186 \h </w:instrText>
        </w:r>
        <w:r w:rsidRPr="005922F8">
          <w:rPr>
            <w:b w:val="0"/>
            <w:webHidden/>
          </w:rPr>
        </w:r>
        <w:r w:rsidRPr="005922F8">
          <w:rPr>
            <w:b w:val="0"/>
            <w:webHidden/>
          </w:rPr>
          <w:fldChar w:fldCharType="separate"/>
        </w:r>
        <w:r w:rsidR="00BC4A0C">
          <w:rPr>
            <w:b w:val="0"/>
            <w:webHidden/>
          </w:rPr>
          <w:t>52</w:t>
        </w:r>
        <w:r w:rsidRPr="005922F8">
          <w:rPr>
            <w:b w:val="0"/>
            <w:webHidden/>
          </w:rPr>
          <w:fldChar w:fldCharType="end"/>
        </w:r>
      </w:hyperlink>
    </w:p>
    <w:p w14:paraId="628556AA" w14:textId="1FB6A4C5" w:rsidR="005922F8" w:rsidRPr="005922F8" w:rsidRDefault="005922F8">
      <w:pPr>
        <w:pStyle w:val="Obsah2"/>
        <w:rPr>
          <w:rFonts w:asciiTheme="minorHAnsi" w:eastAsiaTheme="minorEastAsia" w:hAnsiTheme="minorHAnsi" w:cstheme="minorBidi"/>
          <w:b w:val="0"/>
          <w:kern w:val="2"/>
          <w:sz w:val="24"/>
          <w:szCs w:val="24"/>
          <w:lang w:eastAsia="cs-CZ"/>
          <w14:ligatures w14:val="standardContextual"/>
        </w:rPr>
      </w:pPr>
      <w:hyperlink w:anchor="_Toc204678187" w:history="1">
        <w:r w:rsidRPr="005922F8">
          <w:rPr>
            <w:rStyle w:val="Hypertextovodkaz"/>
            <w:b w:val="0"/>
          </w:rPr>
          <w:t>11.2</w:t>
        </w:r>
        <w:r w:rsidRPr="005922F8">
          <w:rPr>
            <w:rFonts w:asciiTheme="minorHAnsi" w:eastAsiaTheme="minorEastAsia" w:hAnsiTheme="minorHAnsi" w:cstheme="minorBidi"/>
            <w:b w:val="0"/>
            <w:kern w:val="2"/>
            <w:sz w:val="24"/>
            <w:szCs w:val="24"/>
            <w:lang w:eastAsia="cs-CZ"/>
            <w14:ligatures w14:val="standardContextual"/>
          </w:rPr>
          <w:tab/>
        </w:r>
        <w:r w:rsidRPr="005922F8">
          <w:rPr>
            <w:rStyle w:val="Hypertextovodkaz"/>
            <w:b w:val="0"/>
          </w:rPr>
          <w:t>Odůvodnění koncepce rozvoje území obce, ochrany a rozvoje jeho hodnot</w:t>
        </w:r>
        <w:r w:rsidRPr="005922F8">
          <w:rPr>
            <w:b w:val="0"/>
            <w:webHidden/>
          </w:rPr>
          <w:tab/>
        </w:r>
        <w:r w:rsidRPr="005922F8">
          <w:rPr>
            <w:b w:val="0"/>
            <w:webHidden/>
          </w:rPr>
          <w:fldChar w:fldCharType="begin"/>
        </w:r>
        <w:r w:rsidRPr="005922F8">
          <w:rPr>
            <w:b w:val="0"/>
            <w:webHidden/>
          </w:rPr>
          <w:instrText xml:space="preserve"> PAGEREF _Toc204678187 \h </w:instrText>
        </w:r>
        <w:r w:rsidRPr="005922F8">
          <w:rPr>
            <w:b w:val="0"/>
            <w:webHidden/>
          </w:rPr>
        </w:r>
        <w:r w:rsidRPr="005922F8">
          <w:rPr>
            <w:b w:val="0"/>
            <w:webHidden/>
          </w:rPr>
          <w:fldChar w:fldCharType="separate"/>
        </w:r>
        <w:r w:rsidR="00BC4A0C">
          <w:rPr>
            <w:b w:val="0"/>
            <w:webHidden/>
          </w:rPr>
          <w:t>56</w:t>
        </w:r>
        <w:r w:rsidRPr="005922F8">
          <w:rPr>
            <w:b w:val="0"/>
            <w:webHidden/>
          </w:rPr>
          <w:fldChar w:fldCharType="end"/>
        </w:r>
      </w:hyperlink>
    </w:p>
    <w:p w14:paraId="305AA528" w14:textId="78BF47DF" w:rsidR="005922F8" w:rsidRPr="005922F8" w:rsidRDefault="005922F8">
      <w:pPr>
        <w:pStyle w:val="Obsah3"/>
        <w:tabs>
          <w:tab w:val="left" w:pos="2127"/>
        </w:tabs>
        <w:rPr>
          <w:rFonts w:asciiTheme="minorHAnsi" w:eastAsiaTheme="minorEastAsia" w:hAnsiTheme="minorHAnsi"/>
          <w:b w:val="0"/>
          <w:bCs/>
          <w:kern w:val="2"/>
          <w:sz w:val="24"/>
          <w:szCs w:val="24"/>
          <w:lang w:eastAsia="cs-CZ"/>
          <w14:ligatures w14:val="standardContextual"/>
        </w:rPr>
      </w:pPr>
      <w:hyperlink w:anchor="_Toc204678188" w:history="1">
        <w:r w:rsidRPr="005922F8">
          <w:rPr>
            <w:rStyle w:val="Hypertextovodkaz"/>
            <w:rFonts w:asciiTheme="majorHAnsi" w:hAnsiTheme="majorHAnsi" w:cstheme="majorHAnsi"/>
            <w:b w:val="0"/>
            <w:bCs/>
          </w:rPr>
          <w:t>11.2.1</w:t>
        </w:r>
        <w:r w:rsidRPr="005922F8">
          <w:rPr>
            <w:rFonts w:asciiTheme="minorHAnsi" w:eastAsiaTheme="minorEastAsia" w:hAnsiTheme="minorHAnsi"/>
            <w:b w:val="0"/>
            <w:bCs/>
            <w:kern w:val="2"/>
            <w:sz w:val="24"/>
            <w:szCs w:val="24"/>
            <w:lang w:eastAsia="cs-CZ"/>
            <w14:ligatures w14:val="standardContextual"/>
          </w:rPr>
          <w:tab/>
        </w:r>
        <w:r w:rsidRPr="005922F8">
          <w:rPr>
            <w:rStyle w:val="Hypertextovodkaz"/>
            <w:rFonts w:asciiTheme="majorHAnsi" w:hAnsiTheme="majorHAnsi" w:cstheme="majorHAnsi"/>
            <w:b w:val="0"/>
            <w:bCs/>
          </w:rPr>
          <w:t>Odůvodnění vymezení řešeného území</w:t>
        </w:r>
        <w:r w:rsidRPr="005922F8">
          <w:rPr>
            <w:b w:val="0"/>
            <w:bCs/>
            <w:webHidden/>
          </w:rPr>
          <w:tab/>
        </w:r>
        <w:r w:rsidRPr="005922F8">
          <w:rPr>
            <w:b w:val="0"/>
            <w:bCs/>
            <w:webHidden/>
          </w:rPr>
          <w:fldChar w:fldCharType="begin"/>
        </w:r>
        <w:r w:rsidRPr="005922F8">
          <w:rPr>
            <w:b w:val="0"/>
            <w:bCs/>
            <w:webHidden/>
          </w:rPr>
          <w:instrText xml:space="preserve"> PAGEREF _Toc204678188 \h </w:instrText>
        </w:r>
        <w:r w:rsidRPr="005922F8">
          <w:rPr>
            <w:b w:val="0"/>
            <w:bCs/>
            <w:webHidden/>
          </w:rPr>
        </w:r>
        <w:r w:rsidRPr="005922F8">
          <w:rPr>
            <w:b w:val="0"/>
            <w:bCs/>
            <w:webHidden/>
          </w:rPr>
          <w:fldChar w:fldCharType="separate"/>
        </w:r>
        <w:r w:rsidR="00BC4A0C">
          <w:rPr>
            <w:b w:val="0"/>
            <w:bCs/>
            <w:webHidden/>
          </w:rPr>
          <w:t>56</w:t>
        </w:r>
        <w:r w:rsidRPr="005922F8">
          <w:rPr>
            <w:b w:val="0"/>
            <w:bCs/>
            <w:webHidden/>
          </w:rPr>
          <w:fldChar w:fldCharType="end"/>
        </w:r>
      </w:hyperlink>
    </w:p>
    <w:p w14:paraId="207EAA81" w14:textId="72C64CF8" w:rsidR="005922F8" w:rsidRPr="005922F8" w:rsidRDefault="005922F8">
      <w:pPr>
        <w:pStyle w:val="Obsah3"/>
        <w:tabs>
          <w:tab w:val="left" w:pos="2127"/>
        </w:tabs>
        <w:rPr>
          <w:rFonts w:asciiTheme="minorHAnsi" w:eastAsiaTheme="minorEastAsia" w:hAnsiTheme="minorHAnsi"/>
          <w:b w:val="0"/>
          <w:bCs/>
          <w:kern w:val="2"/>
          <w:sz w:val="24"/>
          <w:szCs w:val="24"/>
          <w:lang w:eastAsia="cs-CZ"/>
          <w14:ligatures w14:val="standardContextual"/>
        </w:rPr>
      </w:pPr>
      <w:hyperlink w:anchor="_Toc204678189" w:history="1">
        <w:r w:rsidRPr="005922F8">
          <w:rPr>
            <w:rStyle w:val="Hypertextovodkaz"/>
            <w:rFonts w:asciiTheme="majorHAnsi" w:hAnsiTheme="majorHAnsi" w:cstheme="majorHAnsi"/>
            <w:b w:val="0"/>
            <w:bCs/>
          </w:rPr>
          <w:t>11.2.2</w:t>
        </w:r>
        <w:r w:rsidRPr="005922F8">
          <w:rPr>
            <w:rFonts w:asciiTheme="minorHAnsi" w:eastAsiaTheme="minorEastAsia" w:hAnsiTheme="minorHAnsi"/>
            <w:b w:val="0"/>
            <w:bCs/>
            <w:kern w:val="2"/>
            <w:sz w:val="24"/>
            <w:szCs w:val="24"/>
            <w:lang w:eastAsia="cs-CZ"/>
            <w14:ligatures w14:val="standardContextual"/>
          </w:rPr>
          <w:tab/>
        </w:r>
        <w:r w:rsidRPr="005922F8">
          <w:rPr>
            <w:rStyle w:val="Hypertextovodkaz"/>
            <w:rFonts w:asciiTheme="majorHAnsi" w:hAnsiTheme="majorHAnsi" w:cstheme="majorHAnsi"/>
            <w:b w:val="0"/>
            <w:bCs/>
          </w:rPr>
          <w:t>Odůvodnění koncepce rozvoje území obce</w:t>
        </w:r>
        <w:r w:rsidRPr="005922F8">
          <w:rPr>
            <w:b w:val="0"/>
            <w:bCs/>
            <w:webHidden/>
          </w:rPr>
          <w:tab/>
        </w:r>
        <w:r w:rsidRPr="005922F8">
          <w:rPr>
            <w:b w:val="0"/>
            <w:bCs/>
            <w:webHidden/>
          </w:rPr>
          <w:fldChar w:fldCharType="begin"/>
        </w:r>
        <w:r w:rsidRPr="005922F8">
          <w:rPr>
            <w:b w:val="0"/>
            <w:bCs/>
            <w:webHidden/>
          </w:rPr>
          <w:instrText xml:space="preserve"> PAGEREF _Toc204678189 \h </w:instrText>
        </w:r>
        <w:r w:rsidRPr="005922F8">
          <w:rPr>
            <w:b w:val="0"/>
            <w:bCs/>
            <w:webHidden/>
          </w:rPr>
        </w:r>
        <w:r w:rsidRPr="005922F8">
          <w:rPr>
            <w:b w:val="0"/>
            <w:bCs/>
            <w:webHidden/>
          </w:rPr>
          <w:fldChar w:fldCharType="separate"/>
        </w:r>
        <w:r w:rsidR="00BC4A0C">
          <w:rPr>
            <w:b w:val="0"/>
            <w:bCs/>
            <w:webHidden/>
          </w:rPr>
          <w:t>56</w:t>
        </w:r>
        <w:r w:rsidRPr="005922F8">
          <w:rPr>
            <w:b w:val="0"/>
            <w:bCs/>
            <w:webHidden/>
          </w:rPr>
          <w:fldChar w:fldCharType="end"/>
        </w:r>
      </w:hyperlink>
    </w:p>
    <w:p w14:paraId="365FC877" w14:textId="434986B3" w:rsidR="005922F8" w:rsidRPr="005922F8" w:rsidRDefault="005922F8">
      <w:pPr>
        <w:pStyle w:val="Obsah3"/>
        <w:tabs>
          <w:tab w:val="left" w:pos="2127"/>
        </w:tabs>
        <w:rPr>
          <w:rFonts w:asciiTheme="minorHAnsi" w:eastAsiaTheme="minorEastAsia" w:hAnsiTheme="minorHAnsi"/>
          <w:b w:val="0"/>
          <w:bCs/>
          <w:kern w:val="2"/>
          <w:sz w:val="24"/>
          <w:szCs w:val="24"/>
          <w:lang w:eastAsia="cs-CZ"/>
          <w14:ligatures w14:val="standardContextual"/>
        </w:rPr>
      </w:pPr>
      <w:hyperlink w:anchor="_Toc204678190" w:history="1">
        <w:r w:rsidRPr="005922F8">
          <w:rPr>
            <w:rStyle w:val="Hypertextovodkaz"/>
            <w:rFonts w:asciiTheme="majorHAnsi" w:hAnsiTheme="majorHAnsi" w:cstheme="majorHAnsi"/>
            <w:b w:val="0"/>
            <w:bCs/>
          </w:rPr>
          <w:t>11.2.3</w:t>
        </w:r>
        <w:r w:rsidRPr="005922F8">
          <w:rPr>
            <w:rFonts w:asciiTheme="minorHAnsi" w:eastAsiaTheme="minorEastAsia" w:hAnsiTheme="minorHAnsi"/>
            <w:b w:val="0"/>
            <w:bCs/>
            <w:kern w:val="2"/>
            <w:sz w:val="24"/>
            <w:szCs w:val="24"/>
            <w:lang w:eastAsia="cs-CZ"/>
            <w14:ligatures w14:val="standardContextual"/>
          </w:rPr>
          <w:tab/>
        </w:r>
        <w:r w:rsidRPr="005922F8">
          <w:rPr>
            <w:rStyle w:val="Hypertextovodkaz"/>
            <w:rFonts w:asciiTheme="majorHAnsi" w:hAnsiTheme="majorHAnsi" w:cstheme="majorHAnsi"/>
            <w:b w:val="0"/>
            <w:bCs/>
          </w:rPr>
          <w:t>Odůvodnění koncepce ochrany a rozvoje hodnot území</w:t>
        </w:r>
        <w:r w:rsidRPr="005922F8">
          <w:rPr>
            <w:b w:val="0"/>
            <w:bCs/>
            <w:webHidden/>
          </w:rPr>
          <w:tab/>
        </w:r>
        <w:r w:rsidRPr="005922F8">
          <w:rPr>
            <w:b w:val="0"/>
            <w:bCs/>
            <w:webHidden/>
          </w:rPr>
          <w:fldChar w:fldCharType="begin"/>
        </w:r>
        <w:r w:rsidRPr="005922F8">
          <w:rPr>
            <w:b w:val="0"/>
            <w:bCs/>
            <w:webHidden/>
          </w:rPr>
          <w:instrText xml:space="preserve"> PAGEREF _Toc204678190 \h </w:instrText>
        </w:r>
        <w:r w:rsidRPr="005922F8">
          <w:rPr>
            <w:b w:val="0"/>
            <w:bCs/>
            <w:webHidden/>
          </w:rPr>
        </w:r>
        <w:r w:rsidRPr="005922F8">
          <w:rPr>
            <w:b w:val="0"/>
            <w:bCs/>
            <w:webHidden/>
          </w:rPr>
          <w:fldChar w:fldCharType="separate"/>
        </w:r>
        <w:r w:rsidR="00BC4A0C">
          <w:rPr>
            <w:b w:val="0"/>
            <w:bCs/>
            <w:webHidden/>
          </w:rPr>
          <w:t>57</w:t>
        </w:r>
        <w:r w:rsidRPr="005922F8">
          <w:rPr>
            <w:b w:val="0"/>
            <w:bCs/>
            <w:webHidden/>
          </w:rPr>
          <w:fldChar w:fldCharType="end"/>
        </w:r>
      </w:hyperlink>
    </w:p>
    <w:p w14:paraId="139A6083" w14:textId="0B272A33" w:rsidR="005922F8" w:rsidRPr="005922F8" w:rsidRDefault="005922F8">
      <w:pPr>
        <w:pStyle w:val="Obsah3"/>
        <w:tabs>
          <w:tab w:val="left" w:pos="2127"/>
        </w:tabs>
        <w:rPr>
          <w:rFonts w:asciiTheme="minorHAnsi" w:eastAsiaTheme="minorEastAsia" w:hAnsiTheme="minorHAnsi"/>
          <w:b w:val="0"/>
          <w:bCs/>
          <w:kern w:val="2"/>
          <w:sz w:val="24"/>
          <w:szCs w:val="24"/>
          <w:lang w:eastAsia="cs-CZ"/>
          <w14:ligatures w14:val="standardContextual"/>
        </w:rPr>
      </w:pPr>
      <w:hyperlink w:anchor="_Toc204678191" w:history="1">
        <w:r w:rsidRPr="005922F8">
          <w:rPr>
            <w:rStyle w:val="Hypertextovodkaz"/>
            <w:rFonts w:asciiTheme="majorHAnsi" w:hAnsiTheme="majorHAnsi" w:cstheme="majorHAnsi"/>
            <w:b w:val="0"/>
            <w:bCs/>
          </w:rPr>
          <w:t>11.2.4</w:t>
        </w:r>
        <w:r w:rsidRPr="005922F8">
          <w:rPr>
            <w:rFonts w:asciiTheme="minorHAnsi" w:eastAsiaTheme="minorEastAsia" w:hAnsiTheme="minorHAnsi"/>
            <w:b w:val="0"/>
            <w:bCs/>
            <w:kern w:val="2"/>
            <w:sz w:val="24"/>
            <w:szCs w:val="24"/>
            <w:lang w:eastAsia="cs-CZ"/>
            <w14:ligatures w14:val="standardContextual"/>
          </w:rPr>
          <w:tab/>
        </w:r>
        <w:r w:rsidRPr="005922F8">
          <w:rPr>
            <w:rStyle w:val="Hypertextovodkaz"/>
            <w:rFonts w:asciiTheme="majorHAnsi" w:hAnsiTheme="majorHAnsi" w:cstheme="majorHAnsi"/>
            <w:b w:val="0"/>
            <w:bCs/>
          </w:rPr>
          <w:t>Civilní obrana, obrana státu, požární ochrana a další specifické požadavky</w:t>
        </w:r>
        <w:r w:rsidRPr="005922F8">
          <w:rPr>
            <w:b w:val="0"/>
            <w:bCs/>
            <w:webHidden/>
          </w:rPr>
          <w:tab/>
        </w:r>
        <w:r w:rsidRPr="005922F8">
          <w:rPr>
            <w:b w:val="0"/>
            <w:bCs/>
            <w:webHidden/>
          </w:rPr>
          <w:fldChar w:fldCharType="begin"/>
        </w:r>
        <w:r w:rsidRPr="005922F8">
          <w:rPr>
            <w:b w:val="0"/>
            <w:bCs/>
            <w:webHidden/>
          </w:rPr>
          <w:instrText xml:space="preserve"> PAGEREF _Toc204678191 \h </w:instrText>
        </w:r>
        <w:r w:rsidRPr="005922F8">
          <w:rPr>
            <w:b w:val="0"/>
            <w:bCs/>
            <w:webHidden/>
          </w:rPr>
        </w:r>
        <w:r w:rsidRPr="005922F8">
          <w:rPr>
            <w:b w:val="0"/>
            <w:bCs/>
            <w:webHidden/>
          </w:rPr>
          <w:fldChar w:fldCharType="separate"/>
        </w:r>
        <w:r w:rsidR="00BC4A0C">
          <w:rPr>
            <w:b w:val="0"/>
            <w:bCs/>
            <w:webHidden/>
          </w:rPr>
          <w:t>62</w:t>
        </w:r>
        <w:r w:rsidRPr="005922F8">
          <w:rPr>
            <w:b w:val="0"/>
            <w:bCs/>
            <w:webHidden/>
          </w:rPr>
          <w:fldChar w:fldCharType="end"/>
        </w:r>
      </w:hyperlink>
    </w:p>
    <w:p w14:paraId="24754EEB" w14:textId="1463CFB0" w:rsidR="005922F8" w:rsidRPr="005922F8" w:rsidRDefault="005922F8">
      <w:pPr>
        <w:pStyle w:val="Obsah2"/>
        <w:rPr>
          <w:rFonts w:asciiTheme="minorHAnsi" w:eastAsiaTheme="minorEastAsia" w:hAnsiTheme="minorHAnsi" w:cstheme="minorBidi"/>
          <w:b w:val="0"/>
          <w:kern w:val="2"/>
          <w:sz w:val="24"/>
          <w:szCs w:val="24"/>
          <w:lang w:eastAsia="cs-CZ"/>
          <w14:ligatures w14:val="standardContextual"/>
        </w:rPr>
      </w:pPr>
      <w:hyperlink w:anchor="_Toc204678192" w:history="1">
        <w:r w:rsidRPr="005922F8">
          <w:rPr>
            <w:rStyle w:val="Hypertextovodkaz"/>
            <w:b w:val="0"/>
          </w:rPr>
          <w:t>11.3</w:t>
        </w:r>
        <w:r w:rsidRPr="005922F8">
          <w:rPr>
            <w:rFonts w:asciiTheme="minorHAnsi" w:eastAsiaTheme="minorEastAsia" w:hAnsiTheme="minorHAnsi" w:cstheme="minorBidi"/>
            <w:b w:val="0"/>
            <w:kern w:val="2"/>
            <w:sz w:val="24"/>
            <w:szCs w:val="24"/>
            <w:lang w:eastAsia="cs-CZ"/>
            <w14:ligatures w14:val="standardContextual"/>
          </w:rPr>
          <w:tab/>
        </w:r>
        <w:r w:rsidRPr="005922F8">
          <w:rPr>
            <w:rStyle w:val="Hypertextovodkaz"/>
            <w:b w:val="0"/>
          </w:rPr>
          <w:t>Odůvodnění urbanistické koncepce, včetně urbanistické kompozice, vymezení ploch s rozdílným způsobem využití, zastavitelných ploch, ploch přestavby a systému sídelní zeleně</w:t>
        </w:r>
        <w:r w:rsidRPr="005922F8">
          <w:rPr>
            <w:b w:val="0"/>
            <w:webHidden/>
          </w:rPr>
          <w:tab/>
        </w:r>
        <w:r w:rsidRPr="005922F8">
          <w:rPr>
            <w:b w:val="0"/>
            <w:webHidden/>
          </w:rPr>
          <w:fldChar w:fldCharType="begin"/>
        </w:r>
        <w:r w:rsidRPr="005922F8">
          <w:rPr>
            <w:b w:val="0"/>
            <w:webHidden/>
          </w:rPr>
          <w:instrText xml:space="preserve"> PAGEREF _Toc204678192 \h </w:instrText>
        </w:r>
        <w:r w:rsidRPr="005922F8">
          <w:rPr>
            <w:b w:val="0"/>
            <w:webHidden/>
          </w:rPr>
        </w:r>
        <w:r w:rsidRPr="005922F8">
          <w:rPr>
            <w:b w:val="0"/>
            <w:webHidden/>
          </w:rPr>
          <w:fldChar w:fldCharType="separate"/>
        </w:r>
        <w:r w:rsidR="00BC4A0C">
          <w:rPr>
            <w:b w:val="0"/>
            <w:webHidden/>
          </w:rPr>
          <w:t>64</w:t>
        </w:r>
        <w:r w:rsidRPr="005922F8">
          <w:rPr>
            <w:b w:val="0"/>
            <w:webHidden/>
          </w:rPr>
          <w:fldChar w:fldCharType="end"/>
        </w:r>
      </w:hyperlink>
    </w:p>
    <w:p w14:paraId="4361523B" w14:textId="7A95A1FD" w:rsidR="005922F8" w:rsidRPr="005922F8" w:rsidRDefault="005922F8">
      <w:pPr>
        <w:pStyle w:val="Obsah3"/>
        <w:tabs>
          <w:tab w:val="left" w:pos="2127"/>
        </w:tabs>
        <w:rPr>
          <w:rFonts w:asciiTheme="minorHAnsi" w:eastAsiaTheme="minorEastAsia" w:hAnsiTheme="minorHAnsi"/>
          <w:b w:val="0"/>
          <w:bCs/>
          <w:kern w:val="2"/>
          <w:sz w:val="24"/>
          <w:szCs w:val="24"/>
          <w:lang w:eastAsia="cs-CZ"/>
          <w14:ligatures w14:val="standardContextual"/>
        </w:rPr>
      </w:pPr>
      <w:hyperlink w:anchor="_Toc204678193" w:history="1">
        <w:r w:rsidRPr="005922F8">
          <w:rPr>
            <w:rStyle w:val="Hypertextovodkaz"/>
            <w:rFonts w:asciiTheme="majorHAnsi" w:hAnsiTheme="majorHAnsi" w:cstheme="majorHAnsi"/>
            <w:b w:val="0"/>
            <w:bCs/>
          </w:rPr>
          <w:t>11.3.1</w:t>
        </w:r>
        <w:r w:rsidRPr="005922F8">
          <w:rPr>
            <w:rFonts w:asciiTheme="minorHAnsi" w:eastAsiaTheme="minorEastAsia" w:hAnsiTheme="minorHAnsi"/>
            <w:b w:val="0"/>
            <w:bCs/>
            <w:kern w:val="2"/>
            <w:sz w:val="24"/>
            <w:szCs w:val="24"/>
            <w:lang w:eastAsia="cs-CZ"/>
            <w14:ligatures w14:val="standardContextual"/>
          </w:rPr>
          <w:tab/>
        </w:r>
        <w:r w:rsidRPr="005922F8">
          <w:rPr>
            <w:rStyle w:val="Hypertextovodkaz"/>
            <w:rFonts w:asciiTheme="majorHAnsi" w:hAnsiTheme="majorHAnsi" w:cstheme="majorHAnsi"/>
            <w:b w:val="0"/>
            <w:bCs/>
          </w:rPr>
          <w:t>Odůvodnění urbanistické koncepce a urbanistické kompozice</w:t>
        </w:r>
        <w:r w:rsidRPr="005922F8">
          <w:rPr>
            <w:b w:val="0"/>
            <w:bCs/>
            <w:webHidden/>
          </w:rPr>
          <w:tab/>
        </w:r>
        <w:r w:rsidRPr="005922F8">
          <w:rPr>
            <w:b w:val="0"/>
            <w:bCs/>
            <w:webHidden/>
          </w:rPr>
          <w:fldChar w:fldCharType="begin"/>
        </w:r>
        <w:r w:rsidRPr="005922F8">
          <w:rPr>
            <w:b w:val="0"/>
            <w:bCs/>
            <w:webHidden/>
          </w:rPr>
          <w:instrText xml:space="preserve"> PAGEREF _Toc204678193 \h </w:instrText>
        </w:r>
        <w:r w:rsidRPr="005922F8">
          <w:rPr>
            <w:b w:val="0"/>
            <w:bCs/>
            <w:webHidden/>
          </w:rPr>
        </w:r>
        <w:r w:rsidRPr="005922F8">
          <w:rPr>
            <w:b w:val="0"/>
            <w:bCs/>
            <w:webHidden/>
          </w:rPr>
          <w:fldChar w:fldCharType="separate"/>
        </w:r>
        <w:r w:rsidR="00BC4A0C">
          <w:rPr>
            <w:b w:val="0"/>
            <w:bCs/>
            <w:webHidden/>
          </w:rPr>
          <w:t>64</w:t>
        </w:r>
        <w:r w:rsidRPr="005922F8">
          <w:rPr>
            <w:b w:val="0"/>
            <w:bCs/>
            <w:webHidden/>
          </w:rPr>
          <w:fldChar w:fldCharType="end"/>
        </w:r>
      </w:hyperlink>
    </w:p>
    <w:p w14:paraId="079C7881" w14:textId="2EB50EAA" w:rsidR="005922F8" w:rsidRPr="005922F8" w:rsidRDefault="005922F8">
      <w:pPr>
        <w:pStyle w:val="Obsah3"/>
        <w:tabs>
          <w:tab w:val="left" w:pos="2127"/>
        </w:tabs>
        <w:rPr>
          <w:rFonts w:asciiTheme="minorHAnsi" w:eastAsiaTheme="minorEastAsia" w:hAnsiTheme="minorHAnsi"/>
          <w:b w:val="0"/>
          <w:bCs/>
          <w:kern w:val="2"/>
          <w:sz w:val="24"/>
          <w:szCs w:val="24"/>
          <w:lang w:eastAsia="cs-CZ"/>
          <w14:ligatures w14:val="standardContextual"/>
        </w:rPr>
      </w:pPr>
      <w:hyperlink w:anchor="_Toc204678194" w:history="1">
        <w:r w:rsidRPr="005922F8">
          <w:rPr>
            <w:rStyle w:val="Hypertextovodkaz"/>
            <w:rFonts w:asciiTheme="majorHAnsi" w:hAnsiTheme="majorHAnsi" w:cstheme="majorHAnsi"/>
            <w:b w:val="0"/>
            <w:bCs/>
          </w:rPr>
          <w:t>11.3.2</w:t>
        </w:r>
        <w:r w:rsidRPr="005922F8">
          <w:rPr>
            <w:rFonts w:asciiTheme="minorHAnsi" w:eastAsiaTheme="minorEastAsia" w:hAnsiTheme="minorHAnsi"/>
            <w:b w:val="0"/>
            <w:bCs/>
            <w:kern w:val="2"/>
            <w:sz w:val="24"/>
            <w:szCs w:val="24"/>
            <w:lang w:eastAsia="cs-CZ"/>
            <w14:ligatures w14:val="standardContextual"/>
          </w:rPr>
          <w:tab/>
        </w:r>
        <w:r w:rsidRPr="005922F8">
          <w:rPr>
            <w:rStyle w:val="Hypertextovodkaz"/>
            <w:rFonts w:asciiTheme="majorHAnsi" w:hAnsiTheme="majorHAnsi" w:cstheme="majorHAnsi"/>
            <w:b w:val="0"/>
            <w:bCs/>
          </w:rPr>
          <w:t>Odůvodnění vymezení ploch s rozdílným způsobem využití</w:t>
        </w:r>
        <w:r w:rsidRPr="005922F8">
          <w:rPr>
            <w:b w:val="0"/>
            <w:bCs/>
            <w:webHidden/>
          </w:rPr>
          <w:tab/>
        </w:r>
        <w:r w:rsidRPr="005922F8">
          <w:rPr>
            <w:b w:val="0"/>
            <w:bCs/>
            <w:webHidden/>
          </w:rPr>
          <w:fldChar w:fldCharType="begin"/>
        </w:r>
        <w:r w:rsidRPr="005922F8">
          <w:rPr>
            <w:b w:val="0"/>
            <w:bCs/>
            <w:webHidden/>
          </w:rPr>
          <w:instrText xml:space="preserve"> PAGEREF _Toc204678194 \h </w:instrText>
        </w:r>
        <w:r w:rsidRPr="005922F8">
          <w:rPr>
            <w:b w:val="0"/>
            <w:bCs/>
            <w:webHidden/>
          </w:rPr>
        </w:r>
        <w:r w:rsidRPr="005922F8">
          <w:rPr>
            <w:b w:val="0"/>
            <w:bCs/>
            <w:webHidden/>
          </w:rPr>
          <w:fldChar w:fldCharType="separate"/>
        </w:r>
        <w:r w:rsidR="00BC4A0C">
          <w:rPr>
            <w:b w:val="0"/>
            <w:bCs/>
            <w:webHidden/>
          </w:rPr>
          <w:t>76</w:t>
        </w:r>
        <w:r w:rsidRPr="005922F8">
          <w:rPr>
            <w:b w:val="0"/>
            <w:bCs/>
            <w:webHidden/>
          </w:rPr>
          <w:fldChar w:fldCharType="end"/>
        </w:r>
      </w:hyperlink>
    </w:p>
    <w:p w14:paraId="18C7A2E4" w14:textId="19D6D4A9" w:rsidR="005922F8" w:rsidRPr="005922F8" w:rsidRDefault="005922F8">
      <w:pPr>
        <w:pStyle w:val="Obsah3"/>
        <w:tabs>
          <w:tab w:val="left" w:pos="2127"/>
        </w:tabs>
        <w:rPr>
          <w:rFonts w:asciiTheme="minorHAnsi" w:eastAsiaTheme="minorEastAsia" w:hAnsiTheme="minorHAnsi"/>
          <w:b w:val="0"/>
          <w:bCs/>
          <w:kern w:val="2"/>
          <w:sz w:val="24"/>
          <w:szCs w:val="24"/>
          <w:lang w:eastAsia="cs-CZ"/>
          <w14:ligatures w14:val="standardContextual"/>
        </w:rPr>
      </w:pPr>
      <w:hyperlink w:anchor="_Toc204678195" w:history="1">
        <w:r w:rsidRPr="005922F8">
          <w:rPr>
            <w:rStyle w:val="Hypertextovodkaz"/>
            <w:rFonts w:asciiTheme="majorHAnsi" w:hAnsiTheme="majorHAnsi" w:cstheme="majorHAnsi"/>
            <w:b w:val="0"/>
            <w:bCs/>
          </w:rPr>
          <w:t>11.3.3</w:t>
        </w:r>
        <w:r w:rsidRPr="005922F8">
          <w:rPr>
            <w:rFonts w:asciiTheme="minorHAnsi" w:eastAsiaTheme="minorEastAsia" w:hAnsiTheme="minorHAnsi"/>
            <w:b w:val="0"/>
            <w:bCs/>
            <w:kern w:val="2"/>
            <w:sz w:val="24"/>
            <w:szCs w:val="24"/>
            <w:lang w:eastAsia="cs-CZ"/>
            <w14:ligatures w14:val="standardContextual"/>
          </w:rPr>
          <w:tab/>
        </w:r>
        <w:r w:rsidRPr="005922F8">
          <w:rPr>
            <w:rStyle w:val="Hypertextovodkaz"/>
            <w:rFonts w:asciiTheme="majorHAnsi" w:hAnsiTheme="majorHAnsi" w:cstheme="majorHAnsi"/>
            <w:b w:val="0"/>
            <w:bCs/>
          </w:rPr>
          <w:t>Odůvodnění vymezení zastavitelných ploch</w:t>
        </w:r>
        <w:r w:rsidRPr="005922F8">
          <w:rPr>
            <w:b w:val="0"/>
            <w:bCs/>
            <w:webHidden/>
          </w:rPr>
          <w:tab/>
        </w:r>
        <w:r w:rsidRPr="005922F8">
          <w:rPr>
            <w:b w:val="0"/>
            <w:bCs/>
            <w:webHidden/>
          </w:rPr>
          <w:fldChar w:fldCharType="begin"/>
        </w:r>
        <w:r w:rsidRPr="005922F8">
          <w:rPr>
            <w:b w:val="0"/>
            <w:bCs/>
            <w:webHidden/>
          </w:rPr>
          <w:instrText xml:space="preserve"> PAGEREF _Toc204678195 \h </w:instrText>
        </w:r>
        <w:r w:rsidRPr="005922F8">
          <w:rPr>
            <w:b w:val="0"/>
            <w:bCs/>
            <w:webHidden/>
          </w:rPr>
        </w:r>
        <w:r w:rsidRPr="005922F8">
          <w:rPr>
            <w:b w:val="0"/>
            <w:bCs/>
            <w:webHidden/>
          </w:rPr>
          <w:fldChar w:fldCharType="separate"/>
        </w:r>
        <w:r w:rsidR="00BC4A0C">
          <w:rPr>
            <w:b w:val="0"/>
            <w:bCs/>
            <w:webHidden/>
          </w:rPr>
          <w:t>77</w:t>
        </w:r>
        <w:r w:rsidRPr="005922F8">
          <w:rPr>
            <w:b w:val="0"/>
            <w:bCs/>
            <w:webHidden/>
          </w:rPr>
          <w:fldChar w:fldCharType="end"/>
        </w:r>
      </w:hyperlink>
    </w:p>
    <w:p w14:paraId="3DC0B6E1" w14:textId="77446524" w:rsidR="005922F8" w:rsidRPr="005922F8" w:rsidRDefault="005922F8">
      <w:pPr>
        <w:pStyle w:val="Obsah3"/>
        <w:tabs>
          <w:tab w:val="left" w:pos="2127"/>
        </w:tabs>
        <w:rPr>
          <w:rFonts w:asciiTheme="minorHAnsi" w:eastAsiaTheme="minorEastAsia" w:hAnsiTheme="minorHAnsi"/>
          <w:b w:val="0"/>
          <w:bCs/>
          <w:kern w:val="2"/>
          <w:sz w:val="24"/>
          <w:szCs w:val="24"/>
          <w:lang w:eastAsia="cs-CZ"/>
          <w14:ligatures w14:val="standardContextual"/>
        </w:rPr>
      </w:pPr>
      <w:hyperlink w:anchor="_Toc204678196" w:history="1">
        <w:r w:rsidRPr="005922F8">
          <w:rPr>
            <w:rStyle w:val="Hypertextovodkaz"/>
            <w:rFonts w:asciiTheme="majorHAnsi" w:hAnsiTheme="majorHAnsi" w:cstheme="majorHAnsi"/>
            <w:b w:val="0"/>
            <w:bCs/>
          </w:rPr>
          <w:t>11.3.4</w:t>
        </w:r>
        <w:r w:rsidRPr="005922F8">
          <w:rPr>
            <w:rFonts w:asciiTheme="minorHAnsi" w:eastAsiaTheme="minorEastAsia" w:hAnsiTheme="minorHAnsi"/>
            <w:b w:val="0"/>
            <w:bCs/>
            <w:kern w:val="2"/>
            <w:sz w:val="24"/>
            <w:szCs w:val="24"/>
            <w:lang w:eastAsia="cs-CZ"/>
            <w14:ligatures w14:val="standardContextual"/>
          </w:rPr>
          <w:tab/>
        </w:r>
        <w:r w:rsidRPr="005922F8">
          <w:rPr>
            <w:rStyle w:val="Hypertextovodkaz"/>
            <w:rFonts w:asciiTheme="majorHAnsi" w:hAnsiTheme="majorHAnsi" w:cstheme="majorHAnsi"/>
            <w:b w:val="0"/>
            <w:bCs/>
          </w:rPr>
          <w:t>Odůvodnění vymezení systému sídelní zeleně</w:t>
        </w:r>
        <w:r w:rsidRPr="005922F8">
          <w:rPr>
            <w:b w:val="0"/>
            <w:bCs/>
            <w:webHidden/>
          </w:rPr>
          <w:tab/>
        </w:r>
        <w:r w:rsidRPr="005922F8">
          <w:rPr>
            <w:b w:val="0"/>
            <w:bCs/>
            <w:webHidden/>
          </w:rPr>
          <w:fldChar w:fldCharType="begin"/>
        </w:r>
        <w:r w:rsidRPr="005922F8">
          <w:rPr>
            <w:b w:val="0"/>
            <w:bCs/>
            <w:webHidden/>
          </w:rPr>
          <w:instrText xml:space="preserve"> PAGEREF _Toc204678196 \h </w:instrText>
        </w:r>
        <w:r w:rsidRPr="005922F8">
          <w:rPr>
            <w:b w:val="0"/>
            <w:bCs/>
            <w:webHidden/>
          </w:rPr>
        </w:r>
        <w:r w:rsidRPr="005922F8">
          <w:rPr>
            <w:b w:val="0"/>
            <w:bCs/>
            <w:webHidden/>
          </w:rPr>
          <w:fldChar w:fldCharType="separate"/>
        </w:r>
        <w:r w:rsidR="00BC4A0C">
          <w:rPr>
            <w:b w:val="0"/>
            <w:bCs/>
            <w:webHidden/>
          </w:rPr>
          <w:t>85</w:t>
        </w:r>
        <w:r w:rsidRPr="005922F8">
          <w:rPr>
            <w:b w:val="0"/>
            <w:bCs/>
            <w:webHidden/>
          </w:rPr>
          <w:fldChar w:fldCharType="end"/>
        </w:r>
      </w:hyperlink>
    </w:p>
    <w:p w14:paraId="2534BC78" w14:textId="21B3C352" w:rsidR="005922F8" w:rsidRPr="005922F8" w:rsidRDefault="005922F8">
      <w:pPr>
        <w:pStyle w:val="Obsah2"/>
        <w:rPr>
          <w:rFonts w:asciiTheme="minorHAnsi" w:eastAsiaTheme="minorEastAsia" w:hAnsiTheme="minorHAnsi" w:cstheme="minorBidi"/>
          <w:b w:val="0"/>
          <w:kern w:val="2"/>
          <w:sz w:val="24"/>
          <w:szCs w:val="24"/>
          <w:lang w:eastAsia="cs-CZ"/>
          <w14:ligatures w14:val="standardContextual"/>
        </w:rPr>
      </w:pPr>
      <w:hyperlink w:anchor="_Toc204678197" w:history="1">
        <w:r w:rsidRPr="005922F8">
          <w:rPr>
            <w:rStyle w:val="Hypertextovodkaz"/>
            <w:b w:val="0"/>
          </w:rPr>
          <w:t>11.4</w:t>
        </w:r>
        <w:r w:rsidRPr="005922F8">
          <w:rPr>
            <w:rFonts w:asciiTheme="minorHAnsi" w:eastAsiaTheme="minorEastAsia" w:hAnsiTheme="minorHAnsi" w:cstheme="minorBidi"/>
            <w:b w:val="0"/>
            <w:kern w:val="2"/>
            <w:sz w:val="24"/>
            <w:szCs w:val="24"/>
            <w:lang w:eastAsia="cs-CZ"/>
            <w14:ligatures w14:val="standardContextual"/>
          </w:rPr>
          <w:tab/>
        </w:r>
        <w:r w:rsidRPr="005922F8">
          <w:rPr>
            <w:rStyle w:val="Hypertextovodkaz"/>
            <w:b w:val="0"/>
          </w:rPr>
          <w:t>Odůvodnění koncepce veřejné infrastruktury</w:t>
        </w:r>
        <w:r w:rsidRPr="005922F8">
          <w:rPr>
            <w:b w:val="0"/>
            <w:webHidden/>
          </w:rPr>
          <w:tab/>
        </w:r>
        <w:r w:rsidRPr="005922F8">
          <w:rPr>
            <w:b w:val="0"/>
            <w:webHidden/>
          </w:rPr>
          <w:fldChar w:fldCharType="begin"/>
        </w:r>
        <w:r w:rsidRPr="005922F8">
          <w:rPr>
            <w:b w:val="0"/>
            <w:webHidden/>
          </w:rPr>
          <w:instrText xml:space="preserve"> PAGEREF _Toc204678197 \h </w:instrText>
        </w:r>
        <w:r w:rsidRPr="005922F8">
          <w:rPr>
            <w:b w:val="0"/>
            <w:webHidden/>
          </w:rPr>
        </w:r>
        <w:r w:rsidRPr="005922F8">
          <w:rPr>
            <w:b w:val="0"/>
            <w:webHidden/>
          </w:rPr>
          <w:fldChar w:fldCharType="separate"/>
        </w:r>
        <w:r w:rsidR="00BC4A0C">
          <w:rPr>
            <w:b w:val="0"/>
            <w:webHidden/>
          </w:rPr>
          <w:t>86</w:t>
        </w:r>
        <w:r w:rsidRPr="005922F8">
          <w:rPr>
            <w:b w:val="0"/>
            <w:webHidden/>
          </w:rPr>
          <w:fldChar w:fldCharType="end"/>
        </w:r>
      </w:hyperlink>
    </w:p>
    <w:p w14:paraId="732EFC31" w14:textId="4571EB29" w:rsidR="005922F8" w:rsidRPr="005922F8" w:rsidRDefault="005922F8">
      <w:pPr>
        <w:pStyle w:val="Obsah3"/>
        <w:tabs>
          <w:tab w:val="left" w:pos="2127"/>
        </w:tabs>
        <w:rPr>
          <w:rFonts w:asciiTheme="minorHAnsi" w:eastAsiaTheme="minorEastAsia" w:hAnsiTheme="minorHAnsi"/>
          <w:b w:val="0"/>
          <w:bCs/>
          <w:kern w:val="2"/>
          <w:sz w:val="24"/>
          <w:szCs w:val="24"/>
          <w:lang w:eastAsia="cs-CZ"/>
          <w14:ligatures w14:val="standardContextual"/>
        </w:rPr>
      </w:pPr>
      <w:hyperlink w:anchor="_Toc204678198" w:history="1">
        <w:r w:rsidRPr="005922F8">
          <w:rPr>
            <w:rStyle w:val="Hypertextovodkaz"/>
            <w:rFonts w:asciiTheme="majorHAnsi" w:hAnsiTheme="majorHAnsi" w:cstheme="majorHAnsi"/>
            <w:b w:val="0"/>
            <w:bCs/>
          </w:rPr>
          <w:t>11.4.1</w:t>
        </w:r>
        <w:r w:rsidRPr="005922F8">
          <w:rPr>
            <w:rFonts w:asciiTheme="minorHAnsi" w:eastAsiaTheme="minorEastAsia" w:hAnsiTheme="minorHAnsi"/>
            <w:b w:val="0"/>
            <w:bCs/>
            <w:kern w:val="2"/>
            <w:sz w:val="24"/>
            <w:szCs w:val="24"/>
            <w:lang w:eastAsia="cs-CZ"/>
            <w14:ligatures w14:val="standardContextual"/>
          </w:rPr>
          <w:tab/>
        </w:r>
        <w:r w:rsidRPr="005922F8">
          <w:rPr>
            <w:rStyle w:val="Hypertextovodkaz"/>
            <w:rFonts w:asciiTheme="majorHAnsi" w:hAnsiTheme="majorHAnsi" w:cstheme="majorHAnsi"/>
            <w:b w:val="0"/>
            <w:bCs/>
          </w:rPr>
          <w:t>Odůvodnění koncepce občanského vybavení</w:t>
        </w:r>
        <w:r w:rsidRPr="005922F8">
          <w:rPr>
            <w:b w:val="0"/>
            <w:bCs/>
            <w:webHidden/>
          </w:rPr>
          <w:tab/>
        </w:r>
        <w:r w:rsidRPr="005922F8">
          <w:rPr>
            <w:b w:val="0"/>
            <w:bCs/>
            <w:webHidden/>
          </w:rPr>
          <w:fldChar w:fldCharType="begin"/>
        </w:r>
        <w:r w:rsidRPr="005922F8">
          <w:rPr>
            <w:b w:val="0"/>
            <w:bCs/>
            <w:webHidden/>
          </w:rPr>
          <w:instrText xml:space="preserve"> PAGEREF _Toc204678198 \h </w:instrText>
        </w:r>
        <w:r w:rsidRPr="005922F8">
          <w:rPr>
            <w:b w:val="0"/>
            <w:bCs/>
            <w:webHidden/>
          </w:rPr>
        </w:r>
        <w:r w:rsidRPr="005922F8">
          <w:rPr>
            <w:b w:val="0"/>
            <w:bCs/>
            <w:webHidden/>
          </w:rPr>
          <w:fldChar w:fldCharType="separate"/>
        </w:r>
        <w:r w:rsidR="00BC4A0C">
          <w:rPr>
            <w:b w:val="0"/>
            <w:bCs/>
            <w:webHidden/>
          </w:rPr>
          <w:t>86</w:t>
        </w:r>
        <w:r w:rsidRPr="005922F8">
          <w:rPr>
            <w:b w:val="0"/>
            <w:bCs/>
            <w:webHidden/>
          </w:rPr>
          <w:fldChar w:fldCharType="end"/>
        </w:r>
      </w:hyperlink>
    </w:p>
    <w:p w14:paraId="6C8DD145" w14:textId="72FA29C3" w:rsidR="005922F8" w:rsidRPr="005922F8" w:rsidRDefault="005922F8">
      <w:pPr>
        <w:pStyle w:val="Obsah3"/>
        <w:tabs>
          <w:tab w:val="left" w:pos="2127"/>
        </w:tabs>
        <w:rPr>
          <w:rFonts w:asciiTheme="minorHAnsi" w:eastAsiaTheme="minorEastAsia" w:hAnsiTheme="minorHAnsi"/>
          <w:b w:val="0"/>
          <w:bCs/>
          <w:kern w:val="2"/>
          <w:sz w:val="24"/>
          <w:szCs w:val="24"/>
          <w:lang w:eastAsia="cs-CZ"/>
          <w14:ligatures w14:val="standardContextual"/>
        </w:rPr>
      </w:pPr>
      <w:hyperlink w:anchor="_Toc204678199" w:history="1">
        <w:r w:rsidRPr="005922F8">
          <w:rPr>
            <w:rStyle w:val="Hypertextovodkaz"/>
            <w:rFonts w:asciiTheme="majorHAnsi" w:hAnsiTheme="majorHAnsi" w:cstheme="majorHAnsi"/>
            <w:b w:val="0"/>
            <w:bCs/>
          </w:rPr>
          <w:t>11.4.2</w:t>
        </w:r>
        <w:r w:rsidRPr="005922F8">
          <w:rPr>
            <w:rFonts w:asciiTheme="minorHAnsi" w:eastAsiaTheme="minorEastAsia" w:hAnsiTheme="minorHAnsi"/>
            <w:b w:val="0"/>
            <w:bCs/>
            <w:kern w:val="2"/>
            <w:sz w:val="24"/>
            <w:szCs w:val="24"/>
            <w:lang w:eastAsia="cs-CZ"/>
            <w14:ligatures w14:val="standardContextual"/>
          </w:rPr>
          <w:tab/>
        </w:r>
        <w:r w:rsidRPr="005922F8">
          <w:rPr>
            <w:rStyle w:val="Hypertextovodkaz"/>
            <w:rFonts w:asciiTheme="majorHAnsi" w:hAnsiTheme="majorHAnsi" w:cstheme="majorHAnsi"/>
            <w:b w:val="0"/>
            <w:bCs/>
          </w:rPr>
          <w:t>Odůvodnění koncepce veřejných prostranství</w:t>
        </w:r>
        <w:r w:rsidRPr="005922F8">
          <w:rPr>
            <w:b w:val="0"/>
            <w:bCs/>
            <w:webHidden/>
          </w:rPr>
          <w:tab/>
        </w:r>
        <w:r w:rsidRPr="005922F8">
          <w:rPr>
            <w:b w:val="0"/>
            <w:bCs/>
            <w:webHidden/>
          </w:rPr>
          <w:fldChar w:fldCharType="begin"/>
        </w:r>
        <w:r w:rsidRPr="005922F8">
          <w:rPr>
            <w:b w:val="0"/>
            <w:bCs/>
            <w:webHidden/>
          </w:rPr>
          <w:instrText xml:space="preserve"> PAGEREF _Toc204678199 \h </w:instrText>
        </w:r>
        <w:r w:rsidRPr="005922F8">
          <w:rPr>
            <w:b w:val="0"/>
            <w:bCs/>
            <w:webHidden/>
          </w:rPr>
        </w:r>
        <w:r w:rsidRPr="005922F8">
          <w:rPr>
            <w:b w:val="0"/>
            <w:bCs/>
            <w:webHidden/>
          </w:rPr>
          <w:fldChar w:fldCharType="separate"/>
        </w:r>
        <w:r w:rsidR="00BC4A0C">
          <w:rPr>
            <w:b w:val="0"/>
            <w:bCs/>
            <w:webHidden/>
          </w:rPr>
          <w:t>87</w:t>
        </w:r>
        <w:r w:rsidRPr="005922F8">
          <w:rPr>
            <w:b w:val="0"/>
            <w:bCs/>
            <w:webHidden/>
          </w:rPr>
          <w:fldChar w:fldCharType="end"/>
        </w:r>
      </w:hyperlink>
    </w:p>
    <w:p w14:paraId="17A22C72" w14:textId="5B3BFE5D" w:rsidR="005922F8" w:rsidRPr="005922F8" w:rsidRDefault="005922F8">
      <w:pPr>
        <w:pStyle w:val="Obsah3"/>
        <w:tabs>
          <w:tab w:val="left" w:pos="2127"/>
        </w:tabs>
        <w:rPr>
          <w:rFonts w:asciiTheme="minorHAnsi" w:eastAsiaTheme="minorEastAsia" w:hAnsiTheme="minorHAnsi"/>
          <w:b w:val="0"/>
          <w:bCs/>
          <w:kern w:val="2"/>
          <w:sz w:val="24"/>
          <w:szCs w:val="24"/>
          <w:lang w:eastAsia="cs-CZ"/>
          <w14:ligatures w14:val="standardContextual"/>
        </w:rPr>
      </w:pPr>
      <w:hyperlink w:anchor="_Toc204678200" w:history="1">
        <w:r w:rsidRPr="005922F8">
          <w:rPr>
            <w:rStyle w:val="Hypertextovodkaz"/>
            <w:rFonts w:asciiTheme="majorHAnsi" w:hAnsiTheme="majorHAnsi" w:cstheme="majorHAnsi"/>
            <w:b w:val="0"/>
            <w:bCs/>
          </w:rPr>
          <w:t>11.4.3</w:t>
        </w:r>
        <w:r w:rsidRPr="005922F8">
          <w:rPr>
            <w:rFonts w:asciiTheme="minorHAnsi" w:eastAsiaTheme="minorEastAsia" w:hAnsiTheme="minorHAnsi"/>
            <w:b w:val="0"/>
            <w:bCs/>
            <w:kern w:val="2"/>
            <w:sz w:val="24"/>
            <w:szCs w:val="24"/>
            <w:lang w:eastAsia="cs-CZ"/>
            <w14:ligatures w14:val="standardContextual"/>
          </w:rPr>
          <w:tab/>
        </w:r>
        <w:r w:rsidRPr="005922F8">
          <w:rPr>
            <w:rStyle w:val="Hypertextovodkaz"/>
            <w:rFonts w:asciiTheme="majorHAnsi" w:hAnsiTheme="majorHAnsi" w:cstheme="majorHAnsi"/>
            <w:b w:val="0"/>
            <w:bCs/>
          </w:rPr>
          <w:t>Odůvodnění koncepce dopravní infrastruktury</w:t>
        </w:r>
        <w:r w:rsidRPr="005922F8">
          <w:rPr>
            <w:b w:val="0"/>
            <w:bCs/>
            <w:webHidden/>
          </w:rPr>
          <w:tab/>
        </w:r>
        <w:r w:rsidRPr="005922F8">
          <w:rPr>
            <w:b w:val="0"/>
            <w:bCs/>
            <w:webHidden/>
          </w:rPr>
          <w:fldChar w:fldCharType="begin"/>
        </w:r>
        <w:r w:rsidRPr="005922F8">
          <w:rPr>
            <w:b w:val="0"/>
            <w:bCs/>
            <w:webHidden/>
          </w:rPr>
          <w:instrText xml:space="preserve"> PAGEREF _Toc204678200 \h </w:instrText>
        </w:r>
        <w:r w:rsidRPr="005922F8">
          <w:rPr>
            <w:b w:val="0"/>
            <w:bCs/>
            <w:webHidden/>
          </w:rPr>
        </w:r>
        <w:r w:rsidRPr="005922F8">
          <w:rPr>
            <w:b w:val="0"/>
            <w:bCs/>
            <w:webHidden/>
          </w:rPr>
          <w:fldChar w:fldCharType="separate"/>
        </w:r>
        <w:r w:rsidR="00BC4A0C">
          <w:rPr>
            <w:b w:val="0"/>
            <w:bCs/>
            <w:webHidden/>
          </w:rPr>
          <w:t>88</w:t>
        </w:r>
        <w:r w:rsidRPr="005922F8">
          <w:rPr>
            <w:b w:val="0"/>
            <w:bCs/>
            <w:webHidden/>
          </w:rPr>
          <w:fldChar w:fldCharType="end"/>
        </w:r>
      </w:hyperlink>
    </w:p>
    <w:p w14:paraId="438FC5F0" w14:textId="4BBCD796" w:rsidR="005922F8" w:rsidRPr="005922F8" w:rsidRDefault="005922F8">
      <w:pPr>
        <w:pStyle w:val="Obsah3"/>
        <w:tabs>
          <w:tab w:val="left" w:pos="2127"/>
        </w:tabs>
        <w:rPr>
          <w:rFonts w:asciiTheme="minorHAnsi" w:eastAsiaTheme="minorEastAsia" w:hAnsiTheme="minorHAnsi"/>
          <w:b w:val="0"/>
          <w:bCs/>
          <w:kern w:val="2"/>
          <w:sz w:val="24"/>
          <w:szCs w:val="24"/>
          <w:lang w:eastAsia="cs-CZ"/>
          <w14:ligatures w14:val="standardContextual"/>
        </w:rPr>
      </w:pPr>
      <w:hyperlink w:anchor="_Toc204678201" w:history="1">
        <w:r w:rsidRPr="005922F8">
          <w:rPr>
            <w:rStyle w:val="Hypertextovodkaz"/>
            <w:rFonts w:asciiTheme="majorHAnsi" w:hAnsiTheme="majorHAnsi" w:cstheme="majorHAnsi"/>
            <w:b w:val="0"/>
            <w:bCs/>
          </w:rPr>
          <w:t>11.4.4</w:t>
        </w:r>
        <w:r w:rsidRPr="005922F8">
          <w:rPr>
            <w:rFonts w:asciiTheme="minorHAnsi" w:eastAsiaTheme="minorEastAsia" w:hAnsiTheme="minorHAnsi"/>
            <w:b w:val="0"/>
            <w:bCs/>
            <w:kern w:val="2"/>
            <w:sz w:val="24"/>
            <w:szCs w:val="24"/>
            <w:lang w:eastAsia="cs-CZ"/>
            <w14:ligatures w14:val="standardContextual"/>
          </w:rPr>
          <w:tab/>
        </w:r>
        <w:r w:rsidRPr="005922F8">
          <w:rPr>
            <w:rStyle w:val="Hypertextovodkaz"/>
            <w:rFonts w:asciiTheme="majorHAnsi" w:hAnsiTheme="majorHAnsi" w:cstheme="majorHAnsi"/>
            <w:b w:val="0"/>
            <w:bCs/>
          </w:rPr>
          <w:t>Odůvodnění koncepce technické infrastruktury</w:t>
        </w:r>
        <w:r w:rsidRPr="005922F8">
          <w:rPr>
            <w:b w:val="0"/>
            <w:bCs/>
            <w:webHidden/>
          </w:rPr>
          <w:tab/>
        </w:r>
        <w:r w:rsidRPr="005922F8">
          <w:rPr>
            <w:b w:val="0"/>
            <w:bCs/>
            <w:webHidden/>
          </w:rPr>
          <w:fldChar w:fldCharType="begin"/>
        </w:r>
        <w:r w:rsidRPr="005922F8">
          <w:rPr>
            <w:b w:val="0"/>
            <w:bCs/>
            <w:webHidden/>
          </w:rPr>
          <w:instrText xml:space="preserve"> PAGEREF _Toc204678201 \h </w:instrText>
        </w:r>
        <w:r w:rsidRPr="005922F8">
          <w:rPr>
            <w:b w:val="0"/>
            <w:bCs/>
            <w:webHidden/>
          </w:rPr>
        </w:r>
        <w:r w:rsidRPr="005922F8">
          <w:rPr>
            <w:b w:val="0"/>
            <w:bCs/>
            <w:webHidden/>
          </w:rPr>
          <w:fldChar w:fldCharType="separate"/>
        </w:r>
        <w:r w:rsidR="00BC4A0C">
          <w:rPr>
            <w:b w:val="0"/>
            <w:bCs/>
            <w:webHidden/>
          </w:rPr>
          <w:t>100</w:t>
        </w:r>
        <w:r w:rsidRPr="005922F8">
          <w:rPr>
            <w:b w:val="0"/>
            <w:bCs/>
            <w:webHidden/>
          </w:rPr>
          <w:fldChar w:fldCharType="end"/>
        </w:r>
      </w:hyperlink>
    </w:p>
    <w:p w14:paraId="7DA96EB0" w14:textId="2BE93802" w:rsidR="005922F8" w:rsidRPr="005922F8" w:rsidRDefault="005922F8">
      <w:pPr>
        <w:pStyle w:val="Obsah2"/>
        <w:rPr>
          <w:rFonts w:asciiTheme="minorHAnsi" w:eastAsiaTheme="minorEastAsia" w:hAnsiTheme="minorHAnsi" w:cstheme="minorBidi"/>
          <w:b w:val="0"/>
          <w:kern w:val="2"/>
          <w:sz w:val="24"/>
          <w:szCs w:val="24"/>
          <w:lang w:eastAsia="cs-CZ"/>
          <w14:ligatures w14:val="standardContextual"/>
        </w:rPr>
      </w:pPr>
      <w:hyperlink w:anchor="_Toc204678202" w:history="1">
        <w:r w:rsidRPr="005922F8">
          <w:rPr>
            <w:rStyle w:val="Hypertextovodkaz"/>
            <w:b w:val="0"/>
          </w:rPr>
          <w:t>11.5</w:t>
        </w:r>
        <w:r w:rsidRPr="005922F8">
          <w:rPr>
            <w:rFonts w:asciiTheme="minorHAnsi" w:eastAsiaTheme="minorEastAsia" w:hAnsiTheme="minorHAnsi" w:cstheme="minorBidi"/>
            <w:b w:val="0"/>
            <w:kern w:val="2"/>
            <w:sz w:val="24"/>
            <w:szCs w:val="24"/>
            <w:lang w:eastAsia="cs-CZ"/>
            <w14:ligatures w14:val="standardContextual"/>
          </w:rPr>
          <w:tab/>
        </w:r>
        <w:r w:rsidRPr="005922F8">
          <w:rPr>
            <w:rStyle w:val="Hypertextovodkaz"/>
            <w:b w:val="0"/>
          </w:rPr>
          <w:t>Odůvodnění koncepce uspořádání krajiny</w:t>
        </w:r>
        <w:r w:rsidRPr="005922F8">
          <w:rPr>
            <w:b w:val="0"/>
            <w:webHidden/>
          </w:rPr>
          <w:tab/>
        </w:r>
        <w:r w:rsidRPr="005922F8">
          <w:rPr>
            <w:b w:val="0"/>
            <w:webHidden/>
          </w:rPr>
          <w:fldChar w:fldCharType="begin"/>
        </w:r>
        <w:r w:rsidRPr="005922F8">
          <w:rPr>
            <w:b w:val="0"/>
            <w:webHidden/>
          </w:rPr>
          <w:instrText xml:space="preserve"> PAGEREF _Toc204678202 \h </w:instrText>
        </w:r>
        <w:r w:rsidRPr="005922F8">
          <w:rPr>
            <w:b w:val="0"/>
            <w:webHidden/>
          </w:rPr>
        </w:r>
        <w:r w:rsidRPr="005922F8">
          <w:rPr>
            <w:b w:val="0"/>
            <w:webHidden/>
          </w:rPr>
          <w:fldChar w:fldCharType="separate"/>
        </w:r>
        <w:r w:rsidR="00BC4A0C">
          <w:rPr>
            <w:b w:val="0"/>
            <w:webHidden/>
          </w:rPr>
          <w:t>110</w:t>
        </w:r>
        <w:r w:rsidRPr="005922F8">
          <w:rPr>
            <w:b w:val="0"/>
            <w:webHidden/>
          </w:rPr>
          <w:fldChar w:fldCharType="end"/>
        </w:r>
      </w:hyperlink>
    </w:p>
    <w:p w14:paraId="6808425B" w14:textId="68586DC2" w:rsidR="005922F8" w:rsidRPr="005922F8" w:rsidRDefault="005922F8">
      <w:pPr>
        <w:pStyle w:val="Obsah3"/>
        <w:tabs>
          <w:tab w:val="left" w:pos="2127"/>
        </w:tabs>
        <w:rPr>
          <w:rFonts w:asciiTheme="minorHAnsi" w:eastAsiaTheme="minorEastAsia" w:hAnsiTheme="minorHAnsi"/>
          <w:b w:val="0"/>
          <w:bCs/>
          <w:kern w:val="2"/>
          <w:sz w:val="24"/>
          <w:szCs w:val="24"/>
          <w:lang w:eastAsia="cs-CZ"/>
          <w14:ligatures w14:val="standardContextual"/>
        </w:rPr>
      </w:pPr>
      <w:hyperlink w:anchor="_Toc204678203" w:history="1">
        <w:r w:rsidRPr="005922F8">
          <w:rPr>
            <w:rStyle w:val="Hypertextovodkaz"/>
            <w:rFonts w:asciiTheme="majorHAnsi" w:hAnsiTheme="majorHAnsi" w:cstheme="majorHAnsi"/>
            <w:b w:val="0"/>
            <w:bCs/>
          </w:rPr>
          <w:t>11.5.1</w:t>
        </w:r>
        <w:r w:rsidRPr="005922F8">
          <w:rPr>
            <w:rFonts w:asciiTheme="minorHAnsi" w:eastAsiaTheme="minorEastAsia" w:hAnsiTheme="minorHAnsi"/>
            <w:b w:val="0"/>
            <w:bCs/>
            <w:kern w:val="2"/>
            <w:sz w:val="24"/>
            <w:szCs w:val="24"/>
            <w:lang w:eastAsia="cs-CZ"/>
            <w14:ligatures w14:val="standardContextual"/>
          </w:rPr>
          <w:tab/>
        </w:r>
        <w:r w:rsidRPr="005922F8">
          <w:rPr>
            <w:rStyle w:val="Hypertextovodkaz"/>
            <w:rFonts w:asciiTheme="majorHAnsi" w:hAnsiTheme="majorHAnsi" w:cstheme="majorHAnsi"/>
            <w:b w:val="0"/>
            <w:bCs/>
          </w:rPr>
          <w:t>Východiska pro návrh řešení – přírodní podmínky v území</w:t>
        </w:r>
        <w:r w:rsidRPr="005922F8">
          <w:rPr>
            <w:b w:val="0"/>
            <w:bCs/>
            <w:webHidden/>
          </w:rPr>
          <w:tab/>
        </w:r>
        <w:r w:rsidRPr="005922F8">
          <w:rPr>
            <w:b w:val="0"/>
            <w:bCs/>
            <w:webHidden/>
          </w:rPr>
          <w:fldChar w:fldCharType="begin"/>
        </w:r>
        <w:r w:rsidRPr="005922F8">
          <w:rPr>
            <w:b w:val="0"/>
            <w:bCs/>
            <w:webHidden/>
          </w:rPr>
          <w:instrText xml:space="preserve"> PAGEREF _Toc204678203 \h </w:instrText>
        </w:r>
        <w:r w:rsidRPr="005922F8">
          <w:rPr>
            <w:b w:val="0"/>
            <w:bCs/>
            <w:webHidden/>
          </w:rPr>
        </w:r>
        <w:r w:rsidRPr="005922F8">
          <w:rPr>
            <w:b w:val="0"/>
            <w:bCs/>
            <w:webHidden/>
          </w:rPr>
          <w:fldChar w:fldCharType="separate"/>
        </w:r>
        <w:r w:rsidR="00BC4A0C">
          <w:rPr>
            <w:b w:val="0"/>
            <w:bCs/>
            <w:webHidden/>
          </w:rPr>
          <w:t>110</w:t>
        </w:r>
        <w:r w:rsidRPr="005922F8">
          <w:rPr>
            <w:b w:val="0"/>
            <w:bCs/>
            <w:webHidden/>
          </w:rPr>
          <w:fldChar w:fldCharType="end"/>
        </w:r>
      </w:hyperlink>
    </w:p>
    <w:p w14:paraId="1FE696F8" w14:textId="3B953823" w:rsidR="005922F8" w:rsidRPr="005922F8" w:rsidRDefault="005922F8">
      <w:pPr>
        <w:pStyle w:val="Obsah3"/>
        <w:tabs>
          <w:tab w:val="left" w:pos="2127"/>
        </w:tabs>
        <w:rPr>
          <w:rFonts w:asciiTheme="minorHAnsi" w:eastAsiaTheme="minorEastAsia" w:hAnsiTheme="minorHAnsi"/>
          <w:b w:val="0"/>
          <w:bCs/>
          <w:kern w:val="2"/>
          <w:sz w:val="24"/>
          <w:szCs w:val="24"/>
          <w:lang w:eastAsia="cs-CZ"/>
          <w14:ligatures w14:val="standardContextual"/>
        </w:rPr>
      </w:pPr>
      <w:hyperlink w:anchor="_Toc204678204" w:history="1">
        <w:r w:rsidRPr="005922F8">
          <w:rPr>
            <w:rStyle w:val="Hypertextovodkaz"/>
            <w:rFonts w:asciiTheme="majorHAnsi" w:hAnsiTheme="majorHAnsi" w:cstheme="majorHAnsi"/>
            <w:b w:val="0"/>
            <w:bCs/>
          </w:rPr>
          <w:t>11.5.2</w:t>
        </w:r>
        <w:r w:rsidRPr="005922F8">
          <w:rPr>
            <w:rFonts w:asciiTheme="minorHAnsi" w:eastAsiaTheme="minorEastAsia" w:hAnsiTheme="minorHAnsi"/>
            <w:b w:val="0"/>
            <w:bCs/>
            <w:kern w:val="2"/>
            <w:sz w:val="24"/>
            <w:szCs w:val="24"/>
            <w:lang w:eastAsia="cs-CZ"/>
            <w14:ligatures w14:val="standardContextual"/>
          </w:rPr>
          <w:tab/>
        </w:r>
        <w:r w:rsidRPr="005922F8">
          <w:rPr>
            <w:rStyle w:val="Hypertextovodkaz"/>
            <w:rFonts w:asciiTheme="majorHAnsi" w:hAnsiTheme="majorHAnsi" w:cstheme="majorHAnsi"/>
            <w:b w:val="0"/>
            <w:bCs/>
          </w:rPr>
          <w:t>Odůvodnění koncepce uspořádání krajiny</w:t>
        </w:r>
        <w:r w:rsidRPr="005922F8">
          <w:rPr>
            <w:b w:val="0"/>
            <w:bCs/>
            <w:webHidden/>
          </w:rPr>
          <w:tab/>
        </w:r>
        <w:r w:rsidRPr="005922F8">
          <w:rPr>
            <w:b w:val="0"/>
            <w:bCs/>
            <w:webHidden/>
          </w:rPr>
          <w:fldChar w:fldCharType="begin"/>
        </w:r>
        <w:r w:rsidRPr="005922F8">
          <w:rPr>
            <w:b w:val="0"/>
            <w:bCs/>
            <w:webHidden/>
          </w:rPr>
          <w:instrText xml:space="preserve"> PAGEREF _Toc204678204 \h </w:instrText>
        </w:r>
        <w:r w:rsidRPr="005922F8">
          <w:rPr>
            <w:b w:val="0"/>
            <w:bCs/>
            <w:webHidden/>
          </w:rPr>
        </w:r>
        <w:r w:rsidRPr="005922F8">
          <w:rPr>
            <w:b w:val="0"/>
            <w:bCs/>
            <w:webHidden/>
          </w:rPr>
          <w:fldChar w:fldCharType="separate"/>
        </w:r>
        <w:r w:rsidR="00BC4A0C">
          <w:rPr>
            <w:b w:val="0"/>
            <w:bCs/>
            <w:webHidden/>
          </w:rPr>
          <w:t>114</w:t>
        </w:r>
        <w:r w:rsidRPr="005922F8">
          <w:rPr>
            <w:b w:val="0"/>
            <w:bCs/>
            <w:webHidden/>
          </w:rPr>
          <w:fldChar w:fldCharType="end"/>
        </w:r>
      </w:hyperlink>
    </w:p>
    <w:p w14:paraId="6C3A6FDF" w14:textId="4E389235" w:rsidR="005922F8" w:rsidRPr="005922F8" w:rsidRDefault="005922F8">
      <w:pPr>
        <w:pStyle w:val="Obsah3"/>
        <w:tabs>
          <w:tab w:val="left" w:pos="2127"/>
        </w:tabs>
        <w:rPr>
          <w:rFonts w:asciiTheme="minorHAnsi" w:eastAsiaTheme="minorEastAsia" w:hAnsiTheme="minorHAnsi"/>
          <w:b w:val="0"/>
          <w:bCs/>
          <w:kern w:val="2"/>
          <w:sz w:val="24"/>
          <w:szCs w:val="24"/>
          <w:lang w:eastAsia="cs-CZ"/>
          <w14:ligatures w14:val="standardContextual"/>
        </w:rPr>
      </w:pPr>
      <w:hyperlink w:anchor="_Toc204678205" w:history="1">
        <w:r w:rsidRPr="005922F8">
          <w:rPr>
            <w:rStyle w:val="Hypertextovodkaz"/>
            <w:rFonts w:asciiTheme="majorHAnsi" w:hAnsiTheme="majorHAnsi" w:cstheme="majorHAnsi"/>
            <w:b w:val="0"/>
            <w:bCs/>
          </w:rPr>
          <w:t>11.5.3</w:t>
        </w:r>
        <w:r w:rsidRPr="005922F8">
          <w:rPr>
            <w:rFonts w:asciiTheme="minorHAnsi" w:eastAsiaTheme="minorEastAsia" w:hAnsiTheme="minorHAnsi"/>
            <w:b w:val="0"/>
            <w:bCs/>
            <w:kern w:val="2"/>
            <w:sz w:val="24"/>
            <w:szCs w:val="24"/>
            <w:lang w:eastAsia="cs-CZ"/>
            <w14:ligatures w14:val="standardContextual"/>
          </w:rPr>
          <w:tab/>
        </w:r>
        <w:r w:rsidRPr="005922F8">
          <w:rPr>
            <w:rStyle w:val="Hypertextovodkaz"/>
            <w:rFonts w:asciiTheme="majorHAnsi" w:hAnsiTheme="majorHAnsi" w:cstheme="majorHAnsi"/>
            <w:b w:val="0"/>
            <w:bCs/>
          </w:rPr>
          <w:t>Odůvodnění vymezení ploch s rozdílným způsobem využití</w:t>
        </w:r>
        <w:r w:rsidRPr="005922F8">
          <w:rPr>
            <w:b w:val="0"/>
            <w:bCs/>
            <w:webHidden/>
          </w:rPr>
          <w:tab/>
        </w:r>
        <w:r w:rsidRPr="005922F8">
          <w:rPr>
            <w:b w:val="0"/>
            <w:bCs/>
            <w:webHidden/>
          </w:rPr>
          <w:fldChar w:fldCharType="begin"/>
        </w:r>
        <w:r w:rsidRPr="005922F8">
          <w:rPr>
            <w:b w:val="0"/>
            <w:bCs/>
            <w:webHidden/>
          </w:rPr>
          <w:instrText xml:space="preserve"> PAGEREF _Toc204678205 \h </w:instrText>
        </w:r>
        <w:r w:rsidRPr="005922F8">
          <w:rPr>
            <w:b w:val="0"/>
            <w:bCs/>
            <w:webHidden/>
          </w:rPr>
        </w:r>
        <w:r w:rsidRPr="005922F8">
          <w:rPr>
            <w:b w:val="0"/>
            <w:bCs/>
            <w:webHidden/>
          </w:rPr>
          <w:fldChar w:fldCharType="separate"/>
        </w:r>
        <w:r w:rsidR="00BC4A0C">
          <w:rPr>
            <w:b w:val="0"/>
            <w:bCs/>
            <w:webHidden/>
          </w:rPr>
          <w:t>116</w:t>
        </w:r>
        <w:r w:rsidRPr="005922F8">
          <w:rPr>
            <w:b w:val="0"/>
            <w:bCs/>
            <w:webHidden/>
          </w:rPr>
          <w:fldChar w:fldCharType="end"/>
        </w:r>
      </w:hyperlink>
    </w:p>
    <w:p w14:paraId="18E2BEAB" w14:textId="6D717368" w:rsidR="005922F8" w:rsidRPr="005922F8" w:rsidRDefault="005922F8">
      <w:pPr>
        <w:pStyle w:val="Obsah3"/>
        <w:tabs>
          <w:tab w:val="left" w:pos="2127"/>
        </w:tabs>
        <w:rPr>
          <w:rFonts w:asciiTheme="minorHAnsi" w:eastAsiaTheme="minorEastAsia" w:hAnsiTheme="minorHAnsi"/>
          <w:b w:val="0"/>
          <w:bCs/>
          <w:kern w:val="2"/>
          <w:sz w:val="24"/>
          <w:szCs w:val="24"/>
          <w:lang w:eastAsia="cs-CZ"/>
          <w14:ligatures w14:val="standardContextual"/>
        </w:rPr>
      </w:pPr>
      <w:hyperlink w:anchor="_Toc204678206" w:history="1">
        <w:r w:rsidRPr="005922F8">
          <w:rPr>
            <w:rStyle w:val="Hypertextovodkaz"/>
            <w:rFonts w:asciiTheme="majorHAnsi" w:hAnsiTheme="majorHAnsi" w:cstheme="majorHAnsi"/>
            <w:b w:val="0"/>
            <w:bCs/>
          </w:rPr>
          <w:t>11.5.4</w:t>
        </w:r>
        <w:r w:rsidRPr="005922F8">
          <w:rPr>
            <w:rFonts w:asciiTheme="minorHAnsi" w:eastAsiaTheme="minorEastAsia" w:hAnsiTheme="minorHAnsi"/>
            <w:b w:val="0"/>
            <w:bCs/>
            <w:kern w:val="2"/>
            <w:sz w:val="24"/>
            <w:szCs w:val="24"/>
            <w:lang w:eastAsia="cs-CZ"/>
            <w14:ligatures w14:val="standardContextual"/>
          </w:rPr>
          <w:tab/>
        </w:r>
        <w:r w:rsidRPr="005922F8">
          <w:rPr>
            <w:rStyle w:val="Hypertextovodkaz"/>
            <w:rFonts w:asciiTheme="majorHAnsi" w:hAnsiTheme="majorHAnsi" w:cstheme="majorHAnsi"/>
            <w:b w:val="0"/>
            <w:bCs/>
          </w:rPr>
          <w:t>Odůvodnění vymezení ploch změn v krajině</w:t>
        </w:r>
        <w:r w:rsidRPr="005922F8">
          <w:rPr>
            <w:b w:val="0"/>
            <w:bCs/>
            <w:webHidden/>
          </w:rPr>
          <w:tab/>
        </w:r>
        <w:r w:rsidRPr="005922F8">
          <w:rPr>
            <w:b w:val="0"/>
            <w:bCs/>
            <w:webHidden/>
          </w:rPr>
          <w:fldChar w:fldCharType="begin"/>
        </w:r>
        <w:r w:rsidRPr="005922F8">
          <w:rPr>
            <w:b w:val="0"/>
            <w:bCs/>
            <w:webHidden/>
          </w:rPr>
          <w:instrText xml:space="preserve"> PAGEREF _Toc204678206 \h </w:instrText>
        </w:r>
        <w:r w:rsidRPr="005922F8">
          <w:rPr>
            <w:b w:val="0"/>
            <w:bCs/>
            <w:webHidden/>
          </w:rPr>
        </w:r>
        <w:r w:rsidRPr="005922F8">
          <w:rPr>
            <w:b w:val="0"/>
            <w:bCs/>
            <w:webHidden/>
          </w:rPr>
          <w:fldChar w:fldCharType="separate"/>
        </w:r>
        <w:r w:rsidR="00BC4A0C">
          <w:rPr>
            <w:b w:val="0"/>
            <w:bCs/>
            <w:webHidden/>
          </w:rPr>
          <w:t>116</w:t>
        </w:r>
        <w:r w:rsidRPr="005922F8">
          <w:rPr>
            <w:b w:val="0"/>
            <w:bCs/>
            <w:webHidden/>
          </w:rPr>
          <w:fldChar w:fldCharType="end"/>
        </w:r>
      </w:hyperlink>
    </w:p>
    <w:p w14:paraId="4DB954F3" w14:textId="2B90A28B" w:rsidR="005922F8" w:rsidRPr="005922F8" w:rsidRDefault="005922F8">
      <w:pPr>
        <w:pStyle w:val="Obsah3"/>
        <w:tabs>
          <w:tab w:val="left" w:pos="2127"/>
        </w:tabs>
        <w:rPr>
          <w:rFonts w:asciiTheme="minorHAnsi" w:eastAsiaTheme="minorEastAsia" w:hAnsiTheme="minorHAnsi"/>
          <w:b w:val="0"/>
          <w:bCs/>
          <w:kern w:val="2"/>
          <w:sz w:val="24"/>
          <w:szCs w:val="24"/>
          <w:lang w:eastAsia="cs-CZ"/>
          <w14:ligatures w14:val="standardContextual"/>
        </w:rPr>
      </w:pPr>
      <w:hyperlink w:anchor="_Toc204678207" w:history="1">
        <w:r w:rsidRPr="005922F8">
          <w:rPr>
            <w:rStyle w:val="Hypertextovodkaz"/>
            <w:rFonts w:asciiTheme="majorHAnsi" w:hAnsiTheme="majorHAnsi" w:cstheme="majorHAnsi"/>
            <w:b w:val="0"/>
            <w:bCs/>
          </w:rPr>
          <w:t>11.5.5</w:t>
        </w:r>
        <w:r w:rsidRPr="005922F8">
          <w:rPr>
            <w:rFonts w:asciiTheme="minorHAnsi" w:eastAsiaTheme="minorEastAsia" w:hAnsiTheme="minorHAnsi"/>
            <w:b w:val="0"/>
            <w:bCs/>
            <w:kern w:val="2"/>
            <w:sz w:val="24"/>
            <w:szCs w:val="24"/>
            <w:lang w:eastAsia="cs-CZ"/>
            <w14:ligatures w14:val="standardContextual"/>
          </w:rPr>
          <w:tab/>
        </w:r>
        <w:r w:rsidRPr="005922F8">
          <w:rPr>
            <w:rStyle w:val="Hypertextovodkaz"/>
            <w:rFonts w:asciiTheme="majorHAnsi" w:hAnsiTheme="majorHAnsi" w:cstheme="majorHAnsi"/>
            <w:b w:val="0"/>
            <w:bCs/>
          </w:rPr>
          <w:t>Odůvodnění vymezení územního systému ekologické stability</w:t>
        </w:r>
        <w:r w:rsidRPr="005922F8">
          <w:rPr>
            <w:b w:val="0"/>
            <w:bCs/>
            <w:webHidden/>
          </w:rPr>
          <w:tab/>
        </w:r>
        <w:r w:rsidRPr="005922F8">
          <w:rPr>
            <w:b w:val="0"/>
            <w:bCs/>
            <w:webHidden/>
          </w:rPr>
          <w:fldChar w:fldCharType="begin"/>
        </w:r>
        <w:r w:rsidRPr="005922F8">
          <w:rPr>
            <w:b w:val="0"/>
            <w:bCs/>
            <w:webHidden/>
          </w:rPr>
          <w:instrText xml:space="preserve"> PAGEREF _Toc204678207 \h </w:instrText>
        </w:r>
        <w:r w:rsidRPr="005922F8">
          <w:rPr>
            <w:b w:val="0"/>
            <w:bCs/>
            <w:webHidden/>
          </w:rPr>
        </w:r>
        <w:r w:rsidRPr="005922F8">
          <w:rPr>
            <w:b w:val="0"/>
            <w:bCs/>
            <w:webHidden/>
          </w:rPr>
          <w:fldChar w:fldCharType="separate"/>
        </w:r>
        <w:r w:rsidR="00BC4A0C">
          <w:rPr>
            <w:b w:val="0"/>
            <w:bCs/>
            <w:webHidden/>
          </w:rPr>
          <w:t>118</w:t>
        </w:r>
        <w:r w:rsidRPr="005922F8">
          <w:rPr>
            <w:b w:val="0"/>
            <w:bCs/>
            <w:webHidden/>
          </w:rPr>
          <w:fldChar w:fldCharType="end"/>
        </w:r>
      </w:hyperlink>
    </w:p>
    <w:p w14:paraId="59FCDC45" w14:textId="07071FC6" w:rsidR="005922F8" w:rsidRPr="005922F8" w:rsidRDefault="005922F8">
      <w:pPr>
        <w:pStyle w:val="Obsah3"/>
        <w:tabs>
          <w:tab w:val="left" w:pos="2127"/>
        </w:tabs>
        <w:rPr>
          <w:rFonts w:asciiTheme="minorHAnsi" w:eastAsiaTheme="minorEastAsia" w:hAnsiTheme="minorHAnsi"/>
          <w:b w:val="0"/>
          <w:bCs/>
          <w:kern w:val="2"/>
          <w:sz w:val="24"/>
          <w:szCs w:val="24"/>
          <w:lang w:eastAsia="cs-CZ"/>
          <w14:ligatures w14:val="standardContextual"/>
        </w:rPr>
      </w:pPr>
      <w:hyperlink w:anchor="_Toc204678208" w:history="1">
        <w:r w:rsidRPr="005922F8">
          <w:rPr>
            <w:rStyle w:val="Hypertextovodkaz"/>
            <w:rFonts w:asciiTheme="majorHAnsi" w:hAnsiTheme="majorHAnsi" w:cstheme="majorHAnsi"/>
            <w:b w:val="0"/>
            <w:bCs/>
          </w:rPr>
          <w:t>11.5.6</w:t>
        </w:r>
        <w:r w:rsidRPr="005922F8">
          <w:rPr>
            <w:rFonts w:asciiTheme="minorHAnsi" w:eastAsiaTheme="minorEastAsia" w:hAnsiTheme="minorHAnsi"/>
            <w:b w:val="0"/>
            <w:bCs/>
            <w:kern w:val="2"/>
            <w:sz w:val="24"/>
            <w:szCs w:val="24"/>
            <w:lang w:eastAsia="cs-CZ"/>
            <w14:ligatures w14:val="standardContextual"/>
          </w:rPr>
          <w:tab/>
        </w:r>
        <w:r w:rsidRPr="005922F8">
          <w:rPr>
            <w:rStyle w:val="Hypertextovodkaz"/>
            <w:rFonts w:asciiTheme="majorHAnsi" w:hAnsiTheme="majorHAnsi" w:cstheme="majorHAnsi"/>
            <w:b w:val="0"/>
            <w:bCs/>
          </w:rPr>
          <w:t>Odůvodnění zásad zajištění prostupnosti krajiny</w:t>
        </w:r>
        <w:r w:rsidRPr="005922F8">
          <w:rPr>
            <w:b w:val="0"/>
            <w:bCs/>
            <w:webHidden/>
          </w:rPr>
          <w:tab/>
        </w:r>
        <w:r w:rsidRPr="005922F8">
          <w:rPr>
            <w:b w:val="0"/>
            <w:bCs/>
            <w:webHidden/>
          </w:rPr>
          <w:fldChar w:fldCharType="begin"/>
        </w:r>
        <w:r w:rsidRPr="005922F8">
          <w:rPr>
            <w:b w:val="0"/>
            <w:bCs/>
            <w:webHidden/>
          </w:rPr>
          <w:instrText xml:space="preserve"> PAGEREF _Toc204678208 \h </w:instrText>
        </w:r>
        <w:r w:rsidRPr="005922F8">
          <w:rPr>
            <w:b w:val="0"/>
            <w:bCs/>
            <w:webHidden/>
          </w:rPr>
        </w:r>
        <w:r w:rsidRPr="005922F8">
          <w:rPr>
            <w:b w:val="0"/>
            <w:bCs/>
            <w:webHidden/>
          </w:rPr>
          <w:fldChar w:fldCharType="separate"/>
        </w:r>
        <w:r w:rsidR="00BC4A0C">
          <w:rPr>
            <w:b w:val="0"/>
            <w:bCs/>
            <w:webHidden/>
          </w:rPr>
          <w:t>123</w:t>
        </w:r>
        <w:r w:rsidRPr="005922F8">
          <w:rPr>
            <w:b w:val="0"/>
            <w:bCs/>
            <w:webHidden/>
          </w:rPr>
          <w:fldChar w:fldCharType="end"/>
        </w:r>
      </w:hyperlink>
    </w:p>
    <w:p w14:paraId="549B35C8" w14:textId="6F1E3FE3" w:rsidR="005922F8" w:rsidRPr="005922F8" w:rsidRDefault="005922F8">
      <w:pPr>
        <w:pStyle w:val="Obsah3"/>
        <w:tabs>
          <w:tab w:val="left" w:pos="2127"/>
        </w:tabs>
        <w:rPr>
          <w:rFonts w:asciiTheme="minorHAnsi" w:eastAsiaTheme="minorEastAsia" w:hAnsiTheme="minorHAnsi"/>
          <w:b w:val="0"/>
          <w:bCs/>
          <w:kern w:val="2"/>
          <w:sz w:val="24"/>
          <w:szCs w:val="24"/>
          <w:lang w:eastAsia="cs-CZ"/>
          <w14:ligatures w14:val="standardContextual"/>
        </w:rPr>
      </w:pPr>
      <w:hyperlink w:anchor="_Toc204678209" w:history="1">
        <w:r w:rsidRPr="005922F8">
          <w:rPr>
            <w:rStyle w:val="Hypertextovodkaz"/>
            <w:rFonts w:asciiTheme="majorHAnsi" w:hAnsiTheme="majorHAnsi" w:cstheme="majorHAnsi"/>
            <w:b w:val="0"/>
            <w:bCs/>
          </w:rPr>
          <w:t>11.5.7</w:t>
        </w:r>
        <w:r w:rsidRPr="005922F8">
          <w:rPr>
            <w:rFonts w:asciiTheme="minorHAnsi" w:eastAsiaTheme="minorEastAsia" w:hAnsiTheme="minorHAnsi"/>
            <w:b w:val="0"/>
            <w:bCs/>
            <w:kern w:val="2"/>
            <w:sz w:val="24"/>
            <w:szCs w:val="24"/>
            <w:lang w:eastAsia="cs-CZ"/>
            <w14:ligatures w14:val="standardContextual"/>
          </w:rPr>
          <w:tab/>
        </w:r>
        <w:r w:rsidRPr="005922F8">
          <w:rPr>
            <w:rStyle w:val="Hypertextovodkaz"/>
            <w:rFonts w:asciiTheme="majorHAnsi" w:hAnsiTheme="majorHAnsi" w:cstheme="majorHAnsi"/>
            <w:b w:val="0"/>
            <w:bCs/>
          </w:rPr>
          <w:t>Odůvodnění protierozních a revitalizačních opatření v krajině</w:t>
        </w:r>
        <w:r w:rsidRPr="005922F8">
          <w:rPr>
            <w:b w:val="0"/>
            <w:bCs/>
            <w:webHidden/>
          </w:rPr>
          <w:tab/>
        </w:r>
        <w:r w:rsidRPr="005922F8">
          <w:rPr>
            <w:b w:val="0"/>
            <w:bCs/>
            <w:webHidden/>
          </w:rPr>
          <w:fldChar w:fldCharType="begin"/>
        </w:r>
        <w:r w:rsidRPr="005922F8">
          <w:rPr>
            <w:b w:val="0"/>
            <w:bCs/>
            <w:webHidden/>
          </w:rPr>
          <w:instrText xml:space="preserve"> PAGEREF _Toc204678209 \h </w:instrText>
        </w:r>
        <w:r w:rsidRPr="005922F8">
          <w:rPr>
            <w:b w:val="0"/>
            <w:bCs/>
            <w:webHidden/>
          </w:rPr>
        </w:r>
        <w:r w:rsidRPr="005922F8">
          <w:rPr>
            <w:b w:val="0"/>
            <w:bCs/>
            <w:webHidden/>
          </w:rPr>
          <w:fldChar w:fldCharType="separate"/>
        </w:r>
        <w:r w:rsidR="00BC4A0C">
          <w:rPr>
            <w:b w:val="0"/>
            <w:bCs/>
            <w:webHidden/>
          </w:rPr>
          <w:t>123</w:t>
        </w:r>
        <w:r w:rsidRPr="005922F8">
          <w:rPr>
            <w:b w:val="0"/>
            <w:bCs/>
            <w:webHidden/>
          </w:rPr>
          <w:fldChar w:fldCharType="end"/>
        </w:r>
      </w:hyperlink>
    </w:p>
    <w:p w14:paraId="616B1704" w14:textId="2EC67CC6" w:rsidR="005922F8" w:rsidRPr="005922F8" w:rsidRDefault="005922F8">
      <w:pPr>
        <w:pStyle w:val="Obsah3"/>
        <w:tabs>
          <w:tab w:val="left" w:pos="2127"/>
        </w:tabs>
        <w:rPr>
          <w:rFonts w:asciiTheme="minorHAnsi" w:eastAsiaTheme="minorEastAsia" w:hAnsiTheme="minorHAnsi"/>
          <w:b w:val="0"/>
          <w:bCs/>
          <w:kern w:val="2"/>
          <w:sz w:val="24"/>
          <w:szCs w:val="24"/>
          <w:lang w:eastAsia="cs-CZ"/>
          <w14:ligatures w14:val="standardContextual"/>
        </w:rPr>
      </w:pPr>
      <w:hyperlink w:anchor="_Toc204678210" w:history="1">
        <w:r w:rsidRPr="005922F8">
          <w:rPr>
            <w:rStyle w:val="Hypertextovodkaz"/>
            <w:rFonts w:asciiTheme="majorHAnsi" w:hAnsiTheme="majorHAnsi" w:cstheme="majorHAnsi"/>
            <w:b w:val="0"/>
            <w:bCs/>
          </w:rPr>
          <w:t>11.5.8</w:t>
        </w:r>
        <w:r w:rsidRPr="005922F8">
          <w:rPr>
            <w:rFonts w:asciiTheme="minorHAnsi" w:eastAsiaTheme="minorEastAsia" w:hAnsiTheme="minorHAnsi"/>
            <w:b w:val="0"/>
            <w:bCs/>
            <w:kern w:val="2"/>
            <w:sz w:val="24"/>
            <w:szCs w:val="24"/>
            <w:lang w:eastAsia="cs-CZ"/>
            <w14:ligatures w14:val="standardContextual"/>
          </w:rPr>
          <w:tab/>
        </w:r>
        <w:r w:rsidRPr="005922F8">
          <w:rPr>
            <w:rStyle w:val="Hypertextovodkaz"/>
            <w:rFonts w:asciiTheme="majorHAnsi" w:hAnsiTheme="majorHAnsi" w:cstheme="majorHAnsi"/>
            <w:b w:val="0"/>
            <w:bCs/>
          </w:rPr>
          <w:t>Odůvodnění stanovené ochrany před povodněmi</w:t>
        </w:r>
        <w:r w:rsidRPr="005922F8">
          <w:rPr>
            <w:b w:val="0"/>
            <w:bCs/>
            <w:webHidden/>
          </w:rPr>
          <w:tab/>
        </w:r>
        <w:r w:rsidRPr="005922F8">
          <w:rPr>
            <w:b w:val="0"/>
            <w:bCs/>
            <w:webHidden/>
          </w:rPr>
          <w:fldChar w:fldCharType="begin"/>
        </w:r>
        <w:r w:rsidRPr="005922F8">
          <w:rPr>
            <w:b w:val="0"/>
            <w:bCs/>
            <w:webHidden/>
          </w:rPr>
          <w:instrText xml:space="preserve"> PAGEREF _Toc204678210 \h </w:instrText>
        </w:r>
        <w:r w:rsidRPr="005922F8">
          <w:rPr>
            <w:b w:val="0"/>
            <w:bCs/>
            <w:webHidden/>
          </w:rPr>
        </w:r>
        <w:r w:rsidRPr="005922F8">
          <w:rPr>
            <w:b w:val="0"/>
            <w:bCs/>
            <w:webHidden/>
          </w:rPr>
          <w:fldChar w:fldCharType="separate"/>
        </w:r>
        <w:r w:rsidR="00BC4A0C">
          <w:rPr>
            <w:b w:val="0"/>
            <w:bCs/>
            <w:webHidden/>
          </w:rPr>
          <w:t>124</w:t>
        </w:r>
        <w:r w:rsidRPr="005922F8">
          <w:rPr>
            <w:b w:val="0"/>
            <w:bCs/>
            <w:webHidden/>
          </w:rPr>
          <w:fldChar w:fldCharType="end"/>
        </w:r>
      </w:hyperlink>
    </w:p>
    <w:p w14:paraId="645EDABA" w14:textId="15A34543" w:rsidR="005922F8" w:rsidRPr="005922F8" w:rsidRDefault="005922F8">
      <w:pPr>
        <w:pStyle w:val="Obsah3"/>
        <w:tabs>
          <w:tab w:val="left" w:pos="2127"/>
        </w:tabs>
        <w:rPr>
          <w:rFonts w:asciiTheme="minorHAnsi" w:eastAsiaTheme="minorEastAsia" w:hAnsiTheme="minorHAnsi"/>
          <w:b w:val="0"/>
          <w:bCs/>
          <w:kern w:val="2"/>
          <w:sz w:val="24"/>
          <w:szCs w:val="24"/>
          <w:lang w:eastAsia="cs-CZ"/>
          <w14:ligatures w14:val="standardContextual"/>
        </w:rPr>
      </w:pPr>
      <w:hyperlink w:anchor="_Toc204678211" w:history="1">
        <w:r w:rsidRPr="005922F8">
          <w:rPr>
            <w:rStyle w:val="Hypertextovodkaz"/>
            <w:rFonts w:asciiTheme="majorHAnsi" w:hAnsiTheme="majorHAnsi" w:cstheme="majorHAnsi"/>
            <w:b w:val="0"/>
            <w:bCs/>
          </w:rPr>
          <w:t>11.5.9</w:t>
        </w:r>
        <w:r w:rsidRPr="005922F8">
          <w:rPr>
            <w:rFonts w:asciiTheme="minorHAnsi" w:eastAsiaTheme="minorEastAsia" w:hAnsiTheme="minorHAnsi"/>
            <w:b w:val="0"/>
            <w:bCs/>
            <w:kern w:val="2"/>
            <w:sz w:val="24"/>
            <w:szCs w:val="24"/>
            <w:lang w:eastAsia="cs-CZ"/>
            <w14:ligatures w14:val="standardContextual"/>
          </w:rPr>
          <w:tab/>
        </w:r>
        <w:r w:rsidRPr="005922F8">
          <w:rPr>
            <w:rStyle w:val="Hypertextovodkaz"/>
            <w:rFonts w:asciiTheme="majorHAnsi" w:hAnsiTheme="majorHAnsi" w:cstheme="majorHAnsi"/>
            <w:b w:val="0"/>
            <w:bCs/>
          </w:rPr>
          <w:t>Odůvodnění koncepce rekreace a cestovního ruchu</w:t>
        </w:r>
        <w:r w:rsidRPr="005922F8">
          <w:rPr>
            <w:b w:val="0"/>
            <w:bCs/>
            <w:webHidden/>
          </w:rPr>
          <w:tab/>
        </w:r>
        <w:r w:rsidRPr="005922F8">
          <w:rPr>
            <w:b w:val="0"/>
            <w:bCs/>
            <w:webHidden/>
          </w:rPr>
          <w:fldChar w:fldCharType="begin"/>
        </w:r>
        <w:r w:rsidRPr="005922F8">
          <w:rPr>
            <w:b w:val="0"/>
            <w:bCs/>
            <w:webHidden/>
          </w:rPr>
          <w:instrText xml:space="preserve"> PAGEREF _Toc204678211 \h </w:instrText>
        </w:r>
        <w:r w:rsidRPr="005922F8">
          <w:rPr>
            <w:b w:val="0"/>
            <w:bCs/>
            <w:webHidden/>
          </w:rPr>
        </w:r>
        <w:r w:rsidRPr="005922F8">
          <w:rPr>
            <w:b w:val="0"/>
            <w:bCs/>
            <w:webHidden/>
          </w:rPr>
          <w:fldChar w:fldCharType="separate"/>
        </w:r>
        <w:r w:rsidR="00BC4A0C">
          <w:rPr>
            <w:b w:val="0"/>
            <w:bCs/>
            <w:webHidden/>
          </w:rPr>
          <w:t>125</w:t>
        </w:r>
        <w:r w:rsidRPr="005922F8">
          <w:rPr>
            <w:b w:val="0"/>
            <w:bCs/>
            <w:webHidden/>
          </w:rPr>
          <w:fldChar w:fldCharType="end"/>
        </w:r>
      </w:hyperlink>
    </w:p>
    <w:p w14:paraId="25FA0F74" w14:textId="0E5478A3" w:rsidR="005922F8" w:rsidRPr="005922F8" w:rsidRDefault="005922F8">
      <w:pPr>
        <w:pStyle w:val="Obsah3"/>
        <w:tabs>
          <w:tab w:val="left" w:pos="2127"/>
        </w:tabs>
        <w:rPr>
          <w:rFonts w:asciiTheme="minorHAnsi" w:eastAsiaTheme="minorEastAsia" w:hAnsiTheme="minorHAnsi"/>
          <w:b w:val="0"/>
          <w:bCs/>
          <w:kern w:val="2"/>
          <w:sz w:val="24"/>
          <w:szCs w:val="24"/>
          <w:lang w:eastAsia="cs-CZ"/>
          <w14:ligatures w14:val="standardContextual"/>
        </w:rPr>
      </w:pPr>
      <w:hyperlink w:anchor="_Toc204678212" w:history="1">
        <w:r w:rsidRPr="005922F8">
          <w:rPr>
            <w:rStyle w:val="Hypertextovodkaz"/>
            <w:rFonts w:asciiTheme="majorHAnsi" w:hAnsiTheme="majorHAnsi" w:cstheme="majorHAnsi"/>
            <w:b w:val="0"/>
            <w:bCs/>
          </w:rPr>
          <w:t>11.5.10</w:t>
        </w:r>
        <w:r w:rsidRPr="005922F8">
          <w:rPr>
            <w:rFonts w:asciiTheme="minorHAnsi" w:eastAsiaTheme="minorEastAsia" w:hAnsiTheme="minorHAnsi"/>
            <w:b w:val="0"/>
            <w:bCs/>
            <w:kern w:val="2"/>
            <w:sz w:val="24"/>
            <w:szCs w:val="24"/>
            <w:lang w:eastAsia="cs-CZ"/>
            <w14:ligatures w14:val="standardContextual"/>
          </w:rPr>
          <w:tab/>
        </w:r>
        <w:r w:rsidRPr="005922F8">
          <w:rPr>
            <w:rStyle w:val="Hypertextovodkaz"/>
            <w:rFonts w:asciiTheme="majorHAnsi" w:hAnsiTheme="majorHAnsi" w:cstheme="majorHAnsi"/>
            <w:b w:val="0"/>
            <w:bCs/>
          </w:rPr>
          <w:t>Odůvodnění podmínek pro dobývání ložisek nerostných surovin</w:t>
        </w:r>
        <w:r w:rsidRPr="005922F8">
          <w:rPr>
            <w:b w:val="0"/>
            <w:bCs/>
            <w:webHidden/>
          </w:rPr>
          <w:tab/>
        </w:r>
        <w:r w:rsidRPr="005922F8">
          <w:rPr>
            <w:b w:val="0"/>
            <w:bCs/>
            <w:webHidden/>
          </w:rPr>
          <w:fldChar w:fldCharType="begin"/>
        </w:r>
        <w:r w:rsidRPr="005922F8">
          <w:rPr>
            <w:b w:val="0"/>
            <w:bCs/>
            <w:webHidden/>
          </w:rPr>
          <w:instrText xml:space="preserve"> PAGEREF _Toc204678212 \h </w:instrText>
        </w:r>
        <w:r w:rsidRPr="005922F8">
          <w:rPr>
            <w:b w:val="0"/>
            <w:bCs/>
            <w:webHidden/>
          </w:rPr>
        </w:r>
        <w:r w:rsidRPr="005922F8">
          <w:rPr>
            <w:b w:val="0"/>
            <w:bCs/>
            <w:webHidden/>
          </w:rPr>
          <w:fldChar w:fldCharType="separate"/>
        </w:r>
        <w:r w:rsidR="00BC4A0C">
          <w:rPr>
            <w:b w:val="0"/>
            <w:bCs/>
            <w:webHidden/>
          </w:rPr>
          <w:t>126</w:t>
        </w:r>
        <w:r w:rsidRPr="005922F8">
          <w:rPr>
            <w:b w:val="0"/>
            <w:bCs/>
            <w:webHidden/>
          </w:rPr>
          <w:fldChar w:fldCharType="end"/>
        </w:r>
      </w:hyperlink>
    </w:p>
    <w:p w14:paraId="052F8E9D" w14:textId="29161D66" w:rsidR="005922F8" w:rsidRPr="005922F8" w:rsidRDefault="005922F8">
      <w:pPr>
        <w:pStyle w:val="Obsah2"/>
        <w:rPr>
          <w:rFonts w:asciiTheme="minorHAnsi" w:eastAsiaTheme="minorEastAsia" w:hAnsiTheme="minorHAnsi" w:cstheme="minorBidi"/>
          <w:b w:val="0"/>
          <w:kern w:val="2"/>
          <w:sz w:val="24"/>
          <w:szCs w:val="24"/>
          <w:lang w:eastAsia="cs-CZ"/>
          <w14:ligatures w14:val="standardContextual"/>
        </w:rPr>
      </w:pPr>
      <w:hyperlink w:anchor="_Toc204678213" w:history="1">
        <w:r w:rsidRPr="005922F8">
          <w:rPr>
            <w:rStyle w:val="Hypertextovodkaz"/>
            <w:b w:val="0"/>
          </w:rPr>
          <w:t>11.6</w:t>
        </w:r>
        <w:r w:rsidRPr="005922F8">
          <w:rPr>
            <w:rFonts w:asciiTheme="minorHAnsi" w:eastAsiaTheme="minorEastAsia" w:hAnsiTheme="minorHAnsi" w:cstheme="minorBidi"/>
            <w:b w:val="0"/>
            <w:kern w:val="2"/>
            <w:sz w:val="24"/>
            <w:szCs w:val="24"/>
            <w:lang w:eastAsia="cs-CZ"/>
            <w14:ligatures w14:val="standardContextual"/>
          </w:rPr>
          <w:tab/>
        </w:r>
        <w:r w:rsidRPr="005922F8">
          <w:rPr>
            <w:rStyle w:val="Hypertextovodkaz"/>
            <w:b w:val="0"/>
          </w:rPr>
          <w:t>Odůvodnění podmínek využití a prostorové uspořádání území</w:t>
        </w:r>
        <w:r w:rsidRPr="005922F8">
          <w:rPr>
            <w:b w:val="0"/>
            <w:webHidden/>
          </w:rPr>
          <w:tab/>
        </w:r>
        <w:r w:rsidRPr="005922F8">
          <w:rPr>
            <w:b w:val="0"/>
            <w:webHidden/>
          </w:rPr>
          <w:fldChar w:fldCharType="begin"/>
        </w:r>
        <w:r w:rsidRPr="005922F8">
          <w:rPr>
            <w:b w:val="0"/>
            <w:webHidden/>
          </w:rPr>
          <w:instrText xml:space="preserve"> PAGEREF _Toc204678213 \h </w:instrText>
        </w:r>
        <w:r w:rsidRPr="005922F8">
          <w:rPr>
            <w:b w:val="0"/>
            <w:webHidden/>
          </w:rPr>
        </w:r>
        <w:r w:rsidRPr="005922F8">
          <w:rPr>
            <w:b w:val="0"/>
            <w:webHidden/>
          </w:rPr>
          <w:fldChar w:fldCharType="separate"/>
        </w:r>
        <w:r w:rsidR="00BC4A0C">
          <w:rPr>
            <w:b w:val="0"/>
            <w:webHidden/>
          </w:rPr>
          <w:t>126</w:t>
        </w:r>
        <w:r w:rsidRPr="005922F8">
          <w:rPr>
            <w:b w:val="0"/>
            <w:webHidden/>
          </w:rPr>
          <w:fldChar w:fldCharType="end"/>
        </w:r>
      </w:hyperlink>
    </w:p>
    <w:p w14:paraId="0C7EDCBA" w14:textId="0EC7D1B2" w:rsidR="005922F8" w:rsidRPr="005922F8" w:rsidRDefault="005922F8">
      <w:pPr>
        <w:pStyle w:val="Obsah3"/>
        <w:tabs>
          <w:tab w:val="left" w:pos="2127"/>
        </w:tabs>
        <w:rPr>
          <w:rFonts w:asciiTheme="minorHAnsi" w:eastAsiaTheme="minorEastAsia" w:hAnsiTheme="minorHAnsi"/>
          <w:b w:val="0"/>
          <w:bCs/>
          <w:kern w:val="2"/>
          <w:sz w:val="24"/>
          <w:szCs w:val="24"/>
          <w:lang w:eastAsia="cs-CZ"/>
          <w14:ligatures w14:val="standardContextual"/>
        </w:rPr>
      </w:pPr>
      <w:hyperlink w:anchor="_Toc204678214" w:history="1">
        <w:r w:rsidRPr="005922F8">
          <w:rPr>
            <w:rStyle w:val="Hypertextovodkaz"/>
            <w:rFonts w:asciiTheme="majorHAnsi" w:hAnsiTheme="majorHAnsi" w:cstheme="majorHAnsi"/>
            <w:b w:val="0"/>
            <w:bCs/>
          </w:rPr>
          <w:t>11.6.1</w:t>
        </w:r>
        <w:r w:rsidRPr="005922F8">
          <w:rPr>
            <w:rFonts w:asciiTheme="minorHAnsi" w:eastAsiaTheme="minorEastAsia" w:hAnsiTheme="minorHAnsi"/>
            <w:b w:val="0"/>
            <w:bCs/>
            <w:kern w:val="2"/>
            <w:sz w:val="24"/>
            <w:szCs w:val="24"/>
            <w:lang w:eastAsia="cs-CZ"/>
            <w14:ligatures w14:val="standardContextual"/>
          </w:rPr>
          <w:tab/>
        </w:r>
        <w:r w:rsidRPr="005922F8">
          <w:rPr>
            <w:rStyle w:val="Hypertextovodkaz"/>
            <w:rFonts w:asciiTheme="majorHAnsi" w:hAnsiTheme="majorHAnsi" w:cstheme="majorHAnsi"/>
            <w:b w:val="0"/>
            <w:bCs/>
          </w:rPr>
          <w:t>Odůvodnění výkladu pojmů</w:t>
        </w:r>
        <w:r w:rsidRPr="005922F8">
          <w:rPr>
            <w:b w:val="0"/>
            <w:bCs/>
            <w:webHidden/>
          </w:rPr>
          <w:tab/>
        </w:r>
        <w:r w:rsidRPr="005922F8">
          <w:rPr>
            <w:b w:val="0"/>
            <w:bCs/>
            <w:webHidden/>
          </w:rPr>
          <w:fldChar w:fldCharType="begin"/>
        </w:r>
        <w:r w:rsidRPr="005922F8">
          <w:rPr>
            <w:b w:val="0"/>
            <w:bCs/>
            <w:webHidden/>
          </w:rPr>
          <w:instrText xml:space="preserve"> PAGEREF _Toc204678214 \h </w:instrText>
        </w:r>
        <w:r w:rsidRPr="005922F8">
          <w:rPr>
            <w:b w:val="0"/>
            <w:bCs/>
            <w:webHidden/>
          </w:rPr>
        </w:r>
        <w:r w:rsidRPr="005922F8">
          <w:rPr>
            <w:b w:val="0"/>
            <w:bCs/>
            <w:webHidden/>
          </w:rPr>
          <w:fldChar w:fldCharType="separate"/>
        </w:r>
        <w:r w:rsidR="00BC4A0C">
          <w:rPr>
            <w:b w:val="0"/>
            <w:bCs/>
            <w:webHidden/>
          </w:rPr>
          <w:t>126</w:t>
        </w:r>
        <w:r w:rsidRPr="005922F8">
          <w:rPr>
            <w:b w:val="0"/>
            <w:bCs/>
            <w:webHidden/>
          </w:rPr>
          <w:fldChar w:fldCharType="end"/>
        </w:r>
      </w:hyperlink>
    </w:p>
    <w:p w14:paraId="79E68E2E" w14:textId="2271FDAD" w:rsidR="005922F8" w:rsidRPr="005922F8" w:rsidRDefault="005922F8">
      <w:pPr>
        <w:pStyle w:val="Obsah3"/>
        <w:tabs>
          <w:tab w:val="left" w:pos="2127"/>
        </w:tabs>
        <w:rPr>
          <w:rFonts w:asciiTheme="minorHAnsi" w:eastAsiaTheme="minorEastAsia" w:hAnsiTheme="minorHAnsi"/>
          <w:b w:val="0"/>
          <w:bCs/>
          <w:kern w:val="2"/>
          <w:sz w:val="24"/>
          <w:szCs w:val="24"/>
          <w:lang w:eastAsia="cs-CZ"/>
          <w14:ligatures w14:val="standardContextual"/>
        </w:rPr>
      </w:pPr>
      <w:hyperlink w:anchor="_Toc204678215" w:history="1">
        <w:r w:rsidRPr="005922F8">
          <w:rPr>
            <w:rStyle w:val="Hypertextovodkaz"/>
            <w:rFonts w:asciiTheme="majorHAnsi" w:hAnsiTheme="majorHAnsi" w:cstheme="majorHAnsi"/>
            <w:b w:val="0"/>
            <w:bCs/>
          </w:rPr>
          <w:t>11.6.2</w:t>
        </w:r>
        <w:r w:rsidRPr="005922F8">
          <w:rPr>
            <w:rFonts w:asciiTheme="minorHAnsi" w:eastAsiaTheme="minorEastAsia" w:hAnsiTheme="minorHAnsi"/>
            <w:b w:val="0"/>
            <w:bCs/>
            <w:kern w:val="2"/>
            <w:sz w:val="24"/>
            <w:szCs w:val="24"/>
            <w:lang w:eastAsia="cs-CZ"/>
            <w14:ligatures w14:val="standardContextual"/>
          </w:rPr>
          <w:tab/>
        </w:r>
        <w:r w:rsidRPr="005922F8">
          <w:rPr>
            <w:rStyle w:val="Hypertextovodkaz"/>
            <w:rFonts w:asciiTheme="majorHAnsi" w:hAnsiTheme="majorHAnsi" w:cstheme="majorHAnsi"/>
            <w:b w:val="0"/>
            <w:bCs/>
          </w:rPr>
          <w:t>Odůvodnění podmínek využití a prostorového uspořádání území</w:t>
        </w:r>
        <w:r w:rsidRPr="005922F8">
          <w:rPr>
            <w:b w:val="0"/>
            <w:bCs/>
            <w:webHidden/>
          </w:rPr>
          <w:tab/>
        </w:r>
        <w:r w:rsidRPr="005922F8">
          <w:rPr>
            <w:b w:val="0"/>
            <w:bCs/>
            <w:webHidden/>
          </w:rPr>
          <w:fldChar w:fldCharType="begin"/>
        </w:r>
        <w:r w:rsidRPr="005922F8">
          <w:rPr>
            <w:b w:val="0"/>
            <w:bCs/>
            <w:webHidden/>
          </w:rPr>
          <w:instrText xml:space="preserve"> PAGEREF _Toc204678215 \h </w:instrText>
        </w:r>
        <w:r w:rsidRPr="005922F8">
          <w:rPr>
            <w:b w:val="0"/>
            <w:bCs/>
            <w:webHidden/>
          </w:rPr>
        </w:r>
        <w:r w:rsidRPr="005922F8">
          <w:rPr>
            <w:b w:val="0"/>
            <w:bCs/>
            <w:webHidden/>
          </w:rPr>
          <w:fldChar w:fldCharType="separate"/>
        </w:r>
        <w:r w:rsidR="00BC4A0C">
          <w:rPr>
            <w:b w:val="0"/>
            <w:bCs/>
            <w:webHidden/>
          </w:rPr>
          <w:t>126</w:t>
        </w:r>
        <w:r w:rsidRPr="005922F8">
          <w:rPr>
            <w:b w:val="0"/>
            <w:bCs/>
            <w:webHidden/>
          </w:rPr>
          <w:fldChar w:fldCharType="end"/>
        </w:r>
      </w:hyperlink>
    </w:p>
    <w:p w14:paraId="1CE966E9" w14:textId="604B3D5A" w:rsidR="005922F8" w:rsidRPr="005922F8" w:rsidRDefault="005922F8">
      <w:pPr>
        <w:pStyle w:val="Obsah2"/>
        <w:rPr>
          <w:rFonts w:asciiTheme="minorHAnsi" w:eastAsiaTheme="minorEastAsia" w:hAnsiTheme="minorHAnsi" w:cstheme="minorBidi"/>
          <w:b w:val="0"/>
          <w:kern w:val="2"/>
          <w:sz w:val="24"/>
          <w:szCs w:val="24"/>
          <w:lang w:eastAsia="cs-CZ"/>
          <w14:ligatures w14:val="standardContextual"/>
        </w:rPr>
      </w:pPr>
      <w:hyperlink w:anchor="_Toc204678216" w:history="1">
        <w:r w:rsidRPr="005922F8">
          <w:rPr>
            <w:rStyle w:val="Hypertextovodkaz"/>
            <w:b w:val="0"/>
          </w:rPr>
          <w:t>11.7</w:t>
        </w:r>
        <w:r w:rsidRPr="005922F8">
          <w:rPr>
            <w:rFonts w:asciiTheme="minorHAnsi" w:eastAsiaTheme="minorEastAsia" w:hAnsiTheme="minorHAnsi" w:cstheme="minorBidi"/>
            <w:b w:val="0"/>
            <w:kern w:val="2"/>
            <w:sz w:val="24"/>
            <w:szCs w:val="24"/>
            <w:lang w:eastAsia="cs-CZ"/>
            <w14:ligatures w14:val="standardContextual"/>
          </w:rPr>
          <w:tab/>
        </w:r>
        <w:r w:rsidRPr="005922F8">
          <w:rPr>
            <w:rStyle w:val="Hypertextovodkaz"/>
            <w:b w:val="0"/>
          </w:rPr>
          <w:t>Odůvodnění vymezení veřejně prospěšných staveb, veřejně prospěšných opatření, staveb a opatření k zajišťování obrany a bezpečnosti státu, ploch pro asanaci, pro které lze práva k pozemkům a stavbám vyvlastnit</w:t>
        </w:r>
        <w:r w:rsidRPr="005922F8">
          <w:rPr>
            <w:b w:val="0"/>
            <w:webHidden/>
          </w:rPr>
          <w:tab/>
        </w:r>
        <w:r w:rsidRPr="005922F8">
          <w:rPr>
            <w:b w:val="0"/>
            <w:webHidden/>
          </w:rPr>
          <w:fldChar w:fldCharType="begin"/>
        </w:r>
        <w:r w:rsidRPr="005922F8">
          <w:rPr>
            <w:b w:val="0"/>
            <w:webHidden/>
          </w:rPr>
          <w:instrText xml:space="preserve"> PAGEREF _Toc204678216 \h </w:instrText>
        </w:r>
        <w:r w:rsidRPr="005922F8">
          <w:rPr>
            <w:b w:val="0"/>
            <w:webHidden/>
          </w:rPr>
        </w:r>
        <w:r w:rsidRPr="005922F8">
          <w:rPr>
            <w:b w:val="0"/>
            <w:webHidden/>
          </w:rPr>
          <w:fldChar w:fldCharType="separate"/>
        </w:r>
        <w:r w:rsidR="00BC4A0C">
          <w:rPr>
            <w:b w:val="0"/>
            <w:webHidden/>
          </w:rPr>
          <w:t>136</w:t>
        </w:r>
        <w:r w:rsidRPr="005922F8">
          <w:rPr>
            <w:b w:val="0"/>
            <w:webHidden/>
          </w:rPr>
          <w:fldChar w:fldCharType="end"/>
        </w:r>
      </w:hyperlink>
    </w:p>
    <w:p w14:paraId="411DB736" w14:textId="36C4D810" w:rsidR="005922F8" w:rsidRPr="005922F8" w:rsidRDefault="005922F8">
      <w:pPr>
        <w:pStyle w:val="Obsah2"/>
        <w:rPr>
          <w:rFonts w:asciiTheme="minorHAnsi" w:eastAsiaTheme="minorEastAsia" w:hAnsiTheme="minorHAnsi" w:cstheme="minorBidi"/>
          <w:b w:val="0"/>
          <w:kern w:val="2"/>
          <w:sz w:val="24"/>
          <w:szCs w:val="24"/>
          <w:lang w:eastAsia="cs-CZ"/>
          <w14:ligatures w14:val="standardContextual"/>
        </w:rPr>
      </w:pPr>
      <w:hyperlink w:anchor="_Toc204678217" w:history="1">
        <w:r w:rsidRPr="005922F8">
          <w:rPr>
            <w:rStyle w:val="Hypertextovodkaz"/>
            <w:b w:val="0"/>
          </w:rPr>
          <w:t>11.8</w:t>
        </w:r>
        <w:r w:rsidRPr="005922F8">
          <w:rPr>
            <w:rFonts w:asciiTheme="minorHAnsi" w:eastAsiaTheme="minorEastAsia" w:hAnsiTheme="minorHAnsi" w:cstheme="minorBidi"/>
            <w:b w:val="0"/>
            <w:kern w:val="2"/>
            <w:sz w:val="24"/>
            <w:szCs w:val="24"/>
            <w:lang w:eastAsia="cs-CZ"/>
            <w14:ligatures w14:val="standardContextual"/>
          </w:rPr>
          <w:tab/>
        </w:r>
        <w:r w:rsidRPr="005922F8">
          <w:rPr>
            <w:rStyle w:val="Hypertextovodkaz"/>
            <w:b w:val="0"/>
          </w:rPr>
          <w:t>Odůvodnění vymezení veřejně prospěšných staveb a veřejných prostranství, pro které lze uplatnit předkupní právo</w:t>
        </w:r>
        <w:r w:rsidRPr="005922F8">
          <w:rPr>
            <w:b w:val="0"/>
            <w:webHidden/>
          </w:rPr>
          <w:tab/>
        </w:r>
        <w:r w:rsidRPr="005922F8">
          <w:rPr>
            <w:b w:val="0"/>
            <w:webHidden/>
          </w:rPr>
          <w:fldChar w:fldCharType="begin"/>
        </w:r>
        <w:r w:rsidRPr="005922F8">
          <w:rPr>
            <w:b w:val="0"/>
            <w:webHidden/>
          </w:rPr>
          <w:instrText xml:space="preserve"> PAGEREF _Toc204678217 \h </w:instrText>
        </w:r>
        <w:r w:rsidRPr="005922F8">
          <w:rPr>
            <w:b w:val="0"/>
            <w:webHidden/>
          </w:rPr>
        </w:r>
        <w:r w:rsidRPr="005922F8">
          <w:rPr>
            <w:b w:val="0"/>
            <w:webHidden/>
          </w:rPr>
          <w:fldChar w:fldCharType="separate"/>
        </w:r>
        <w:r w:rsidR="00BC4A0C">
          <w:rPr>
            <w:b w:val="0"/>
            <w:webHidden/>
          </w:rPr>
          <w:t>137</w:t>
        </w:r>
        <w:r w:rsidRPr="005922F8">
          <w:rPr>
            <w:b w:val="0"/>
            <w:webHidden/>
          </w:rPr>
          <w:fldChar w:fldCharType="end"/>
        </w:r>
      </w:hyperlink>
    </w:p>
    <w:p w14:paraId="2C0A5FCB" w14:textId="274C05BC" w:rsidR="005922F8" w:rsidRPr="005922F8" w:rsidRDefault="005922F8">
      <w:pPr>
        <w:pStyle w:val="Obsah2"/>
        <w:rPr>
          <w:rFonts w:asciiTheme="minorHAnsi" w:eastAsiaTheme="minorEastAsia" w:hAnsiTheme="minorHAnsi" w:cstheme="minorBidi"/>
          <w:b w:val="0"/>
          <w:kern w:val="2"/>
          <w:sz w:val="24"/>
          <w:szCs w:val="24"/>
          <w:lang w:eastAsia="cs-CZ"/>
          <w14:ligatures w14:val="standardContextual"/>
        </w:rPr>
      </w:pPr>
      <w:hyperlink w:anchor="_Toc204678218" w:history="1">
        <w:r w:rsidRPr="005922F8">
          <w:rPr>
            <w:rStyle w:val="Hypertextovodkaz"/>
            <w:b w:val="0"/>
          </w:rPr>
          <w:t>11.9</w:t>
        </w:r>
        <w:r w:rsidRPr="005922F8">
          <w:rPr>
            <w:rFonts w:asciiTheme="minorHAnsi" w:eastAsiaTheme="minorEastAsia" w:hAnsiTheme="minorHAnsi" w:cstheme="minorBidi"/>
            <w:b w:val="0"/>
            <w:kern w:val="2"/>
            <w:sz w:val="24"/>
            <w:szCs w:val="24"/>
            <w:lang w:eastAsia="cs-CZ"/>
            <w14:ligatures w14:val="standardContextual"/>
          </w:rPr>
          <w:tab/>
        </w:r>
        <w:r w:rsidRPr="005922F8">
          <w:rPr>
            <w:rStyle w:val="Hypertextovodkaz"/>
            <w:b w:val="0"/>
          </w:rPr>
          <w:t>Odůvodnění stanovení kompenzačních opatření</w:t>
        </w:r>
        <w:r w:rsidRPr="005922F8">
          <w:rPr>
            <w:b w:val="0"/>
            <w:webHidden/>
          </w:rPr>
          <w:tab/>
        </w:r>
        <w:r w:rsidRPr="005922F8">
          <w:rPr>
            <w:b w:val="0"/>
            <w:webHidden/>
          </w:rPr>
          <w:fldChar w:fldCharType="begin"/>
        </w:r>
        <w:r w:rsidRPr="005922F8">
          <w:rPr>
            <w:b w:val="0"/>
            <w:webHidden/>
          </w:rPr>
          <w:instrText xml:space="preserve"> PAGEREF _Toc204678218 \h </w:instrText>
        </w:r>
        <w:r w:rsidRPr="005922F8">
          <w:rPr>
            <w:b w:val="0"/>
            <w:webHidden/>
          </w:rPr>
        </w:r>
        <w:r w:rsidRPr="005922F8">
          <w:rPr>
            <w:b w:val="0"/>
            <w:webHidden/>
          </w:rPr>
          <w:fldChar w:fldCharType="separate"/>
        </w:r>
        <w:r w:rsidR="00BC4A0C">
          <w:rPr>
            <w:b w:val="0"/>
            <w:webHidden/>
          </w:rPr>
          <w:t>138</w:t>
        </w:r>
        <w:r w:rsidRPr="005922F8">
          <w:rPr>
            <w:b w:val="0"/>
            <w:webHidden/>
          </w:rPr>
          <w:fldChar w:fldCharType="end"/>
        </w:r>
      </w:hyperlink>
    </w:p>
    <w:p w14:paraId="2509CC09" w14:textId="74CDD0F0" w:rsidR="005922F8" w:rsidRPr="005922F8" w:rsidRDefault="005922F8">
      <w:pPr>
        <w:pStyle w:val="Obsah2"/>
        <w:rPr>
          <w:rFonts w:asciiTheme="minorHAnsi" w:eastAsiaTheme="minorEastAsia" w:hAnsiTheme="minorHAnsi" w:cstheme="minorBidi"/>
          <w:b w:val="0"/>
          <w:kern w:val="2"/>
          <w:sz w:val="24"/>
          <w:szCs w:val="24"/>
          <w:lang w:eastAsia="cs-CZ"/>
          <w14:ligatures w14:val="standardContextual"/>
        </w:rPr>
      </w:pPr>
      <w:hyperlink w:anchor="_Toc204678219" w:history="1">
        <w:r w:rsidRPr="005922F8">
          <w:rPr>
            <w:rStyle w:val="Hypertextovodkaz"/>
            <w:b w:val="0"/>
          </w:rPr>
          <w:t>11.10</w:t>
        </w:r>
        <w:r w:rsidRPr="005922F8">
          <w:rPr>
            <w:rFonts w:asciiTheme="minorHAnsi" w:eastAsiaTheme="minorEastAsia" w:hAnsiTheme="minorHAnsi" w:cstheme="minorBidi"/>
            <w:b w:val="0"/>
            <w:kern w:val="2"/>
            <w:sz w:val="24"/>
            <w:szCs w:val="24"/>
            <w:lang w:eastAsia="cs-CZ"/>
            <w14:ligatures w14:val="standardContextual"/>
          </w:rPr>
          <w:tab/>
        </w:r>
        <w:r w:rsidRPr="005922F8">
          <w:rPr>
            <w:rStyle w:val="Hypertextovodkaz"/>
            <w:b w:val="0"/>
          </w:rPr>
          <w:t>Odůvodnění vymezení ploch a koridorů územních rezerv</w:t>
        </w:r>
        <w:r w:rsidRPr="005922F8">
          <w:rPr>
            <w:b w:val="0"/>
            <w:webHidden/>
          </w:rPr>
          <w:tab/>
        </w:r>
        <w:r w:rsidRPr="005922F8">
          <w:rPr>
            <w:b w:val="0"/>
            <w:webHidden/>
          </w:rPr>
          <w:fldChar w:fldCharType="begin"/>
        </w:r>
        <w:r w:rsidRPr="005922F8">
          <w:rPr>
            <w:b w:val="0"/>
            <w:webHidden/>
          </w:rPr>
          <w:instrText xml:space="preserve"> PAGEREF _Toc204678219 \h </w:instrText>
        </w:r>
        <w:r w:rsidRPr="005922F8">
          <w:rPr>
            <w:b w:val="0"/>
            <w:webHidden/>
          </w:rPr>
        </w:r>
        <w:r w:rsidRPr="005922F8">
          <w:rPr>
            <w:b w:val="0"/>
            <w:webHidden/>
          </w:rPr>
          <w:fldChar w:fldCharType="separate"/>
        </w:r>
        <w:r w:rsidR="00BC4A0C">
          <w:rPr>
            <w:b w:val="0"/>
            <w:webHidden/>
          </w:rPr>
          <w:t>138</w:t>
        </w:r>
        <w:r w:rsidRPr="005922F8">
          <w:rPr>
            <w:b w:val="0"/>
            <w:webHidden/>
          </w:rPr>
          <w:fldChar w:fldCharType="end"/>
        </w:r>
      </w:hyperlink>
    </w:p>
    <w:p w14:paraId="03E52E38" w14:textId="5B9702C6" w:rsidR="005922F8" w:rsidRPr="005922F8" w:rsidRDefault="005922F8">
      <w:pPr>
        <w:pStyle w:val="Obsah2"/>
        <w:rPr>
          <w:rFonts w:asciiTheme="minorHAnsi" w:eastAsiaTheme="minorEastAsia" w:hAnsiTheme="minorHAnsi" w:cstheme="minorBidi"/>
          <w:b w:val="0"/>
          <w:kern w:val="2"/>
          <w:sz w:val="24"/>
          <w:szCs w:val="24"/>
          <w:lang w:eastAsia="cs-CZ"/>
          <w14:ligatures w14:val="standardContextual"/>
        </w:rPr>
      </w:pPr>
      <w:hyperlink w:anchor="_Toc204678220" w:history="1">
        <w:r w:rsidRPr="005922F8">
          <w:rPr>
            <w:rStyle w:val="Hypertextovodkaz"/>
            <w:b w:val="0"/>
          </w:rPr>
          <w:t>11.11</w:t>
        </w:r>
        <w:r w:rsidRPr="005922F8">
          <w:rPr>
            <w:rFonts w:asciiTheme="minorHAnsi" w:eastAsiaTheme="minorEastAsia" w:hAnsiTheme="minorHAnsi" w:cstheme="minorBidi"/>
            <w:b w:val="0"/>
            <w:kern w:val="2"/>
            <w:sz w:val="24"/>
            <w:szCs w:val="24"/>
            <w:lang w:eastAsia="cs-CZ"/>
            <w14:ligatures w14:val="standardContextual"/>
          </w:rPr>
          <w:tab/>
        </w:r>
        <w:r w:rsidRPr="005922F8">
          <w:rPr>
            <w:rStyle w:val="Hypertextovodkaz"/>
            <w:b w:val="0"/>
          </w:rPr>
          <w:t>Odůvodnění vymezení ploch a koridorů, ve kterých je rozhodování o změnách v území podmíněno dohodou o parcelaci</w:t>
        </w:r>
        <w:r w:rsidRPr="005922F8">
          <w:rPr>
            <w:b w:val="0"/>
            <w:webHidden/>
          </w:rPr>
          <w:tab/>
        </w:r>
        <w:r w:rsidRPr="005922F8">
          <w:rPr>
            <w:b w:val="0"/>
            <w:webHidden/>
          </w:rPr>
          <w:fldChar w:fldCharType="begin"/>
        </w:r>
        <w:r w:rsidRPr="005922F8">
          <w:rPr>
            <w:b w:val="0"/>
            <w:webHidden/>
          </w:rPr>
          <w:instrText xml:space="preserve"> PAGEREF _Toc204678220 \h </w:instrText>
        </w:r>
        <w:r w:rsidRPr="005922F8">
          <w:rPr>
            <w:b w:val="0"/>
            <w:webHidden/>
          </w:rPr>
        </w:r>
        <w:r w:rsidRPr="005922F8">
          <w:rPr>
            <w:b w:val="0"/>
            <w:webHidden/>
          </w:rPr>
          <w:fldChar w:fldCharType="separate"/>
        </w:r>
        <w:r w:rsidR="00BC4A0C">
          <w:rPr>
            <w:b w:val="0"/>
            <w:webHidden/>
          </w:rPr>
          <w:t>139</w:t>
        </w:r>
        <w:r w:rsidRPr="005922F8">
          <w:rPr>
            <w:b w:val="0"/>
            <w:webHidden/>
          </w:rPr>
          <w:fldChar w:fldCharType="end"/>
        </w:r>
      </w:hyperlink>
    </w:p>
    <w:p w14:paraId="0A2ACF9F" w14:textId="7EA9F388" w:rsidR="005922F8" w:rsidRPr="005922F8" w:rsidRDefault="005922F8">
      <w:pPr>
        <w:pStyle w:val="Obsah2"/>
        <w:rPr>
          <w:rFonts w:asciiTheme="minorHAnsi" w:eastAsiaTheme="minorEastAsia" w:hAnsiTheme="minorHAnsi" w:cstheme="minorBidi"/>
          <w:b w:val="0"/>
          <w:kern w:val="2"/>
          <w:sz w:val="24"/>
          <w:szCs w:val="24"/>
          <w:lang w:eastAsia="cs-CZ"/>
          <w14:ligatures w14:val="standardContextual"/>
        </w:rPr>
      </w:pPr>
      <w:hyperlink w:anchor="_Toc204678221" w:history="1">
        <w:r w:rsidRPr="005922F8">
          <w:rPr>
            <w:rStyle w:val="Hypertextovodkaz"/>
            <w:b w:val="0"/>
          </w:rPr>
          <w:t>11.12</w:t>
        </w:r>
        <w:r w:rsidRPr="005922F8">
          <w:rPr>
            <w:rFonts w:asciiTheme="minorHAnsi" w:eastAsiaTheme="minorEastAsia" w:hAnsiTheme="minorHAnsi" w:cstheme="minorBidi"/>
            <w:b w:val="0"/>
            <w:kern w:val="2"/>
            <w:sz w:val="24"/>
            <w:szCs w:val="24"/>
            <w:lang w:eastAsia="cs-CZ"/>
            <w14:ligatures w14:val="standardContextual"/>
          </w:rPr>
          <w:tab/>
        </w:r>
        <w:r w:rsidRPr="005922F8">
          <w:rPr>
            <w:rStyle w:val="Hypertextovodkaz"/>
            <w:b w:val="0"/>
          </w:rPr>
          <w:t>Odůvodnění vymezení ploch a koridorů, ve kterých je rozhodování o změnách v území podmíněno zpracováním územní studie</w:t>
        </w:r>
        <w:r w:rsidRPr="005922F8">
          <w:rPr>
            <w:b w:val="0"/>
            <w:webHidden/>
          </w:rPr>
          <w:tab/>
        </w:r>
        <w:r w:rsidRPr="005922F8">
          <w:rPr>
            <w:b w:val="0"/>
            <w:webHidden/>
          </w:rPr>
          <w:fldChar w:fldCharType="begin"/>
        </w:r>
        <w:r w:rsidRPr="005922F8">
          <w:rPr>
            <w:b w:val="0"/>
            <w:webHidden/>
          </w:rPr>
          <w:instrText xml:space="preserve"> PAGEREF _Toc204678221 \h </w:instrText>
        </w:r>
        <w:r w:rsidRPr="005922F8">
          <w:rPr>
            <w:b w:val="0"/>
            <w:webHidden/>
          </w:rPr>
        </w:r>
        <w:r w:rsidRPr="005922F8">
          <w:rPr>
            <w:b w:val="0"/>
            <w:webHidden/>
          </w:rPr>
          <w:fldChar w:fldCharType="separate"/>
        </w:r>
        <w:r w:rsidR="00BC4A0C">
          <w:rPr>
            <w:b w:val="0"/>
            <w:webHidden/>
          </w:rPr>
          <w:t>139</w:t>
        </w:r>
        <w:r w:rsidRPr="005922F8">
          <w:rPr>
            <w:b w:val="0"/>
            <w:webHidden/>
          </w:rPr>
          <w:fldChar w:fldCharType="end"/>
        </w:r>
      </w:hyperlink>
    </w:p>
    <w:p w14:paraId="276BBFDC" w14:textId="778507E1" w:rsidR="005922F8" w:rsidRPr="005922F8" w:rsidRDefault="005922F8">
      <w:pPr>
        <w:pStyle w:val="Obsah2"/>
        <w:rPr>
          <w:rFonts w:asciiTheme="minorHAnsi" w:eastAsiaTheme="minorEastAsia" w:hAnsiTheme="minorHAnsi" w:cstheme="minorBidi"/>
          <w:b w:val="0"/>
          <w:kern w:val="2"/>
          <w:sz w:val="24"/>
          <w:szCs w:val="24"/>
          <w:lang w:eastAsia="cs-CZ"/>
          <w14:ligatures w14:val="standardContextual"/>
        </w:rPr>
      </w:pPr>
      <w:hyperlink w:anchor="_Toc204678222" w:history="1">
        <w:r w:rsidRPr="005922F8">
          <w:rPr>
            <w:rStyle w:val="Hypertextovodkaz"/>
            <w:b w:val="0"/>
          </w:rPr>
          <w:t>11.13</w:t>
        </w:r>
        <w:r w:rsidRPr="005922F8">
          <w:rPr>
            <w:rFonts w:asciiTheme="minorHAnsi" w:eastAsiaTheme="minorEastAsia" w:hAnsiTheme="minorHAnsi" w:cstheme="minorBidi"/>
            <w:b w:val="0"/>
            <w:kern w:val="2"/>
            <w:sz w:val="24"/>
            <w:szCs w:val="24"/>
            <w:lang w:eastAsia="cs-CZ"/>
            <w14:ligatures w14:val="standardContextual"/>
          </w:rPr>
          <w:tab/>
        </w:r>
        <w:r w:rsidRPr="005922F8">
          <w:rPr>
            <w:rStyle w:val="Hypertextovodkaz"/>
            <w:b w:val="0"/>
          </w:rPr>
          <w:t>Odůvodnění vymezení ploch a koridorů, ve kterých je rozhodování o změnách v území podmíněno vydáním regulačního plánu</w:t>
        </w:r>
        <w:r w:rsidRPr="005922F8">
          <w:rPr>
            <w:b w:val="0"/>
            <w:webHidden/>
          </w:rPr>
          <w:tab/>
        </w:r>
        <w:r w:rsidRPr="005922F8">
          <w:rPr>
            <w:b w:val="0"/>
            <w:webHidden/>
          </w:rPr>
          <w:fldChar w:fldCharType="begin"/>
        </w:r>
        <w:r w:rsidRPr="005922F8">
          <w:rPr>
            <w:b w:val="0"/>
            <w:webHidden/>
          </w:rPr>
          <w:instrText xml:space="preserve"> PAGEREF _Toc204678222 \h </w:instrText>
        </w:r>
        <w:r w:rsidRPr="005922F8">
          <w:rPr>
            <w:b w:val="0"/>
            <w:webHidden/>
          </w:rPr>
        </w:r>
        <w:r w:rsidRPr="005922F8">
          <w:rPr>
            <w:b w:val="0"/>
            <w:webHidden/>
          </w:rPr>
          <w:fldChar w:fldCharType="separate"/>
        </w:r>
        <w:r w:rsidR="00BC4A0C">
          <w:rPr>
            <w:b w:val="0"/>
            <w:webHidden/>
          </w:rPr>
          <w:t>141</w:t>
        </w:r>
        <w:r w:rsidRPr="005922F8">
          <w:rPr>
            <w:b w:val="0"/>
            <w:webHidden/>
          </w:rPr>
          <w:fldChar w:fldCharType="end"/>
        </w:r>
      </w:hyperlink>
    </w:p>
    <w:p w14:paraId="6BAC1E21" w14:textId="1FEA90AB" w:rsidR="005922F8" w:rsidRPr="005922F8" w:rsidRDefault="005922F8">
      <w:pPr>
        <w:pStyle w:val="Obsah2"/>
        <w:rPr>
          <w:rFonts w:asciiTheme="minorHAnsi" w:eastAsiaTheme="minorEastAsia" w:hAnsiTheme="minorHAnsi" w:cstheme="minorBidi"/>
          <w:b w:val="0"/>
          <w:kern w:val="2"/>
          <w:sz w:val="24"/>
          <w:szCs w:val="24"/>
          <w:lang w:eastAsia="cs-CZ"/>
          <w14:ligatures w14:val="standardContextual"/>
        </w:rPr>
      </w:pPr>
      <w:hyperlink w:anchor="_Toc204678223" w:history="1">
        <w:r w:rsidRPr="005922F8">
          <w:rPr>
            <w:rStyle w:val="Hypertextovodkaz"/>
            <w:b w:val="0"/>
          </w:rPr>
          <w:t>11.14</w:t>
        </w:r>
        <w:r w:rsidRPr="005922F8">
          <w:rPr>
            <w:rFonts w:asciiTheme="minorHAnsi" w:eastAsiaTheme="minorEastAsia" w:hAnsiTheme="minorHAnsi" w:cstheme="minorBidi"/>
            <w:b w:val="0"/>
            <w:kern w:val="2"/>
            <w:sz w:val="24"/>
            <w:szCs w:val="24"/>
            <w:lang w:eastAsia="cs-CZ"/>
            <w14:ligatures w14:val="standardContextual"/>
          </w:rPr>
          <w:tab/>
        </w:r>
        <w:r w:rsidRPr="005922F8">
          <w:rPr>
            <w:rStyle w:val="Hypertextovodkaz"/>
            <w:b w:val="0"/>
          </w:rPr>
          <w:t>Odůvodnění stanovení pořadí změn v území</w:t>
        </w:r>
        <w:r w:rsidRPr="005922F8">
          <w:rPr>
            <w:b w:val="0"/>
            <w:webHidden/>
          </w:rPr>
          <w:tab/>
        </w:r>
        <w:r w:rsidRPr="005922F8">
          <w:rPr>
            <w:b w:val="0"/>
            <w:webHidden/>
          </w:rPr>
          <w:fldChar w:fldCharType="begin"/>
        </w:r>
        <w:r w:rsidRPr="005922F8">
          <w:rPr>
            <w:b w:val="0"/>
            <w:webHidden/>
          </w:rPr>
          <w:instrText xml:space="preserve"> PAGEREF _Toc204678223 \h </w:instrText>
        </w:r>
        <w:r w:rsidRPr="005922F8">
          <w:rPr>
            <w:b w:val="0"/>
            <w:webHidden/>
          </w:rPr>
        </w:r>
        <w:r w:rsidRPr="005922F8">
          <w:rPr>
            <w:b w:val="0"/>
            <w:webHidden/>
          </w:rPr>
          <w:fldChar w:fldCharType="separate"/>
        </w:r>
        <w:r w:rsidR="00BC4A0C">
          <w:rPr>
            <w:b w:val="0"/>
            <w:webHidden/>
          </w:rPr>
          <w:t>142</w:t>
        </w:r>
        <w:r w:rsidRPr="005922F8">
          <w:rPr>
            <w:b w:val="0"/>
            <w:webHidden/>
          </w:rPr>
          <w:fldChar w:fldCharType="end"/>
        </w:r>
      </w:hyperlink>
    </w:p>
    <w:p w14:paraId="450CD591" w14:textId="664645DD" w:rsidR="005922F8" w:rsidRPr="005922F8" w:rsidRDefault="005922F8">
      <w:pPr>
        <w:pStyle w:val="Obsah1"/>
        <w:rPr>
          <w:rFonts w:asciiTheme="minorHAnsi" w:eastAsiaTheme="minorEastAsia" w:hAnsiTheme="minorHAnsi" w:cstheme="minorBidi"/>
          <w:caps w:val="0"/>
          <w:kern w:val="2"/>
          <w:sz w:val="24"/>
          <w:szCs w:val="24"/>
          <w:lang w:eastAsia="cs-CZ"/>
          <w14:ligatures w14:val="standardContextual"/>
        </w:rPr>
      </w:pPr>
      <w:hyperlink w:anchor="_Toc204678224" w:history="1">
        <w:r w:rsidRPr="005922F8">
          <w:rPr>
            <w:rStyle w:val="Hypertextovodkaz"/>
          </w:rPr>
          <w:t>12</w:t>
        </w:r>
        <w:r w:rsidRPr="005922F8">
          <w:rPr>
            <w:rFonts w:asciiTheme="minorHAnsi" w:eastAsiaTheme="minorEastAsia" w:hAnsiTheme="minorHAnsi" w:cstheme="minorBidi"/>
            <w:caps w:val="0"/>
            <w:kern w:val="2"/>
            <w:sz w:val="24"/>
            <w:szCs w:val="24"/>
            <w:lang w:eastAsia="cs-CZ"/>
            <w14:ligatures w14:val="standardContextual"/>
          </w:rPr>
          <w:tab/>
        </w:r>
        <w:r w:rsidRPr="005922F8">
          <w:rPr>
            <w:rStyle w:val="Hypertextovodkaz"/>
          </w:rPr>
          <w:t>VYHODNOCENÍ PŘEDPOKLÁDANÝCH DŮSLEDKŮ NAVRHOVANÉHO ŘEŠENÍ NA ZEMĚDĚLSKÝ PŮDNÍ FOND A POZEMKY URČENÉ K PLNĚNÍ FUNKCE LESA</w:t>
        </w:r>
        <w:r w:rsidRPr="005922F8">
          <w:rPr>
            <w:webHidden/>
          </w:rPr>
          <w:tab/>
        </w:r>
        <w:r w:rsidRPr="005922F8">
          <w:rPr>
            <w:webHidden/>
          </w:rPr>
          <w:fldChar w:fldCharType="begin"/>
        </w:r>
        <w:r w:rsidRPr="005922F8">
          <w:rPr>
            <w:webHidden/>
          </w:rPr>
          <w:instrText xml:space="preserve"> PAGEREF _Toc204678224 \h </w:instrText>
        </w:r>
        <w:r w:rsidRPr="005922F8">
          <w:rPr>
            <w:webHidden/>
          </w:rPr>
        </w:r>
        <w:r w:rsidRPr="005922F8">
          <w:rPr>
            <w:webHidden/>
          </w:rPr>
          <w:fldChar w:fldCharType="separate"/>
        </w:r>
        <w:r w:rsidR="00BC4A0C">
          <w:rPr>
            <w:webHidden/>
          </w:rPr>
          <w:t>142</w:t>
        </w:r>
        <w:r w:rsidRPr="005922F8">
          <w:rPr>
            <w:webHidden/>
          </w:rPr>
          <w:fldChar w:fldCharType="end"/>
        </w:r>
      </w:hyperlink>
    </w:p>
    <w:p w14:paraId="186A0600" w14:textId="371B40DC" w:rsidR="005922F8" w:rsidRPr="005922F8" w:rsidRDefault="005922F8">
      <w:pPr>
        <w:pStyle w:val="Obsah2"/>
        <w:rPr>
          <w:rFonts w:asciiTheme="minorHAnsi" w:eastAsiaTheme="minorEastAsia" w:hAnsiTheme="minorHAnsi" w:cstheme="minorBidi"/>
          <w:b w:val="0"/>
          <w:kern w:val="2"/>
          <w:sz w:val="24"/>
          <w:szCs w:val="24"/>
          <w:lang w:eastAsia="cs-CZ"/>
          <w14:ligatures w14:val="standardContextual"/>
        </w:rPr>
      </w:pPr>
      <w:hyperlink w:anchor="_Toc204678225" w:history="1">
        <w:r w:rsidRPr="005922F8">
          <w:rPr>
            <w:rStyle w:val="Hypertextovodkaz"/>
            <w:b w:val="0"/>
          </w:rPr>
          <w:t>12.1</w:t>
        </w:r>
        <w:r w:rsidRPr="005922F8">
          <w:rPr>
            <w:rFonts w:asciiTheme="minorHAnsi" w:eastAsiaTheme="minorEastAsia" w:hAnsiTheme="minorHAnsi" w:cstheme="minorBidi"/>
            <w:b w:val="0"/>
            <w:kern w:val="2"/>
            <w:sz w:val="24"/>
            <w:szCs w:val="24"/>
            <w:lang w:eastAsia="cs-CZ"/>
            <w14:ligatures w14:val="standardContextual"/>
          </w:rPr>
          <w:tab/>
        </w:r>
        <w:r w:rsidRPr="005922F8">
          <w:rPr>
            <w:rStyle w:val="Hypertextovodkaz"/>
            <w:b w:val="0"/>
          </w:rPr>
          <w:t>Vyhodnocení předpokládaných důsledků navrhovaného řešené na zemědělský půdní fond</w:t>
        </w:r>
        <w:r w:rsidRPr="005922F8">
          <w:rPr>
            <w:b w:val="0"/>
            <w:webHidden/>
          </w:rPr>
          <w:tab/>
        </w:r>
        <w:r w:rsidRPr="005922F8">
          <w:rPr>
            <w:b w:val="0"/>
            <w:webHidden/>
          </w:rPr>
          <w:fldChar w:fldCharType="begin"/>
        </w:r>
        <w:r w:rsidRPr="005922F8">
          <w:rPr>
            <w:b w:val="0"/>
            <w:webHidden/>
          </w:rPr>
          <w:instrText xml:space="preserve"> PAGEREF _Toc204678225 \h </w:instrText>
        </w:r>
        <w:r w:rsidRPr="005922F8">
          <w:rPr>
            <w:b w:val="0"/>
            <w:webHidden/>
          </w:rPr>
        </w:r>
        <w:r w:rsidRPr="005922F8">
          <w:rPr>
            <w:b w:val="0"/>
            <w:webHidden/>
          </w:rPr>
          <w:fldChar w:fldCharType="separate"/>
        </w:r>
        <w:r w:rsidR="00BC4A0C">
          <w:rPr>
            <w:b w:val="0"/>
            <w:webHidden/>
          </w:rPr>
          <w:t>142</w:t>
        </w:r>
        <w:r w:rsidRPr="005922F8">
          <w:rPr>
            <w:b w:val="0"/>
            <w:webHidden/>
          </w:rPr>
          <w:fldChar w:fldCharType="end"/>
        </w:r>
      </w:hyperlink>
    </w:p>
    <w:p w14:paraId="3674FE2D" w14:textId="6B18B954" w:rsidR="005922F8" w:rsidRPr="005922F8" w:rsidRDefault="005922F8">
      <w:pPr>
        <w:pStyle w:val="Obsah3"/>
        <w:tabs>
          <w:tab w:val="left" w:pos="2127"/>
        </w:tabs>
        <w:rPr>
          <w:rFonts w:asciiTheme="minorHAnsi" w:eastAsiaTheme="minorEastAsia" w:hAnsiTheme="minorHAnsi"/>
          <w:b w:val="0"/>
          <w:bCs/>
          <w:kern w:val="2"/>
          <w:sz w:val="24"/>
          <w:szCs w:val="24"/>
          <w:lang w:eastAsia="cs-CZ"/>
          <w14:ligatures w14:val="standardContextual"/>
        </w:rPr>
      </w:pPr>
      <w:hyperlink w:anchor="_Toc204678226" w:history="1">
        <w:r w:rsidRPr="005922F8">
          <w:rPr>
            <w:rStyle w:val="Hypertextovodkaz"/>
            <w:rFonts w:asciiTheme="majorHAnsi" w:hAnsiTheme="majorHAnsi" w:cstheme="majorHAnsi"/>
            <w:b w:val="0"/>
            <w:bCs/>
          </w:rPr>
          <w:t>12.1.1</w:t>
        </w:r>
        <w:r w:rsidRPr="005922F8">
          <w:rPr>
            <w:rFonts w:asciiTheme="minorHAnsi" w:eastAsiaTheme="minorEastAsia" w:hAnsiTheme="minorHAnsi"/>
            <w:b w:val="0"/>
            <w:bCs/>
            <w:kern w:val="2"/>
            <w:sz w:val="24"/>
            <w:szCs w:val="24"/>
            <w:lang w:eastAsia="cs-CZ"/>
            <w14:ligatures w14:val="standardContextual"/>
          </w:rPr>
          <w:tab/>
        </w:r>
        <w:r w:rsidRPr="005922F8">
          <w:rPr>
            <w:rStyle w:val="Hypertextovodkaz"/>
            <w:rFonts w:asciiTheme="majorHAnsi" w:hAnsiTheme="majorHAnsi" w:cstheme="majorHAnsi"/>
            <w:b w:val="0"/>
            <w:bCs/>
          </w:rPr>
          <w:t>Hranice zastavěného území</w:t>
        </w:r>
        <w:r w:rsidRPr="005922F8">
          <w:rPr>
            <w:b w:val="0"/>
            <w:bCs/>
            <w:webHidden/>
          </w:rPr>
          <w:tab/>
        </w:r>
        <w:r w:rsidRPr="005922F8">
          <w:rPr>
            <w:b w:val="0"/>
            <w:bCs/>
            <w:webHidden/>
          </w:rPr>
          <w:fldChar w:fldCharType="begin"/>
        </w:r>
        <w:r w:rsidRPr="005922F8">
          <w:rPr>
            <w:b w:val="0"/>
            <w:bCs/>
            <w:webHidden/>
          </w:rPr>
          <w:instrText xml:space="preserve"> PAGEREF _Toc204678226 \h </w:instrText>
        </w:r>
        <w:r w:rsidRPr="005922F8">
          <w:rPr>
            <w:b w:val="0"/>
            <w:bCs/>
            <w:webHidden/>
          </w:rPr>
        </w:r>
        <w:r w:rsidRPr="005922F8">
          <w:rPr>
            <w:b w:val="0"/>
            <w:bCs/>
            <w:webHidden/>
          </w:rPr>
          <w:fldChar w:fldCharType="separate"/>
        </w:r>
        <w:r w:rsidR="00BC4A0C">
          <w:rPr>
            <w:b w:val="0"/>
            <w:bCs/>
            <w:webHidden/>
          </w:rPr>
          <w:t>142</w:t>
        </w:r>
        <w:r w:rsidRPr="005922F8">
          <w:rPr>
            <w:b w:val="0"/>
            <w:bCs/>
            <w:webHidden/>
          </w:rPr>
          <w:fldChar w:fldCharType="end"/>
        </w:r>
      </w:hyperlink>
    </w:p>
    <w:p w14:paraId="4147C576" w14:textId="5E05C77C" w:rsidR="005922F8" w:rsidRPr="005922F8" w:rsidRDefault="005922F8">
      <w:pPr>
        <w:pStyle w:val="Obsah3"/>
        <w:tabs>
          <w:tab w:val="left" w:pos="2127"/>
        </w:tabs>
        <w:rPr>
          <w:rFonts w:asciiTheme="minorHAnsi" w:eastAsiaTheme="minorEastAsia" w:hAnsiTheme="minorHAnsi"/>
          <w:b w:val="0"/>
          <w:bCs/>
          <w:kern w:val="2"/>
          <w:sz w:val="24"/>
          <w:szCs w:val="24"/>
          <w:lang w:eastAsia="cs-CZ"/>
          <w14:ligatures w14:val="standardContextual"/>
        </w:rPr>
      </w:pPr>
      <w:hyperlink w:anchor="_Toc204678227" w:history="1">
        <w:r w:rsidRPr="005922F8">
          <w:rPr>
            <w:rStyle w:val="Hypertextovodkaz"/>
            <w:rFonts w:asciiTheme="majorHAnsi" w:hAnsiTheme="majorHAnsi" w:cstheme="majorHAnsi"/>
            <w:b w:val="0"/>
            <w:bCs/>
          </w:rPr>
          <w:t>12.1.2</w:t>
        </w:r>
        <w:r w:rsidRPr="005922F8">
          <w:rPr>
            <w:rFonts w:asciiTheme="minorHAnsi" w:eastAsiaTheme="minorEastAsia" w:hAnsiTheme="minorHAnsi"/>
            <w:b w:val="0"/>
            <w:bCs/>
            <w:kern w:val="2"/>
            <w:sz w:val="24"/>
            <w:szCs w:val="24"/>
            <w:lang w:eastAsia="cs-CZ"/>
            <w14:ligatures w14:val="standardContextual"/>
          </w:rPr>
          <w:tab/>
        </w:r>
        <w:r w:rsidRPr="005922F8">
          <w:rPr>
            <w:rStyle w:val="Hypertextovodkaz"/>
            <w:rFonts w:asciiTheme="majorHAnsi" w:hAnsiTheme="majorHAnsi" w:cstheme="majorHAnsi"/>
            <w:b w:val="0"/>
            <w:bCs/>
          </w:rPr>
          <w:t>Struktura využití pozemků</w:t>
        </w:r>
        <w:r w:rsidRPr="005922F8">
          <w:rPr>
            <w:b w:val="0"/>
            <w:bCs/>
            <w:webHidden/>
          </w:rPr>
          <w:tab/>
        </w:r>
        <w:r w:rsidRPr="005922F8">
          <w:rPr>
            <w:b w:val="0"/>
            <w:bCs/>
            <w:webHidden/>
          </w:rPr>
          <w:fldChar w:fldCharType="begin"/>
        </w:r>
        <w:r w:rsidRPr="005922F8">
          <w:rPr>
            <w:b w:val="0"/>
            <w:bCs/>
            <w:webHidden/>
          </w:rPr>
          <w:instrText xml:space="preserve"> PAGEREF _Toc204678227 \h </w:instrText>
        </w:r>
        <w:r w:rsidRPr="005922F8">
          <w:rPr>
            <w:b w:val="0"/>
            <w:bCs/>
            <w:webHidden/>
          </w:rPr>
        </w:r>
        <w:r w:rsidRPr="005922F8">
          <w:rPr>
            <w:b w:val="0"/>
            <w:bCs/>
            <w:webHidden/>
          </w:rPr>
          <w:fldChar w:fldCharType="separate"/>
        </w:r>
        <w:r w:rsidR="00BC4A0C">
          <w:rPr>
            <w:b w:val="0"/>
            <w:bCs/>
            <w:webHidden/>
          </w:rPr>
          <w:t>142</w:t>
        </w:r>
        <w:r w:rsidRPr="005922F8">
          <w:rPr>
            <w:b w:val="0"/>
            <w:bCs/>
            <w:webHidden/>
          </w:rPr>
          <w:fldChar w:fldCharType="end"/>
        </w:r>
      </w:hyperlink>
    </w:p>
    <w:p w14:paraId="796F13C9" w14:textId="481AF9F5" w:rsidR="005922F8" w:rsidRPr="005922F8" w:rsidRDefault="005922F8">
      <w:pPr>
        <w:pStyle w:val="Obsah3"/>
        <w:tabs>
          <w:tab w:val="left" w:pos="2127"/>
        </w:tabs>
        <w:rPr>
          <w:rFonts w:asciiTheme="minorHAnsi" w:eastAsiaTheme="minorEastAsia" w:hAnsiTheme="minorHAnsi"/>
          <w:b w:val="0"/>
          <w:bCs/>
          <w:kern w:val="2"/>
          <w:sz w:val="24"/>
          <w:szCs w:val="24"/>
          <w:lang w:eastAsia="cs-CZ"/>
          <w14:ligatures w14:val="standardContextual"/>
        </w:rPr>
      </w:pPr>
      <w:hyperlink w:anchor="_Toc204678228" w:history="1">
        <w:r w:rsidRPr="005922F8">
          <w:rPr>
            <w:rStyle w:val="Hypertextovodkaz"/>
            <w:rFonts w:asciiTheme="majorHAnsi" w:hAnsiTheme="majorHAnsi" w:cstheme="majorHAnsi"/>
            <w:b w:val="0"/>
            <w:bCs/>
          </w:rPr>
          <w:t>12.1.3</w:t>
        </w:r>
        <w:r w:rsidRPr="005922F8">
          <w:rPr>
            <w:rFonts w:asciiTheme="minorHAnsi" w:eastAsiaTheme="minorEastAsia" w:hAnsiTheme="minorHAnsi"/>
            <w:b w:val="0"/>
            <w:bCs/>
            <w:kern w:val="2"/>
            <w:sz w:val="24"/>
            <w:szCs w:val="24"/>
            <w:lang w:eastAsia="cs-CZ"/>
            <w14:ligatures w14:val="standardContextual"/>
          </w:rPr>
          <w:tab/>
        </w:r>
        <w:r w:rsidRPr="005922F8">
          <w:rPr>
            <w:rStyle w:val="Hypertextovodkaz"/>
            <w:rFonts w:asciiTheme="majorHAnsi" w:hAnsiTheme="majorHAnsi" w:cstheme="majorHAnsi"/>
            <w:b w:val="0"/>
            <w:bCs/>
          </w:rPr>
          <w:t>Pedologické podmínky, uspořádání ZPF v území</w:t>
        </w:r>
        <w:r w:rsidRPr="005922F8">
          <w:rPr>
            <w:b w:val="0"/>
            <w:bCs/>
            <w:webHidden/>
          </w:rPr>
          <w:tab/>
        </w:r>
        <w:r w:rsidRPr="005922F8">
          <w:rPr>
            <w:b w:val="0"/>
            <w:bCs/>
            <w:webHidden/>
          </w:rPr>
          <w:fldChar w:fldCharType="begin"/>
        </w:r>
        <w:r w:rsidRPr="005922F8">
          <w:rPr>
            <w:b w:val="0"/>
            <w:bCs/>
            <w:webHidden/>
          </w:rPr>
          <w:instrText xml:space="preserve"> PAGEREF _Toc204678228 \h </w:instrText>
        </w:r>
        <w:r w:rsidRPr="005922F8">
          <w:rPr>
            <w:b w:val="0"/>
            <w:bCs/>
            <w:webHidden/>
          </w:rPr>
        </w:r>
        <w:r w:rsidRPr="005922F8">
          <w:rPr>
            <w:b w:val="0"/>
            <w:bCs/>
            <w:webHidden/>
          </w:rPr>
          <w:fldChar w:fldCharType="separate"/>
        </w:r>
        <w:r w:rsidR="00BC4A0C">
          <w:rPr>
            <w:b w:val="0"/>
            <w:bCs/>
            <w:webHidden/>
          </w:rPr>
          <w:t>143</w:t>
        </w:r>
        <w:r w:rsidRPr="005922F8">
          <w:rPr>
            <w:b w:val="0"/>
            <w:bCs/>
            <w:webHidden/>
          </w:rPr>
          <w:fldChar w:fldCharType="end"/>
        </w:r>
      </w:hyperlink>
    </w:p>
    <w:p w14:paraId="3556F0A5" w14:textId="4AC1C6F5" w:rsidR="005922F8" w:rsidRPr="005922F8" w:rsidRDefault="005922F8">
      <w:pPr>
        <w:pStyle w:val="Obsah3"/>
        <w:tabs>
          <w:tab w:val="left" w:pos="2127"/>
        </w:tabs>
        <w:rPr>
          <w:rFonts w:asciiTheme="minorHAnsi" w:eastAsiaTheme="minorEastAsia" w:hAnsiTheme="minorHAnsi"/>
          <w:b w:val="0"/>
          <w:bCs/>
          <w:kern w:val="2"/>
          <w:sz w:val="24"/>
          <w:szCs w:val="24"/>
          <w:lang w:eastAsia="cs-CZ"/>
          <w14:ligatures w14:val="standardContextual"/>
        </w:rPr>
      </w:pPr>
      <w:hyperlink w:anchor="_Toc204678229" w:history="1">
        <w:r w:rsidRPr="005922F8">
          <w:rPr>
            <w:rStyle w:val="Hypertextovodkaz"/>
            <w:rFonts w:asciiTheme="majorHAnsi" w:hAnsiTheme="majorHAnsi" w:cstheme="majorHAnsi"/>
            <w:b w:val="0"/>
            <w:bCs/>
          </w:rPr>
          <w:t>12.1.4</w:t>
        </w:r>
        <w:r w:rsidRPr="005922F8">
          <w:rPr>
            <w:rFonts w:asciiTheme="minorHAnsi" w:eastAsiaTheme="minorEastAsia" w:hAnsiTheme="minorHAnsi"/>
            <w:b w:val="0"/>
            <w:bCs/>
            <w:kern w:val="2"/>
            <w:sz w:val="24"/>
            <w:szCs w:val="24"/>
            <w:lang w:eastAsia="cs-CZ"/>
            <w14:ligatures w14:val="standardContextual"/>
          </w:rPr>
          <w:tab/>
        </w:r>
        <w:r w:rsidRPr="005922F8">
          <w:rPr>
            <w:rStyle w:val="Hypertextovodkaz"/>
            <w:rFonts w:asciiTheme="majorHAnsi" w:hAnsiTheme="majorHAnsi" w:cstheme="majorHAnsi"/>
            <w:b w:val="0"/>
            <w:bCs/>
          </w:rPr>
          <w:t>Pozemkové úpravy</w:t>
        </w:r>
        <w:r w:rsidRPr="005922F8">
          <w:rPr>
            <w:b w:val="0"/>
            <w:bCs/>
            <w:webHidden/>
          </w:rPr>
          <w:tab/>
        </w:r>
        <w:r w:rsidRPr="005922F8">
          <w:rPr>
            <w:b w:val="0"/>
            <w:bCs/>
            <w:webHidden/>
          </w:rPr>
          <w:fldChar w:fldCharType="begin"/>
        </w:r>
        <w:r w:rsidRPr="005922F8">
          <w:rPr>
            <w:b w:val="0"/>
            <w:bCs/>
            <w:webHidden/>
          </w:rPr>
          <w:instrText xml:space="preserve"> PAGEREF _Toc204678229 \h </w:instrText>
        </w:r>
        <w:r w:rsidRPr="005922F8">
          <w:rPr>
            <w:b w:val="0"/>
            <w:bCs/>
            <w:webHidden/>
          </w:rPr>
        </w:r>
        <w:r w:rsidRPr="005922F8">
          <w:rPr>
            <w:b w:val="0"/>
            <w:bCs/>
            <w:webHidden/>
          </w:rPr>
          <w:fldChar w:fldCharType="separate"/>
        </w:r>
        <w:r w:rsidR="00BC4A0C">
          <w:rPr>
            <w:b w:val="0"/>
            <w:bCs/>
            <w:webHidden/>
          </w:rPr>
          <w:t>144</w:t>
        </w:r>
        <w:r w:rsidRPr="005922F8">
          <w:rPr>
            <w:b w:val="0"/>
            <w:bCs/>
            <w:webHidden/>
          </w:rPr>
          <w:fldChar w:fldCharType="end"/>
        </w:r>
      </w:hyperlink>
    </w:p>
    <w:p w14:paraId="635AAFB3" w14:textId="198881F8" w:rsidR="005922F8" w:rsidRPr="005922F8" w:rsidRDefault="005922F8">
      <w:pPr>
        <w:pStyle w:val="Obsah3"/>
        <w:tabs>
          <w:tab w:val="left" w:pos="2127"/>
        </w:tabs>
        <w:rPr>
          <w:rFonts w:asciiTheme="minorHAnsi" w:eastAsiaTheme="minorEastAsia" w:hAnsiTheme="minorHAnsi"/>
          <w:b w:val="0"/>
          <w:bCs/>
          <w:kern w:val="2"/>
          <w:sz w:val="24"/>
          <w:szCs w:val="24"/>
          <w:lang w:eastAsia="cs-CZ"/>
          <w14:ligatures w14:val="standardContextual"/>
        </w:rPr>
      </w:pPr>
      <w:hyperlink w:anchor="_Toc204678230" w:history="1">
        <w:r w:rsidRPr="005922F8">
          <w:rPr>
            <w:rStyle w:val="Hypertextovodkaz"/>
            <w:rFonts w:asciiTheme="majorHAnsi" w:hAnsiTheme="majorHAnsi" w:cstheme="majorHAnsi"/>
            <w:b w:val="0"/>
            <w:bCs/>
          </w:rPr>
          <w:t>12.1.5</w:t>
        </w:r>
        <w:r w:rsidRPr="005922F8">
          <w:rPr>
            <w:rFonts w:asciiTheme="minorHAnsi" w:eastAsiaTheme="minorEastAsia" w:hAnsiTheme="minorHAnsi"/>
            <w:b w:val="0"/>
            <w:bCs/>
            <w:kern w:val="2"/>
            <w:sz w:val="24"/>
            <w:szCs w:val="24"/>
            <w:lang w:eastAsia="cs-CZ"/>
            <w14:ligatures w14:val="standardContextual"/>
          </w:rPr>
          <w:tab/>
        </w:r>
        <w:r w:rsidRPr="005922F8">
          <w:rPr>
            <w:rStyle w:val="Hypertextovodkaz"/>
            <w:rFonts w:asciiTheme="majorHAnsi" w:hAnsiTheme="majorHAnsi" w:cstheme="majorHAnsi"/>
            <w:b w:val="0"/>
            <w:bCs/>
          </w:rPr>
          <w:t>Investice do půdy</w:t>
        </w:r>
        <w:r w:rsidRPr="005922F8">
          <w:rPr>
            <w:b w:val="0"/>
            <w:bCs/>
            <w:webHidden/>
          </w:rPr>
          <w:tab/>
        </w:r>
        <w:r w:rsidRPr="005922F8">
          <w:rPr>
            <w:b w:val="0"/>
            <w:bCs/>
            <w:webHidden/>
          </w:rPr>
          <w:fldChar w:fldCharType="begin"/>
        </w:r>
        <w:r w:rsidRPr="005922F8">
          <w:rPr>
            <w:b w:val="0"/>
            <w:bCs/>
            <w:webHidden/>
          </w:rPr>
          <w:instrText xml:space="preserve"> PAGEREF _Toc204678230 \h </w:instrText>
        </w:r>
        <w:r w:rsidRPr="005922F8">
          <w:rPr>
            <w:b w:val="0"/>
            <w:bCs/>
            <w:webHidden/>
          </w:rPr>
        </w:r>
        <w:r w:rsidRPr="005922F8">
          <w:rPr>
            <w:b w:val="0"/>
            <w:bCs/>
            <w:webHidden/>
          </w:rPr>
          <w:fldChar w:fldCharType="separate"/>
        </w:r>
        <w:r w:rsidR="00BC4A0C">
          <w:rPr>
            <w:b w:val="0"/>
            <w:bCs/>
            <w:webHidden/>
          </w:rPr>
          <w:t>144</w:t>
        </w:r>
        <w:r w:rsidRPr="005922F8">
          <w:rPr>
            <w:b w:val="0"/>
            <w:bCs/>
            <w:webHidden/>
          </w:rPr>
          <w:fldChar w:fldCharType="end"/>
        </w:r>
      </w:hyperlink>
    </w:p>
    <w:p w14:paraId="291343FD" w14:textId="2EC3B7DD" w:rsidR="005922F8" w:rsidRPr="005922F8" w:rsidRDefault="005922F8">
      <w:pPr>
        <w:pStyle w:val="Obsah3"/>
        <w:tabs>
          <w:tab w:val="left" w:pos="2127"/>
        </w:tabs>
        <w:rPr>
          <w:rFonts w:asciiTheme="minorHAnsi" w:eastAsiaTheme="minorEastAsia" w:hAnsiTheme="minorHAnsi"/>
          <w:b w:val="0"/>
          <w:bCs/>
          <w:kern w:val="2"/>
          <w:sz w:val="24"/>
          <w:szCs w:val="24"/>
          <w:lang w:eastAsia="cs-CZ"/>
          <w14:ligatures w14:val="standardContextual"/>
        </w:rPr>
      </w:pPr>
      <w:hyperlink w:anchor="_Toc204678231" w:history="1">
        <w:r w:rsidRPr="005922F8">
          <w:rPr>
            <w:rStyle w:val="Hypertextovodkaz"/>
            <w:rFonts w:asciiTheme="majorHAnsi" w:hAnsiTheme="majorHAnsi" w:cstheme="majorHAnsi"/>
            <w:b w:val="0"/>
            <w:bCs/>
          </w:rPr>
          <w:t>12.1.6</w:t>
        </w:r>
        <w:r w:rsidRPr="005922F8">
          <w:rPr>
            <w:rFonts w:asciiTheme="minorHAnsi" w:eastAsiaTheme="minorEastAsia" w:hAnsiTheme="minorHAnsi"/>
            <w:b w:val="0"/>
            <w:bCs/>
            <w:kern w:val="2"/>
            <w:sz w:val="24"/>
            <w:szCs w:val="24"/>
            <w:lang w:eastAsia="cs-CZ"/>
            <w14:ligatures w14:val="standardContextual"/>
          </w:rPr>
          <w:tab/>
        </w:r>
        <w:r w:rsidRPr="005922F8">
          <w:rPr>
            <w:rStyle w:val="Hypertextovodkaz"/>
            <w:rFonts w:asciiTheme="majorHAnsi" w:hAnsiTheme="majorHAnsi" w:cstheme="majorHAnsi"/>
            <w:b w:val="0"/>
            <w:bCs/>
          </w:rPr>
          <w:t>Opatření k zajištění ekologické stability, protierozní opatření</w:t>
        </w:r>
        <w:r w:rsidRPr="005922F8">
          <w:rPr>
            <w:b w:val="0"/>
            <w:bCs/>
            <w:webHidden/>
          </w:rPr>
          <w:tab/>
        </w:r>
        <w:r w:rsidRPr="005922F8">
          <w:rPr>
            <w:b w:val="0"/>
            <w:bCs/>
            <w:webHidden/>
          </w:rPr>
          <w:fldChar w:fldCharType="begin"/>
        </w:r>
        <w:r w:rsidRPr="005922F8">
          <w:rPr>
            <w:b w:val="0"/>
            <w:bCs/>
            <w:webHidden/>
          </w:rPr>
          <w:instrText xml:space="preserve"> PAGEREF _Toc204678231 \h </w:instrText>
        </w:r>
        <w:r w:rsidRPr="005922F8">
          <w:rPr>
            <w:b w:val="0"/>
            <w:bCs/>
            <w:webHidden/>
          </w:rPr>
        </w:r>
        <w:r w:rsidRPr="005922F8">
          <w:rPr>
            <w:b w:val="0"/>
            <w:bCs/>
            <w:webHidden/>
          </w:rPr>
          <w:fldChar w:fldCharType="separate"/>
        </w:r>
        <w:r w:rsidR="00BC4A0C">
          <w:rPr>
            <w:b w:val="0"/>
            <w:bCs/>
            <w:webHidden/>
          </w:rPr>
          <w:t>146</w:t>
        </w:r>
        <w:r w:rsidRPr="005922F8">
          <w:rPr>
            <w:b w:val="0"/>
            <w:bCs/>
            <w:webHidden/>
          </w:rPr>
          <w:fldChar w:fldCharType="end"/>
        </w:r>
      </w:hyperlink>
    </w:p>
    <w:p w14:paraId="63241235" w14:textId="209A6BD6" w:rsidR="005922F8" w:rsidRPr="005922F8" w:rsidRDefault="005922F8">
      <w:pPr>
        <w:pStyle w:val="Obsah3"/>
        <w:tabs>
          <w:tab w:val="left" w:pos="2127"/>
        </w:tabs>
        <w:rPr>
          <w:rFonts w:asciiTheme="minorHAnsi" w:eastAsiaTheme="minorEastAsia" w:hAnsiTheme="minorHAnsi"/>
          <w:b w:val="0"/>
          <w:bCs/>
          <w:kern w:val="2"/>
          <w:sz w:val="24"/>
          <w:szCs w:val="24"/>
          <w:lang w:eastAsia="cs-CZ"/>
          <w14:ligatures w14:val="standardContextual"/>
        </w:rPr>
      </w:pPr>
      <w:hyperlink w:anchor="_Toc204678232" w:history="1">
        <w:r w:rsidRPr="005922F8">
          <w:rPr>
            <w:rStyle w:val="Hypertextovodkaz"/>
            <w:rFonts w:asciiTheme="majorHAnsi" w:hAnsiTheme="majorHAnsi" w:cstheme="majorHAnsi"/>
            <w:b w:val="0"/>
            <w:bCs/>
          </w:rPr>
          <w:t>12.1.7</w:t>
        </w:r>
        <w:r w:rsidRPr="005922F8">
          <w:rPr>
            <w:rFonts w:asciiTheme="minorHAnsi" w:eastAsiaTheme="minorEastAsia" w:hAnsiTheme="minorHAnsi"/>
            <w:b w:val="0"/>
            <w:bCs/>
            <w:kern w:val="2"/>
            <w:sz w:val="24"/>
            <w:szCs w:val="24"/>
            <w:lang w:eastAsia="cs-CZ"/>
            <w14:ligatures w14:val="standardContextual"/>
          </w:rPr>
          <w:tab/>
        </w:r>
        <w:r w:rsidRPr="005922F8">
          <w:rPr>
            <w:rStyle w:val="Hypertextovodkaz"/>
            <w:rFonts w:asciiTheme="majorHAnsi" w:hAnsiTheme="majorHAnsi" w:cstheme="majorHAnsi"/>
            <w:b w:val="0"/>
            <w:bCs/>
          </w:rPr>
          <w:t>Prostupnost krajiny a zemědělské účelové komunikace</w:t>
        </w:r>
        <w:r w:rsidRPr="005922F8">
          <w:rPr>
            <w:b w:val="0"/>
            <w:bCs/>
            <w:webHidden/>
          </w:rPr>
          <w:tab/>
        </w:r>
        <w:r w:rsidRPr="005922F8">
          <w:rPr>
            <w:b w:val="0"/>
            <w:bCs/>
            <w:webHidden/>
          </w:rPr>
          <w:fldChar w:fldCharType="begin"/>
        </w:r>
        <w:r w:rsidRPr="005922F8">
          <w:rPr>
            <w:b w:val="0"/>
            <w:bCs/>
            <w:webHidden/>
          </w:rPr>
          <w:instrText xml:space="preserve"> PAGEREF _Toc204678232 \h </w:instrText>
        </w:r>
        <w:r w:rsidRPr="005922F8">
          <w:rPr>
            <w:b w:val="0"/>
            <w:bCs/>
            <w:webHidden/>
          </w:rPr>
        </w:r>
        <w:r w:rsidRPr="005922F8">
          <w:rPr>
            <w:b w:val="0"/>
            <w:bCs/>
            <w:webHidden/>
          </w:rPr>
          <w:fldChar w:fldCharType="separate"/>
        </w:r>
        <w:r w:rsidR="00BC4A0C">
          <w:rPr>
            <w:b w:val="0"/>
            <w:bCs/>
            <w:webHidden/>
          </w:rPr>
          <w:t>146</w:t>
        </w:r>
        <w:r w:rsidRPr="005922F8">
          <w:rPr>
            <w:b w:val="0"/>
            <w:bCs/>
            <w:webHidden/>
          </w:rPr>
          <w:fldChar w:fldCharType="end"/>
        </w:r>
      </w:hyperlink>
    </w:p>
    <w:p w14:paraId="79DB5829" w14:textId="7FF485CC" w:rsidR="005922F8" w:rsidRPr="005922F8" w:rsidRDefault="005922F8">
      <w:pPr>
        <w:pStyle w:val="Obsah3"/>
        <w:tabs>
          <w:tab w:val="left" w:pos="2127"/>
        </w:tabs>
        <w:rPr>
          <w:rFonts w:asciiTheme="minorHAnsi" w:eastAsiaTheme="minorEastAsia" w:hAnsiTheme="minorHAnsi"/>
          <w:b w:val="0"/>
          <w:bCs/>
          <w:kern w:val="2"/>
          <w:sz w:val="24"/>
          <w:szCs w:val="24"/>
          <w:lang w:eastAsia="cs-CZ"/>
          <w14:ligatures w14:val="standardContextual"/>
        </w:rPr>
      </w:pPr>
      <w:hyperlink w:anchor="_Toc204678233" w:history="1">
        <w:r w:rsidRPr="005922F8">
          <w:rPr>
            <w:rStyle w:val="Hypertextovodkaz"/>
            <w:rFonts w:asciiTheme="majorHAnsi" w:hAnsiTheme="majorHAnsi" w:cstheme="majorHAnsi"/>
            <w:b w:val="0"/>
            <w:bCs/>
          </w:rPr>
          <w:t>12.1.8</w:t>
        </w:r>
        <w:r w:rsidRPr="005922F8">
          <w:rPr>
            <w:rFonts w:asciiTheme="minorHAnsi" w:eastAsiaTheme="minorEastAsia" w:hAnsiTheme="minorHAnsi"/>
            <w:b w:val="0"/>
            <w:bCs/>
            <w:kern w:val="2"/>
            <w:sz w:val="24"/>
            <w:szCs w:val="24"/>
            <w:lang w:eastAsia="cs-CZ"/>
            <w14:ligatures w14:val="standardContextual"/>
          </w:rPr>
          <w:tab/>
        </w:r>
        <w:r w:rsidRPr="005922F8">
          <w:rPr>
            <w:rStyle w:val="Hypertextovodkaz"/>
            <w:rFonts w:asciiTheme="majorHAnsi" w:hAnsiTheme="majorHAnsi" w:cstheme="majorHAnsi"/>
            <w:b w:val="0"/>
            <w:bCs/>
          </w:rPr>
          <w:t>Zemědělská prvovýroba</w:t>
        </w:r>
        <w:r w:rsidRPr="005922F8">
          <w:rPr>
            <w:b w:val="0"/>
            <w:bCs/>
            <w:webHidden/>
          </w:rPr>
          <w:tab/>
        </w:r>
        <w:r w:rsidRPr="005922F8">
          <w:rPr>
            <w:b w:val="0"/>
            <w:bCs/>
            <w:webHidden/>
          </w:rPr>
          <w:fldChar w:fldCharType="begin"/>
        </w:r>
        <w:r w:rsidRPr="005922F8">
          <w:rPr>
            <w:b w:val="0"/>
            <w:bCs/>
            <w:webHidden/>
          </w:rPr>
          <w:instrText xml:space="preserve"> PAGEREF _Toc204678233 \h </w:instrText>
        </w:r>
        <w:r w:rsidRPr="005922F8">
          <w:rPr>
            <w:b w:val="0"/>
            <w:bCs/>
            <w:webHidden/>
          </w:rPr>
        </w:r>
        <w:r w:rsidRPr="005922F8">
          <w:rPr>
            <w:b w:val="0"/>
            <w:bCs/>
            <w:webHidden/>
          </w:rPr>
          <w:fldChar w:fldCharType="separate"/>
        </w:r>
        <w:r w:rsidR="00BC4A0C">
          <w:rPr>
            <w:b w:val="0"/>
            <w:bCs/>
            <w:webHidden/>
          </w:rPr>
          <w:t>146</w:t>
        </w:r>
        <w:r w:rsidRPr="005922F8">
          <w:rPr>
            <w:b w:val="0"/>
            <w:bCs/>
            <w:webHidden/>
          </w:rPr>
          <w:fldChar w:fldCharType="end"/>
        </w:r>
      </w:hyperlink>
    </w:p>
    <w:p w14:paraId="6ED22616" w14:textId="7C9F5EB5" w:rsidR="005922F8" w:rsidRPr="005922F8" w:rsidRDefault="005922F8">
      <w:pPr>
        <w:pStyle w:val="Obsah3"/>
        <w:tabs>
          <w:tab w:val="left" w:pos="2127"/>
        </w:tabs>
        <w:rPr>
          <w:rFonts w:asciiTheme="minorHAnsi" w:eastAsiaTheme="minorEastAsia" w:hAnsiTheme="minorHAnsi"/>
          <w:b w:val="0"/>
          <w:bCs/>
          <w:kern w:val="2"/>
          <w:sz w:val="24"/>
          <w:szCs w:val="24"/>
          <w:lang w:eastAsia="cs-CZ"/>
          <w14:ligatures w14:val="standardContextual"/>
        </w:rPr>
      </w:pPr>
      <w:hyperlink w:anchor="_Toc204678234" w:history="1">
        <w:r w:rsidRPr="005922F8">
          <w:rPr>
            <w:rStyle w:val="Hypertextovodkaz"/>
            <w:rFonts w:asciiTheme="majorHAnsi" w:hAnsiTheme="majorHAnsi" w:cstheme="majorHAnsi"/>
            <w:b w:val="0"/>
            <w:bCs/>
          </w:rPr>
          <w:t>12.1.9</w:t>
        </w:r>
        <w:r w:rsidRPr="005922F8">
          <w:rPr>
            <w:rFonts w:asciiTheme="minorHAnsi" w:eastAsiaTheme="minorEastAsia" w:hAnsiTheme="minorHAnsi"/>
            <w:b w:val="0"/>
            <w:bCs/>
            <w:kern w:val="2"/>
            <w:sz w:val="24"/>
            <w:szCs w:val="24"/>
            <w:lang w:eastAsia="cs-CZ"/>
            <w14:ligatures w14:val="standardContextual"/>
          </w:rPr>
          <w:tab/>
        </w:r>
        <w:r w:rsidRPr="005922F8">
          <w:rPr>
            <w:rStyle w:val="Hypertextovodkaz"/>
            <w:rFonts w:asciiTheme="majorHAnsi" w:hAnsiTheme="majorHAnsi" w:cstheme="majorHAnsi"/>
            <w:b w:val="0"/>
            <w:bCs/>
          </w:rPr>
          <w:t>Vyhodnocení záborů zemědělského půdního fondu</w:t>
        </w:r>
        <w:r w:rsidRPr="005922F8">
          <w:rPr>
            <w:b w:val="0"/>
            <w:bCs/>
            <w:webHidden/>
          </w:rPr>
          <w:tab/>
        </w:r>
        <w:r w:rsidRPr="005922F8">
          <w:rPr>
            <w:b w:val="0"/>
            <w:bCs/>
            <w:webHidden/>
          </w:rPr>
          <w:fldChar w:fldCharType="begin"/>
        </w:r>
        <w:r w:rsidRPr="005922F8">
          <w:rPr>
            <w:b w:val="0"/>
            <w:bCs/>
            <w:webHidden/>
          </w:rPr>
          <w:instrText xml:space="preserve"> PAGEREF _Toc204678234 \h </w:instrText>
        </w:r>
        <w:r w:rsidRPr="005922F8">
          <w:rPr>
            <w:b w:val="0"/>
            <w:bCs/>
            <w:webHidden/>
          </w:rPr>
        </w:r>
        <w:r w:rsidRPr="005922F8">
          <w:rPr>
            <w:b w:val="0"/>
            <w:bCs/>
            <w:webHidden/>
          </w:rPr>
          <w:fldChar w:fldCharType="separate"/>
        </w:r>
        <w:r w:rsidR="00BC4A0C">
          <w:rPr>
            <w:b w:val="0"/>
            <w:bCs/>
            <w:webHidden/>
          </w:rPr>
          <w:t>146</w:t>
        </w:r>
        <w:r w:rsidRPr="005922F8">
          <w:rPr>
            <w:b w:val="0"/>
            <w:bCs/>
            <w:webHidden/>
          </w:rPr>
          <w:fldChar w:fldCharType="end"/>
        </w:r>
      </w:hyperlink>
    </w:p>
    <w:p w14:paraId="0F0C0A50" w14:textId="0E9E98D1" w:rsidR="005922F8" w:rsidRPr="005922F8" w:rsidRDefault="005922F8">
      <w:pPr>
        <w:pStyle w:val="Obsah3"/>
        <w:tabs>
          <w:tab w:val="left" w:pos="2127"/>
        </w:tabs>
        <w:rPr>
          <w:rFonts w:asciiTheme="minorHAnsi" w:eastAsiaTheme="minorEastAsia" w:hAnsiTheme="minorHAnsi"/>
          <w:b w:val="0"/>
          <w:bCs/>
          <w:kern w:val="2"/>
          <w:sz w:val="24"/>
          <w:szCs w:val="24"/>
          <w:lang w:eastAsia="cs-CZ"/>
          <w14:ligatures w14:val="standardContextual"/>
        </w:rPr>
      </w:pPr>
      <w:hyperlink w:anchor="_Toc204678235" w:history="1">
        <w:r w:rsidRPr="005922F8">
          <w:rPr>
            <w:rStyle w:val="Hypertextovodkaz"/>
            <w:rFonts w:asciiTheme="majorHAnsi" w:hAnsiTheme="majorHAnsi" w:cstheme="majorHAnsi"/>
            <w:b w:val="0"/>
            <w:bCs/>
          </w:rPr>
          <w:t>12.1.10</w:t>
        </w:r>
        <w:r w:rsidRPr="005922F8">
          <w:rPr>
            <w:rFonts w:asciiTheme="minorHAnsi" w:eastAsiaTheme="minorEastAsia" w:hAnsiTheme="minorHAnsi"/>
            <w:b w:val="0"/>
            <w:bCs/>
            <w:kern w:val="2"/>
            <w:sz w:val="24"/>
            <w:szCs w:val="24"/>
            <w:lang w:eastAsia="cs-CZ"/>
            <w14:ligatures w14:val="standardContextual"/>
          </w:rPr>
          <w:tab/>
        </w:r>
        <w:r w:rsidRPr="005922F8">
          <w:rPr>
            <w:rStyle w:val="Hypertextovodkaz"/>
            <w:rFonts w:asciiTheme="majorHAnsi" w:hAnsiTheme="majorHAnsi" w:cstheme="majorHAnsi"/>
            <w:b w:val="0"/>
            <w:bCs/>
          </w:rPr>
          <w:t>Zdůvodnění vhodnosti navrženého řešení oproti jiným variantám</w:t>
        </w:r>
        <w:r w:rsidRPr="005922F8">
          <w:rPr>
            <w:b w:val="0"/>
            <w:bCs/>
            <w:webHidden/>
          </w:rPr>
          <w:tab/>
        </w:r>
        <w:r w:rsidRPr="005922F8">
          <w:rPr>
            <w:b w:val="0"/>
            <w:bCs/>
            <w:webHidden/>
          </w:rPr>
          <w:fldChar w:fldCharType="begin"/>
        </w:r>
        <w:r w:rsidRPr="005922F8">
          <w:rPr>
            <w:b w:val="0"/>
            <w:bCs/>
            <w:webHidden/>
          </w:rPr>
          <w:instrText xml:space="preserve"> PAGEREF _Toc204678235 \h </w:instrText>
        </w:r>
        <w:r w:rsidRPr="005922F8">
          <w:rPr>
            <w:b w:val="0"/>
            <w:bCs/>
            <w:webHidden/>
          </w:rPr>
        </w:r>
        <w:r w:rsidRPr="005922F8">
          <w:rPr>
            <w:b w:val="0"/>
            <w:bCs/>
            <w:webHidden/>
          </w:rPr>
          <w:fldChar w:fldCharType="separate"/>
        </w:r>
        <w:r w:rsidR="00BC4A0C">
          <w:rPr>
            <w:b w:val="0"/>
            <w:bCs/>
            <w:webHidden/>
          </w:rPr>
          <w:t>148</w:t>
        </w:r>
        <w:r w:rsidRPr="005922F8">
          <w:rPr>
            <w:b w:val="0"/>
            <w:bCs/>
            <w:webHidden/>
          </w:rPr>
          <w:fldChar w:fldCharType="end"/>
        </w:r>
      </w:hyperlink>
    </w:p>
    <w:p w14:paraId="5BF45D54" w14:textId="650EEFE7" w:rsidR="005922F8" w:rsidRPr="005922F8" w:rsidRDefault="005922F8">
      <w:pPr>
        <w:pStyle w:val="Obsah2"/>
        <w:rPr>
          <w:rFonts w:asciiTheme="minorHAnsi" w:eastAsiaTheme="minorEastAsia" w:hAnsiTheme="minorHAnsi" w:cstheme="minorBidi"/>
          <w:b w:val="0"/>
          <w:kern w:val="2"/>
          <w:sz w:val="24"/>
          <w:szCs w:val="24"/>
          <w:lang w:eastAsia="cs-CZ"/>
          <w14:ligatures w14:val="standardContextual"/>
        </w:rPr>
      </w:pPr>
      <w:hyperlink w:anchor="_Toc204678236" w:history="1">
        <w:r w:rsidRPr="005922F8">
          <w:rPr>
            <w:rStyle w:val="Hypertextovodkaz"/>
            <w:b w:val="0"/>
          </w:rPr>
          <w:t>12.2</w:t>
        </w:r>
        <w:r w:rsidRPr="005922F8">
          <w:rPr>
            <w:rFonts w:asciiTheme="minorHAnsi" w:eastAsiaTheme="minorEastAsia" w:hAnsiTheme="minorHAnsi" w:cstheme="minorBidi"/>
            <w:b w:val="0"/>
            <w:kern w:val="2"/>
            <w:sz w:val="24"/>
            <w:szCs w:val="24"/>
            <w:lang w:eastAsia="cs-CZ"/>
            <w14:ligatures w14:val="standardContextual"/>
          </w:rPr>
          <w:tab/>
        </w:r>
        <w:r w:rsidRPr="005922F8">
          <w:rPr>
            <w:rStyle w:val="Hypertextovodkaz"/>
            <w:b w:val="0"/>
          </w:rPr>
          <w:t>Vyhodnocení předpokládaných důsledků navrhovaného řešení na pozemky určené k plnění funkce lesa</w:t>
        </w:r>
        <w:r w:rsidRPr="005922F8">
          <w:rPr>
            <w:b w:val="0"/>
            <w:webHidden/>
          </w:rPr>
          <w:tab/>
        </w:r>
        <w:r w:rsidRPr="005922F8">
          <w:rPr>
            <w:b w:val="0"/>
            <w:webHidden/>
          </w:rPr>
          <w:fldChar w:fldCharType="begin"/>
        </w:r>
        <w:r w:rsidRPr="005922F8">
          <w:rPr>
            <w:b w:val="0"/>
            <w:webHidden/>
          </w:rPr>
          <w:instrText xml:space="preserve"> PAGEREF _Toc204678236 \h </w:instrText>
        </w:r>
        <w:r w:rsidRPr="005922F8">
          <w:rPr>
            <w:b w:val="0"/>
            <w:webHidden/>
          </w:rPr>
        </w:r>
        <w:r w:rsidRPr="005922F8">
          <w:rPr>
            <w:b w:val="0"/>
            <w:webHidden/>
          </w:rPr>
          <w:fldChar w:fldCharType="separate"/>
        </w:r>
        <w:r w:rsidR="00BC4A0C">
          <w:rPr>
            <w:b w:val="0"/>
            <w:webHidden/>
          </w:rPr>
          <w:t>150</w:t>
        </w:r>
        <w:r w:rsidRPr="005922F8">
          <w:rPr>
            <w:b w:val="0"/>
            <w:webHidden/>
          </w:rPr>
          <w:fldChar w:fldCharType="end"/>
        </w:r>
      </w:hyperlink>
    </w:p>
    <w:p w14:paraId="48AD372E" w14:textId="2C638985" w:rsidR="005922F8" w:rsidRPr="005922F8" w:rsidRDefault="005922F8">
      <w:pPr>
        <w:pStyle w:val="Obsah3"/>
        <w:tabs>
          <w:tab w:val="left" w:pos="2127"/>
        </w:tabs>
        <w:rPr>
          <w:rFonts w:asciiTheme="minorHAnsi" w:eastAsiaTheme="minorEastAsia" w:hAnsiTheme="minorHAnsi"/>
          <w:b w:val="0"/>
          <w:bCs/>
          <w:kern w:val="2"/>
          <w:sz w:val="24"/>
          <w:szCs w:val="24"/>
          <w:lang w:eastAsia="cs-CZ"/>
          <w14:ligatures w14:val="standardContextual"/>
        </w:rPr>
      </w:pPr>
      <w:hyperlink w:anchor="_Toc204678237" w:history="1">
        <w:r w:rsidRPr="005922F8">
          <w:rPr>
            <w:rStyle w:val="Hypertextovodkaz"/>
            <w:rFonts w:asciiTheme="majorHAnsi" w:hAnsiTheme="majorHAnsi" w:cstheme="majorHAnsi"/>
            <w:b w:val="0"/>
            <w:bCs/>
          </w:rPr>
          <w:t>12.2.1</w:t>
        </w:r>
        <w:r w:rsidRPr="005922F8">
          <w:rPr>
            <w:rFonts w:asciiTheme="minorHAnsi" w:eastAsiaTheme="minorEastAsia" w:hAnsiTheme="minorHAnsi"/>
            <w:b w:val="0"/>
            <w:bCs/>
            <w:kern w:val="2"/>
            <w:sz w:val="24"/>
            <w:szCs w:val="24"/>
            <w:lang w:eastAsia="cs-CZ"/>
            <w14:ligatures w14:val="standardContextual"/>
          </w:rPr>
          <w:tab/>
        </w:r>
        <w:r w:rsidRPr="005922F8">
          <w:rPr>
            <w:rStyle w:val="Hypertextovodkaz"/>
            <w:rFonts w:asciiTheme="majorHAnsi" w:hAnsiTheme="majorHAnsi" w:cstheme="majorHAnsi"/>
            <w:b w:val="0"/>
            <w:bCs/>
          </w:rPr>
          <w:t>Aktuální stav lesa</w:t>
        </w:r>
        <w:r w:rsidRPr="005922F8">
          <w:rPr>
            <w:b w:val="0"/>
            <w:bCs/>
            <w:webHidden/>
          </w:rPr>
          <w:tab/>
        </w:r>
        <w:r w:rsidRPr="005922F8">
          <w:rPr>
            <w:b w:val="0"/>
            <w:bCs/>
            <w:webHidden/>
          </w:rPr>
          <w:fldChar w:fldCharType="begin"/>
        </w:r>
        <w:r w:rsidRPr="005922F8">
          <w:rPr>
            <w:b w:val="0"/>
            <w:bCs/>
            <w:webHidden/>
          </w:rPr>
          <w:instrText xml:space="preserve"> PAGEREF _Toc204678237 \h </w:instrText>
        </w:r>
        <w:r w:rsidRPr="005922F8">
          <w:rPr>
            <w:b w:val="0"/>
            <w:bCs/>
            <w:webHidden/>
          </w:rPr>
        </w:r>
        <w:r w:rsidRPr="005922F8">
          <w:rPr>
            <w:b w:val="0"/>
            <w:bCs/>
            <w:webHidden/>
          </w:rPr>
          <w:fldChar w:fldCharType="separate"/>
        </w:r>
        <w:r w:rsidR="00BC4A0C">
          <w:rPr>
            <w:b w:val="0"/>
            <w:bCs/>
            <w:webHidden/>
          </w:rPr>
          <w:t>150</w:t>
        </w:r>
        <w:r w:rsidRPr="005922F8">
          <w:rPr>
            <w:b w:val="0"/>
            <w:bCs/>
            <w:webHidden/>
          </w:rPr>
          <w:fldChar w:fldCharType="end"/>
        </w:r>
      </w:hyperlink>
    </w:p>
    <w:p w14:paraId="382ACD7B" w14:textId="511F9AA2" w:rsidR="005922F8" w:rsidRPr="005922F8" w:rsidRDefault="005922F8">
      <w:pPr>
        <w:pStyle w:val="Obsah3"/>
        <w:tabs>
          <w:tab w:val="left" w:pos="2127"/>
        </w:tabs>
        <w:rPr>
          <w:rFonts w:asciiTheme="minorHAnsi" w:eastAsiaTheme="minorEastAsia" w:hAnsiTheme="minorHAnsi"/>
          <w:b w:val="0"/>
          <w:bCs/>
          <w:kern w:val="2"/>
          <w:sz w:val="24"/>
          <w:szCs w:val="24"/>
          <w:lang w:eastAsia="cs-CZ"/>
          <w14:ligatures w14:val="standardContextual"/>
        </w:rPr>
      </w:pPr>
      <w:hyperlink w:anchor="_Toc204678238" w:history="1">
        <w:r w:rsidRPr="005922F8">
          <w:rPr>
            <w:rStyle w:val="Hypertextovodkaz"/>
            <w:rFonts w:asciiTheme="majorHAnsi" w:hAnsiTheme="majorHAnsi" w:cstheme="majorHAnsi"/>
            <w:b w:val="0"/>
            <w:bCs/>
          </w:rPr>
          <w:t>12.2.2</w:t>
        </w:r>
        <w:r w:rsidRPr="005922F8">
          <w:rPr>
            <w:rFonts w:asciiTheme="minorHAnsi" w:eastAsiaTheme="minorEastAsia" w:hAnsiTheme="minorHAnsi"/>
            <w:b w:val="0"/>
            <w:bCs/>
            <w:kern w:val="2"/>
            <w:sz w:val="24"/>
            <w:szCs w:val="24"/>
            <w:lang w:eastAsia="cs-CZ"/>
            <w14:ligatures w14:val="standardContextual"/>
          </w:rPr>
          <w:tab/>
        </w:r>
        <w:r w:rsidRPr="005922F8">
          <w:rPr>
            <w:rStyle w:val="Hypertextovodkaz"/>
            <w:rFonts w:asciiTheme="majorHAnsi" w:hAnsiTheme="majorHAnsi" w:cstheme="majorHAnsi"/>
            <w:b w:val="0"/>
            <w:bCs/>
          </w:rPr>
          <w:t>Přírodní lesní oblast (PLO), lesní vegetační stupeň (LVS)</w:t>
        </w:r>
        <w:r w:rsidRPr="005922F8">
          <w:rPr>
            <w:b w:val="0"/>
            <w:bCs/>
            <w:webHidden/>
          </w:rPr>
          <w:tab/>
        </w:r>
        <w:r w:rsidRPr="005922F8">
          <w:rPr>
            <w:b w:val="0"/>
            <w:bCs/>
            <w:webHidden/>
          </w:rPr>
          <w:fldChar w:fldCharType="begin"/>
        </w:r>
        <w:r w:rsidRPr="005922F8">
          <w:rPr>
            <w:b w:val="0"/>
            <w:bCs/>
            <w:webHidden/>
          </w:rPr>
          <w:instrText xml:space="preserve"> PAGEREF _Toc204678238 \h </w:instrText>
        </w:r>
        <w:r w:rsidRPr="005922F8">
          <w:rPr>
            <w:b w:val="0"/>
            <w:bCs/>
            <w:webHidden/>
          </w:rPr>
        </w:r>
        <w:r w:rsidRPr="005922F8">
          <w:rPr>
            <w:b w:val="0"/>
            <w:bCs/>
            <w:webHidden/>
          </w:rPr>
          <w:fldChar w:fldCharType="separate"/>
        </w:r>
        <w:r w:rsidR="00BC4A0C">
          <w:rPr>
            <w:b w:val="0"/>
            <w:bCs/>
            <w:webHidden/>
          </w:rPr>
          <w:t>150</w:t>
        </w:r>
        <w:r w:rsidRPr="005922F8">
          <w:rPr>
            <w:b w:val="0"/>
            <w:bCs/>
            <w:webHidden/>
          </w:rPr>
          <w:fldChar w:fldCharType="end"/>
        </w:r>
      </w:hyperlink>
    </w:p>
    <w:p w14:paraId="5D19C57E" w14:textId="7A972B99" w:rsidR="005922F8" w:rsidRPr="005922F8" w:rsidRDefault="005922F8">
      <w:pPr>
        <w:pStyle w:val="Obsah3"/>
        <w:tabs>
          <w:tab w:val="left" w:pos="2127"/>
        </w:tabs>
        <w:rPr>
          <w:rFonts w:asciiTheme="minorHAnsi" w:eastAsiaTheme="minorEastAsia" w:hAnsiTheme="minorHAnsi"/>
          <w:b w:val="0"/>
          <w:bCs/>
          <w:kern w:val="2"/>
          <w:sz w:val="24"/>
          <w:szCs w:val="24"/>
          <w:lang w:eastAsia="cs-CZ"/>
          <w14:ligatures w14:val="standardContextual"/>
        </w:rPr>
      </w:pPr>
      <w:hyperlink w:anchor="_Toc204678239" w:history="1">
        <w:r w:rsidRPr="005922F8">
          <w:rPr>
            <w:rStyle w:val="Hypertextovodkaz"/>
            <w:rFonts w:asciiTheme="majorHAnsi" w:hAnsiTheme="majorHAnsi" w:cstheme="majorHAnsi"/>
            <w:b w:val="0"/>
            <w:bCs/>
          </w:rPr>
          <w:t>12.2.3</w:t>
        </w:r>
        <w:r w:rsidRPr="005922F8">
          <w:rPr>
            <w:rFonts w:asciiTheme="minorHAnsi" w:eastAsiaTheme="minorEastAsia" w:hAnsiTheme="minorHAnsi"/>
            <w:b w:val="0"/>
            <w:bCs/>
            <w:kern w:val="2"/>
            <w:sz w:val="24"/>
            <w:szCs w:val="24"/>
            <w:lang w:eastAsia="cs-CZ"/>
            <w14:ligatures w14:val="standardContextual"/>
          </w:rPr>
          <w:tab/>
        </w:r>
        <w:r w:rsidRPr="005922F8">
          <w:rPr>
            <w:rStyle w:val="Hypertextovodkaz"/>
            <w:rFonts w:asciiTheme="majorHAnsi" w:hAnsiTheme="majorHAnsi" w:cstheme="majorHAnsi"/>
            <w:b w:val="0"/>
            <w:bCs/>
          </w:rPr>
          <w:t>Kategorie lesů</w:t>
        </w:r>
        <w:r w:rsidRPr="005922F8">
          <w:rPr>
            <w:b w:val="0"/>
            <w:bCs/>
            <w:webHidden/>
          </w:rPr>
          <w:tab/>
        </w:r>
        <w:r w:rsidRPr="005922F8">
          <w:rPr>
            <w:b w:val="0"/>
            <w:bCs/>
            <w:webHidden/>
          </w:rPr>
          <w:fldChar w:fldCharType="begin"/>
        </w:r>
        <w:r w:rsidRPr="005922F8">
          <w:rPr>
            <w:b w:val="0"/>
            <w:bCs/>
            <w:webHidden/>
          </w:rPr>
          <w:instrText xml:space="preserve"> PAGEREF _Toc204678239 \h </w:instrText>
        </w:r>
        <w:r w:rsidRPr="005922F8">
          <w:rPr>
            <w:b w:val="0"/>
            <w:bCs/>
            <w:webHidden/>
          </w:rPr>
        </w:r>
        <w:r w:rsidRPr="005922F8">
          <w:rPr>
            <w:b w:val="0"/>
            <w:bCs/>
            <w:webHidden/>
          </w:rPr>
          <w:fldChar w:fldCharType="separate"/>
        </w:r>
        <w:r w:rsidR="00BC4A0C">
          <w:rPr>
            <w:b w:val="0"/>
            <w:bCs/>
            <w:webHidden/>
          </w:rPr>
          <w:t>150</w:t>
        </w:r>
        <w:r w:rsidRPr="005922F8">
          <w:rPr>
            <w:b w:val="0"/>
            <w:bCs/>
            <w:webHidden/>
          </w:rPr>
          <w:fldChar w:fldCharType="end"/>
        </w:r>
      </w:hyperlink>
    </w:p>
    <w:p w14:paraId="40BA5C7F" w14:textId="7102715C" w:rsidR="005922F8" w:rsidRPr="005922F8" w:rsidRDefault="005922F8">
      <w:pPr>
        <w:pStyle w:val="Obsah3"/>
        <w:tabs>
          <w:tab w:val="left" w:pos="2127"/>
        </w:tabs>
        <w:rPr>
          <w:rFonts w:asciiTheme="minorHAnsi" w:eastAsiaTheme="minorEastAsia" w:hAnsiTheme="minorHAnsi"/>
          <w:b w:val="0"/>
          <w:bCs/>
          <w:kern w:val="2"/>
          <w:sz w:val="24"/>
          <w:szCs w:val="24"/>
          <w:lang w:eastAsia="cs-CZ"/>
          <w14:ligatures w14:val="standardContextual"/>
        </w:rPr>
      </w:pPr>
      <w:hyperlink w:anchor="_Toc204678240" w:history="1">
        <w:r w:rsidRPr="005922F8">
          <w:rPr>
            <w:rStyle w:val="Hypertextovodkaz"/>
            <w:rFonts w:asciiTheme="majorHAnsi" w:hAnsiTheme="majorHAnsi" w:cstheme="majorHAnsi"/>
            <w:b w:val="0"/>
            <w:bCs/>
          </w:rPr>
          <w:t>12.2.4</w:t>
        </w:r>
        <w:r w:rsidRPr="005922F8">
          <w:rPr>
            <w:rFonts w:asciiTheme="minorHAnsi" w:eastAsiaTheme="minorEastAsia" w:hAnsiTheme="minorHAnsi"/>
            <w:b w:val="0"/>
            <w:bCs/>
            <w:kern w:val="2"/>
            <w:sz w:val="24"/>
            <w:szCs w:val="24"/>
            <w:lang w:eastAsia="cs-CZ"/>
            <w14:ligatures w14:val="standardContextual"/>
          </w:rPr>
          <w:tab/>
        </w:r>
        <w:r w:rsidRPr="005922F8">
          <w:rPr>
            <w:rStyle w:val="Hypertextovodkaz"/>
            <w:rFonts w:asciiTheme="majorHAnsi" w:hAnsiTheme="majorHAnsi" w:cstheme="majorHAnsi"/>
            <w:b w:val="0"/>
            <w:bCs/>
          </w:rPr>
          <w:t>Zábor pozemků určených k plnění funkce lesa</w:t>
        </w:r>
        <w:r w:rsidRPr="005922F8">
          <w:rPr>
            <w:b w:val="0"/>
            <w:bCs/>
            <w:webHidden/>
          </w:rPr>
          <w:tab/>
        </w:r>
        <w:r w:rsidRPr="005922F8">
          <w:rPr>
            <w:b w:val="0"/>
            <w:bCs/>
            <w:webHidden/>
          </w:rPr>
          <w:fldChar w:fldCharType="begin"/>
        </w:r>
        <w:r w:rsidRPr="005922F8">
          <w:rPr>
            <w:b w:val="0"/>
            <w:bCs/>
            <w:webHidden/>
          </w:rPr>
          <w:instrText xml:space="preserve"> PAGEREF _Toc204678240 \h </w:instrText>
        </w:r>
        <w:r w:rsidRPr="005922F8">
          <w:rPr>
            <w:b w:val="0"/>
            <w:bCs/>
            <w:webHidden/>
          </w:rPr>
        </w:r>
        <w:r w:rsidRPr="005922F8">
          <w:rPr>
            <w:b w:val="0"/>
            <w:bCs/>
            <w:webHidden/>
          </w:rPr>
          <w:fldChar w:fldCharType="separate"/>
        </w:r>
        <w:r w:rsidR="00BC4A0C">
          <w:rPr>
            <w:b w:val="0"/>
            <w:bCs/>
            <w:webHidden/>
          </w:rPr>
          <w:t>150</w:t>
        </w:r>
        <w:r w:rsidRPr="005922F8">
          <w:rPr>
            <w:b w:val="0"/>
            <w:bCs/>
            <w:webHidden/>
          </w:rPr>
          <w:fldChar w:fldCharType="end"/>
        </w:r>
      </w:hyperlink>
    </w:p>
    <w:p w14:paraId="487B594A" w14:textId="472A47F1" w:rsidR="005922F8" w:rsidRPr="005922F8" w:rsidRDefault="005922F8">
      <w:pPr>
        <w:pStyle w:val="Obsah3"/>
        <w:tabs>
          <w:tab w:val="left" w:pos="2127"/>
        </w:tabs>
        <w:rPr>
          <w:rFonts w:asciiTheme="minorHAnsi" w:eastAsiaTheme="minorEastAsia" w:hAnsiTheme="minorHAnsi"/>
          <w:b w:val="0"/>
          <w:bCs/>
          <w:kern w:val="2"/>
          <w:sz w:val="24"/>
          <w:szCs w:val="24"/>
          <w:lang w:eastAsia="cs-CZ"/>
          <w14:ligatures w14:val="standardContextual"/>
        </w:rPr>
      </w:pPr>
      <w:hyperlink w:anchor="_Toc204678241" w:history="1">
        <w:r w:rsidRPr="005922F8">
          <w:rPr>
            <w:rStyle w:val="Hypertextovodkaz"/>
            <w:rFonts w:asciiTheme="majorHAnsi" w:hAnsiTheme="majorHAnsi" w:cstheme="majorHAnsi"/>
            <w:b w:val="0"/>
            <w:bCs/>
          </w:rPr>
          <w:t>12.2.5</w:t>
        </w:r>
        <w:r w:rsidRPr="005922F8">
          <w:rPr>
            <w:rFonts w:asciiTheme="minorHAnsi" w:eastAsiaTheme="minorEastAsia" w:hAnsiTheme="minorHAnsi"/>
            <w:b w:val="0"/>
            <w:bCs/>
            <w:kern w:val="2"/>
            <w:sz w:val="24"/>
            <w:szCs w:val="24"/>
            <w:lang w:eastAsia="cs-CZ"/>
            <w14:ligatures w14:val="standardContextual"/>
          </w:rPr>
          <w:tab/>
        </w:r>
        <w:r w:rsidRPr="005922F8">
          <w:rPr>
            <w:rStyle w:val="Hypertextovodkaz"/>
            <w:rFonts w:asciiTheme="majorHAnsi" w:hAnsiTheme="majorHAnsi" w:cstheme="majorHAnsi"/>
            <w:b w:val="0"/>
            <w:bCs/>
          </w:rPr>
          <w:t>Návrh zalesnění</w:t>
        </w:r>
        <w:r w:rsidRPr="005922F8">
          <w:rPr>
            <w:b w:val="0"/>
            <w:bCs/>
            <w:webHidden/>
          </w:rPr>
          <w:tab/>
        </w:r>
        <w:r w:rsidRPr="005922F8">
          <w:rPr>
            <w:b w:val="0"/>
            <w:bCs/>
            <w:webHidden/>
          </w:rPr>
          <w:fldChar w:fldCharType="begin"/>
        </w:r>
        <w:r w:rsidRPr="005922F8">
          <w:rPr>
            <w:b w:val="0"/>
            <w:bCs/>
            <w:webHidden/>
          </w:rPr>
          <w:instrText xml:space="preserve"> PAGEREF _Toc204678241 \h </w:instrText>
        </w:r>
        <w:r w:rsidRPr="005922F8">
          <w:rPr>
            <w:b w:val="0"/>
            <w:bCs/>
            <w:webHidden/>
          </w:rPr>
        </w:r>
        <w:r w:rsidRPr="005922F8">
          <w:rPr>
            <w:b w:val="0"/>
            <w:bCs/>
            <w:webHidden/>
          </w:rPr>
          <w:fldChar w:fldCharType="separate"/>
        </w:r>
        <w:r w:rsidR="00BC4A0C">
          <w:rPr>
            <w:b w:val="0"/>
            <w:bCs/>
            <w:webHidden/>
          </w:rPr>
          <w:t>151</w:t>
        </w:r>
        <w:r w:rsidRPr="005922F8">
          <w:rPr>
            <w:b w:val="0"/>
            <w:bCs/>
            <w:webHidden/>
          </w:rPr>
          <w:fldChar w:fldCharType="end"/>
        </w:r>
      </w:hyperlink>
    </w:p>
    <w:p w14:paraId="3F1D4DF7" w14:textId="698ED285" w:rsidR="005922F8" w:rsidRPr="005922F8" w:rsidRDefault="005922F8">
      <w:pPr>
        <w:pStyle w:val="Obsah3"/>
        <w:tabs>
          <w:tab w:val="left" w:pos="2127"/>
        </w:tabs>
        <w:rPr>
          <w:rFonts w:asciiTheme="minorHAnsi" w:eastAsiaTheme="minorEastAsia" w:hAnsiTheme="minorHAnsi"/>
          <w:b w:val="0"/>
          <w:bCs/>
          <w:kern w:val="2"/>
          <w:sz w:val="24"/>
          <w:szCs w:val="24"/>
          <w:lang w:eastAsia="cs-CZ"/>
          <w14:ligatures w14:val="standardContextual"/>
        </w:rPr>
      </w:pPr>
      <w:hyperlink w:anchor="_Toc204678242" w:history="1">
        <w:r w:rsidRPr="005922F8">
          <w:rPr>
            <w:rStyle w:val="Hypertextovodkaz"/>
            <w:rFonts w:asciiTheme="majorHAnsi" w:hAnsiTheme="majorHAnsi" w:cstheme="majorHAnsi"/>
            <w:b w:val="0"/>
            <w:bCs/>
          </w:rPr>
          <w:t>12.2.6</w:t>
        </w:r>
        <w:r w:rsidRPr="005922F8">
          <w:rPr>
            <w:rFonts w:asciiTheme="minorHAnsi" w:eastAsiaTheme="minorEastAsia" w:hAnsiTheme="minorHAnsi"/>
            <w:b w:val="0"/>
            <w:bCs/>
            <w:kern w:val="2"/>
            <w:sz w:val="24"/>
            <w:szCs w:val="24"/>
            <w:lang w:eastAsia="cs-CZ"/>
            <w14:ligatures w14:val="standardContextual"/>
          </w:rPr>
          <w:tab/>
        </w:r>
        <w:r w:rsidRPr="005922F8">
          <w:rPr>
            <w:rStyle w:val="Hypertextovodkaz"/>
            <w:rFonts w:asciiTheme="majorHAnsi" w:hAnsiTheme="majorHAnsi" w:cstheme="majorHAnsi"/>
            <w:b w:val="0"/>
            <w:bCs/>
          </w:rPr>
          <w:t>Ochrana lesa</w:t>
        </w:r>
        <w:r w:rsidRPr="005922F8">
          <w:rPr>
            <w:b w:val="0"/>
            <w:bCs/>
            <w:webHidden/>
          </w:rPr>
          <w:tab/>
        </w:r>
        <w:r w:rsidRPr="005922F8">
          <w:rPr>
            <w:b w:val="0"/>
            <w:bCs/>
            <w:webHidden/>
          </w:rPr>
          <w:fldChar w:fldCharType="begin"/>
        </w:r>
        <w:r w:rsidRPr="005922F8">
          <w:rPr>
            <w:b w:val="0"/>
            <w:bCs/>
            <w:webHidden/>
          </w:rPr>
          <w:instrText xml:space="preserve"> PAGEREF _Toc204678242 \h </w:instrText>
        </w:r>
        <w:r w:rsidRPr="005922F8">
          <w:rPr>
            <w:b w:val="0"/>
            <w:bCs/>
            <w:webHidden/>
          </w:rPr>
        </w:r>
        <w:r w:rsidRPr="005922F8">
          <w:rPr>
            <w:b w:val="0"/>
            <w:bCs/>
            <w:webHidden/>
          </w:rPr>
          <w:fldChar w:fldCharType="separate"/>
        </w:r>
        <w:r w:rsidR="00BC4A0C">
          <w:rPr>
            <w:b w:val="0"/>
            <w:bCs/>
            <w:webHidden/>
          </w:rPr>
          <w:t>151</w:t>
        </w:r>
        <w:r w:rsidRPr="005922F8">
          <w:rPr>
            <w:b w:val="0"/>
            <w:bCs/>
            <w:webHidden/>
          </w:rPr>
          <w:fldChar w:fldCharType="end"/>
        </w:r>
      </w:hyperlink>
    </w:p>
    <w:p w14:paraId="6244CDA7" w14:textId="02EFD263" w:rsidR="005922F8" w:rsidRPr="005922F8" w:rsidRDefault="005922F8">
      <w:pPr>
        <w:pStyle w:val="Obsah1"/>
        <w:rPr>
          <w:rFonts w:asciiTheme="minorHAnsi" w:eastAsiaTheme="minorEastAsia" w:hAnsiTheme="minorHAnsi" w:cstheme="minorBidi"/>
          <w:caps w:val="0"/>
          <w:kern w:val="2"/>
          <w:sz w:val="24"/>
          <w:szCs w:val="24"/>
          <w:lang w:eastAsia="cs-CZ"/>
          <w14:ligatures w14:val="standardContextual"/>
        </w:rPr>
      </w:pPr>
      <w:hyperlink w:anchor="_Toc204678243" w:history="1">
        <w:r w:rsidRPr="005922F8">
          <w:rPr>
            <w:rStyle w:val="Hypertextovodkaz"/>
          </w:rPr>
          <w:t>13</w:t>
        </w:r>
        <w:r w:rsidRPr="005922F8">
          <w:rPr>
            <w:rFonts w:asciiTheme="minorHAnsi" w:eastAsiaTheme="minorEastAsia" w:hAnsiTheme="minorHAnsi" w:cstheme="minorBidi"/>
            <w:caps w:val="0"/>
            <w:kern w:val="2"/>
            <w:sz w:val="24"/>
            <w:szCs w:val="24"/>
            <w:lang w:eastAsia="cs-CZ"/>
            <w14:ligatures w14:val="standardContextual"/>
          </w:rPr>
          <w:tab/>
        </w:r>
        <w:r w:rsidRPr="005922F8">
          <w:rPr>
            <w:rStyle w:val="Hypertextovodkaz"/>
          </w:rPr>
          <w:t>ZPRÁVA O VYHODNOCENÍ VLIVŮ NA UDRŽITELNÝ ROZVOJ ÚZEMÍ OBSAHUJÍCÍ ZÁKLADNÍ INFORMACE O VÝSLEDCÍCH TOHOTO VYHODNOCENÍ VČETNĚ VÝSLEDKŮ VYHODNOCENÍ VLIVŮ NA ŽIVOTNÍ PROSTŘEDÍ</w:t>
        </w:r>
        <w:r w:rsidRPr="005922F8">
          <w:rPr>
            <w:webHidden/>
          </w:rPr>
          <w:tab/>
        </w:r>
        <w:r w:rsidRPr="005922F8">
          <w:rPr>
            <w:webHidden/>
          </w:rPr>
          <w:fldChar w:fldCharType="begin"/>
        </w:r>
        <w:r w:rsidRPr="005922F8">
          <w:rPr>
            <w:webHidden/>
          </w:rPr>
          <w:instrText xml:space="preserve"> PAGEREF _Toc204678243 \h </w:instrText>
        </w:r>
        <w:r w:rsidRPr="005922F8">
          <w:rPr>
            <w:webHidden/>
          </w:rPr>
        </w:r>
        <w:r w:rsidRPr="005922F8">
          <w:rPr>
            <w:webHidden/>
          </w:rPr>
          <w:fldChar w:fldCharType="separate"/>
        </w:r>
        <w:r w:rsidR="00BC4A0C">
          <w:rPr>
            <w:webHidden/>
          </w:rPr>
          <w:t>151</w:t>
        </w:r>
        <w:r w:rsidRPr="005922F8">
          <w:rPr>
            <w:webHidden/>
          </w:rPr>
          <w:fldChar w:fldCharType="end"/>
        </w:r>
      </w:hyperlink>
    </w:p>
    <w:p w14:paraId="0492601B" w14:textId="37230F4C" w:rsidR="005922F8" w:rsidRPr="005922F8" w:rsidRDefault="005922F8">
      <w:pPr>
        <w:pStyle w:val="Obsah1"/>
        <w:rPr>
          <w:rFonts w:asciiTheme="minorHAnsi" w:eastAsiaTheme="minorEastAsia" w:hAnsiTheme="minorHAnsi" w:cstheme="minorBidi"/>
          <w:caps w:val="0"/>
          <w:kern w:val="2"/>
          <w:sz w:val="24"/>
          <w:szCs w:val="24"/>
          <w:lang w:eastAsia="cs-CZ"/>
          <w14:ligatures w14:val="standardContextual"/>
        </w:rPr>
      </w:pPr>
      <w:hyperlink w:anchor="_Toc204678244" w:history="1">
        <w:r w:rsidRPr="005922F8">
          <w:rPr>
            <w:rStyle w:val="Hypertextovodkaz"/>
          </w:rPr>
          <w:t>14</w:t>
        </w:r>
        <w:r w:rsidRPr="005922F8">
          <w:rPr>
            <w:rFonts w:asciiTheme="minorHAnsi" w:eastAsiaTheme="minorEastAsia" w:hAnsiTheme="minorHAnsi" w:cstheme="minorBidi"/>
            <w:caps w:val="0"/>
            <w:kern w:val="2"/>
            <w:sz w:val="24"/>
            <w:szCs w:val="24"/>
            <w:lang w:eastAsia="cs-CZ"/>
            <w14:ligatures w14:val="standardContextual"/>
          </w:rPr>
          <w:tab/>
        </w:r>
        <w:r w:rsidRPr="005922F8">
          <w:rPr>
            <w:rStyle w:val="Hypertextovodkaz"/>
          </w:rPr>
          <w:t>STANOVISKO KRAJSKÉHO ÚŘADU PODLE § 50 ODST. 5 STAVEBNÍHO ZÁKONA</w:t>
        </w:r>
        <w:r w:rsidRPr="005922F8">
          <w:rPr>
            <w:webHidden/>
          </w:rPr>
          <w:tab/>
        </w:r>
        <w:r w:rsidRPr="005922F8">
          <w:rPr>
            <w:webHidden/>
          </w:rPr>
          <w:fldChar w:fldCharType="begin"/>
        </w:r>
        <w:r w:rsidRPr="005922F8">
          <w:rPr>
            <w:webHidden/>
          </w:rPr>
          <w:instrText xml:space="preserve"> PAGEREF _Toc204678244 \h </w:instrText>
        </w:r>
        <w:r w:rsidRPr="005922F8">
          <w:rPr>
            <w:webHidden/>
          </w:rPr>
        </w:r>
        <w:r w:rsidRPr="005922F8">
          <w:rPr>
            <w:webHidden/>
          </w:rPr>
          <w:fldChar w:fldCharType="separate"/>
        </w:r>
        <w:r w:rsidR="00BC4A0C">
          <w:rPr>
            <w:webHidden/>
          </w:rPr>
          <w:t>151</w:t>
        </w:r>
        <w:r w:rsidRPr="005922F8">
          <w:rPr>
            <w:webHidden/>
          </w:rPr>
          <w:fldChar w:fldCharType="end"/>
        </w:r>
      </w:hyperlink>
    </w:p>
    <w:p w14:paraId="7E7D9684" w14:textId="50C15541" w:rsidR="005922F8" w:rsidRPr="005922F8" w:rsidRDefault="005922F8">
      <w:pPr>
        <w:pStyle w:val="Obsah1"/>
        <w:rPr>
          <w:rFonts w:asciiTheme="minorHAnsi" w:eastAsiaTheme="minorEastAsia" w:hAnsiTheme="minorHAnsi" w:cstheme="minorBidi"/>
          <w:caps w:val="0"/>
          <w:kern w:val="2"/>
          <w:sz w:val="24"/>
          <w:szCs w:val="24"/>
          <w:lang w:eastAsia="cs-CZ"/>
          <w14:ligatures w14:val="standardContextual"/>
        </w:rPr>
      </w:pPr>
      <w:hyperlink w:anchor="_Toc204678245" w:history="1">
        <w:r w:rsidRPr="005922F8">
          <w:rPr>
            <w:rStyle w:val="Hypertextovodkaz"/>
          </w:rPr>
          <w:t>15</w:t>
        </w:r>
        <w:r w:rsidRPr="005922F8">
          <w:rPr>
            <w:rFonts w:asciiTheme="minorHAnsi" w:eastAsiaTheme="minorEastAsia" w:hAnsiTheme="minorHAnsi" w:cstheme="minorBidi"/>
            <w:caps w:val="0"/>
            <w:kern w:val="2"/>
            <w:sz w:val="24"/>
            <w:szCs w:val="24"/>
            <w:lang w:eastAsia="cs-CZ"/>
            <w14:ligatures w14:val="standardContextual"/>
          </w:rPr>
          <w:tab/>
        </w:r>
        <w:r w:rsidRPr="005922F8">
          <w:rPr>
            <w:rStyle w:val="Hypertextovodkaz"/>
          </w:rPr>
          <w:t>SDĚLENÍ, JAK BYLO STANOVISKO KRAJSKÉHO ÚŘADU PODLE § 50 ODST. 5 STAVEBNÍHO ZÁKONA ZOHLEDNĚNO, S UVEDENÍM ZÁVAŽNÝCH DŮVODŮ, POKUD NĚKTERÉ POŽADAVKY NEBO PODMÍNKY ZOHLEDNĚNY NEBYLY</w:t>
        </w:r>
        <w:r w:rsidRPr="005922F8">
          <w:rPr>
            <w:webHidden/>
          </w:rPr>
          <w:tab/>
        </w:r>
        <w:r w:rsidRPr="005922F8">
          <w:rPr>
            <w:webHidden/>
          </w:rPr>
          <w:fldChar w:fldCharType="begin"/>
        </w:r>
        <w:r w:rsidRPr="005922F8">
          <w:rPr>
            <w:webHidden/>
          </w:rPr>
          <w:instrText xml:space="preserve"> PAGEREF _Toc204678245 \h </w:instrText>
        </w:r>
        <w:r w:rsidRPr="005922F8">
          <w:rPr>
            <w:webHidden/>
          </w:rPr>
        </w:r>
        <w:r w:rsidRPr="005922F8">
          <w:rPr>
            <w:webHidden/>
          </w:rPr>
          <w:fldChar w:fldCharType="separate"/>
        </w:r>
        <w:r w:rsidR="00BC4A0C">
          <w:rPr>
            <w:webHidden/>
          </w:rPr>
          <w:t>151</w:t>
        </w:r>
        <w:r w:rsidRPr="005922F8">
          <w:rPr>
            <w:webHidden/>
          </w:rPr>
          <w:fldChar w:fldCharType="end"/>
        </w:r>
      </w:hyperlink>
    </w:p>
    <w:p w14:paraId="33043453" w14:textId="73BF79FE" w:rsidR="005922F8" w:rsidRPr="005922F8" w:rsidRDefault="005922F8">
      <w:pPr>
        <w:pStyle w:val="Obsah1"/>
        <w:rPr>
          <w:rFonts w:asciiTheme="minorHAnsi" w:eastAsiaTheme="minorEastAsia" w:hAnsiTheme="minorHAnsi" w:cstheme="minorBidi"/>
          <w:caps w:val="0"/>
          <w:kern w:val="2"/>
          <w:sz w:val="24"/>
          <w:szCs w:val="24"/>
          <w:lang w:eastAsia="cs-CZ"/>
          <w14:ligatures w14:val="standardContextual"/>
        </w:rPr>
      </w:pPr>
      <w:hyperlink w:anchor="_Toc204678246" w:history="1">
        <w:r w:rsidRPr="005922F8">
          <w:rPr>
            <w:rStyle w:val="Hypertextovodkaz"/>
          </w:rPr>
          <w:t>16</w:t>
        </w:r>
        <w:r w:rsidRPr="005922F8">
          <w:rPr>
            <w:rFonts w:asciiTheme="minorHAnsi" w:eastAsiaTheme="minorEastAsia" w:hAnsiTheme="minorHAnsi" w:cstheme="minorBidi"/>
            <w:caps w:val="0"/>
            <w:kern w:val="2"/>
            <w:sz w:val="24"/>
            <w:szCs w:val="24"/>
            <w:lang w:eastAsia="cs-CZ"/>
            <w14:ligatures w14:val="standardContextual"/>
          </w:rPr>
          <w:tab/>
        </w:r>
        <w:r w:rsidRPr="005922F8">
          <w:rPr>
            <w:rStyle w:val="Hypertextovodkaz"/>
          </w:rPr>
          <w:t>ROZHODNUTÍ O NÁMITKÁCH A JEJICH ODŮVODNĚNÍ</w:t>
        </w:r>
        <w:r w:rsidRPr="005922F8">
          <w:rPr>
            <w:webHidden/>
          </w:rPr>
          <w:tab/>
        </w:r>
        <w:r w:rsidRPr="005922F8">
          <w:rPr>
            <w:webHidden/>
          </w:rPr>
          <w:fldChar w:fldCharType="begin"/>
        </w:r>
        <w:r w:rsidRPr="005922F8">
          <w:rPr>
            <w:webHidden/>
          </w:rPr>
          <w:instrText xml:space="preserve"> PAGEREF _Toc204678246 \h </w:instrText>
        </w:r>
        <w:r w:rsidRPr="005922F8">
          <w:rPr>
            <w:webHidden/>
          </w:rPr>
        </w:r>
        <w:r w:rsidRPr="005922F8">
          <w:rPr>
            <w:webHidden/>
          </w:rPr>
          <w:fldChar w:fldCharType="separate"/>
        </w:r>
        <w:r w:rsidR="00BC4A0C">
          <w:rPr>
            <w:webHidden/>
          </w:rPr>
          <w:t>152</w:t>
        </w:r>
        <w:r w:rsidRPr="005922F8">
          <w:rPr>
            <w:webHidden/>
          </w:rPr>
          <w:fldChar w:fldCharType="end"/>
        </w:r>
      </w:hyperlink>
    </w:p>
    <w:p w14:paraId="43581D0F" w14:textId="42AF3AFA" w:rsidR="005922F8" w:rsidRPr="005922F8" w:rsidRDefault="005922F8">
      <w:pPr>
        <w:pStyle w:val="Obsah1"/>
        <w:rPr>
          <w:rFonts w:asciiTheme="minorHAnsi" w:eastAsiaTheme="minorEastAsia" w:hAnsiTheme="minorHAnsi" w:cstheme="minorBidi"/>
          <w:caps w:val="0"/>
          <w:kern w:val="2"/>
          <w:sz w:val="24"/>
          <w:szCs w:val="24"/>
          <w:lang w:eastAsia="cs-CZ"/>
          <w14:ligatures w14:val="standardContextual"/>
        </w:rPr>
      </w:pPr>
      <w:hyperlink w:anchor="_Toc204678247" w:history="1">
        <w:r w:rsidRPr="005922F8">
          <w:rPr>
            <w:rStyle w:val="Hypertextovodkaz"/>
          </w:rPr>
          <w:t>17</w:t>
        </w:r>
        <w:r w:rsidRPr="005922F8">
          <w:rPr>
            <w:rFonts w:asciiTheme="minorHAnsi" w:eastAsiaTheme="minorEastAsia" w:hAnsiTheme="minorHAnsi" w:cstheme="minorBidi"/>
            <w:caps w:val="0"/>
            <w:kern w:val="2"/>
            <w:sz w:val="24"/>
            <w:szCs w:val="24"/>
            <w:lang w:eastAsia="cs-CZ"/>
            <w14:ligatures w14:val="standardContextual"/>
          </w:rPr>
          <w:tab/>
        </w:r>
        <w:r w:rsidRPr="005922F8">
          <w:rPr>
            <w:rStyle w:val="Hypertextovodkaz"/>
          </w:rPr>
          <w:t>VYHODNOCENÍ PŘIPOMÍNEK</w:t>
        </w:r>
        <w:r w:rsidRPr="005922F8">
          <w:rPr>
            <w:webHidden/>
          </w:rPr>
          <w:tab/>
        </w:r>
        <w:r w:rsidRPr="005922F8">
          <w:rPr>
            <w:webHidden/>
          </w:rPr>
          <w:fldChar w:fldCharType="begin"/>
        </w:r>
        <w:r w:rsidRPr="005922F8">
          <w:rPr>
            <w:webHidden/>
          </w:rPr>
          <w:instrText xml:space="preserve"> PAGEREF _Toc204678247 \h </w:instrText>
        </w:r>
        <w:r w:rsidRPr="005922F8">
          <w:rPr>
            <w:webHidden/>
          </w:rPr>
        </w:r>
        <w:r w:rsidRPr="005922F8">
          <w:rPr>
            <w:webHidden/>
          </w:rPr>
          <w:fldChar w:fldCharType="separate"/>
        </w:r>
        <w:r w:rsidR="00BC4A0C">
          <w:rPr>
            <w:webHidden/>
          </w:rPr>
          <w:t>171</w:t>
        </w:r>
        <w:r w:rsidRPr="005922F8">
          <w:rPr>
            <w:webHidden/>
          </w:rPr>
          <w:fldChar w:fldCharType="end"/>
        </w:r>
      </w:hyperlink>
    </w:p>
    <w:p w14:paraId="265F982D" w14:textId="59311306" w:rsidR="005922F8" w:rsidRPr="005922F8" w:rsidRDefault="005922F8">
      <w:pPr>
        <w:pStyle w:val="Obsah1"/>
        <w:rPr>
          <w:rFonts w:asciiTheme="minorHAnsi" w:eastAsiaTheme="minorEastAsia" w:hAnsiTheme="minorHAnsi" w:cstheme="minorBidi"/>
          <w:caps w:val="0"/>
          <w:kern w:val="2"/>
          <w:sz w:val="24"/>
          <w:szCs w:val="24"/>
          <w:lang w:eastAsia="cs-CZ"/>
          <w14:ligatures w14:val="standardContextual"/>
        </w:rPr>
      </w:pPr>
      <w:hyperlink w:anchor="_Toc204678248" w:history="1">
        <w:r w:rsidRPr="005922F8">
          <w:rPr>
            <w:rStyle w:val="Hypertextovodkaz"/>
          </w:rPr>
          <w:t>18</w:t>
        </w:r>
        <w:r w:rsidRPr="005922F8">
          <w:rPr>
            <w:rFonts w:asciiTheme="minorHAnsi" w:eastAsiaTheme="minorEastAsia" w:hAnsiTheme="minorHAnsi" w:cstheme="minorBidi"/>
            <w:caps w:val="0"/>
            <w:kern w:val="2"/>
            <w:sz w:val="24"/>
            <w:szCs w:val="24"/>
            <w:lang w:eastAsia="cs-CZ"/>
            <w14:ligatures w14:val="standardContextual"/>
          </w:rPr>
          <w:tab/>
        </w:r>
        <w:r w:rsidRPr="005922F8">
          <w:rPr>
            <w:rStyle w:val="Hypertextovodkaz"/>
          </w:rPr>
          <w:t>OBSAH TEXTOVÉ ČÁSTI ODŮVODNĚNÍ ÚZEMNÍHO PLÁNU</w:t>
        </w:r>
        <w:r w:rsidRPr="005922F8">
          <w:rPr>
            <w:webHidden/>
          </w:rPr>
          <w:tab/>
        </w:r>
        <w:r w:rsidRPr="005922F8">
          <w:rPr>
            <w:webHidden/>
          </w:rPr>
          <w:fldChar w:fldCharType="begin"/>
        </w:r>
        <w:r w:rsidRPr="005922F8">
          <w:rPr>
            <w:webHidden/>
          </w:rPr>
          <w:instrText xml:space="preserve"> PAGEREF _Toc204678248 \h </w:instrText>
        </w:r>
        <w:r w:rsidRPr="005922F8">
          <w:rPr>
            <w:webHidden/>
          </w:rPr>
        </w:r>
        <w:r w:rsidRPr="005922F8">
          <w:rPr>
            <w:webHidden/>
          </w:rPr>
          <w:fldChar w:fldCharType="separate"/>
        </w:r>
        <w:r w:rsidR="00BC4A0C">
          <w:rPr>
            <w:webHidden/>
          </w:rPr>
          <w:t>173</w:t>
        </w:r>
        <w:r w:rsidRPr="005922F8">
          <w:rPr>
            <w:webHidden/>
          </w:rPr>
          <w:fldChar w:fldCharType="end"/>
        </w:r>
      </w:hyperlink>
    </w:p>
    <w:p w14:paraId="3C5DB404" w14:textId="72F3C576" w:rsidR="005922F8" w:rsidRPr="005922F8" w:rsidRDefault="005922F8">
      <w:pPr>
        <w:pStyle w:val="Obsah1"/>
        <w:rPr>
          <w:rFonts w:asciiTheme="minorHAnsi" w:eastAsiaTheme="minorEastAsia" w:hAnsiTheme="minorHAnsi" w:cstheme="minorBidi"/>
          <w:caps w:val="0"/>
          <w:kern w:val="2"/>
          <w:sz w:val="24"/>
          <w:szCs w:val="24"/>
          <w:lang w:eastAsia="cs-CZ"/>
          <w14:ligatures w14:val="standardContextual"/>
        </w:rPr>
      </w:pPr>
      <w:hyperlink w:anchor="_Toc204678249" w:history="1">
        <w:r w:rsidRPr="005922F8">
          <w:rPr>
            <w:rStyle w:val="Hypertextovodkaz"/>
          </w:rPr>
          <w:t>PŘÍLOHA Č. 1: SEZNAM POUŽITÝCH ZKRATEK</w:t>
        </w:r>
        <w:r w:rsidRPr="005922F8">
          <w:rPr>
            <w:webHidden/>
          </w:rPr>
          <w:tab/>
        </w:r>
        <w:r w:rsidRPr="005922F8">
          <w:rPr>
            <w:webHidden/>
          </w:rPr>
          <w:fldChar w:fldCharType="begin"/>
        </w:r>
        <w:r w:rsidRPr="005922F8">
          <w:rPr>
            <w:webHidden/>
          </w:rPr>
          <w:instrText xml:space="preserve"> PAGEREF _Toc204678249 \h </w:instrText>
        </w:r>
        <w:r w:rsidRPr="005922F8">
          <w:rPr>
            <w:webHidden/>
          </w:rPr>
        </w:r>
        <w:r w:rsidRPr="005922F8">
          <w:rPr>
            <w:webHidden/>
          </w:rPr>
          <w:fldChar w:fldCharType="separate"/>
        </w:r>
        <w:r w:rsidR="00BC4A0C">
          <w:rPr>
            <w:webHidden/>
          </w:rPr>
          <w:t>176</w:t>
        </w:r>
        <w:r w:rsidRPr="005922F8">
          <w:rPr>
            <w:webHidden/>
          </w:rPr>
          <w:fldChar w:fldCharType="end"/>
        </w:r>
      </w:hyperlink>
    </w:p>
    <w:p w14:paraId="71CFC3BC" w14:textId="2B0FD523" w:rsidR="005922F8" w:rsidRPr="005922F8" w:rsidRDefault="005922F8">
      <w:pPr>
        <w:pStyle w:val="Obsah1"/>
        <w:rPr>
          <w:rFonts w:asciiTheme="minorHAnsi" w:eastAsiaTheme="minorEastAsia" w:hAnsiTheme="minorHAnsi" w:cstheme="minorBidi"/>
          <w:caps w:val="0"/>
          <w:kern w:val="2"/>
          <w:sz w:val="24"/>
          <w:szCs w:val="24"/>
          <w:lang w:eastAsia="cs-CZ"/>
          <w14:ligatures w14:val="standardContextual"/>
        </w:rPr>
      </w:pPr>
      <w:hyperlink w:anchor="_Toc204678250" w:history="1">
        <w:r w:rsidRPr="005922F8">
          <w:rPr>
            <w:rStyle w:val="Hypertextovodkaz"/>
          </w:rPr>
          <w:t>PŘÍLOHA Č. 2: VYHODNOCENÍ PŘEDPOKLÁDANÝCH DŮSLEDKŮ NAVRHOVANÉHO ŘEŠENÍ NA ZEMĚDĚLSKÝ PŮDNÍ FOND</w:t>
        </w:r>
        <w:r w:rsidRPr="005922F8">
          <w:rPr>
            <w:webHidden/>
          </w:rPr>
          <w:tab/>
        </w:r>
        <w:r w:rsidRPr="005922F8">
          <w:rPr>
            <w:webHidden/>
          </w:rPr>
          <w:fldChar w:fldCharType="begin"/>
        </w:r>
        <w:r w:rsidRPr="005922F8">
          <w:rPr>
            <w:webHidden/>
          </w:rPr>
          <w:instrText xml:space="preserve"> PAGEREF _Toc204678250 \h </w:instrText>
        </w:r>
        <w:r w:rsidRPr="005922F8">
          <w:rPr>
            <w:webHidden/>
          </w:rPr>
        </w:r>
        <w:r w:rsidRPr="005922F8">
          <w:rPr>
            <w:webHidden/>
          </w:rPr>
          <w:fldChar w:fldCharType="separate"/>
        </w:r>
        <w:r w:rsidR="00BC4A0C">
          <w:rPr>
            <w:webHidden/>
          </w:rPr>
          <w:t>177</w:t>
        </w:r>
        <w:r w:rsidRPr="005922F8">
          <w:rPr>
            <w:webHidden/>
          </w:rPr>
          <w:fldChar w:fldCharType="end"/>
        </w:r>
      </w:hyperlink>
    </w:p>
    <w:p w14:paraId="4A94EBAC" w14:textId="2679466B" w:rsidR="005922F8" w:rsidRPr="005922F8" w:rsidRDefault="005922F8">
      <w:pPr>
        <w:pStyle w:val="Obsah1"/>
        <w:rPr>
          <w:rFonts w:asciiTheme="minorHAnsi" w:eastAsiaTheme="minorEastAsia" w:hAnsiTheme="minorHAnsi" w:cstheme="minorBidi"/>
          <w:caps w:val="0"/>
          <w:kern w:val="2"/>
          <w:sz w:val="24"/>
          <w:szCs w:val="24"/>
          <w:lang w:eastAsia="cs-CZ"/>
          <w14:ligatures w14:val="standardContextual"/>
        </w:rPr>
      </w:pPr>
      <w:hyperlink w:anchor="_Toc204678251" w:history="1">
        <w:r w:rsidRPr="005922F8">
          <w:rPr>
            <w:rStyle w:val="Hypertextovodkaz"/>
          </w:rPr>
          <w:t>PŘÍLOHA Č. 3: POSOUZENÍ SOULADU ÚZEMNÍHO PLÁNU S JEDNOTNÝM STANDARDEM (PROTOKOL ETL)</w:t>
        </w:r>
        <w:r w:rsidRPr="005922F8">
          <w:rPr>
            <w:webHidden/>
          </w:rPr>
          <w:tab/>
        </w:r>
        <w:r w:rsidRPr="005922F8">
          <w:rPr>
            <w:webHidden/>
          </w:rPr>
          <w:fldChar w:fldCharType="begin"/>
        </w:r>
        <w:r w:rsidRPr="005922F8">
          <w:rPr>
            <w:webHidden/>
          </w:rPr>
          <w:instrText xml:space="preserve"> PAGEREF _Toc204678251 \h </w:instrText>
        </w:r>
        <w:r w:rsidRPr="005922F8">
          <w:rPr>
            <w:webHidden/>
          </w:rPr>
        </w:r>
        <w:r w:rsidRPr="005922F8">
          <w:rPr>
            <w:webHidden/>
          </w:rPr>
          <w:fldChar w:fldCharType="separate"/>
        </w:r>
        <w:r w:rsidR="00BC4A0C">
          <w:rPr>
            <w:webHidden/>
          </w:rPr>
          <w:t>180</w:t>
        </w:r>
        <w:r w:rsidRPr="005922F8">
          <w:rPr>
            <w:webHidden/>
          </w:rPr>
          <w:fldChar w:fldCharType="end"/>
        </w:r>
      </w:hyperlink>
    </w:p>
    <w:p w14:paraId="7E018172" w14:textId="4E22005F" w:rsidR="008C192E" w:rsidRPr="006070EA" w:rsidRDefault="00F309F7" w:rsidP="009E07E1">
      <w:pPr>
        <w:pStyle w:val="Odstavecseseznamem"/>
        <w:spacing w:before="200" w:after="200" w:line="240" w:lineRule="auto"/>
        <w:ind w:left="0"/>
        <w:contextualSpacing w:val="0"/>
        <w:jc w:val="both"/>
        <w:rPr>
          <w:rFonts w:asciiTheme="majorHAnsi" w:hAnsiTheme="majorHAnsi" w:cstheme="majorHAnsi"/>
          <w:b/>
          <w:szCs w:val="28"/>
        </w:rPr>
      </w:pPr>
      <w:r w:rsidRPr="005922F8">
        <w:rPr>
          <w:rFonts w:asciiTheme="majorHAnsi" w:hAnsiTheme="majorHAnsi" w:cstheme="majorHAnsi"/>
          <w:bCs/>
          <w:sz w:val="24"/>
          <w:szCs w:val="28"/>
        </w:rPr>
        <w:fldChar w:fldCharType="end"/>
      </w:r>
      <w:r w:rsidR="000C51F9" w:rsidRPr="006070EA">
        <w:rPr>
          <w:rFonts w:asciiTheme="majorHAnsi" w:hAnsiTheme="majorHAnsi" w:cstheme="majorHAnsi"/>
          <w:b/>
          <w:szCs w:val="28"/>
        </w:rPr>
        <w:t>OBSAH GRAFICKÉ ČÁSTI ODŮVODNĚNÍ ÚZEMNÍHO PLÁNU</w:t>
      </w:r>
      <w:r w:rsidR="00CA1F2C" w:rsidRPr="006070EA">
        <w:rPr>
          <w:rFonts w:asciiTheme="majorHAnsi" w:hAnsiTheme="majorHAnsi" w:cstheme="majorHAnsi"/>
          <w:b/>
          <w:szCs w:val="28"/>
        </w:rPr>
        <w:t xml:space="preserve"> </w:t>
      </w:r>
      <w:r w:rsidR="00E25DB2" w:rsidRPr="006070EA">
        <w:rPr>
          <w:rFonts w:asciiTheme="majorHAnsi" w:hAnsiTheme="majorHAnsi" w:cstheme="majorHAnsi"/>
          <w:b/>
          <w:szCs w:val="28"/>
        </w:rPr>
        <w:t>KOSTOMLATY NAD LABEM</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77"/>
        <w:gridCol w:w="4082"/>
        <w:gridCol w:w="1328"/>
      </w:tblGrid>
      <w:tr w:rsidR="00E25DB2" w:rsidRPr="006070EA" w14:paraId="14833A3F" w14:textId="77777777" w:rsidTr="00487210">
        <w:tc>
          <w:tcPr>
            <w:tcW w:w="1077" w:type="dxa"/>
            <w:vAlign w:val="center"/>
          </w:tcPr>
          <w:p w14:paraId="1ACFE9A1" w14:textId="77777777" w:rsidR="000C51F9" w:rsidRPr="006070EA" w:rsidRDefault="000C51F9" w:rsidP="009E07E1">
            <w:pPr>
              <w:pStyle w:val="Odstavecseseznamem"/>
              <w:ind w:left="0"/>
              <w:contextualSpacing w:val="0"/>
              <w:jc w:val="center"/>
              <w:rPr>
                <w:rFonts w:asciiTheme="majorHAnsi" w:hAnsiTheme="majorHAnsi" w:cstheme="majorHAnsi"/>
                <w:sz w:val="20"/>
                <w:szCs w:val="28"/>
              </w:rPr>
            </w:pPr>
            <w:r w:rsidRPr="006070EA">
              <w:rPr>
                <w:rFonts w:asciiTheme="majorHAnsi" w:hAnsiTheme="majorHAnsi" w:cstheme="majorHAnsi"/>
                <w:sz w:val="20"/>
                <w:szCs w:val="28"/>
              </w:rPr>
              <w:t>č. výkresu</w:t>
            </w:r>
          </w:p>
        </w:tc>
        <w:tc>
          <w:tcPr>
            <w:tcW w:w="4082" w:type="dxa"/>
            <w:vAlign w:val="center"/>
          </w:tcPr>
          <w:p w14:paraId="354278AA" w14:textId="77777777" w:rsidR="000C51F9" w:rsidRPr="006070EA" w:rsidRDefault="000C51F9" w:rsidP="009E07E1">
            <w:pPr>
              <w:pStyle w:val="Odstavecseseznamem"/>
              <w:ind w:left="0"/>
              <w:contextualSpacing w:val="0"/>
              <w:rPr>
                <w:rFonts w:asciiTheme="majorHAnsi" w:hAnsiTheme="majorHAnsi" w:cstheme="majorHAnsi"/>
                <w:sz w:val="20"/>
                <w:szCs w:val="28"/>
              </w:rPr>
            </w:pPr>
            <w:r w:rsidRPr="006070EA">
              <w:rPr>
                <w:rFonts w:asciiTheme="majorHAnsi" w:hAnsiTheme="majorHAnsi" w:cstheme="majorHAnsi"/>
                <w:sz w:val="20"/>
                <w:szCs w:val="28"/>
              </w:rPr>
              <w:t>název výkresu</w:t>
            </w:r>
          </w:p>
        </w:tc>
        <w:tc>
          <w:tcPr>
            <w:tcW w:w="1328" w:type="dxa"/>
            <w:vAlign w:val="center"/>
          </w:tcPr>
          <w:p w14:paraId="521BEDEB" w14:textId="77777777" w:rsidR="000C51F9" w:rsidRPr="006070EA" w:rsidRDefault="000C51F9" w:rsidP="009E07E1">
            <w:pPr>
              <w:pStyle w:val="Odstavecseseznamem"/>
              <w:ind w:left="0"/>
              <w:contextualSpacing w:val="0"/>
              <w:rPr>
                <w:rFonts w:asciiTheme="majorHAnsi" w:hAnsiTheme="majorHAnsi" w:cstheme="majorHAnsi"/>
                <w:sz w:val="20"/>
                <w:szCs w:val="28"/>
              </w:rPr>
            </w:pPr>
            <w:r w:rsidRPr="006070EA">
              <w:rPr>
                <w:rFonts w:asciiTheme="majorHAnsi" w:hAnsiTheme="majorHAnsi" w:cstheme="majorHAnsi"/>
                <w:sz w:val="20"/>
                <w:szCs w:val="28"/>
              </w:rPr>
              <w:t>měřítko</w:t>
            </w:r>
          </w:p>
        </w:tc>
      </w:tr>
      <w:tr w:rsidR="00E25DB2" w:rsidRPr="006070EA" w14:paraId="219987C1" w14:textId="77777777" w:rsidTr="00487210">
        <w:tc>
          <w:tcPr>
            <w:tcW w:w="1077" w:type="dxa"/>
            <w:vAlign w:val="center"/>
          </w:tcPr>
          <w:p w14:paraId="095E4F9E" w14:textId="2AF7644D" w:rsidR="000C51F9" w:rsidRPr="006070EA" w:rsidRDefault="00300530" w:rsidP="009E07E1">
            <w:pPr>
              <w:pStyle w:val="Odstavecseseznamem"/>
              <w:ind w:left="0"/>
              <w:contextualSpacing w:val="0"/>
              <w:jc w:val="center"/>
              <w:rPr>
                <w:rFonts w:asciiTheme="majorHAnsi" w:hAnsiTheme="majorHAnsi" w:cstheme="majorHAnsi"/>
                <w:sz w:val="20"/>
                <w:szCs w:val="28"/>
              </w:rPr>
            </w:pPr>
            <w:r w:rsidRPr="006070EA">
              <w:rPr>
                <w:rFonts w:asciiTheme="majorHAnsi" w:hAnsiTheme="majorHAnsi" w:cstheme="majorHAnsi"/>
                <w:sz w:val="20"/>
                <w:szCs w:val="28"/>
              </w:rPr>
              <w:t>4</w:t>
            </w:r>
          </w:p>
        </w:tc>
        <w:tc>
          <w:tcPr>
            <w:tcW w:w="4082" w:type="dxa"/>
            <w:vAlign w:val="center"/>
          </w:tcPr>
          <w:p w14:paraId="022113E1" w14:textId="77777777" w:rsidR="000C51F9" w:rsidRPr="006070EA" w:rsidRDefault="000C51F9" w:rsidP="009E07E1">
            <w:pPr>
              <w:pStyle w:val="Odstavecseseznamem"/>
              <w:ind w:left="0"/>
              <w:contextualSpacing w:val="0"/>
              <w:rPr>
                <w:rFonts w:asciiTheme="majorHAnsi" w:hAnsiTheme="majorHAnsi" w:cstheme="majorHAnsi"/>
                <w:sz w:val="20"/>
                <w:szCs w:val="28"/>
              </w:rPr>
            </w:pPr>
            <w:r w:rsidRPr="006070EA">
              <w:rPr>
                <w:rFonts w:asciiTheme="majorHAnsi" w:hAnsiTheme="majorHAnsi" w:cstheme="majorHAnsi"/>
                <w:sz w:val="20"/>
                <w:szCs w:val="28"/>
              </w:rPr>
              <w:t>Koordinační výkres</w:t>
            </w:r>
          </w:p>
        </w:tc>
        <w:tc>
          <w:tcPr>
            <w:tcW w:w="1328" w:type="dxa"/>
            <w:vAlign w:val="center"/>
          </w:tcPr>
          <w:p w14:paraId="4A044A0C" w14:textId="77777777" w:rsidR="000C51F9" w:rsidRPr="006070EA" w:rsidRDefault="000C51F9" w:rsidP="009E07E1">
            <w:pPr>
              <w:pStyle w:val="Odstavecseseznamem"/>
              <w:ind w:left="0"/>
              <w:contextualSpacing w:val="0"/>
              <w:rPr>
                <w:rFonts w:asciiTheme="majorHAnsi" w:hAnsiTheme="majorHAnsi" w:cstheme="majorHAnsi"/>
                <w:sz w:val="20"/>
                <w:szCs w:val="28"/>
              </w:rPr>
            </w:pPr>
            <w:r w:rsidRPr="006070EA">
              <w:rPr>
                <w:rFonts w:asciiTheme="majorHAnsi" w:hAnsiTheme="majorHAnsi" w:cstheme="majorHAnsi"/>
                <w:sz w:val="20"/>
                <w:szCs w:val="28"/>
              </w:rPr>
              <w:t>1 : 5 000</w:t>
            </w:r>
          </w:p>
        </w:tc>
      </w:tr>
      <w:tr w:rsidR="00E25DB2" w:rsidRPr="006070EA" w14:paraId="09182760" w14:textId="77777777" w:rsidTr="00487210">
        <w:tc>
          <w:tcPr>
            <w:tcW w:w="1077" w:type="dxa"/>
            <w:vAlign w:val="center"/>
          </w:tcPr>
          <w:p w14:paraId="19F9B5FB" w14:textId="0D6FBEE4" w:rsidR="000C51F9" w:rsidRPr="006070EA" w:rsidRDefault="00300530" w:rsidP="009E07E1">
            <w:pPr>
              <w:pStyle w:val="Odstavecseseznamem"/>
              <w:ind w:left="0"/>
              <w:contextualSpacing w:val="0"/>
              <w:jc w:val="center"/>
              <w:rPr>
                <w:rFonts w:asciiTheme="majorHAnsi" w:hAnsiTheme="majorHAnsi" w:cstheme="majorHAnsi"/>
                <w:sz w:val="20"/>
                <w:szCs w:val="28"/>
              </w:rPr>
            </w:pPr>
            <w:r w:rsidRPr="006070EA">
              <w:rPr>
                <w:rFonts w:asciiTheme="majorHAnsi" w:hAnsiTheme="majorHAnsi" w:cstheme="majorHAnsi"/>
                <w:sz w:val="20"/>
                <w:szCs w:val="28"/>
              </w:rPr>
              <w:t>5</w:t>
            </w:r>
          </w:p>
        </w:tc>
        <w:tc>
          <w:tcPr>
            <w:tcW w:w="4082" w:type="dxa"/>
            <w:vAlign w:val="center"/>
          </w:tcPr>
          <w:p w14:paraId="1BC720DF" w14:textId="77777777" w:rsidR="000C51F9" w:rsidRPr="006070EA" w:rsidRDefault="000C51F9" w:rsidP="009E07E1">
            <w:pPr>
              <w:pStyle w:val="Odstavecseseznamem"/>
              <w:ind w:left="0"/>
              <w:contextualSpacing w:val="0"/>
              <w:rPr>
                <w:rFonts w:asciiTheme="majorHAnsi" w:hAnsiTheme="majorHAnsi" w:cstheme="majorHAnsi"/>
                <w:sz w:val="20"/>
                <w:szCs w:val="28"/>
              </w:rPr>
            </w:pPr>
            <w:r w:rsidRPr="006070EA">
              <w:rPr>
                <w:rFonts w:asciiTheme="majorHAnsi" w:hAnsiTheme="majorHAnsi" w:cstheme="majorHAnsi"/>
                <w:sz w:val="20"/>
                <w:szCs w:val="28"/>
              </w:rPr>
              <w:t>Výkres širších vztahů</w:t>
            </w:r>
          </w:p>
        </w:tc>
        <w:tc>
          <w:tcPr>
            <w:tcW w:w="1328" w:type="dxa"/>
            <w:vAlign w:val="center"/>
          </w:tcPr>
          <w:p w14:paraId="4144D7D0" w14:textId="4C50717E" w:rsidR="000C51F9" w:rsidRPr="006070EA" w:rsidRDefault="000C51F9" w:rsidP="00487210">
            <w:pPr>
              <w:pStyle w:val="Odstavecseseznamem"/>
              <w:ind w:left="0"/>
              <w:contextualSpacing w:val="0"/>
              <w:rPr>
                <w:rFonts w:asciiTheme="majorHAnsi" w:hAnsiTheme="majorHAnsi" w:cstheme="majorHAnsi"/>
                <w:sz w:val="20"/>
                <w:szCs w:val="28"/>
              </w:rPr>
            </w:pPr>
            <w:r w:rsidRPr="006070EA">
              <w:rPr>
                <w:rFonts w:asciiTheme="majorHAnsi" w:hAnsiTheme="majorHAnsi" w:cstheme="majorHAnsi"/>
                <w:sz w:val="20"/>
                <w:szCs w:val="28"/>
              </w:rPr>
              <w:t xml:space="preserve">1 : </w:t>
            </w:r>
            <w:r w:rsidR="00E25DB2" w:rsidRPr="006070EA">
              <w:rPr>
                <w:rFonts w:asciiTheme="majorHAnsi" w:hAnsiTheme="majorHAnsi" w:cstheme="majorHAnsi"/>
                <w:sz w:val="20"/>
                <w:szCs w:val="28"/>
              </w:rPr>
              <w:t>10</w:t>
            </w:r>
            <w:r w:rsidR="00A02C4E" w:rsidRPr="006070EA">
              <w:rPr>
                <w:rFonts w:asciiTheme="majorHAnsi" w:hAnsiTheme="majorHAnsi" w:cstheme="majorHAnsi"/>
                <w:sz w:val="20"/>
                <w:szCs w:val="28"/>
              </w:rPr>
              <w:t>0</w:t>
            </w:r>
            <w:r w:rsidRPr="006070EA">
              <w:rPr>
                <w:rFonts w:asciiTheme="majorHAnsi" w:hAnsiTheme="majorHAnsi" w:cstheme="majorHAnsi"/>
                <w:sz w:val="20"/>
                <w:szCs w:val="28"/>
              </w:rPr>
              <w:t xml:space="preserve"> 000</w:t>
            </w:r>
          </w:p>
        </w:tc>
      </w:tr>
      <w:tr w:rsidR="00E25DB2" w:rsidRPr="006070EA" w14:paraId="12E430D9" w14:textId="77777777" w:rsidTr="00487210">
        <w:tc>
          <w:tcPr>
            <w:tcW w:w="1077" w:type="dxa"/>
            <w:vAlign w:val="center"/>
          </w:tcPr>
          <w:p w14:paraId="7EAB350F" w14:textId="3CA56690" w:rsidR="000C51F9" w:rsidRPr="006070EA" w:rsidRDefault="00300530" w:rsidP="009E07E1">
            <w:pPr>
              <w:pStyle w:val="Odstavecseseznamem"/>
              <w:ind w:left="0"/>
              <w:contextualSpacing w:val="0"/>
              <w:jc w:val="center"/>
              <w:rPr>
                <w:rFonts w:asciiTheme="majorHAnsi" w:hAnsiTheme="majorHAnsi" w:cstheme="majorHAnsi"/>
                <w:sz w:val="20"/>
                <w:szCs w:val="28"/>
              </w:rPr>
            </w:pPr>
            <w:r w:rsidRPr="006070EA">
              <w:rPr>
                <w:rFonts w:asciiTheme="majorHAnsi" w:hAnsiTheme="majorHAnsi" w:cstheme="majorHAnsi"/>
                <w:sz w:val="20"/>
                <w:szCs w:val="28"/>
              </w:rPr>
              <w:t>6</w:t>
            </w:r>
          </w:p>
        </w:tc>
        <w:tc>
          <w:tcPr>
            <w:tcW w:w="4082" w:type="dxa"/>
            <w:vAlign w:val="center"/>
          </w:tcPr>
          <w:p w14:paraId="091F8095" w14:textId="77777777" w:rsidR="000C51F9" w:rsidRPr="006070EA" w:rsidRDefault="000C51F9" w:rsidP="009E07E1">
            <w:pPr>
              <w:pStyle w:val="Odstavecseseznamem"/>
              <w:ind w:left="0"/>
              <w:contextualSpacing w:val="0"/>
              <w:rPr>
                <w:rFonts w:asciiTheme="majorHAnsi" w:hAnsiTheme="majorHAnsi" w:cstheme="majorHAnsi"/>
                <w:sz w:val="20"/>
                <w:szCs w:val="28"/>
              </w:rPr>
            </w:pPr>
            <w:r w:rsidRPr="006070EA">
              <w:rPr>
                <w:rFonts w:asciiTheme="majorHAnsi" w:hAnsiTheme="majorHAnsi" w:cstheme="majorHAnsi"/>
                <w:sz w:val="20"/>
                <w:szCs w:val="28"/>
              </w:rPr>
              <w:t>Výkres předpokládaných záborů půdního fondu</w:t>
            </w:r>
          </w:p>
        </w:tc>
        <w:tc>
          <w:tcPr>
            <w:tcW w:w="1328" w:type="dxa"/>
            <w:vAlign w:val="center"/>
          </w:tcPr>
          <w:p w14:paraId="1894789F" w14:textId="77777777" w:rsidR="000C51F9" w:rsidRPr="006070EA" w:rsidRDefault="000C51F9" w:rsidP="009E07E1">
            <w:pPr>
              <w:pStyle w:val="Odstavecseseznamem"/>
              <w:ind w:left="0"/>
              <w:contextualSpacing w:val="0"/>
              <w:rPr>
                <w:rFonts w:asciiTheme="majorHAnsi" w:hAnsiTheme="majorHAnsi" w:cstheme="majorHAnsi"/>
                <w:sz w:val="20"/>
                <w:szCs w:val="28"/>
              </w:rPr>
            </w:pPr>
            <w:r w:rsidRPr="006070EA">
              <w:rPr>
                <w:rFonts w:asciiTheme="majorHAnsi" w:hAnsiTheme="majorHAnsi" w:cstheme="majorHAnsi"/>
                <w:sz w:val="20"/>
                <w:szCs w:val="28"/>
              </w:rPr>
              <w:t>1 : 5 000</w:t>
            </w:r>
          </w:p>
        </w:tc>
      </w:tr>
    </w:tbl>
    <w:p w14:paraId="700D1EE6" w14:textId="7FB52B41" w:rsidR="003A4B1E" w:rsidRPr="006070EA" w:rsidRDefault="003A4B1E" w:rsidP="009E07E1">
      <w:pPr>
        <w:pStyle w:val="Odstavecseseznamem"/>
        <w:spacing w:before="200" w:after="200" w:line="240" w:lineRule="auto"/>
        <w:ind w:left="0"/>
        <w:contextualSpacing w:val="0"/>
        <w:jc w:val="both"/>
        <w:rPr>
          <w:rFonts w:asciiTheme="majorHAnsi" w:hAnsiTheme="majorHAnsi" w:cstheme="majorHAnsi"/>
          <w:color w:val="FF0000"/>
          <w:sz w:val="24"/>
          <w:szCs w:val="28"/>
        </w:rPr>
      </w:pPr>
    </w:p>
    <w:p w14:paraId="5B35BD2A" w14:textId="77777777" w:rsidR="003716AF" w:rsidRPr="006070EA" w:rsidRDefault="00FF21CB" w:rsidP="00663601">
      <w:pPr>
        <w:pageBreakBefore/>
        <w:pBdr>
          <w:top w:val="single" w:sz="8" w:space="1" w:color="auto"/>
          <w:left w:val="single" w:sz="8" w:space="4" w:color="auto"/>
          <w:bottom w:val="single" w:sz="8" w:space="1" w:color="auto"/>
          <w:right w:val="single" w:sz="8" w:space="4" w:color="auto"/>
        </w:pBdr>
        <w:shd w:val="clear" w:color="auto" w:fill="F2F2F2" w:themeFill="background1" w:themeFillShade="F2"/>
        <w:spacing w:before="200" w:after="200" w:line="240" w:lineRule="auto"/>
        <w:jc w:val="both"/>
        <w:outlineLvl w:val="0"/>
        <w:rPr>
          <w:rFonts w:asciiTheme="majorHAnsi" w:hAnsiTheme="majorHAnsi" w:cstheme="majorHAnsi"/>
          <w:b/>
          <w:sz w:val="24"/>
          <w:szCs w:val="28"/>
        </w:rPr>
      </w:pPr>
      <w:bookmarkStart w:id="497" w:name="_Toc204678249"/>
      <w:r w:rsidRPr="006070EA">
        <w:rPr>
          <w:rFonts w:asciiTheme="majorHAnsi" w:hAnsiTheme="majorHAnsi" w:cstheme="majorHAnsi"/>
          <w:b/>
          <w:sz w:val="24"/>
          <w:szCs w:val="28"/>
        </w:rPr>
        <w:lastRenderedPageBreak/>
        <w:t>PŘÍLOHA Č. 1: SEZNAM POUŽITÝCH ZKRATEK</w:t>
      </w:r>
      <w:bookmarkEnd w:id="496"/>
      <w:bookmarkEnd w:id="497"/>
    </w:p>
    <w:p w14:paraId="37A6D331" w14:textId="77777777" w:rsidR="0057137E" w:rsidRPr="006070EA" w:rsidRDefault="0057137E" w:rsidP="009E07E1">
      <w:pPr>
        <w:spacing w:after="0" w:line="240" w:lineRule="auto"/>
        <w:rPr>
          <w:rFonts w:asciiTheme="majorHAnsi" w:eastAsiaTheme="minorEastAsia" w:hAnsiTheme="majorHAnsi" w:cstheme="majorHAnsi"/>
          <w:sz w:val="20"/>
          <w:szCs w:val="20"/>
        </w:rPr>
      </w:pPr>
      <w:r w:rsidRPr="006070EA">
        <w:rPr>
          <w:rFonts w:asciiTheme="majorHAnsi" w:eastAsiaTheme="minorEastAsia" w:hAnsiTheme="majorHAnsi" w:cstheme="majorHAnsi"/>
          <w:sz w:val="20"/>
          <w:szCs w:val="20"/>
        </w:rPr>
        <w:t>BJ</w:t>
      </w:r>
      <w:r w:rsidRPr="006070EA">
        <w:rPr>
          <w:rFonts w:asciiTheme="majorHAnsi" w:eastAsiaTheme="minorEastAsia" w:hAnsiTheme="majorHAnsi" w:cstheme="majorHAnsi"/>
          <w:sz w:val="20"/>
          <w:szCs w:val="20"/>
        </w:rPr>
        <w:tab/>
      </w:r>
      <w:r w:rsidR="00B60DCE" w:rsidRPr="006070EA">
        <w:rPr>
          <w:rFonts w:asciiTheme="majorHAnsi" w:eastAsiaTheme="minorEastAsia" w:hAnsiTheme="majorHAnsi" w:cstheme="majorHAnsi"/>
          <w:sz w:val="20"/>
          <w:szCs w:val="20"/>
        </w:rPr>
        <w:tab/>
      </w:r>
      <w:r w:rsidRPr="006070EA">
        <w:rPr>
          <w:rFonts w:asciiTheme="majorHAnsi" w:eastAsiaTheme="minorEastAsia" w:hAnsiTheme="majorHAnsi" w:cstheme="majorHAnsi"/>
          <w:sz w:val="20"/>
          <w:szCs w:val="20"/>
        </w:rPr>
        <w:t>bytová jednotka</w:t>
      </w:r>
    </w:p>
    <w:p w14:paraId="1600DDF6" w14:textId="77777777" w:rsidR="0057137E" w:rsidRPr="006070EA" w:rsidRDefault="0057137E" w:rsidP="009E07E1">
      <w:pPr>
        <w:spacing w:after="0" w:line="240" w:lineRule="auto"/>
        <w:rPr>
          <w:rFonts w:asciiTheme="majorHAnsi" w:eastAsiaTheme="minorEastAsia" w:hAnsiTheme="majorHAnsi" w:cstheme="majorHAnsi"/>
          <w:sz w:val="20"/>
          <w:szCs w:val="20"/>
        </w:rPr>
      </w:pPr>
      <w:r w:rsidRPr="006070EA">
        <w:rPr>
          <w:rFonts w:asciiTheme="majorHAnsi" w:eastAsiaTheme="minorEastAsia" w:hAnsiTheme="majorHAnsi" w:cstheme="majorHAnsi"/>
          <w:sz w:val="20"/>
          <w:szCs w:val="20"/>
        </w:rPr>
        <w:t>BPEJ</w:t>
      </w:r>
      <w:r w:rsidRPr="006070EA">
        <w:rPr>
          <w:rFonts w:asciiTheme="majorHAnsi" w:eastAsiaTheme="minorEastAsia" w:hAnsiTheme="majorHAnsi" w:cstheme="majorHAnsi"/>
          <w:sz w:val="20"/>
          <w:szCs w:val="20"/>
        </w:rPr>
        <w:tab/>
      </w:r>
      <w:r w:rsidR="00B60DCE" w:rsidRPr="006070EA">
        <w:rPr>
          <w:rFonts w:asciiTheme="majorHAnsi" w:eastAsiaTheme="minorEastAsia" w:hAnsiTheme="majorHAnsi" w:cstheme="majorHAnsi"/>
          <w:sz w:val="20"/>
          <w:szCs w:val="20"/>
        </w:rPr>
        <w:tab/>
      </w:r>
      <w:r w:rsidRPr="006070EA">
        <w:rPr>
          <w:rFonts w:asciiTheme="majorHAnsi" w:eastAsiaTheme="minorEastAsia" w:hAnsiTheme="majorHAnsi" w:cstheme="majorHAnsi"/>
          <w:sz w:val="20"/>
          <w:szCs w:val="20"/>
        </w:rPr>
        <w:t>bonitované půdně ekologické jednotky</w:t>
      </w:r>
    </w:p>
    <w:p w14:paraId="3A4FF412" w14:textId="77777777" w:rsidR="0057137E" w:rsidRPr="006070EA" w:rsidRDefault="0057137E" w:rsidP="009E07E1">
      <w:pPr>
        <w:spacing w:after="0" w:line="240" w:lineRule="auto"/>
        <w:rPr>
          <w:rFonts w:asciiTheme="majorHAnsi" w:eastAsiaTheme="minorEastAsia" w:hAnsiTheme="majorHAnsi" w:cstheme="majorHAnsi"/>
          <w:sz w:val="20"/>
          <w:szCs w:val="20"/>
        </w:rPr>
      </w:pPr>
      <w:r w:rsidRPr="006070EA">
        <w:rPr>
          <w:rFonts w:asciiTheme="majorHAnsi" w:eastAsiaTheme="minorEastAsia" w:hAnsiTheme="majorHAnsi" w:cstheme="majorHAnsi"/>
          <w:sz w:val="20"/>
          <w:szCs w:val="20"/>
        </w:rPr>
        <w:t>ČOV</w:t>
      </w:r>
      <w:r w:rsidRPr="006070EA">
        <w:rPr>
          <w:rFonts w:asciiTheme="majorHAnsi" w:eastAsiaTheme="minorEastAsia" w:hAnsiTheme="majorHAnsi" w:cstheme="majorHAnsi"/>
          <w:sz w:val="20"/>
          <w:szCs w:val="20"/>
        </w:rPr>
        <w:tab/>
      </w:r>
      <w:r w:rsidR="00B60DCE" w:rsidRPr="006070EA">
        <w:rPr>
          <w:rFonts w:asciiTheme="majorHAnsi" w:eastAsiaTheme="minorEastAsia" w:hAnsiTheme="majorHAnsi" w:cstheme="majorHAnsi"/>
          <w:sz w:val="20"/>
          <w:szCs w:val="20"/>
        </w:rPr>
        <w:tab/>
      </w:r>
      <w:r w:rsidRPr="006070EA">
        <w:rPr>
          <w:rFonts w:asciiTheme="majorHAnsi" w:eastAsiaTheme="minorEastAsia" w:hAnsiTheme="majorHAnsi" w:cstheme="majorHAnsi"/>
          <w:sz w:val="20"/>
          <w:szCs w:val="20"/>
        </w:rPr>
        <w:t>čistírna odpadních vod</w:t>
      </w:r>
    </w:p>
    <w:p w14:paraId="285317E1" w14:textId="77777777" w:rsidR="0057137E" w:rsidRPr="006070EA" w:rsidRDefault="0057137E" w:rsidP="009E07E1">
      <w:pPr>
        <w:spacing w:after="0" w:line="240" w:lineRule="auto"/>
        <w:rPr>
          <w:rFonts w:asciiTheme="majorHAnsi" w:eastAsiaTheme="minorEastAsia" w:hAnsiTheme="majorHAnsi" w:cstheme="majorHAnsi"/>
          <w:sz w:val="20"/>
          <w:szCs w:val="20"/>
        </w:rPr>
      </w:pPr>
      <w:r w:rsidRPr="006070EA">
        <w:rPr>
          <w:rFonts w:asciiTheme="majorHAnsi" w:eastAsiaTheme="minorEastAsia" w:hAnsiTheme="majorHAnsi" w:cstheme="majorHAnsi"/>
          <w:sz w:val="20"/>
          <w:szCs w:val="20"/>
        </w:rPr>
        <w:t>ČR</w:t>
      </w:r>
      <w:r w:rsidRPr="006070EA">
        <w:rPr>
          <w:rFonts w:asciiTheme="majorHAnsi" w:eastAsiaTheme="minorEastAsia" w:hAnsiTheme="majorHAnsi" w:cstheme="majorHAnsi"/>
          <w:sz w:val="20"/>
          <w:szCs w:val="20"/>
        </w:rPr>
        <w:tab/>
      </w:r>
      <w:r w:rsidR="00B60DCE" w:rsidRPr="006070EA">
        <w:rPr>
          <w:rFonts w:asciiTheme="majorHAnsi" w:eastAsiaTheme="minorEastAsia" w:hAnsiTheme="majorHAnsi" w:cstheme="majorHAnsi"/>
          <w:sz w:val="20"/>
          <w:szCs w:val="20"/>
        </w:rPr>
        <w:tab/>
      </w:r>
      <w:r w:rsidRPr="006070EA">
        <w:rPr>
          <w:rFonts w:asciiTheme="majorHAnsi" w:eastAsiaTheme="minorEastAsia" w:hAnsiTheme="majorHAnsi" w:cstheme="majorHAnsi"/>
          <w:sz w:val="20"/>
          <w:szCs w:val="20"/>
        </w:rPr>
        <w:t>Česká republika</w:t>
      </w:r>
    </w:p>
    <w:p w14:paraId="16C7D534" w14:textId="77777777" w:rsidR="00A947CF" w:rsidRPr="006070EA" w:rsidRDefault="00A947CF" w:rsidP="009E07E1">
      <w:pPr>
        <w:spacing w:after="0" w:line="240" w:lineRule="auto"/>
        <w:rPr>
          <w:rFonts w:asciiTheme="majorHAnsi" w:eastAsiaTheme="minorEastAsia" w:hAnsiTheme="majorHAnsi" w:cstheme="majorHAnsi"/>
          <w:sz w:val="20"/>
          <w:szCs w:val="20"/>
        </w:rPr>
      </w:pPr>
      <w:r w:rsidRPr="006070EA">
        <w:rPr>
          <w:rFonts w:asciiTheme="majorHAnsi" w:eastAsiaTheme="minorEastAsia" w:hAnsiTheme="majorHAnsi" w:cstheme="majorHAnsi"/>
          <w:sz w:val="20"/>
          <w:szCs w:val="20"/>
        </w:rPr>
        <w:t>ČSN</w:t>
      </w:r>
      <w:r w:rsidRPr="006070EA">
        <w:rPr>
          <w:rFonts w:asciiTheme="majorHAnsi" w:eastAsiaTheme="minorEastAsia" w:hAnsiTheme="majorHAnsi" w:cstheme="majorHAnsi"/>
          <w:sz w:val="20"/>
          <w:szCs w:val="20"/>
        </w:rPr>
        <w:tab/>
      </w:r>
      <w:r w:rsidR="00B60DCE" w:rsidRPr="006070EA">
        <w:rPr>
          <w:rFonts w:asciiTheme="majorHAnsi" w:eastAsiaTheme="minorEastAsia" w:hAnsiTheme="majorHAnsi" w:cstheme="majorHAnsi"/>
          <w:sz w:val="20"/>
          <w:szCs w:val="20"/>
        </w:rPr>
        <w:tab/>
      </w:r>
      <w:r w:rsidRPr="006070EA">
        <w:rPr>
          <w:rFonts w:asciiTheme="majorHAnsi" w:eastAsiaTheme="minorEastAsia" w:hAnsiTheme="majorHAnsi" w:cstheme="majorHAnsi"/>
          <w:sz w:val="20"/>
          <w:szCs w:val="20"/>
        </w:rPr>
        <w:t>česká technická norma</w:t>
      </w:r>
    </w:p>
    <w:p w14:paraId="0B4AE3CA" w14:textId="77777777" w:rsidR="00A947CF" w:rsidRPr="006070EA" w:rsidRDefault="00B60DCE" w:rsidP="009E07E1">
      <w:pPr>
        <w:spacing w:after="0" w:line="240" w:lineRule="auto"/>
        <w:rPr>
          <w:rFonts w:asciiTheme="majorHAnsi" w:eastAsiaTheme="minorEastAsia" w:hAnsiTheme="majorHAnsi" w:cstheme="majorHAnsi"/>
          <w:sz w:val="20"/>
          <w:szCs w:val="20"/>
        </w:rPr>
      </w:pPr>
      <w:r w:rsidRPr="006070EA">
        <w:rPr>
          <w:rFonts w:asciiTheme="majorHAnsi" w:eastAsiaTheme="minorEastAsia" w:hAnsiTheme="majorHAnsi" w:cstheme="majorHAnsi"/>
          <w:sz w:val="20"/>
          <w:szCs w:val="20"/>
        </w:rPr>
        <w:t>ČSÚ</w:t>
      </w:r>
      <w:r w:rsidRPr="006070EA">
        <w:rPr>
          <w:rFonts w:asciiTheme="majorHAnsi" w:eastAsiaTheme="minorEastAsia" w:hAnsiTheme="majorHAnsi" w:cstheme="majorHAnsi"/>
          <w:sz w:val="20"/>
          <w:szCs w:val="20"/>
        </w:rPr>
        <w:tab/>
      </w:r>
      <w:r w:rsidRPr="006070EA">
        <w:rPr>
          <w:rFonts w:asciiTheme="majorHAnsi" w:eastAsiaTheme="minorEastAsia" w:hAnsiTheme="majorHAnsi" w:cstheme="majorHAnsi"/>
          <w:sz w:val="20"/>
          <w:szCs w:val="20"/>
        </w:rPr>
        <w:tab/>
        <w:t>Český statistický úřad</w:t>
      </w:r>
    </w:p>
    <w:p w14:paraId="53118330" w14:textId="77777777" w:rsidR="00B60DCE" w:rsidRPr="006070EA" w:rsidRDefault="00B60DCE" w:rsidP="009E07E1">
      <w:pPr>
        <w:spacing w:after="0" w:line="240" w:lineRule="auto"/>
        <w:rPr>
          <w:rFonts w:asciiTheme="majorHAnsi" w:eastAsiaTheme="minorEastAsia" w:hAnsiTheme="majorHAnsi" w:cstheme="majorHAnsi"/>
          <w:sz w:val="20"/>
          <w:szCs w:val="20"/>
        </w:rPr>
      </w:pPr>
      <w:r w:rsidRPr="006070EA">
        <w:rPr>
          <w:rFonts w:asciiTheme="majorHAnsi" w:eastAsiaTheme="minorEastAsia" w:hAnsiTheme="majorHAnsi" w:cstheme="majorHAnsi"/>
          <w:sz w:val="20"/>
          <w:szCs w:val="20"/>
        </w:rPr>
        <w:t>DN</w:t>
      </w:r>
      <w:r w:rsidRPr="006070EA">
        <w:rPr>
          <w:rFonts w:asciiTheme="majorHAnsi" w:eastAsiaTheme="minorEastAsia" w:hAnsiTheme="majorHAnsi" w:cstheme="majorHAnsi"/>
          <w:sz w:val="20"/>
          <w:szCs w:val="20"/>
        </w:rPr>
        <w:tab/>
      </w:r>
      <w:r w:rsidRPr="006070EA">
        <w:rPr>
          <w:rFonts w:asciiTheme="majorHAnsi" w:eastAsiaTheme="minorEastAsia" w:hAnsiTheme="majorHAnsi" w:cstheme="majorHAnsi"/>
          <w:sz w:val="20"/>
          <w:szCs w:val="20"/>
        </w:rPr>
        <w:tab/>
        <w:t>jmenovitá světlost</w:t>
      </w:r>
    </w:p>
    <w:p w14:paraId="61E2BB3A" w14:textId="77777777" w:rsidR="00B60DCE" w:rsidRPr="006070EA" w:rsidRDefault="00B60DCE" w:rsidP="009E07E1">
      <w:pPr>
        <w:spacing w:after="0" w:line="240" w:lineRule="auto"/>
        <w:rPr>
          <w:rFonts w:asciiTheme="majorHAnsi" w:eastAsiaTheme="minorEastAsia" w:hAnsiTheme="majorHAnsi" w:cstheme="majorHAnsi"/>
          <w:sz w:val="20"/>
          <w:szCs w:val="20"/>
        </w:rPr>
      </w:pPr>
      <w:r w:rsidRPr="006070EA">
        <w:rPr>
          <w:rFonts w:asciiTheme="majorHAnsi" w:eastAsiaTheme="minorEastAsia" w:hAnsiTheme="majorHAnsi" w:cstheme="majorHAnsi"/>
          <w:sz w:val="20"/>
          <w:szCs w:val="20"/>
        </w:rPr>
        <w:t>EO</w:t>
      </w:r>
      <w:r w:rsidRPr="006070EA">
        <w:rPr>
          <w:rFonts w:asciiTheme="majorHAnsi" w:eastAsiaTheme="minorEastAsia" w:hAnsiTheme="majorHAnsi" w:cstheme="majorHAnsi"/>
          <w:sz w:val="20"/>
          <w:szCs w:val="20"/>
        </w:rPr>
        <w:tab/>
      </w:r>
      <w:r w:rsidRPr="006070EA">
        <w:rPr>
          <w:rFonts w:asciiTheme="majorHAnsi" w:eastAsiaTheme="minorEastAsia" w:hAnsiTheme="majorHAnsi" w:cstheme="majorHAnsi"/>
          <w:sz w:val="20"/>
          <w:szCs w:val="20"/>
        </w:rPr>
        <w:tab/>
        <w:t>ekvivalentní obyvatel</w:t>
      </w:r>
    </w:p>
    <w:p w14:paraId="52358466" w14:textId="77777777" w:rsidR="00B60DCE" w:rsidRPr="006070EA" w:rsidRDefault="00B60DCE" w:rsidP="009E07E1">
      <w:pPr>
        <w:spacing w:after="0" w:line="240" w:lineRule="auto"/>
        <w:rPr>
          <w:rFonts w:asciiTheme="majorHAnsi" w:eastAsiaTheme="minorEastAsia" w:hAnsiTheme="majorHAnsi" w:cstheme="majorHAnsi"/>
          <w:sz w:val="20"/>
          <w:szCs w:val="20"/>
        </w:rPr>
      </w:pPr>
      <w:r w:rsidRPr="006070EA">
        <w:rPr>
          <w:rFonts w:asciiTheme="majorHAnsi" w:eastAsiaTheme="minorEastAsia" w:hAnsiTheme="majorHAnsi" w:cstheme="majorHAnsi"/>
          <w:sz w:val="20"/>
          <w:szCs w:val="20"/>
        </w:rPr>
        <w:t>CHOPAV</w:t>
      </w:r>
      <w:r w:rsidRPr="006070EA">
        <w:rPr>
          <w:rFonts w:asciiTheme="majorHAnsi" w:eastAsiaTheme="minorEastAsia" w:hAnsiTheme="majorHAnsi" w:cstheme="majorHAnsi"/>
          <w:sz w:val="20"/>
          <w:szCs w:val="20"/>
        </w:rPr>
        <w:tab/>
      </w:r>
      <w:r w:rsidRPr="006070EA">
        <w:rPr>
          <w:rFonts w:asciiTheme="majorHAnsi" w:eastAsiaTheme="minorEastAsia" w:hAnsiTheme="majorHAnsi" w:cstheme="majorHAnsi"/>
          <w:sz w:val="20"/>
          <w:szCs w:val="20"/>
        </w:rPr>
        <w:tab/>
        <w:t>chráněná oblast přirozené akumulace vod</w:t>
      </w:r>
    </w:p>
    <w:p w14:paraId="6A251F35" w14:textId="77777777" w:rsidR="00B60DCE" w:rsidRPr="006070EA" w:rsidRDefault="00B60DCE" w:rsidP="009E07E1">
      <w:pPr>
        <w:spacing w:after="0" w:line="240" w:lineRule="auto"/>
        <w:rPr>
          <w:rFonts w:asciiTheme="majorHAnsi" w:eastAsiaTheme="minorEastAsia" w:hAnsiTheme="majorHAnsi" w:cstheme="majorHAnsi"/>
          <w:sz w:val="20"/>
          <w:szCs w:val="20"/>
        </w:rPr>
      </w:pPr>
      <w:r w:rsidRPr="006070EA">
        <w:rPr>
          <w:rFonts w:asciiTheme="majorHAnsi" w:eastAsiaTheme="minorEastAsia" w:hAnsiTheme="majorHAnsi" w:cstheme="majorHAnsi"/>
          <w:sz w:val="20"/>
          <w:szCs w:val="20"/>
        </w:rPr>
        <w:t xml:space="preserve">k. ú. </w:t>
      </w:r>
      <w:r w:rsidRPr="006070EA">
        <w:rPr>
          <w:rFonts w:asciiTheme="majorHAnsi" w:eastAsiaTheme="minorEastAsia" w:hAnsiTheme="majorHAnsi" w:cstheme="majorHAnsi"/>
          <w:sz w:val="20"/>
          <w:szCs w:val="20"/>
        </w:rPr>
        <w:tab/>
      </w:r>
      <w:r w:rsidRPr="006070EA">
        <w:rPr>
          <w:rFonts w:asciiTheme="majorHAnsi" w:eastAsiaTheme="minorEastAsia" w:hAnsiTheme="majorHAnsi" w:cstheme="majorHAnsi"/>
          <w:sz w:val="20"/>
          <w:szCs w:val="20"/>
        </w:rPr>
        <w:tab/>
        <w:t>katastrální území</w:t>
      </w:r>
    </w:p>
    <w:p w14:paraId="6D3D8189" w14:textId="45626F28" w:rsidR="0009152E" w:rsidRPr="006070EA" w:rsidRDefault="0009152E" w:rsidP="009E07E1">
      <w:pPr>
        <w:spacing w:after="0" w:line="240" w:lineRule="auto"/>
        <w:rPr>
          <w:rFonts w:asciiTheme="majorHAnsi" w:eastAsiaTheme="minorEastAsia" w:hAnsiTheme="majorHAnsi" w:cstheme="majorHAnsi"/>
          <w:sz w:val="20"/>
          <w:szCs w:val="20"/>
        </w:rPr>
      </w:pPr>
      <w:r w:rsidRPr="006070EA">
        <w:rPr>
          <w:rFonts w:asciiTheme="majorHAnsi" w:eastAsiaTheme="minorEastAsia" w:hAnsiTheme="majorHAnsi" w:cstheme="majorHAnsi"/>
          <w:sz w:val="20"/>
          <w:szCs w:val="20"/>
        </w:rPr>
        <w:t>KoPÚ / KPÚ</w:t>
      </w:r>
      <w:r w:rsidRPr="006070EA">
        <w:rPr>
          <w:rFonts w:asciiTheme="majorHAnsi" w:eastAsiaTheme="minorEastAsia" w:hAnsiTheme="majorHAnsi" w:cstheme="majorHAnsi"/>
          <w:sz w:val="20"/>
          <w:szCs w:val="20"/>
        </w:rPr>
        <w:tab/>
        <w:t>komplexní pozemkové úpravy</w:t>
      </w:r>
    </w:p>
    <w:p w14:paraId="6B9F5C94" w14:textId="77777777" w:rsidR="00B60DCE" w:rsidRPr="006070EA" w:rsidRDefault="00B60DCE" w:rsidP="009E07E1">
      <w:pPr>
        <w:spacing w:after="0" w:line="240" w:lineRule="auto"/>
        <w:rPr>
          <w:rFonts w:asciiTheme="majorHAnsi" w:eastAsiaTheme="minorEastAsia" w:hAnsiTheme="majorHAnsi" w:cstheme="majorHAnsi"/>
          <w:sz w:val="20"/>
          <w:szCs w:val="20"/>
        </w:rPr>
      </w:pPr>
      <w:r w:rsidRPr="006070EA">
        <w:rPr>
          <w:rFonts w:asciiTheme="majorHAnsi" w:eastAsiaTheme="minorEastAsia" w:hAnsiTheme="majorHAnsi" w:cstheme="majorHAnsi"/>
          <w:sz w:val="20"/>
          <w:szCs w:val="20"/>
        </w:rPr>
        <w:t>L</w:t>
      </w:r>
      <w:r w:rsidR="007A03D5" w:rsidRPr="006070EA">
        <w:rPr>
          <w:rFonts w:asciiTheme="majorHAnsi" w:eastAsiaTheme="minorEastAsia" w:hAnsiTheme="majorHAnsi" w:cstheme="majorHAnsi"/>
          <w:sz w:val="20"/>
          <w:szCs w:val="20"/>
        </w:rPr>
        <w:t>B</w:t>
      </w:r>
      <w:r w:rsidRPr="006070EA">
        <w:rPr>
          <w:rFonts w:asciiTheme="majorHAnsi" w:eastAsiaTheme="minorEastAsia" w:hAnsiTheme="majorHAnsi" w:cstheme="majorHAnsi"/>
          <w:sz w:val="20"/>
          <w:szCs w:val="20"/>
        </w:rPr>
        <w:t>C</w:t>
      </w:r>
      <w:r w:rsidRPr="006070EA">
        <w:rPr>
          <w:rFonts w:asciiTheme="majorHAnsi" w:eastAsiaTheme="minorEastAsia" w:hAnsiTheme="majorHAnsi" w:cstheme="majorHAnsi"/>
          <w:sz w:val="20"/>
          <w:szCs w:val="20"/>
        </w:rPr>
        <w:tab/>
      </w:r>
      <w:r w:rsidRPr="006070EA">
        <w:rPr>
          <w:rFonts w:asciiTheme="majorHAnsi" w:eastAsiaTheme="minorEastAsia" w:hAnsiTheme="majorHAnsi" w:cstheme="majorHAnsi"/>
          <w:sz w:val="20"/>
          <w:szCs w:val="20"/>
        </w:rPr>
        <w:tab/>
        <w:t>lokální biocentrum</w:t>
      </w:r>
    </w:p>
    <w:p w14:paraId="5BAF84B0" w14:textId="77777777" w:rsidR="007A03D5" w:rsidRPr="006070EA" w:rsidRDefault="007A03D5" w:rsidP="00AC3D3F">
      <w:pPr>
        <w:spacing w:after="0" w:line="240" w:lineRule="auto"/>
        <w:rPr>
          <w:rFonts w:asciiTheme="majorHAnsi" w:eastAsiaTheme="minorEastAsia" w:hAnsiTheme="majorHAnsi" w:cstheme="majorHAnsi"/>
          <w:sz w:val="20"/>
          <w:szCs w:val="20"/>
        </w:rPr>
      </w:pPr>
      <w:r w:rsidRPr="006070EA">
        <w:rPr>
          <w:rFonts w:asciiTheme="majorHAnsi" w:eastAsiaTheme="minorEastAsia" w:hAnsiTheme="majorHAnsi" w:cstheme="majorHAnsi"/>
          <w:sz w:val="20"/>
          <w:szCs w:val="20"/>
        </w:rPr>
        <w:t>LBK</w:t>
      </w:r>
      <w:r w:rsidRPr="006070EA">
        <w:rPr>
          <w:rFonts w:asciiTheme="majorHAnsi" w:eastAsiaTheme="minorEastAsia" w:hAnsiTheme="majorHAnsi" w:cstheme="majorHAnsi"/>
          <w:sz w:val="20"/>
          <w:szCs w:val="20"/>
        </w:rPr>
        <w:tab/>
      </w:r>
      <w:r w:rsidRPr="006070EA">
        <w:rPr>
          <w:rFonts w:asciiTheme="majorHAnsi" w:eastAsiaTheme="minorEastAsia" w:hAnsiTheme="majorHAnsi" w:cstheme="majorHAnsi"/>
          <w:sz w:val="20"/>
          <w:szCs w:val="20"/>
        </w:rPr>
        <w:tab/>
        <w:t>lokální biokoridor</w:t>
      </w:r>
    </w:p>
    <w:p w14:paraId="77823591" w14:textId="77777777" w:rsidR="00B60DCE" w:rsidRPr="006070EA" w:rsidRDefault="00B60DCE" w:rsidP="009E07E1">
      <w:pPr>
        <w:spacing w:after="0" w:line="240" w:lineRule="auto"/>
        <w:rPr>
          <w:rFonts w:asciiTheme="majorHAnsi" w:eastAsiaTheme="minorEastAsia" w:hAnsiTheme="majorHAnsi" w:cstheme="majorHAnsi"/>
          <w:sz w:val="20"/>
          <w:szCs w:val="20"/>
        </w:rPr>
      </w:pPr>
      <w:r w:rsidRPr="006070EA">
        <w:rPr>
          <w:rFonts w:asciiTheme="majorHAnsi" w:eastAsiaTheme="minorEastAsia" w:hAnsiTheme="majorHAnsi" w:cstheme="majorHAnsi"/>
          <w:sz w:val="20"/>
          <w:szCs w:val="20"/>
        </w:rPr>
        <w:t>LHO</w:t>
      </w:r>
      <w:r w:rsidRPr="006070EA">
        <w:rPr>
          <w:rFonts w:asciiTheme="majorHAnsi" w:eastAsiaTheme="minorEastAsia" w:hAnsiTheme="majorHAnsi" w:cstheme="majorHAnsi"/>
          <w:sz w:val="20"/>
          <w:szCs w:val="20"/>
        </w:rPr>
        <w:tab/>
      </w:r>
      <w:r w:rsidRPr="006070EA">
        <w:rPr>
          <w:rFonts w:asciiTheme="majorHAnsi" w:eastAsiaTheme="minorEastAsia" w:hAnsiTheme="majorHAnsi" w:cstheme="majorHAnsi"/>
          <w:sz w:val="20"/>
          <w:szCs w:val="20"/>
        </w:rPr>
        <w:tab/>
        <w:t>lesní hospodářské osnovy</w:t>
      </w:r>
    </w:p>
    <w:p w14:paraId="594DEF84" w14:textId="77777777" w:rsidR="00B60DCE" w:rsidRPr="006070EA" w:rsidRDefault="00B60DCE" w:rsidP="009E07E1">
      <w:pPr>
        <w:spacing w:after="0" w:line="240" w:lineRule="auto"/>
        <w:rPr>
          <w:rFonts w:asciiTheme="majorHAnsi" w:eastAsiaTheme="minorEastAsia" w:hAnsiTheme="majorHAnsi" w:cstheme="majorHAnsi"/>
          <w:sz w:val="20"/>
          <w:szCs w:val="20"/>
        </w:rPr>
      </w:pPr>
      <w:r w:rsidRPr="006070EA">
        <w:rPr>
          <w:rFonts w:asciiTheme="majorHAnsi" w:eastAsiaTheme="minorEastAsia" w:hAnsiTheme="majorHAnsi" w:cstheme="majorHAnsi"/>
          <w:sz w:val="20"/>
          <w:szCs w:val="20"/>
        </w:rPr>
        <w:t>LHP</w:t>
      </w:r>
      <w:r w:rsidRPr="006070EA">
        <w:rPr>
          <w:rFonts w:asciiTheme="majorHAnsi" w:eastAsiaTheme="minorEastAsia" w:hAnsiTheme="majorHAnsi" w:cstheme="majorHAnsi"/>
          <w:sz w:val="20"/>
          <w:szCs w:val="20"/>
        </w:rPr>
        <w:tab/>
      </w:r>
      <w:r w:rsidRPr="006070EA">
        <w:rPr>
          <w:rFonts w:asciiTheme="majorHAnsi" w:eastAsiaTheme="minorEastAsia" w:hAnsiTheme="majorHAnsi" w:cstheme="majorHAnsi"/>
          <w:sz w:val="20"/>
          <w:szCs w:val="20"/>
        </w:rPr>
        <w:tab/>
        <w:t>lesní hospodářský plán</w:t>
      </w:r>
    </w:p>
    <w:p w14:paraId="1DEA6DE7" w14:textId="77777777" w:rsidR="00B60DCE" w:rsidRPr="006070EA" w:rsidRDefault="00B60DCE" w:rsidP="009E07E1">
      <w:pPr>
        <w:spacing w:after="0" w:line="240" w:lineRule="auto"/>
        <w:rPr>
          <w:rFonts w:asciiTheme="majorHAnsi" w:eastAsiaTheme="minorEastAsia" w:hAnsiTheme="majorHAnsi" w:cstheme="majorHAnsi"/>
          <w:sz w:val="20"/>
          <w:szCs w:val="20"/>
        </w:rPr>
      </w:pPr>
      <w:r w:rsidRPr="006070EA">
        <w:rPr>
          <w:rFonts w:asciiTheme="majorHAnsi" w:eastAsiaTheme="minorEastAsia" w:hAnsiTheme="majorHAnsi" w:cstheme="majorHAnsi"/>
          <w:sz w:val="20"/>
          <w:szCs w:val="20"/>
        </w:rPr>
        <w:t>LVS</w:t>
      </w:r>
      <w:r w:rsidRPr="006070EA">
        <w:rPr>
          <w:rFonts w:asciiTheme="majorHAnsi" w:eastAsiaTheme="minorEastAsia" w:hAnsiTheme="majorHAnsi" w:cstheme="majorHAnsi"/>
          <w:sz w:val="20"/>
          <w:szCs w:val="20"/>
        </w:rPr>
        <w:tab/>
      </w:r>
      <w:r w:rsidRPr="006070EA">
        <w:rPr>
          <w:rFonts w:asciiTheme="majorHAnsi" w:eastAsiaTheme="minorEastAsia" w:hAnsiTheme="majorHAnsi" w:cstheme="majorHAnsi"/>
          <w:sz w:val="20"/>
          <w:szCs w:val="20"/>
        </w:rPr>
        <w:tab/>
        <w:t>lesní vegetační stupeň</w:t>
      </w:r>
    </w:p>
    <w:p w14:paraId="42086C14" w14:textId="39FAD5BA" w:rsidR="00E97BA0" w:rsidRPr="006070EA" w:rsidRDefault="00E97BA0" w:rsidP="009E07E1">
      <w:pPr>
        <w:spacing w:after="0" w:line="240" w:lineRule="auto"/>
        <w:rPr>
          <w:rFonts w:asciiTheme="majorHAnsi" w:eastAsiaTheme="minorEastAsia" w:hAnsiTheme="majorHAnsi" w:cstheme="majorHAnsi"/>
          <w:sz w:val="20"/>
          <w:szCs w:val="20"/>
        </w:rPr>
      </w:pPr>
      <w:r w:rsidRPr="006070EA">
        <w:rPr>
          <w:rFonts w:asciiTheme="majorHAnsi" w:eastAsiaTheme="minorEastAsia" w:hAnsiTheme="majorHAnsi" w:cstheme="majorHAnsi"/>
          <w:sz w:val="20"/>
          <w:szCs w:val="20"/>
        </w:rPr>
        <w:t>MO ČR</w:t>
      </w:r>
      <w:r w:rsidRPr="006070EA">
        <w:rPr>
          <w:rFonts w:asciiTheme="majorHAnsi" w:eastAsiaTheme="minorEastAsia" w:hAnsiTheme="majorHAnsi" w:cstheme="majorHAnsi"/>
          <w:sz w:val="20"/>
          <w:szCs w:val="20"/>
        </w:rPr>
        <w:tab/>
      </w:r>
      <w:r w:rsidRPr="006070EA">
        <w:rPr>
          <w:rFonts w:asciiTheme="majorHAnsi" w:eastAsiaTheme="minorEastAsia" w:hAnsiTheme="majorHAnsi" w:cstheme="majorHAnsi"/>
          <w:sz w:val="20"/>
          <w:szCs w:val="20"/>
        </w:rPr>
        <w:tab/>
        <w:t>Ministerstvo obrany České republiky</w:t>
      </w:r>
    </w:p>
    <w:p w14:paraId="4586ED51" w14:textId="67FF23AC" w:rsidR="00B60DCE" w:rsidRPr="006070EA" w:rsidRDefault="00EC0BC6" w:rsidP="009E07E1">
      <w:pPr>
        <w:spacing w:after="0" w:line="240" w:lineRule="auto"/>
        <w:rPr>
          <w:rFonts w:asciiTheme="majorHAnsi" w:eastAsiaTheme="minorEastAsia" w:hAnsiTheme="majorHAnsi" w:cstheme="majorHAnsi"/>
          <w:sz w:val="20"/>
          <w:szCs w:val="20"/>
        </w:rPr>
      </w:pPr>
      <w:r w:rsidRPr="006070EA">
        <w:rPr>
          <w:rFonts w:asciiTheme="majorHAnsi" w:eastAsiaTheme="minorEastAsia" w:hAnsiTheme="majorHAnsi" w:cstheme="majorHAnsi"/>
          <w:sz w:val="20"/>
          <w:szCs w:val="20"/>
        </w:rPr>
        <w:t>nn (</w:t>
      </w:r>
      <w:r w:rsidR="007A03D5" w:rsidRPr="006070EA">
        <w:rPr>
          <w:rFonts w:asciiTheme="majorHAnsi" w:eastAsiaTheme="minorEastAsia" w:hAnsiTheme="majorHAnsi" w:cstheme="majorHAnsi"/>
          <w:sz w:val="20"/>
          <w:szCs w:val="20"/>
        </w:rPr>
        <w:t>NN</w:t>
      </w:r>
      <w:r w:rsidRPr="006070EA">
        <w:rPr>
          <w:rFonts w:asciiTheme="majorHAnsi" w:eastAsiaTheme="minorEastAsia" w:hAnsiTheme="majorHAnsi" w:cstheme="majorHAnsi"/>
          <w:sz w:val="20"/>
          <w:szCs w:val="20"/>
        </w:rPr>
        <w:t>)</w:t>
      </w:r>
      <w:r w:rsidR="00B60DCE" w:rsidRPr="006070EA">
        <w:rPr>
          <w:rFonts w:asciiTheme="majorHAnsi" w:eastAsiaTheme="minorEastAsia" w:hAnsiTheme="majorHAnsi" w:cstheme="majorHAnsi"/>
          <w:sz w:val="20"/>
          <w:szCs w:val="20"/>
        </w:rPr>
        <w:tab/>
      </w:r>
      <w:r w:rsidR="00B60DCE" w:rsidRPr="006070EA">
        <w:rPr>
          <w:rFonts w:asciiTheme="majorHAnsi" w:eastAsiaTheme="minorEastAsia" w:hAnsiTheme="majorHAnsi" w:cstheme="majorHAnsi"/>
          <w:sz w:val="20"/>
          <w:szCs w:val="20"/>
        </w:rPr>
        <w:tab/>
        <w:t>nízké napětí</w:t>
      </w:r>
    </w:p>
    <w:p w14:paraId="644B1151" w14:textId="77777777" w:rsidR="00B60DCE" w:rsidRPr="006070EA" w:rsidRDefault="00B60DCE" w:rsidP="009E07E1">
      <w:pPr>
        <w:spacing w:after="0" w:line="240" w:lineRule="auto"/>
        <w:rPr>
          <w:rFonts w:asciiTheme="majorHAnsi" w:eastAsiaTheme="minorEastAsia" w:hAnsiTheme="majorHAnsi" w:cstheme="majorHAnsi"/>
          <w:sz w:val="20"/>
          <w:szCs w:val="20"/>
        </w:rPr>
      </w:pPr>
      <w:r w:rsidRPr="006070EA">
        <w:rPr>
          <w:rFonts w:asciiTheme="majorHAnsi" w:eastAsiaTheme="minorEastAsia" w:hAnsiTheme="majorHAnsi" w:cstheme="majorHAnsi"/>
          <w:sz w:val="20"/>
          <w:szCs w:val="20"/>
        </w:rPr>
        <w:t>OP</w:t>
      </w:r>
      <w:r w:rsidRPr="006070EA">
        <w:rPr>
          <w:rFonts w:asciiTheme="majorHAnsi" w:eastAsiaTheme="minorEastAsia" w:hAnsiTheme="majorHAnsi" w:cstheme="majorHAnsi"/>
          <w:sz w:val="20"/>
          <w:szCs w:val="20"/>
        </w:rPr>
        <w:tab/>
      </w:r>
      <w:r w:rsidRPr="006070EA">
        <w:rPr>
          <w:rFonts w:asciiTheme="majorHAnsi" w:eastAsiaTheme="minorEastAsia" w:hAnsiTheme="majorHAnsi" w:cstheme="majorHAnsi"/>
          <w:sz w:val="20"/>
          <w:szCs w:val="20"/>
        </w:rPr>
        <w:tab/>
        <w:t>ochranné pásmo</w:t>
      </w:r>
    </w:p>
    <w:p w14:paraId="2EE448E9" w14:textId="77777777" w:rsidR="00B60DCE" w:rsidRPr="006070EA" w:rsidRDefault="00B60DCE" w:rsidP="009E07E1">
      <w:pPr>
        <w:spacing w:after="0" w:line="240" w:lineRule="auto"/>
        <w:rPr>
          <w:rFonts w:asciiTheme="majorHAnsi" w:eastAsiaTheme="minorEastAsia" w:hAnsiTheme="majorHAnsi" w:cstheme="majorHAnsi"/>
          <w:sz w:val="20"/>
          <w:szCs w:val="20"/>
        </w:rPr>
      </w:pPr>
      <w:r w:rsidRPr="006070EA">
        <w:rPr>
          <w:rFonts w:asciiTheme="majorHAnsi" w:eastAsiaTheme="minorEastAsia" w:hAnsiTheme="majorHAnsi" w:cstheme="majorHAnsi"/>
          <w:sz w:val="20"/>
          <w:szCs w:val="20"/>
        </w:rPr>
        <w:t>PLO</w:t>
      </w:r>
      <w:r w:rsidRPr="006070EA">
        <w:rPr>
          <w:rFonts w:asciiTheme="majorHAnsi" w:eastAsiaTheme="minorEastAsia" w:hAnsiTheme="majorHAnsi" w:cstheme="majorHAnsi"/>
          <w:sz w:val="20"/>
          <w:szCs w:val="20"/>
        </w:rPr>
        <w:tab/>
      </w:r>
      <w:r w:rsidRPr="006070EA">
        <w:rPr>
          <w:rFonts w:asciiTheme="majorHAnsi" w:eastAsiaTheme="minorEastAsia" w:hAnsiTheme="majorHAnsi" w:cstheme="majorHAnsi"/>
          <w:sz w:val="20"/>
          <w:szCs w:val="20"/>
        </w:rPr>
        <w:tab/>
        <w:t>přírodní lesní oblast</w:t>
      </w:r>
    </w:p>
    <w:p w14:paraId="06CDEF7C" w14:textId="77777777" w:rsidR="00B60DCE" w:rsidRPr="006070EA" w:rsidRDefault="00B60DCE" w:rsidP="009E07E1">
      <w:pPr>
        <w:spacing w:after="0" w:line="240" w:lineRule="auto"/>
        <w:rPr>
          <w:rFonts w:asciiTheme="majorHAnsi" w:eastAsiaTheme="minorEastAsia" w:hAnsiTheme="majorHAnsi" w:cstheme="majorHAnsi"/>
          <w:sz w:val="20"/>
          <w:szCs w:val="20"/>
        </w:rPr>
      </w:pPr>
      <w:r w:rsidRPr="006070EA">
        <w:rPr>
          <w:rFonts w:asciiTheme="majorHAnsi" w:eastAsiaTheme="minorEastAsia" w:hAnsiTheme="majorHAnsi" w:cstheme="majorHAnsi"/>
          <w:sz w:val="20"/>
          <w:szCs w:val="20"/>
        </w:rPr>
        <w:t>PRVK</w:t>
      </w:r>
      <w:r w:rsidRPr="006070EA">
        <w:rPr>
          <w:rFonts w:asciiTheme="majorHAnsi" w:eastAsiaTheme="minorEastAsia" w:hAnsiTheme="majorHAnsi" w:cstheme="majorHAnsi"/>
          <w:sz w:val="20"/>
          <w:szCs w:val="20"/>
        </w:rPr>
        <w:tab/>
      </w:r>
      <w:r w:rsidRPr="006070EA">
        <w:rPr>
          <w:rFonts w:asciiTheme="majorHAnsi" w:eastAsiaTheme="minorEastAsia" w:hAnsiTheme="majorHAnsi" w:cstheme="majorHAnsi"/>
          <w:sz w:val="20"/>
          <w:szCs w:val="20"/>
        </w:rPr>
        <w:tab/>
        <w:t>plán rozvoje vodovodů a kanalizací</w:t>
      </w:r>
    </w:p>
    <w:p w14:paraId="25691D8C" w14:textId="77777777" w:rsidR="0009152E" w:rsidRPr="006070EA" w:rsidRDefault="0009152E" w:rsidP="009E07E1">
      <w:pPr>
        <w:spacing w:after="0" w:line="240" w:lineRule="auto"/>
        <w:rPr>
          <w:rFonts w:asciiTheme="majorHAnsi" w:eastAsiaTheme="minorEastAsia" w:hAnsiTheme="majorHAnsi" w:cstheme="majorHAnsi"/>
          <w:sz w:val="20"/>
          <w:szCs w:val="20"/>
        </w:rPr>
      </w:pPr>
      <w:r w:rsidRPr="006070EA">
        <w:rPr>
          <w:rFonts w:asciiTheme="majorHAnsi" w:eastAsiaTheme="minorEastAsia" w:hAnsiTheme="majorHAnsi" w:cstheme="majorHAnsi"/>
          <w:sz w:val="20"/>
          <w:szCs w:val="20"/>
        </w:rPr>
        <w:t>PSZ</w:t>
      </w:r>
      <w:r w:rsidRPr="006070EA">
        <w:rPr>
          <w:rFonts w:asciiTheme="majorHAnsi" w:eastAsiaTheme="minorEastAsia" w:hAnsiTheme="majorHAnsi" w:cstheme="majorHAnsi"/>
          <w:sz w:val="20"/>
          <w:szCs w:val="20"/>
        </w:rPr>
        <w:tab/>
      </w:r>
      <w:r w:rsidRPr="006070EA">
        <w:rPr>
          <w:rFonts w:asciiTheme="majorHAnsi" w:eastAsiaTheme="minorEastAsia" w:hAnsiTheme="majorHAnsi" w:cstheme="majorHAnsi"/>
          <w:sz w:val="20"/>
          <w:szCs w:val="20"/>
        </w:rPr>
        <w:tab/>
        <w:t>plán společných zařízení</w:t>
      </w:r>
    </w:p>
    <w:p w14:paraId="4C9F51DC" w14:textId="77777777" w:rsidR="00B60DCE" w:rsidRPr="006070EA" w:rsidRDefault="00B60DCE" w:rsidP="009E07E1">
      <w:pPr>
        <w:spacing w:after="0" w:line="240" w:lineRule="auto"/>
        <w:rPr>
          <w:rFonts w:asciiTheme="majorHAnsi" w:eastAsiaTheme="minorEastAsia" w:hAnsiTheme="majorHAnsi" w:cstheme="majorHAnsi"/>
          <w:sz w:val="20"/>
          <w:szCs w:val="20"/>
        </w:rPr>
      </w:pPr>
      <w:r w:rsidRPr="006070EA">
        <w:rPr>
          <w:rFonts w:asciiTheme="majorHAnsi" w:eastAsiaTheme="minorEastAsia" w:hAnsiTheme="majorHAnsi" w:cstheme="majorHAnsi"/>
          <w:sz w:val="20"/>
          <w:szCs w:val="20"/>
        </w:rPr>
        <w:t>PUPFL</w:t>
      </w:r>
      <w:r w:rsidRPr="006070EA">
        <w:rPr>
          <w:rFonts w:asciiTheme="majorHAnsi" w:eastAsiaTheme="minorEastAsia" w:hAnsiTheme="majorHAnsi" w:cstheme="majorHAnsi"/>
          <w:sz w:val="20"/>
          <w:szCs w:val="20"/>
        </w:rPr>
        <w:tab/>
      </w:r>
      <w:r w:rsidRPr="006070EA">
        <w:rPr>
          <w:rFonts w:asciiTheme="majorHAnsi" w:eastAsiaTheme="minorEastAsia" w:hAnsiTheme="majorHAnsi" w:cstheme="majorHAnsi"/>
          <w:sz w:val="20"/>
          <w:szCs w:val="20"/>
        </w:rPr>
        <w:tab/>
        <w:t>pozemky určené k plnění funkce lesa</w:t>
      </w:r>
    </w:p>
    <w:p w14:paraId="17144223" w14:textId="4738F588" w:rsidR="00B60DCE" w:rsidRPr="006070EA" w:rsidRDefault="00B60DCE" w:rsidP="009E07E1">
      <w:pPr>
        <w:spacing w:after="0" w:line="240" w:lineRule="auto"/>
        <w:rPr>
          <w:rFonts w:asciiTheme="majorHAnsi" w:eastAsiaTheme="minorEastAsia" w:hAnsiTheme="majorHAnsi" w:cstheme="majorHAnsi"/>
          <w:sz w:val="20"/>
          <w:szCs w:val="20"/>
        </w:rPr>
      </w:pPr>
      <w:r w:rsidRPr="006070EA">
        <w:rPr>
          <w:rFonts w:asciiTheme="majorHAnsi" w:eastAsiaTheme="minorEastAsia" w:hAnsiTheme="majorHAnsi" w:cstheme="majorHAnsi"/>
          <w:sz w:val="20"/>
          <w:szCs w:val="20"/>
        </w:rPr>
        <w:t>PÚR ČR</w:t>
      </w:r>
      <w:r w:rsidRPr="006070EA">
        <w:rPr>
          <w:rFonts w:asciiTheme="majorHAnsi" w:eastAsiaTheme="minorEastAsia" w:hAnsiTheme="majorHAnsi" w:cstheme="majorHAnsi"/>
          <w:sz w:val="20"/>
          <w:szCs w:val="20"/>
        </w:rPr>
        <w:tab/>
      </w:r>
      <w:r w:rsidRPr="006070EA">
        <w:rPr>
          <w:rFonts w:asciiTheme="majorHAnsi" w:eastAsiaTheme="minorEastAsia" w:hAnsiTheme="majorHAnsi" w:cstheme="majorHAnsi"/>
          <w:sz w:val="20"/>
          <w:szCs w:val="20"/>
        </w:rPr>
        <w:tab/>
        <w:t>Politika územního rozvoje České republiky</w:t>
      </w:r>
      <w:r w:rsidR="00EC0BC6" w:rsidRPr="006070EA">
        <w:rPr>
          <w:rFonts w:asciiTheme="majorHAnsi" w:eastAsiaTheme="minorEastAsia" w:hAnsiTheme="majorHAnsi" w:cstheme="majorHAnsi"/>
          <w:sz w:val="20"/>
          <w:szCs w:val="20"/>
        </w:rPr>
        <w:t xml:space="preserve"> ve znění Aktualizace č. 1</w:t>
      </w:r>
      <w:r w:rsidR="00E25DB2" w:rsidRPr="006070EA">
        <w:rPr>
          <w:rFonts w:asciiTheme="majorHAnsi" w:eastAsiaTheme="minorEastAsia" w:hAnsiTheme="majorHAnsi" w:cstheme="majorHAnsi"/>
          <w:sz w:val="20"/>
          <w:szCs w:val="20"/>
        </w:rPr>
        <w:t>, 2, 3, 4 a 5</w:t>
      </w:r>
    </w:p>
    <w:p w14:paraId="7F39EAB0" w14:textId="77777777" w:rsidR="00B60DCE" w:rsidRPr="006070EA" w:rsidRDefault="00B60DCE" w:rsidP="009E07E1">
      <w:pPr>
        <w:spacing w:after="0" w:line="240" w:lineRule="auto"/>
        <w:rPr>
          <w:rFonts w:asciiTheme="majorHAnsi" w:eastAsiaTheme="minorEastAsia" w:hAnsiTheme="majorHAnsi" w:cstheme="majorHAnsi"/>
          <w:sz w:val="20"/>
          <w:szCs w:val="20"/>
        </w:rPr>
      </w:pPr>
      <w:r w:rsidRPr="006070EA">
        <w:rPr>
          <w:rFonts w:asciiTheme="majorHAnsi" w:eastAsiaTheme="minorEastAsia" w:hAnsiTheme="majorHAnsi" w:cstheme="majorHAnsi"/>
          <w:sz w:val="20"/>
          <w:szCs w:val="20"/>
        </w:rPr>
        <w:t>RD</w:t>
      </w:r>
      <w:r w:rsidRPr="006070EA">
        <w:rPr>
          <w:rFonts w:asciiTheme="majorHAnsi" w:eastAsiaTheme="minorEastAsia" w:hAnsiTheme="majorHAnsi" w:cstheme="majorHAnsi"/>
          <w:sz w:val="20"/>
          <w:szCs w:val="20"/>
        </w:rPr>
        <w:tab/>
      </w:r>
      <w:r w:rsidRPr="006070EA">
        <w:rPr>
          <w:rFonts w:asciiTheme="majorHAnsi" w:eastAsiaTheme="minorEastAsia" w:hAnsiTheme="majorHAnsi" w:cstheme="majorHAnsi"/>
          <w:sz w:val="20"/>
          <w:szCs w:val="20"/>
        </w:rPr>
        <w:tab/>
        <w:t>rodinný dům</w:t>
      </w:r>
    </w:p>
    <w:p w14:paraId="27F734E6" w14:textId="5AC0E3AD" w:rsidR="00E25DB2" w:rsidRPr="006070EA" w:rsidRDefault="00E25DB2" w:rsidP="009E07E1">
      <w:pPr>
        <w:spacing w:after="0" w:line="240" w:lineRule="auto"/>
        <w:rPr>
          <w:rFonts w:asciiTheme="majorHAnsi" w:eastAsiaTheme="minorEastAsia" w:hAnsiTheme="majorHAnsi" w:cstheme="majorHAnsi"/>
          <w:sz w:val="20"/>
          <w:szCs w:val="20"/>
        </w:rPr>
      </w:pPr>
      <w:r w:rsidRPr="006070EA">
        <w:rPr>
          <w:rFonts w:asciiTheme="majorHAnsi" w:eastAsiaTheme="minorEastAsia" w:hAnsiTheme="majorHAnsi" w:cstheme="majorHAnsi"/>
          <w:sz w:val="20"/>
          <w:szCs w:val="20"/>
        </w:rPr>
        <w:t>SK</w:t>
      </w:r>
      <w:r w:rsidRPr="006070EA">
        <w:rPr>
          <w:rFonts w:asciiTheme="majorHAnsi" w:eastAsiaTheme="minorEastAsia" w:hAnsiTheme="majorHAnsi" w:cstheme="majorHAnsi"/>
          <w:sz w:val="20"/>
          <w:szCs w:val="20"/>
        </w:rPr>
        <w:tab/>
      </w:r>
      <w:r w:rsidRPr="006070EA">
        <w:rPr>
          <w:rFonts w:asciiTheme="majorHAnsi" w:eastAsiaTheme="minorEastAsia" w:hAnsiTheme="majorHAnsi" w:cstheme="majorHAnsi"/>
          <w:sz w:val="20"/>
          <w:szCs w:val="20"/>
        </w:rPr>
        <w:tab/>
        <w:t>Středočeský kraj</w:t>
      </w:r>
    </w:p>
    <w:p w14:paraId="41F4C03A" w14:textId="14CB23F5" w:rsidR="00E25DB2" w:rsidRPr="006070EA" w:rsidRDefault="00E25DB2" w:rsidP="009E07E1">
      <w:pPr>
        <w:spacing w:after="0" w:line="240" w:lineRule="auto"/>
        <w:rPr>
          <w:rFonts w:asciiTheme="majorHAnsi" w:eastAsiaTheme="minorEastAsia" w:hAnsiTheme="majorHAnsi" w:cstheme="majorHAnsi"/>
          <w:sz w:val="20"/>
          <w:szCs w:val="20"/>
        </w:rPr>
      </w:pPr>
      <w:r w:rsidRPr="006070EA">
        <w:rPr>
          <w:rFonts w:asciiTheme="majorHAnsi" w:eastAsiaTheme="minorEastAsia" w:hAnsiTheme="majorHAnsi" w:cstheme="majorHAnsi"/>
          <w:sz w:val="20"/>
          <w:szCs w:val="20"/>
        </w:rPr>
        <w:t>STL</w:t>
      </w:r>
      <w:r w:rsidRPr="006070EA">
        <w:rPr>
          <w:rFonts w:asciiTheme="majorHAnsi" w:eastAsiaTheme="minorEastAsia" w:hAnsiTheme="majorHAnsi" w:cstheme="majorHAnsi"/>
          <w:sz w:val="20"/>
          <w:szCs w:val="20"/>
        </w:rPr>
        <w:tab/>
      </w:r>
      <w:r w:rsidRPr="006070EA">
        <w:rPr>
          <w:rFonts w:asciiTheme="majorHAnsi" w:eastAsiaTheme="minorEastAsia" w:hAnsiTheme="majorHAnsi" w:cstheme="majorHAnsi"/>
          <w:sz w:val="20"/>
          <w:szCs w:val="20"/>
        </w:rPr>
        <w:tab/>
        <w:t>středotlaký plynovod</w:t>
      </w:r>
    </w:p>
    <w:p w14:paraId="6BED680F" w14:textId="34EB4CF9" w:rsidR="00B60DCE" w:rsidRPr="006070EA" w:rsidRDefault="00B60DCE" w:rsidP="009E07E1">
      <w:pPr>
        <w:spacing w:after="0" w:line="240" w:lineRule="auto"/>
        <w:rPr>
          <w:rFonts w:asciiTheme="majorHAnsi" w:eastAsiaTheme="minorEastAsia" w:hAnsiTheme="majorHAnsi" w:cstheme="majorHAnsi"/>
          <w:sz w:val="20"/>
          <w:szCs w:val="20"/>
        </w:rPr>
      </w:pPr>
      <w:r w:rsidRPr="006070EA">
        <w:rPr>
          <w:rFonts w:asciiTheme="majorHAnsi" w:eastAsiaTheme="minorEastAsia" w:hAnsiTheme="majorHAnsi" w:cstheme="majorHAnsi"/>
          <w:sz w:val="20"/>
          <w:szCs w:val="20"/>
        </w:rPr>
        <w:t>TO</w:t>
      </w:r>
      <w:r w:rsidRPr="006070EA">
        <w:rPr>
          <w:rFonts w:asciiTheme="majorHAnsi" w:eastAsiaTheme="minorEastAsia" w:hAnsiTheme="majorHAnsi" w:cstheme="majorHAnsi"/>
          <w:sz w:val="20"/>
          <w:szCs w:val="20"/>
        </w:rPr>
        <w:tab/>
      </w:r>
      <w:r w:rsidRPr="006070EA">
        <w:rPr>
          <w:rFonts w:asciiTheme="majorHAnsi" w:eastAsiaTheme="minorEastAsia" w:hAnsiTheme="majorHAnsi" w:cstheme="majorHAnsi"/>
          <w:sz w:val="20"/>
          <w:szCs w:val="20"/>
        </w:rPr>
        <w:tab/>
        <w:t>telefonní obvod</w:t>
      </w:r>
    </w:p>
    <w:p w14:paraId="0DBDE6B0" w14:textId="77777777" w:rsidR="00B60DCE" w:rsidRPr="006070EA" w:rsidRDefault="00B60DCE" w:rsidP="009E07E1">
      <w:pPr>
        <w:spacing w:after="0" w:line="240" w:lineRule="auto"/>
        <w:rPr>
          <w:rFonts w:asciiTheme="majorHAnsi" w:eastAsiaTheme="minorEastAsia" w:hAnsiTheme="majorHAnsi" w:cstheme="majorHAnsi"/>
          <w:sz w:val="20"/>
          <w:szCs w:val="20"/>
        </w:rPr>
      </w:pPr>
      <w:r w:rsidRPr="006070EA">
        <w:rPr>
          <w:rFonts w:asciiTheme="majorHAnsi" w:eastAsiaTheme="minorEastAsia" w:hAnsiTheme="majorHAnsi" w:cstheme="majorHAnsi"/>
          <w:sz w:val="20"/>
          <w:szCs w:val="20"/>
        </w:rPr>
        <w:t>TTP</w:t>
      </w:r>
      <w:r w:rsidRPr="006070EA">
        <w:rPr>
          <w:rFonts w:asciiTheme="majorHAnsi" w:eastAsiaTheme="minorEastAsia" w:hAnsiTheme="majorHAnsi" w:cstheme="majorHAnsi"/>
          <w:sz w:val="20"/>
          <w:szCs w:val="20"/>
        </w:rPr>
        <w:tab/>
      </w:r>
      <w:r w:rsidRPr="006070EA">
        <w:rPr>
          <w:rFonts w:asciiTheme="majorHAnsi" w:eastAsiaTheme="minorEastAsia" w:hAnsiTheme="majorHAnsi" w:cstheme="majorHAnsi"/>
          <w:sz w:val="20"/>
          <w:szCs w:val="20"/>
        </w:rPr>
        <w:tab/>
        <w:t>trvalé travní porosty</w:t>
      </w:r>
    </w:p>
    <w:p w14:paraId="49479C51" w14:textId="77777777" w:rsidR="00666349" w:rsidRPr="006070EA" w:rsidRDefault="00666349" w:rsidP="009E07E1">
      <w:pPr>
        <w:spacing w:after="0" w:line="240" w:lineRule="auto"/>
        <w:rPr>
          <w:rFonts w:asciiTheme="majorHAnsi" w:eastAsiaTheme="minorEastAsia" w:hAnsiTheme="majorHAnsi" w:cstheme="majorHAnsi"/>
          <w:sz w:val="20"/>
          <w:szCs w:val="20"/>
        </w:rPr>
      </w:pPr>
      <w:r w:rsidRPr="006070EA">
        <w:rPr>
          <w:rFonts w:asciiTheme="majorHAnsi" w:eastAsiaTheme="minorEastAsia" w:hAnsiTheme="majorHAnsi" w:cstheme="majorHAnsi"/>
          <w:sz w:val="20"/>
          <w:szCs w:val="20"/>
        </w:rPr>
        <w:t>TUV</w:t>
      </w:r>
      <w:r w:rsidRPr="006070EA">
        <w:rPr>
          <w:rFonts w:asciiTheme="majorHAnsi" w:eastAsiaTheme="minorEastAsia" w:hAnsiTheme="majorHAnsi" w:cstheme="majorHAnsi"/>
          <w:sz w:val="20"/>
          <w:szCs w:val="20"/>
        </w:rPr>
        <w:tab/>
      </w:r>
      <w:r w:rsidRPr="006070EA">
        <w:rPr>
          <w:rFonts w:asciiTheme="majorHAnsi" w:eastAsiaTheme="minorEastAsia" w:hAnsiTheme="majorHAnsi" w:cstheme="majorHAnsi"/>
          <w:sz w:val="20"/>
          <w:szCs w:val="20"/>
        </w:rPr>
        <w:tab/>
        <w:t>teplá užitková voda</w:t>
      </w:r>
    </w:p>
    <w:p w14:paraId="5B44B9F9" w14:textId="77777777" w:rsidR="00B60DCE" w:rsidRPr="006070EA" w:rsidRDefault="00B60DCE" w:rsidP="009E07E1">
      <w:pPr>
        <w:spacing w:after="0" w:line="240" w:lineRule="auto"/>
        <w:rPr>
          <w:rFonts w:asciiTheme="majorHAnsi" w:eastAsiaTheme="minorEastAsia" w:hAnsiTheme="majorHAnsi" w:cstheme="majorHAnsi"/>
          <w:sz w:val="20"/>
          <w:szCs w:val="20"/>
        </w:rPr>
      </w:pPr>
      <w:r w:rsidRPr="006070EA">
        <w:rPr>
          <w:rFonts w:asciiTheme="majorHAnsi" w:eastAsiaTheme="minorEastAsia" w:hAnsiTheme="majorHAnsi" w:cstheme="majorHAnsi"/>
          <w:sz w:val="20"/>
          <w:szCs w:val="20"/>
        </w:rPr>
        <w:t>ÚAN</w:t>
      </w:r>
      <w:r w:rsidRPr="006070EA">
        <w:rPr>
          <w:rFonts w:asciiTheme="majorHAnsi" w:eastAsiaTheme="minorEastAsia" w:hAnsiTheme="majorHAnsi" w:cstheme="majorHAnsi"/>
          <w:sz w:val="20"/>
          <w:szCs w:val="20"/>
        </w:rPr>
        <w:tab/>
      </w:r>
      <w:r w:rsidRPr="006070EA">
        <w:rPr>
          <w:rFonts w:asciiTheme="majorHAnsi" w:eastAsiaTheme="minorEastAsia" w:hAnsiTheme="majorHAnsi" w:cstheme="majorHAnsi"/>
          <w:sz w:val="20"/>
          <w:szCs w:val="20"/>
        </w:rPr>
        <w:tab/>
        <w:t>území s archeologickými nálezy</w:t>
      </w:r>
    </w:p>
    <w:p w14:paraId="769F6A88" w14:textId="77777777" w:rsidR="00B60DCE" w:rsidRPr="006070EA" w:rsidRDefault="00B60DCE" w:rsidP="009E07E1">
      <w:pPr>
        <w:spacing w:after="0" w:line="240" w:lineRule="auto"/>
        <w:rPr>
          <w:rFonts w:asciiTheme="majorHAnsi" w:eastAsiaTheme="minorEastAsia" w:hAnsiTheme="majorHAnsi" w:cstheme="majorHAnsi"/>
          <w:sz w:val="20"/>
          <w:szCs w:val="20"/>
        </w:rPr>
      </w:pPr>
      <w:r w:rsidRPr="006070EA">
        <w:rPr>
          <w:rFonts w:asciiTheme="majorHAnsi" w:eastAsiaTheme="minorEastAsia" w:hAnsiTheme="majorHAnsi" w:cstheme="majorHAnsi"/>
          <w:sz w:val="20"/>
          <w:szCs w:val="20"/>
        </w:rPr>
        <w:t>ÚAP</w:t>
      </w:r>
      <w:r w:rsidRPr="006070EA">
        <w:rPr>
          <w:rFonts w:asciiTheme="majorHAnsi" w:eastAsiaTheme="minorEastAsia" w:hAnsiTheme="majorHAnsi" w:cstheme="majorHAnsi"/>
          <w:sz w:val="20"/>
          <w:szCs w:val="20"/>
        </w:rPr>
        <w:tab/>
      </w:r>
      <w:r w:rsidRPr="006070EA">
        <w:rPr>
          <w:rFonts w:asciiTheme="majorHAnsi" w:eastAsiaTheme="minorEastAsia" w:hAnsiTheme="majorHAnsi" w:cstheme="majorHAnsi"/>
          <w:sz w:val="20"/>
          <w:szCs w:val="20"/>
        </w:rPr>
        <w:tab/>
        <w:t>územně analytické podklady</w:t>
      </w:r>
    </w:p>
    <w:p w14:paraId="5CC6E4E2" w14:textId="77777777" w:rsidR="00B60DCE" w:rsidRPr="006070EA" w:rsidRDefault="00B60DCE" w:rsidP="009E07E1">
      <w:pPr>
        <w:spacing w:after="0" w:line="240" w:lineRule="auto"/>
        <w:rPr>
          <w:rFonts w:asciiTheme="majorHAnsi" w:eastAsiaTheme="minorEastAsia" w:hAnsiTheme="majorHAnsi" w:cstheme="majorHAnsi"/>
          <w:sz w:val="20"/>
          <w:szCs w:val="20"/>
        </w:rPr>
      </w:pPr>
      <w:r w:rsidRPr="006070EA">
        <w:rPr>
          <w:rFonts w:asciiTheme="majorHAnsi" w:eastAsiaTheme="minorEastAsia" w:hAnsiTheme="majorHAnsi" w:cstheme="majorHAnsi"/>
          <w:sz w:val="20"/>
          <w:szCs w:val="20"/>
        </w:rPr>
        <w:t>ÚP</w:t>
      </w:r>
      <w:r w:rsidRPr="006070EA">
        <w:rPr>
          <w:rFonts w:asciiTheme="majorHAnsi" w:eastAsiaTheme="minorEastAsia" w:hAnsiTheme="majorHAnsi" w:cstheme="majorHAnsi"/>
          <w:sz w:val="20"/>
          <w:szCs w:val="20"/>
        </w:rPr>
        <w:tab/>
      </w:r>
      <w:r w:rsidRPr="006070EA">
        <w:rPr>
          <w:rFonts w:asciiTheme="majorHAnsi" w:eastAsiaTheme="minorEastAsia" w:hAnsiTheme="majorHAnsi" w:cstheme="majorHAnsi"/>
          <w:sz w:val="20"/>
          <w:szCs w:val="20"/>
        </w:rPr>
        <w:tab/>
        <w:t>územní plán</w:t>
      </w:r>
    </w:p>
    <w:p w14:paraId="55478725" w14:textId="77777777" w:rsidR="00B60DCE" w:rsidRPr="006070EA" w:rsidRDefault="00B60DCE" w:rsidP="009E07E1">
      <w:pPr>
        <w:spacing w:after="0" w:line="240" w:lineRule="auto"/>
        <w:rPr>
          <w:rFonts w:asciiTheme="majorHAnsi" w:eastAsiaTheme="minorEastAsia" w:hAnsiTheme="majorHAnsi" w:cstheme="majorHAnsi"/>
          <w:sz w:val="20"/>
          <w:szCs w:val="20"/>
        </w:rPr>
      </w:pPr>
      <w:r w:rsidRPr="006070EA">
        <w:rPr>
          <w:rFonts w:asciiTheme="majorHAnsi" w:eastAsiaTheme="minorEastAsia" w:hAnsiTheme="majorHAnsi" w:cstheme="majorHAnsi"/>
          <w:sz w:val="20"/>
          <w:szCs w:val="20"/>
        </w:rPr>
        <w:t>ÚPD</w:t>
      </w:r>
      <w:r w:rsidRPr="006070EA">
        <w:rPr>
          <w:rFonts w:asciiTheme="majorHAnsi" w:eastAsiaTheme="minorEastAsia" w:hAnsiTheme="majorHAnsi" w:cstheme="majorHAnsi"/>
          <w:sz w:val="20"/>
          <w:szCs w:val="20"/>
        </w:rPr>
        <w:tab/>
      </w:r>
      <w:r w:rsidRPr="006070EA">
        <w:rPr>
          <w:rFonts w:asciiTheme="majorHAnsi" w:eastAsiaTheme="minorEastAsia" w:hAnsiTheme="majorHAnsi" w:cstheme="majorHAnsi"/>
          <w:sz w:val="20"/>
          <w:szCs w:val="20"/>
        </w:rPr>
        <w:tab/>
        <w:t>územně plánovací dokumentace</w:t>
      </w:r>
    </w:p>
    <w:p w14:paraId="34187680" w14:textId="77777777" w:rsidR="00B60DCE" w:rsidRPr="006070EA" w:rsidRDefault="00B60DCE" w:rsidP="009E07E1">
      <w:pPr>
        <w:spacing w:after="0" w:line="240" w:lineRule="auto"/>
        <w:rPr>
          <w:rFonts w:asciiTheme="majorHAnsi" w:eastAsiaTheme="minorEastAsia" w:hAnsiTheme="majorHAnsi" w:cstheme="majorHAnsi"/>
          <w:sz w:val="20"/>
          <w:szCs w:val="20"/>
        </w:rPr>
      </w:pPr>
      <w:r w:rsidRPr="006070EA">
        <w:rPr>
          <w:rFonts w:asciiTheme="majorHAnsi" w:eastAsiaTheme="minorEastAsia" w:hAnsiTheme="majorHAnsi" w:cstheme="majorHAnsi"/>
          <w:sz w:val="20"/>
          <w:szCs w:val="20"/>
        </w:rPr>
        <w:t>ÚSES</w:t>
      </w:r>
      <w:r w:rsidRPr="006070EA">
        <w:rPr>
          <w:rFonts w:asciiTheme="majorHAnsi" w:eastAsiaTheme="minorEastAsia" w:hAnsiTheme="majorHAnsi" w:cstheme="majorHAnsi"/>
          <w:sz w:val="20"/>
          <w:szCs w:val="20"/>
        </w:rPr>
        <w:tab/>
      </w:r>
      <w:r w:rsidRPr="006070EA">
        <w:rPr>
          <w:rFonts w:asciiTheme="majorHAnsi" w:eastAsiaTheme="minorEastAsia" w:hAnsiTheme="majorHAnsi" w:cstheme="majorHAnsi"/>
          <w:sz w:val="20"/>
          <w:szCs w:val="20"/>
        </w:rPr>
        <w:tab/>
        <w:t>územní systém ekologické stability</w:t>
      </w:r>
    </w:p>
    <w:p w14:paraId="2986E119" w14:textId="77777777" w:rsidR="00B60DCE" w:rsidRPr="006070EA" w:rsidRDefault="00B60DCE" w:rsidP="009E07E1">
      <w:pPr>
        <w:spacing w:after="0" w:line="240" w:lineRule="auto"/>
        <w:rPr>
          <w:rFonts w:asciiTheme="majorHAnsi" w:eastAsiaTheme="minorEastAsia" w:hAnsiTheme="majorHAnsi" w:cstheme="majorHAnsi"/>
          <w:sz w:val="20"/>
          <w:szCs w:val="20"/>
        </w:rPr>
      </w:pPr>
      <w:r w:rsidRPr="006070EA">
        <w:rPr>
          <w:rFonts w:asciiTheme="majorHAnsi" w:eastAsiaTheme="minorEastAsia" w:hAnsiTheme="majorHAnsi" w:cstheme="majorHAnsi"/>
          <w:sz w:val="20"/>
          <w:szCs w:val="20"/>
        </w:rPr>
        <w:t>VKP</w:t>
      </w:r>
      <w:r w:rsidRPr="006070EA">
        <w:rPr>
          <w:rFonts w:asciiTheme="majorHAnsi" w:eastAsiaTheme="minorEastAsia" w:hAnsiTheme="majorHAnsi" w:cstheme="majorHAnsi"/>
          <w:sz w:val="20"/>
          <w:szCs w:val="20"/>
        </w:rPr>
        <w:tab/>
      </w:r>
      <w:r w:rsidRPr="006070EA">
        <w:rPr>
          <w:rFonts w:asciiTheme="majorHAnsi" w:eastAsiaTheme="minorEastAsia" w:hAnsiTheme="majorHAnsi" w:cstheme="majorHAnsi"/>
          <w:sz w:val="20"/>
          <w:szCs w:val="20"/>
        </w:rPr>
        <w:tab/>
        <w:t>významný krajinný prvek</w:t>
      </w:r>
    </w:p>
    <w:p w14:paraId="36763255" w14:textId="77777777" w:rsidR="00B60DCE" w:rsidRPr="006070EA" w:rsidRDefault="00EC0BC6" w:rsidP="009E07E1">
      <w:pPr>
        <w:spacing w:after="0" w:line="240" w:lineRule="auto"/>
        <w:rPr>
          <w:rFonts w:asciiTheme="majorHAnsi" w:eastAsiaTheme="minorEastAsia" w:hAnsiTheme="majorHAnsi" w:cstheme="majorHAnsi"/>
          <w:sz w:val="20"/>
          <w:szCs w:val="20"/>
        </w:rPr>
      </w:pPr>
      <w:r w:rsidRPr="006070EA">
        <w:rPr>
          <w:rFonts w:asciiTheme="majorHAnsi" w:eastAsiaTheme="minorEastAsia" w:hAnsiTheme="majorHAnsi" w:cstheme="majorHAnsi"/>
          <w:sz w:val="20"/>
          <w:szCs w:val="20"/>
        </w:rPr>
        <w:t>vn (</w:t>
      </w:r>
      <w:r w:rsidR="007A03D5" w:rsidRPr="006070EA">
        <w:rPr>
          <w:rFonts w:asciiTheme="majorHAnsi" w:eastAsiaTheme="minorEastAsia" w:hAnsiTheme="majorHAnsi" w:cstheme="majorHAnsi"/>
          <w:sz w:val="20"/>
          <w:szCs w:val="20"/>
        </w:rPr>
        <w:t>VN</w:t>
      </w:r>
      <w:r w:rsidRPr="006070EA">
        <w:rPr>
          <w:rFonts w:asciiTheme="majorHAnsi" w:eastAsiaTheme="minorEastAsia" w:hAnsiTheme="majorHAnsi" w:cstheme="majorHAnsi"/>
          <w:sz w:val="20"/>
          <w:szCs w:val="20"/>
        </w:rPr>
        <w:t>)</w:t>
      </w:r>
      <w:r w:rsidR="00B60DCE" w:rsidRPr="006070EA">
        <w:rPr>
          <w:rFonts w:asciiTheme="majorHAnsi" w:eastAsiaTheme="minorEastAsia" w:hAnsiTheme="majorHAnsi" w:cstheme="majorHAnsi"/>
          <w:sz w:val="20"/>
          <w:szCs w:val="20"/>
        </w:rPr>
        <w:tab/>
      </w:r>
      <w:r w:rsidR="00B60DCE" w:rsidRPr="006070EA">
        <w:rPr>
          <w:rFonts w:asciiTheme="majorHAnsi" w:eastAsiaTheme="minorEastAsia" w:hAnsiTheme="majorHAnsi" w:cstheme="majorHAnsi"/>
          <w:sz w:val="20"/>
          <w:szCs w:val="20"/>
        </w:rPr>
        <w:tab/>
        <w:t>vysoké napětí</w:t>
      </w:r>
    </w:p>
    <w:p w14:paraId="6F75ADD5" w14:textId="77777777" w:rsidR="00B60DCE" w:rsidRPr="006070EA" w:rsidRDefault="00B60DCE" w:rsidP="009E07E1">
      <w:pPr>
        <w:spacing w:after="0" w:line="240" w:lineRule="auto"/>
        <w:rPr>
          <w:rFonts w:asciiTheme="majorHAnsi" w:eastAsiaTheme="minorEastAsia" w:hAnsiTheme="majorHAnsi" w:cstheme="majorHAnsi"/>
          <w:sz w:val="20"/>
          <w:szCs w:val="20"/>
        </w:rPr>
      </w:pPr>
      <w:r w:rsidRPr="006070EA">
        <w:rPr>
          <w:rFonts w:asciiTheme="majorHAnsi" w:eastAsiaTheme="minorEastAsia" w:hAnsiTheme="majorHAnsi" w:cstheme="majorHAnsi"/>
          <w:sz w:val="20"/>
          <w:szCs w:val="20"/>
        </w:rPr>
        <w:t>VPO</w:t>
      </w:r>
      <w:r w:rsidRPr="006070EA">
        <w:rPr>
          <w:rFonts w:asciiTheme="majorHAnsi" w:eastAsiaTheme="minorEastAsia" w:hAnsiTheme="majorHAnsi" w:cstheme="majorHAnsi"/>
          <w:sz w:val="20"/>
          <w:szCs w:val="20"/>
        </w:rPr>
        <w:tab/>
      </w:r>
      <w:r w:rsidRPr="006070EA">
        <w:rPr>
          <w:rFonts w:asciiTheme="majorHAnsi" w:eastAsiaTheme="minorEastAsia" w:hAnsiTheme="majorHAnsi" w:cstheme="majorHAnsi"/>
          <w:sz w:val="20"/>
          <w:szCs w:val="20"/>
        </w:rPr>
        <w:tab/>
        <w:t>veřejně prospěšná opatření</w:t>
      </w:r>
    </w:p>
    <w:p w14:paraId="109AC51C" w14:textId="77777777" w:rsidR="00B60DCE" w:rsidRPr="006070EA" w:rsidRDefault="00B60DCE" w:rsidP="009E07E1">
      <w:pPr>
        <w:spacing w:after="0" w:line="240" w:lineRule="auto"/>
        <w:rPr>
          <w:rFonts w:asciiTheme="majorHAnsi" w:eastAsiaTheme="minorEastAsia" w:hAnsiTheme="majorHAnsi" w:cstheme="majorHAnsi"/>
          <w:sz w:val="20"/>
          <w:szCs w:val="20"/>
        </w:rPr>
      </w:pPr>
      <w:r w:rsidRPr="006070EA">
        <w:rPr>
          <w:rFonts w:asciiTheme="majorHAnsi" w:eastAsiaTheme="minorEastAsia" w:hAnsiTheme="majorHAnsi" w:cstheme="majorHAnsi"/>
          <w:sz w:val="20"/>
          <w:szCs w:val="20"/>
        </w:rPr>
        <w:t>VPS</w:t>
      </w:r>
      <w:r w:rsidRPr="006070EA">
        <w:rPr>
          <w:rFonts w:asciiTheme="majorHAnsi" w:eastAsiaTheme="minorEastAsia" w:hAnsiTheme="majorHAnsi" w:cstheme="majorHAnsi"/>
          <w:sz w:val="20"/>
          <w:szCs w:val="20"/>
        </w:rPr>
        <w:tab/>
      </w:r>
      <w:r w:rsidRPr="006070EA">
        <w:rPr>
          <w:rFonts w:asciiTheme="majorHAnsi" w:eastAsiaTheme="minorEastAsia" w:hAnsiTheme="majorHAnsi" w:cstheme="majorHAnsi"/>
          <w:sz w:val="20"/>
          <w:szCs w:val="20"/>
        </w:rPr>
        <w:tab/>
        <w:t>veřejně prospěšné stavby</w:t>
      </w:r>
    </w:p>
    <w:p w14:paraId="3A988BD7" w14:textId="77777777" w:rsidR="00B60DCE" w:rsidRPr="006070EA" w:rsidRDefault="00B60DCE" w:rsidP="009E07E1">
      <w:pPr>
        <w:spacing w:after="0" w:line="240" w:lineRule="auto"/>
        <w:rPr>
          <w:rFonts w:asciiTheme="majorHAnsi" w:eastAsiaTheme="minorEastAsia" w:hAnsiTheme="majorHAnsi" w:cstheme="majorHAnsi"/>
          <w:sz w:val="20"/>
          <w:szCs w:val="20"/>
        </w:rPr>
      </w:pPr>
      <w:r w:rsidRPr="006070EA">
        <w:rPr>
          <w:rFonts w:asciiTheme="majorHAnsi" w:eastAsiaTheme="minorEastAsia" w:hAnsiTheme="majorHAnsi" w:cstheme="majorHAnsi"/>
          <w:sz w:val="20"/>
          <w:szCs w:val="20"/>
        </w:rPr>
        <w:t>ZPF</w:t>
      </w:r>
      <w:r w:rsidRPr="006070EA">
        <w:rPr>
          <w:rFonts w:asciiTheme="majorHAnsi" w:eastAsiaTheme="minorEastAsia" w:hAnsiTheme="majorHAnsi" w:cstheme="majorHAnsi"/>
          <w:sz w:val="20"/>
          <w:szCs w:val="20"/>
        </w:rPr>
        <w:tab/>
      </w:r>
      <w:r w:rsidRPr="006070EA">
        <w:rPr>
          <w:rFonts w:asciiTheme="majorHAnsi" w:eastAsiaTheme="minorEastAsia" w:hAnsiTheme="majorHAnsi" w:cstheme="majorHAnsi"/>
          <w:sz w:val="20"/>
          <w:szCs w:val="20"/>
        </w:rPr>
        <w:tab/>
        <w:t>zemědělský půdní fond</w:t>
      </w:r>
    </w:p>
    <w:p w14:paraId="09397FB7" w14:textId="77777777" w:rsidR="00B60DCE" w:rsidRPr="006070EA" w:rsidRDefault="00B60DCE" w:rsidP="009E07E1">
      <w:pPr>
        <w:spacing w:after="0" w:line="240" w:lineRule="auto"/>
        <w:rPr>
          <w:rFonts w:asciiTheme="majorHAnsi" w:eastAsiaTheme="minorEastAsia" w:hAnsiTheme="majorHAnsi" w:cstheme="majorHAnsi"/>
          <w:sz w:val="20"/>
          <w:szCs w:val="20"/>
        </w:rPr>
      </w:pPr>
      <w:r w:rsidRPr="006070EA">
        <w:rPr>
          <w:rFonts w:asciiTheme="majorHAnsi" w:eastAsiaTheme="minorEastAsia" w:hAnsiTheme="majorHAnsi" w:cstheme="majorHAnsi"/>
          <w:sz w:val="20"/>
          <w:szCs w:val="20"/>
        </w:rPr>
        <w:t>ZÚR</w:t>
      </w:r>
      <w:r w:rsidRPr="006070EA">
        <w:rPr>
          <w:rFonts w:asciiTheme="majorHAnsi" w:eastAsiaTheme="minorEastAsia" w:hAnsiTheme="majorHAnsi" w:cstheme="majorHAnsi"/>
          <w:sz w:val="20"/>
          <w:szCs w:val="20"/>
        </w:rPr>
        <w:tab/>
      </w:r>
      <w:r w:rsidRPr="006070EA">
        <w:rPr>
          <w:rFonts w:asciiTheme="majorHAnsi" w:eastAsiaTheme="minorEastAsia" w:hAnsiTheme="majorHAnsi" w:cstheme="majorHAnsi"/>
          <w:sz w:val="20"/>
          <w:szCs w:val="20"/>
        </w:rPr>
        <w:tab/>
      </w:r>
      <w:r w:rsidR="00CB3746" w:rsidRPr="006070EA">
        <w:rPr>
          <w:rFonts w:asciiTheme="majorHAnsi" w:eastAsiaTheme="minorEastAsia" w:hAnsiTheme="majorHAnsi" w:cstheme="majorHAnsi"/>
          <w:sz w:val="20"/>
          <w:szCs w:val="20"/>
        </w:rPr>
        <w:t>Z</w:t>
      </w:r>
      <w:r w:rsidRPr="006070EA">
        <w:rPr>
          <w:rFonts w:asciiTheme="majorHAnsi" w:eastAsiaTheme="minorEastAsia" w:hAnsiTheme="majorHAnsi" w:cstheme="majorHAnsi"/>
          <w:sz w:val="20"/>
          <w:szCs w:val="20"/>
        </w:rPr>
        <w:t>ásady územního rozvoje</w:t>
      </w:r>
    </w:p>
    <w:p w14:paraId="7DE54354" w14:textId="77777777" w:rsidR="00B60DCE" w:rsidRPr="006070EA" w:rsidRDefault="00B60DCE" w:rsidP="009E07E1">
      <w:pPr>
        <w:spacing w:after="0" w:line="240" w:lineRule="auto"/>
        <w:rPr>
          <w:rFonts w:asciiTheme="majorHAnsi" w:eastAsiaTheme="minorEastAsia" w:hAnsiTheme="majorHAnsi" w:cstheme="majorHAnsi"/>
          <w:color w:val="FF0000"/>
          <w:sz w:val="20"/>
          <w:szCs w:val="20"/>
        </w:rPr>
      </w:pPr>
    </w:p>
    <w:p w14:paraId="5F54E207" w14:textId="77777777" w:rsidR="00B60DCE" w:rsidRPr="006070EA" w:rsidRDefault="00B60DCE" w:rsidP="009E07E1">
      <w:pPr>
        <w:spacing w:after="0" w:line="240" w:lineRule="auto"/>
        <w:rPr>
          <w:rFonts w:asciiTheme="majorHAnsi" w:eastAsiaTheme="minorEastAsia" w:hAnsiTheme="majorHAnsi" w:cstheme="majorHAnsi"/>
          <w:color w:val="FF0000"/>
          <w:sz w:val="20"/>
          <w:szCs w:val="20"/>
        </w:rPr>
      </w:pPr>
    </w:p>
    <w:p w14:paraId="567011C4" w14:textId="77777777" w:rsidR="00B60DCE" w:rsidRPr="006070EA" w:rsidRDefault="00B60DCE" w:rsidP="009E07E1">
      <w:pPr>
        <w:spacing w:after="0" w:line="240" w:lineRule="auto"/>
        <w:rPr>
          <w:rFonts w:asciiTheme="majorHAnsi" w:eastAsiaTheme="minorEastAsia" w:hAnsiTheme="majorHAnsi" w:cstheme="majorHAnsi"/>
          <w:color w:val="FF0000"/>
          <w:sz w:val="20"/>
          <w:szCs w:val="20"/>
        </w:rPr>
      </w:pPr>
    </w:p>
    <w:p w14:paraId="24666346" w14:textId="77777777" w:rsidR="00877205" w:rsidRPr="006070EA" w:rsidRDefault="00877205" w:rsidP="009E07E1">
      <w:pPr>
        <w:spacing w:after="60" w:line="240" w:lineRule="auto"/>
        <w:jc w:val="both"/>
        <w:rPr>
          <w:rFonts w:asciiTheme="majorHAnsi" w:hAnsiTheme="majorHAnsi" w:cstheme="majorHAnsi"/>
          <w:color w:val="FF0000"/>
          <w:sz w:val="20"/>
          <w:szCs w:val="20"/>
        </w:rPr>
      </w:pPr>
    </w:p>
    <w:p w14:paraId="06FB2A75" w14:textId="77777777" w:rsidR="00877205" w:rsidRPr="006070EA" w:rsidRDefault="00877205" w:rsidP="009E07E1">
      <w:pPr>
        <w:spacing w:after="60" w:line="240" w:lineRule="auto"/>
        <w:jc w:val="both"/>
        <w:rPr>
          <w:rFonts w:asciiTheme="majorHAnsi" w:hAnsiTheme="majorHAnsi" w:cstheme="majorHAnsi"/>
          <w:color w:val="FF0000"/>
          <w:sz w:val="20"/>
          <w:szCs w:val="20"/>
        </w:rPr>
      </w:pPr>
    </w:p>
    <w:p w14:paraId="6C987C8E" w14:textId="77777777" w:rsidR="00877205" w:rsidRPr="006070EA" w:rsidRDefault="00877205" w:rsidP="009E07E1">
      <w:pPr>
        <w:spacing w:after="60" w:line="240" w:lineRule="auto"/>
        <w:jc w:val="both"/>
        <w:rPr>
          <w:rFonts w:asciiTheme="majorHAnsi" w:hAnsiTheme="majorHAnsi" w:cstheme="majorHAnsi"/>
          <w:color w:val="FF0000"/>
          <w:sz w:val="20"/>
          <w:szCs w:val="20"/>
        </w:rPr>
      </w:pPr>
    </w:p>
    <w:p w14:paraId="30EF3A50" w14:textId="77777777" w:rsidR="00877205" w:rsidRPr="006070EA" w:rsidRDefault="00877205" w:rsidP="009E07E1">
      <w:pPr>
        <w:spacing w:after="60" w:line="240" w:lineRule="auto"/>
        <w:jc w:val="both"/>
        <w:rPr>
          <w:rFonts w:asciiTheme="majorHAnsi" w:hAnsiTheme="majorHAnsi" w:cstheme="majorHAnsi"/>
          <w:color w:val="FF0000"/>
          <w:sz w:val="20"/>
          <w:szCs w:val="20"/>
        </w:rPr>
      </w:pPr>
    </w:p>
    <w:p w14:paraId="649CEA19" w14:textId="77777777" w:rsidR="00877205" w:rsidRPr="006070EA" w:rsidRDefault="00877205" w:rsidP="009E07E1">
      <w:pPr>
        <w:spacing w:after="60" w:line="240" w:lineRule="auto"/>
        <w:jc w:val="both"/>
        <w:rPr>
          <w:rFonts w:asciiTheme="majorHAnsi" w:hAnsiTheme="majorHAnsi" w:cstheme="majorHAnsi"/>
          <w:color w:val="FF0000"/>
          <w:sz w:val="20"/>
          <w:szCs w:val="20"/>
        </w:rPr>
      </w:pPr>
    </w:p>
    <w:p w14:paraId="72CDB585" w14:textId="77777777" w:rsidR="00877205" w:rsidRPr="006070EA" w:rsidRDefault="00877205" w:rsidP="009E07E1">
      <w:pPr>
        <w:spacing w:after="60" w:line="240" w:lineRule="auto"/>
        <w:jc w:val="both"/>
        <w:rPr>
          <w:rFonts w:asciiTheme="majorHAnsi" w:hAnsiTheme="majorHAnsi" w:cstheme="majorHAnsi"/>
          <w:color w:val="FF0000"/>
          <w:sz w:val="20"/>
          <w:szCs w:val="20"/>
        </w:rPr>
      </w:pPr>
    </w:p>
    <w:p w14:paraId="58B9937F" w14:textId="77777777" w:rsidR="00877205" w:rsidRPr="006070EA" w:rsidRDefault="00877205" w:rsidP="009E07E1">
      <w:pPr>
        <w:spacing w:after="60" w:line="240" w:lineRule="auto"/>
        <w:jc w:val="both"/>
        <w:rPr>
          <w:rFonts w:asciiTheme="majorHAnsi" w:hAnsiTheme="majorHAnsi" w:cstheme="majorHAnsi"/>
          <w:color w:val="FF0000"/>
          <w:sz w:val="20"/>
          <w:szCs w:val="20"/>
        </w:rPr>
        <w:sectPr w:rsidR="00877205" w:rsidRPr="006070EA" w:rsidSect="0065127D">
          <w:headerReference w:type="default" r:id="rId67"/>
          <w:pgSz w:w="11906" w:h="16838"/>
          <w:pgMar w:top="1418" w:right="1418" w:bottom="1418" w:left="1418" w:header="709" w:footer="709" w:gutter="0"/>
          <w:cols w:space="708"/>
          <w:docGrid w:linePitch="360"/>
        </w:sectPr>
      </w:pPr>
    </w:p>
    <w:p w14:paraId="625C436E" w14:textId="77777777" w:rsidR="00877205" w:rsidRPr="006070EA" w:rsidRDefault="00E151CD" w:rsidP="009E07E1">
      <w:pPr>
        <w:pBdr>
          <w:top w:val="single" w:sz="8" w:space="1" w:color="auto"/>
          <w:left w:val="single" w:sz="8" w:space="4" w:color="auto"/>
          <w:bottom w:val="single" w:sz="8" w:space="1" w:color="auto"/>
          <w:right w:val="single" w:sz="8" w:space="4" w:color="auto"/>
        </w:pBdr>
        <w:shd w:val="clear" w:color="auto" w:fill="F2F2F2" w:themeFill="background1" w:themeFillShade="F2"/>
        <w:spacing w:before="200" w:after="200" w:line="240" w:lineRule="auto"/>
        <w:jc w:val="both"/>
        <w:outlineLvl w:val="0"/>
        <w:rPr>
          <w:rFonts w:asciiTheme="majorHAnsi" w:hAnsiTheme="majorHAnsi" w:cstheme="majorHAnsi"/>
          <w:b/>
          <w:sz w:val="24"/>
          <w:szCs w:val="28"/>
        </w:rPr>
      </w:pPr>
      <w:bookmarkStart w:id="498" w:name="_Toc433894225"/>
      <w:bookmarkStart w:id="499" w:name="_Toc204678250"/>
      <w:r w:rsidRPr="006070EA">
        <w:rPr>
          <w:rFonts w:asciiTheme="majorHAnsi" w:hAnsiTheme="majorHAnsi" w:cstheme="majorHAnsi"/>
          <w:b/>
          <w:sz w:val="24"/>
          <w:szCs w:val="28"/>
        </w:rPr>
        <w:lastRenderedPageBreak/>
        <w:t>PŘÍLOHA Č. 2</w:t>
      </w:r>
      <w:r w:rsidR="00281E8E" w:rsidRPr="006070EA">
        <w:rPr>
          <w:rFonts w:asciiTheme="majorHAnsi" w:hAnsiTheme="majorHAnsi" w:cstheme="majorHAnsi"/>
          <w:b/>
          <w:sz w:val="24"/>
          <w:szCs w:val="28"/>
        </w:rPr>
        <w:t>:</w:t>
      </w:r>
      <w:r w:rsidR="007D380C" w:rsidRPr="006070EA">
        <w:rPr>
          <w:rFonts w:asciiTheme="majorHAnsi" w:hAnsiTheme="majorHAnsi" w:cstheme="majorHAnsi"/>
          <w:b/>
          <w:sz w:val="24"/>
          <w:szCs w:val="28"/>
        </w:rPr>
        <w:t xml:space="preserve"> VYHODNOCENÍ PŘEDPOKLÁDANÝCH DŮSLEDKŮ NAVRHOVANÉHO ŘEŠENÍ NA ZEMĚDĚLSKÝ PŮDNÍ FOND</w:t>
      </w:r>
      <w:bookmarkEnd w:id="498"/>
      <w:bookmarkEnd w:id="499"/>
    </w:p>
    <w:tbl>
      <w:tblPr>
        <w:tblW w:w="14454" w:type="dxa"/>
        <w:jc w:val="center"/>
        <w:tblLayout w:type="fixed"/>
        <w:tblCellMar>
          <w:left w:w="70" w:type="dxa"/>
          <w:right w:w="70" w:type="dxa"/>
        </w:tblCellMar>
        <w:tblLook w:val="04A0" w:firstRow="1" w:lastRow="0" w:firstColumn="1" w:lastColumn="0" w:noHBand="0" w:noVBand="1"/>
      </w:tblPr>
      <w:tblGrid>
        <w:gridCol w:w="959"/>
        <w:gridCol w:w="960"/>
        <w:gridCol w:w="960"/>
        <w:gridCol w:w="1062"/>
        <w:gridCol w:w="907"/>
        <w:gridCol w:w="907"/>
        <w:gridCol w:w="820"/>
        <w:gridCol w:w="907"/>
        <w:gridCol w:w="1444"/>
        <w:gridCol w:w="1382"/>
        <w:gridCol w:w="1382"/>
        <w:gridCol w:w="1382"/>
        <w:gridCol w:w="1382"/>
      </w:tblGrid>
      <w:tr w:rsidR="00C162B0" w:rsidRPr="00552526" w14:paraId="628024F9" w14:textId="77777777" w:rsidTr="00C162B0">
        <w:trPr>
          <w:trHeight w:val="1128"/>
          <w:jc w:val="center"/>
        </w:trPr>
        <w:tc>
          <w:tcPr>
            <w:tcW w:w="959"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2819BB14"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Označení plochy / koridoru</w:t>
            </w:r>
          </w:p>
        </w:tc>
        <w:tc>
          <w:tcPr>
            <w:tcW w:w="960"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7E2AB61E"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Navržené využití</w:t>
            </w:r>
          </w:p>
        </w:tc>
        <w:tc>
          <w:tcPr>
            <w:tcW w:w="960"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4799A485"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Souhrn výměry záboru (ha)</w:t>
            </w:r>
          </w:p>
        </w:tc>
        <w:tc>
          <w:tcPr>
            <w:tcW w:w="4603" w:type="dxa"/>
            <w:gridSpan w:val="5"/>
            <w:tcBorders>
              <w:top w:val="single" w:sz="4" w:space="0" w:color="auto"/>
              <w:left w:val="nil"/>
              <w:bottom w:val="single" w:sz="4" w:space="0" w:color="auto"/>
              <w:right w:val="single" w:sz="4" w:space="0" w:color="auto"/>
            </w:tcBorders>
            <w:shd w:val="clear" w:color="000000" w:fill="F2F2F2"/>
            <w:vAlign w:val="center"/>
            <w:hideMark/>
          </w:tcPr>
          <w:p w14:paraId="6C495376"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Výměra záboru podle tříd ochrany (ha)</w:t>
            </w:r>
          </w:p>
        </w:tc>
        <w:tc>
          <w:tcPr>
            <w:tcW w:w="1444"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5413CB34"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Odhad výměry záboru, na které bude provedena rekultivace na zemědělskou půdu</w:t>
            </w:r>
          </w:p>
        </w:tc>
        <w:tc>
          <w:tcPr>
            <w:tcW w:w="1382"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1667751E"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Informace o existenci závlah</w:t>
            </w:r>
          </w:p>
        </w:tc>
        <w:tc>
          <w:tcPr>
            <w:tcW w:w="1382"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1A04B09B"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Informace o existenci odvodnění</w:t>
            </w:r>
          </w:p>
        </w:tc>
        <w:tc>
          <w:tcPr>
            <w:tcW w:w="1382"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40F7E055"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Informace o existenci staveb k ochraně pozemku před erozní činností vody</w:t>
            </w:r>
          </w:p>
        </w:tc>
        <w:tc>
          <w:tcPr>
            <w:tcW w:w="1382"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0065F54C"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Informace podle ustanovení § 3 odst. 1 písm. g)</w:t>
            </w:r>
          </w:p>
        </w:tc>
      </w:tr>
      <w:tr w:rsidR="00C162B0" w:rsidRPr="00552526" w14:paraId="1909D7EF" w14:textId="77777777" w:rsidTr="00C162B0">
        <w:trPr>
          <w:trHeight w:val="300"/>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69173F6B" w14:textId="77777777" w:rsidR="00552526" w:rsidRPr="00552526" w:rsidRDefault="00552526" w:rsidP="00552526">
            <w:pPr>
              <w:spacing w:after="0" w:line="240" w:lineRule="auto"/>
              <w:rPr>
                <w:rFonts w:ascii="Calibri Light" w:eastAsia="Times New Roman" w:hAnsi="Calibri Light" w:cs="Calibri Light"/>
                <w:b/>
                <w:bCs/>
                <w:color w:val="000000"/>
                <w:sz w:val="18"/>
                <w:szCs w:val="18"/>
                <w:lang w:eastAsia="cs-CZ"/>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3BE8E7BA" w14:textId="77777777" w:rsidR="00552526" w:rsidRPr="00552526" w:rsidRDefault="00552526" w:rsidP="00552526">
            <w:pPr>
              <w:spacing w:after="0" w:line="240" w:lineRule="auto"/>
              <w:rPr>
                <w:rFonts w:ascii="Calibri Light" w:eastAsia="Times New Roman" w:hAnsi="Calibri Light" w:cs="Calibri Light"/>
                <w:b/>
                <w:bCs/>
                <w:color w:val="000000"/>
                <w:sz w:val="18"/>
                <w:szCs w:val="18"/>
                <w:lang w:eastAsia="cs-CZ"/>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710EAE13" w14:textId="77777777" w:rsidR="00552526" w:rsidRPr="00552526" w:rsidRDefault="00552526" w:rsidP="00552526">
            <w:pPr>
              <w:spacing w:after="0" w:line="240" w:lineRule="auto"/>
              <w:rPr>
                <w:rFonts w:ascii="Calibri Light" w:eastAsia="Times New Roman" w:hAnsi="Calibri Light" w:cs="Calibri Light"/>
                <w:b/>
                <w:bCs/>
                <w:color w:val="000000"/>
                <w:sz w:val="18"/>
                <w:szCs w:val="18"/>
                <w:lang w:eastAsia="cs-CZ"/>
              </w:rPr>
            </w:pPr>
          </w:p>
        </w:tc>
        <w:tc>
          <w:tcPr>
            <w:tcW w:w="1062" w:type="dxa"/>
            <w:tcBorders>
              <w:top w:val="nil"/>
              <w:left w:val="nil"/>
              <w:bottom w:val="single" w:sz="4" w:space="0" w:color="auto"/>
              <w:right w:val="single" w:sz="4" w:space="0" w:color="auto"/>
            </w:tcBorders>
            <w:shd w:val="clear" w:color="000000" w:fill="F2F2F2"/>
            <w:noWrap/>
            <w:vAlign w:val="center"/>
            <w:hideMark/>
          </w:tcPr>
          <w:p w14:paraId="5B38F122"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I.</w:t>
            </w:r>
          </w:p>
        </w:tc>
        <w:tc>
          <w:tcPr>
            <w:tcW w:w="907" w:type="dxa"/>
            <w:tcBorders>
              <w:top w:val="nil"/>
              <w:left w:val="nil"/>
              <w:bottom w:val="single" w:sz="4" w:space="0" w:color="auto"/>
              <w:right w:val="single" w:sz="4" w:space="0" w:color="auto"/>
            </w:tcBorders>
            <w:shd w:val="clear" w:color="000000" w:fill="F2F2F2"/>
            <w:noWrap/>
            <w:vAlign w:val="center"/>
            <w:hideMark/>
          </w:tcPr>
          <w:p w14:paraId="32878449"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II.</w:t>
            </w:r>
          </w:p>
        </w:tc>
        <w:tc>
          <w:tcPr>
            <w:tcW w:w="907" w:type="dxa"/>
            <w:tcBorders>
              <w:top w:val="nil"/>
              <w:left w:val="nil"/>
              <w:bottom w:val="single" w:sz="4" w:space="0" w:color="auto"/>
              <w:right w:val="single" w:sz="4" w:space="0" w:color="auto"/>
            </w:tcBorders>
            <w:shd w:val="clear" w:color="000000" w:fill="F2F2F2"/>
            <w:noWrap/>
            <w:vAlign w:val="center"/>
            <w:hideMark/>
          </w:tcPr>
          <w:p w14:paraId="13EAC3AE"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III.</w:t>
            </w:r>
          </w:p>
        </w:tc>
        <w:tc>
          <w:tcPr>
            <w:tcW w:w="820" w:type="dxa"/>
            <w:tcBorders>
              <w:top w:val="nil"/>
              <w:left w:val="nil"/>
              <w:bottom w:val="single" w:sz="4" w:space="0" w:color="auto"/>
              <w:right w:val="single" w:sz="4" w:space="0" w:color="auto"/>
            </w:tcBorders>
            <w:shd w:val="clear" w:color="000000" w:fill="F2F2F2"/>
            <w:noWrap/>
            <w:vAlign w:val="center"/>
            <w:hideMark/>
          </w:tcPr>
          <w:p w14:paraId="3061B7EA"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IV.</w:t>
            </w:r>
          </w:p>
        </w:tc>
        <w:tc>
          <w:tcPr>
            <w:tcW w:w="907" w:type="dxa"/>
            <w:tcBorders>
              <w:top w:val="nil"/>
              <w:left w:val="nil"/>
              <w:bottom w:val="single" w:sz="4" w:space="0" w:color="auto"/>
              <w:right w:val="single" w:sz="4" w:space="0" w:color="auto"/>
            </w:tcBorders>
            <w:shd w:val="clear" w:color="000000" w:fill="F2F2F2"/>
            <w:noWrap/>
            <w:vAlign w:val="center"/>
            <w:hideMark/>
          </w:tcPr>
          <w:p w14:paraId="2FD94D59"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V.</w:t>
            </w:r>
          </w:p>
        </w:tc>
        <w:tc>
          <w:tcPr>
            <w:tcW w:w="1444" w:type="dxa"/>
            <w:vMerge/>
            <w:tcBorders>
              <w:top w:val="single" w:sz="4" w:space="0" w:color="auto"/>
              <w:left w:val="single" w:sz="4" w:space="0" w:color="auto"/>
              <w:bottom w:val="single" w:sz="4" w:space="0" w:color="auto"/>
              <w:right w:val="single" w:sz="4" w:space="0" w:color="auto"/>
            </w:tcBorders>
            <w:vAlign w:val="center"/>
            <w:hideMark/>
          </w:tcPr>
          <w:p w14:paraId="3E7911CB" w14:textId="77777777" w:rsidR="00552526" w:rsidRPr="00552526" w:rsidRDefault="00552526" w:rsidP="00552526">
            <w:pPr>
              <w:spacing w:after="0" w:line="240" w:lineRule="auto"/>
              <w:rPr>
                <w:rFonts w:ascii="Calibri Light" w:eastAsia="Times New Roman" w:hAnsi="Calibri Light" w:cs="Calibri Light"/>
                <w:b/>
                <w:bCs/>
                <w:color w:val="000000"/>
                <w:sz w:val="18"/>
                <w:szCs w:val="18"/>
                <w:lang w:eastAsia="cs-CZ"/>
              </w:rPr>
            </w:pPr>
          </w:p>
        </w:tc>
        <w:tc>
          <w:tcPr>
            <w:tcW w:w="1382" w:type="dxa"/>
            <w:vMerge/>
            <w:tcBorders>
              <w:top w:val="single" w:sz="4" w:space="0" w:color="auto"/>
              <w:left w:val="single" w:sz="4" w:space="0" w:color="auto"/>
              <w:bottom w:val="single" w:sz="4" w:space="0" w:color="auto"/>
              <w:right w:val="single" w:sz="4" w:space="0" w:color="auto"/>
            </w:tcBorders>
            <w:vAlign w:val="center"/>
            <w:hideMark/>
          </w:tcPr>
          <w:p w14:paraId="45AC7702" w14:textId="77777777" w:rsidR="00552526" w:rsidRPr="00552526" w:rsidRDefault="00552526" w:rsidP="00552526">
            <w:pPr>
              <w:spacing w:after="0" w:line="240" w:lineRule="auto"/>
              <w:rPr>
                <w:rFonts w:ascii="Calibri Light" w:eastAsia="Times New Roman" w:hAnsi="Calibri Light" w:cs="Calibri Light"/>
                <w:b/>
                <w:bCs/>
                <w:color w:val="000000"/>
                <w:sz w:val="18"/>
                <w:szCs w:val="18"/>
                <w:lang w:eastAsia="cs-CZ"/>
              </w:rPr>
            </w:pPr>
          </w:p>
        </w:tc>
        <w:tc>
          <w:tcPr>
            <w:tcW w:w="1382" w:type="dxa"/>
            <w:vMerge/>
            <w:tcBorders>
              <w:top w:val="single" w:sz="4" w:space="0" w:color="auto"/>
              <w:left w:val="single" w:sz="4" w:space="0" w:color="auto"/>
              <w:bottom w:val="single" w:sz="4" w:space="0" w:color="auto"/>
              <w:right w:val="single" w:sz="4" w:space="0" w:color="auto"/>
            </w:tcBorders>
            <w:vAlign w:val="center"/>
            <w:hideMark/>
          </w:tcPr>
          <w:p w14:paraId="045E4E8A" w14:textId="77777777" w:rsidR="00552526" w:rsidRPr="00552526" w:rsidRDefault="00552526" w:rsidP="00552526">
            <w:pPr>
              <w:spacing w:after="0" w:line="240" w:lineRule="auto"/>
              <w:rPr>
                <w:rFonts w:ascii="Calibri Light" w:eastAsia="Times New Roman" w:hAnsi="Calibri Light" w:cs="Calibri Light"/>
                <w:b/>
                <w:bCs/>
                <w:color w:val="000000"/>
                <w:sz w:val="18"/>
                <w:szCs w:val="18"/>
                <w:lang w:eastAsia="cs-CZ"/>
              </w:rPr>
            </w:pPr>
          </w:p>
        </w:tc>
        <w:tc>
          <w:tcPr>
            <w:tcW w:w="1382" w:type="dxa"/>
            <w:vMerge/>
            <w:tcBorders>
              <w:top w:val="single" w:sz="4" w:space="0" w:color="auto"/>
              <w:left w:val="single" w:sz="4" w:space="0" w:color="auto"/>
              <w:bottom w:val="single" w:sz="4" w:space="0" w:color="auto"/>
              <w:right w:val="single" w:sz="4" w:space="0" w:color="auto"/>
            </w:tcBorders>
            <w:vAlign w:val="center"/>
            <w:hideMark/>
          </w:tcPr>
          <w:p w14:paraId="30F7AA33" w14:textId="77777777" w:rsidR="00552526" w:rsidRPr="00552526" w:rsidRDefault="00552526" w:rsidP="00552526">
            <w:pPr>
              <w:spacing w:after="0" w:line="240" w:lineRule="auto"/>
              <w:rPr>
                <w:rFonts w:ascii="Calibri Light" w:eastAsia="Times New Roman" w:hAnsi="Calibri Light" w:cs="Calibri Light"/>
                <w:b/>
                <w:bCs/>
                <w:color w:val="000000"/>
                <w:sz w:val="18"/>
                <w:szCs w:val="18"/>
                <w:lang w:eastAsia="cs-CZ"/>
              </w:rPr>
            </w:pPr>
          </w:p>
        </w:tc>
        <w:tc>
          <w:tcPr>
            <w:tcW w:w="1382" w:type="dxa"/>
            <w:vMerge/>
            <w:tcBorders>
              <w:top w:val="single" w:sz="4" w:space="0" w:color="auto"/>
              <w:left w:val="single" w:sz="4" w:space="0" w:color="auto"/>
              <w:bottom w:val="single" w:sz="4" w:space="0" w:color="auto"/>
              <w:right w:val="single" w:sz="4" w:space="0" w:color="auto"/>
            </w:tcBorders>
            <w:vAlign w:val="center"/>
            <w:hideMark/>
          </w:tcPr>
          <w:p w14:paraId="2849247F" w14:textId="77777777" w:rsidR="00552526" w:rsidRPr="00552526" w:rsidRDefault="00552526" w:rsidP="00552526">
            <w:pPr>
              <w:spacing w:after="0" w:line="240" w:lineRule="auto"/>
              <w:rPr>
                <w:rFonts w:ascii="Calibri Light" w:eastAsia="Times New Roman" w:hAnsi="Calibri Light" w:cs="Calibri Light"/>
                <w:b/>
                <w:bCs/>
                <w:color w:val="000000"/>
                <w:sz w:val="18"/>
                <w:szCs w:val="18"/>
                <w:lang w:eastAsia="cs-CZ"/>
              </w:rPr>
            </w:pPr>
          </w:p>
        </w:tc>
      </w:tr>
      <w:tr w:rsidR="00552526" w:rsidRPr="00552526" w14:paraId="047A6203" w14:textId="77777777" w:rsidTr="00C162B0">
        <w:trPr>
          <w:trHeight w:val="300"/>
          <w:jc w:val="center"/>
        </w:trPr>
        <w:tc>
          <w:tcPr>
            <w:tcW w:w="14454" w:type="dxa"/>
            <w:gridSpan w:val="13"/>
            <w:tcBorders>
              <w:top w:val="single" w:sz="4" w:space="0" w:color="auto"/>
              <w:left w:val="single" w:sz="4" w:space="0" w:color="auto"/>
              <w:bottom w:val="single" w:sz="4" w:space="0" w:color="auto"/>
              <w:right w:val="single" w:sz="4" w:space="0" w:color="auto"/>
            </w:tcBorders>
            <w:shd w:val="clear" w:color="000000" w:fill="FCE4D6"/>
            <w:noWrap/>
            <w:vAlign w:val="center"/>
            <w:hideMark/>
          </w:tcPr>
          <w:p w14:paraId="29AD9D5A"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PLOCHY BYDLENÍ</w:t>
            </w:r>
          </w:p>
        </w:tc>
      </w:tr>
      <w:tr w:rsidR="00C162B0" w:rsidRPr="00552526" w14:paraId="6D5EF656" w14:textId="77777777" w:rsidTr="00C162B0">
        <w:trPr>
          <w:trHeight w:val="300"/>
          <w:jc w:val="center"/>
        </w:trPr>
        <w:tc>
          <w:tcPr>
            <w:tcW w:w="959" w:type="dxa"/>
            <w:tcBorders>
              <w:top w:val="nil"/>
              <w:left w:val="single" w:sz="4" w:space="0" w:color="auto"/>
              <w:bottom w:val="single" w:sz="4" w:space="0" w:color="auto"/>
              <w:right w:val="single" w:sz="4" w:space="0" w:color="auto"/>
            </w:tcBorders>
            <w:shd w:val="clear" w:color="auto" w:fill="auto"/>
            <w:noWrap/>
            <w:vAlign w:val="center"/>
            <w:hideMark/>
          </w:tcPr>
          <w:p w14:paraId="660EB82C"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Z.06</w:t>
            </w:r>
          </w:p>
        </w:tc>
        <w:tc>
          <w:tcPr>
            <w:tcW w:w="960" w:type="dxa"/>
            <w:tcBorders>
              <w:top w:val="nil"/>
              <w:left w:val="nil"/>
              <w:bottom w:val="single" w:sz="4" w:space="0" w:color="auto"/>
              <w:right w:val="single" w:sz="4" w:space="0" w:color="auto"/>
            </w:tcBorders>
            <w:shd w:val="clear" w:color="auto" w:fill="auto"/>
            <w:noWrap/>
            <w:vAlign w:val="center"/>
            <w:hideMark/>
          </w:tcPr>
          <w:p w14:paraId="5DBC5AD5"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BI</w:t>
            </w:r>
          </w:p>
        </w:tc>
        <w:tc>
          <w:tcPr>
            <w:tcW w:w="960" w:type="dxa"/>
            <w:tcBorders>
              <w:top w:val="nil"/>
              <w:left w:val="nil"/>
              <w:bottom w:val="single" w:sz="4" w:space="0" w:color="auto"/>
              <w:right w:val="single" w:sz="4" w:space="0" w:color="auto"/>
            </w:tcBorders>
            <w:shd w:val="clear" w:color="auto" w:fill="auto"/>
            <w:noWrap/>
            <w:vAlign w:val="center"/>
            <w:hideMark/>
          </w:tcPr>
          <w:p w14:paraId="1DF577F8"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0,8698</w:t>
            </w:r>
          </w:p>
        </w:tc>
        <w:tc>
          <w:tcPr>
            <w:tcW w:w="1062" w:type="dxa"/>
            <w:tcBorders>
              <w:top w:val="nil"/>
              <w:left w:val="nil"/>
              <w:bottom w:val="single" w:sz="4" w:space="0" w:color="auto"/>
              <w:right w:val="single" w:sz="4" w:space="0" w:color="auto"/>
            </w:tcBorders>
            <w:shd w:val="clear" w:color="auto" w:fill="auto"/>
            <w:noWrap/>
            <w:vAlign w:val="center"/>
            <w:hideMark/>
          </w:tcPr>
          <w:p w14:paraId="6D082FB8"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shd w:val="clear" w:color="auto" w:fill="auto"/>
            <w:noWrap/>
            <w:vAlign w:val="center"/>
            <w:hideMark/>
          </w:tcPr>
          <w:p w14:paraId="6E1BA2BF"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shd w:val="clear" w:color="auto" w:fill="auto"/>
            <w:noWrap/>
            <w:vAlign w:val="center"/>
            <w:hideMark/>
          </w:tcPr>
          <w:p w14:paraId="353F71CC"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820" w:type="dxa"/>
            <w:tcBorders>
              <w:top w:val="nil"/>
              <w:left w:val="nil"/>
              <w:bottom w:val="single" w:sz="4" w:space="0" w:color="auto"/>
              <w:right w:val="single" w:sz="4" w:space="0" w:color="auto"/>
            </w:tcBorders>
            <w:shd w:val="clear" w:color="auto" w:fill="auto"/>
            <w:noWrap/>
            <w:vAlign w:val="center"/>
            <w:hideMark/>
          </w:tcPr>
          <w:p w14:paraId="5DFD750D"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0,8698</w:t>
            </w:r>
          </w:p>
        </w:tc>
        <w:tc>
          <w:tcPr>
            <w:tcW w:w="907" w:type="dxa"/>
            <w:tcBorders>
              <w:top w:val="nil"/>
              <w:left w:val="nil"/>
              <w:bottom w:val="single" w:sz="4" w:space="0" w:color="auto"/>
              <w:right w:val="single" w:sz="4" w:space="0" w:color="auto"/>
            </w:tcBorders>
            <w:shd w:val="clear" w:color="auto" w:fill="auto"/>
            <w:noWrap/>
            <w:vAlign w:val="center"/>
            <w:hideMark/>
          </w:tcPr>
          <w:p w14:paraId="5F805AAC"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1444" w:type="dxa"/>
            <w:tcBorders>
              <w:top w:val="nil"/>
              <w:left w:val="nil"/>
              <w:bottom w:val="single" w:sz="4" w:space="0" w:color="auto"/>
              <w:right w:val="single" w:sz="4" w:space="0" w:color="auto"/>
            </w:tcBorders>
            <w:shd w:val="clear" w:color="auto" w:fill="auto"/>
            <w:noWrap/>
            <w:vAlign w:val="center"/>
            <w:hideMark/>
          </w:tcPr>
          <w:p w14:paraId="5A23685A"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1382" w:type="dxa"/>
            <w:tcBorders>
              <w:top w:val="nil"/>
              <w:left w:val="nil"/>
              <w:bottom w:val="single" w:sz="4" w:space="0" w:color="auto"/>
              <w:right w:val="single" w:sz="4" w:space="0" w:color="auto"/>
            </w:tcBorders>
            <w:shd w:val="clear" w:color="auto" w:fill="auto"/>
            <w:noWrap/>
            <w:vAlign w:val="center"/>
            <w:hideMark/>
          </w:tcPr>
          <w:p w14:paraId="1B6725CE"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shd w:val="clear" w:color="auto" w:fill="auto"/>
            <w:noWrap/>
            <w:vAlign w:val="center"/>
            <w:hideMark/>
          </w:tcPr>
          <w:p w14:paraId="5F2212E5"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shd w:val="clear" w:color="auto" w:fill="auto"/>
            <w:noWrap/>
            <w:vAlign w:val="center"/>
            <w:hideMark/>
          </w:tcPr>
          <w:p w14:paraId="393BCAD6"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shd w:val="clear" w:color="auto" w:fill="auto"/>
            <w:noWrap/>
            <w:vAlign w:val="center"/>
            <w:hideMark/>
          </w:tcPr>
          <w:p w14:paraId="45E13FF2"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w:t>
            </w:r>
          </w:p>
        </w:tc>
      </w:tr>
      <w:tr w:rsidR="00C162B0" w:rsidRPr="00552526" w14:paraId="03CC6353" w14:textId="77777777" w:rsidTr="00C162B0">
        <w:trPr>
          <w:trHeight w:val="300"/>
          <w:jc w:val="center"/>
        </w:trPr>
        <w:tc>
          <w:tcPr>
            <w:tcW w:w="959" w:type="dxa"/>
            <w:tcBorders>
              <w:top w:val="nil"/>
              <w:left w:val="single" w:sz="4" w:space="0" w:color="auto"/>
              <w:bottom w:val="single" w:sz="4" w:space="0" w:color="auto"/>
              <w:right w:val="single" w:sz="4" w:space="0" w:color="auto"/>
            </w:tcBorders>
            <w:shd w:val="clear" w:color="auto" w:fill="auto"/>
            <w:noWrap/>
            <w:vAlign w:val="center"/>
            <w:hideMark/>
          </w:tcPr>
          <w:p w14:paraId="6F1D2FC2"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Z.07</w:t>
            </w:r>
          </w:p>
        </w:tc>
        <w:tc>
          <w:tcPr>
            <w:tcW w:w="960" w:type="dxa"/>
            <w:tcBorders>
              <w:top w:val="nil"/>
              <w:left w:val="nil"/>
              <w:bottom w:val="single" w:sz="4" w:space="0" w:color="auto"/>
              <w:right w:val="single" w:sz="4" w:space="0" w:color="auto"/>
            </w:tcBorders>
            <w:shd w:val="clear" w:color="auto" w:fill="auto"/>
            <w:noWrap/>
            <w:vAlign w:val="center"/>
            <w:hideMark/>
          </w:tcPr>
          <w:p w14:paraId="4DBE22AE"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BI</w:t>
            </w:r>
          </w:p>
        </w:tc>
        <w:tc>
          <w:tcPr>
            <w:tcW w:w="960" w:type="dxa"/>
            <w:tcBorders>
              <w:top w:val="nil"/>
              <w:left w:val="nil"/>
              <w:bottom w:val="single" w:sz="4" w:space="0" w:color="auto"/>
              <w:right w:val="single" w:sz="4" w:space="0" w:color="auto"/>
            </w:tcBorders>
            <w:shd w:val="clear" w:color="auto" w:fill="auto"/>
            <w:noWrap/>
            <w:vAlign w:val="center"/>
            <w:hideMark/>
          </w:tcPr>
          <w:p w14:paraId="12455B22"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3,8065</w:t>
            </w:r>
          </w:p>
        </w:tc>
        <w:tc>
          <w:tcPr>
            <w:tcW w:w="1062" w:type="dxa"/>
            <w:tcBorders>
              <w:top w:val="nil"/>
              <w:left w:val="nil"/>
              <w:bottom w:val="single" w:sz="4" w:space="0" w:color="auto"/>
              <w:right w:val="single" w:sz="4" w:space="0" w:color="auto"/>
            </w:tcBorders>
            <w:shd w:val="clear" w:color="auto" w:fill="auto"/>
            <w:noWrap/>
            <w:vAlign w:val="center"/>
            <w:hideMark/>
          </w:tcPr>
          <w:p w14:paraId="09C5ECBD"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3,3521</w:t>
            </w:r>
          </w:p>
        </w:tc>
        <w:tc>
          <w:tcPr>
            <w:tcW w:w="907" w:type="dxa"/>
            <w:tcBorders>
              <w:top w:val="nil"/>
              <w:left w:val="nil"/>
              <w:bottom w:val="single" w:sz="4" w:space="0" w:color="auto"/>
              <w:right w:val="single" w:sz="4" w:space="0" w:color="auto"/>
            </w:tcBorders>
            <w:shd w:val="clear" w:color="auto" w:fill="auto"/>
            <w:noWrap/>
            <w:vAlign w:val="center"/>
            <w:hideMark/>
          </w:tcPr>
          <w:p w14:paraId="0917C9C8"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shd w:val="clear" w:color="auto" w:fill="auto"/>
            <w:noWrap/>
            <w:vAlign w:val="center"/>
            <w:hideMark/>
          </w:tcPr>
          <w:p w14:paraId="70A4BD31"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820" w:type="dxa"/>
            <w:tcBorders>
              <w:top w:val="nil"/>
              <w:left w:val="nil"/>
              <w:bottom w:val="single" w:sz="4" w:space="0" w:color="auto"/>
              <w:right w:val="single" w:sz="4" w:space="0" w:color="auto"/>
            </w:tcBorders>
            <w:shd w:val="clear" w:color="auto" w:fill="auto"/>
            <w:noWrap/>
            <w:vAlign w:val="center"/>
            <w:hideMark/>
          </w:tcPr>
          <w:p w14:paraId="7AFB0233"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0,4544</w:t>
            </w:r>
          </w:p>
        </w:tc>
        <w:tc>
          <w:tcPr>
            <w:tcW w:w="907" w:type="dxa"/>
            <w:tcBorders>
              <w:top w:val="nil"/>
              <w:left w:val="nil"/>
              <w:bottom w:val="single" w:sz="4" w:space="0" w:color="auto"/>
              <w:right w:val="single" w:sz="4" w:space="0" w:color="auto"/>
            </w:tcBorders>
            <w:shd w:val="clear" w:color="auto" w:fill="auto"/>
            <w:noWrap/>
            <w:vAlign w:val="center"/>
            <w:hideMark/>
          </w:tcPr>
          <w:p w14:paraId="0A90530B"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1444" w:type="dxa"/>
            <w:tcBorders>
              <w:top w:val="nil"/>
              <w:left w:val="nil"/>
              <w:bottom w:val="single" w:sz="4" w:space="0" w:color="auto"/>
              <w:right w:val="single" w:sz="4" w:space="0" w:color="auto"/>
            </w:tcBorders>
            <w:shd w:val="clear" w:color="auto" w:fill="auto"/>
            <w:noWrap/>
            <w:vAlign w:val="center"/>
            <w:hideMark/>
          </w:tcPr>
          <w:p w14:paraId="5DCE91DB"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1382" w:type="dxa"/>
            <w:tcBorders>
              <w:top w:val="nil"/>
              <w:left w:val="nil"/>
              <w:bottom w:val="single" w:sz="4" w:space="0" w:color="auto"/>
              <w:right w:val="single" w:sz="4" w:space="0" w:color="auto"/>
            </w:tcBorders>
            <w:shd w:val="clear" w:color="auto" w:fill="auto"/>
            <w:noWrap/>
            <w:vAlign w:val="center"/>
            <w:hideMark/>
          </w:tcPr>
          <w:p w14:paraId="58BE55A0"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shd w:val="clear" w:color="auto" w:fill="auto"/>
            <w:noWrap/>
            <w:vAlign w:val="center"/>
            <w:hideMark/>
          </w:tcPr>
          <w:p w14:paraId="18E7B784"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ANO</w:t>
            </w:r>
          </w:p>
        </w:tc>
        <w:tc>
          <w:tcPr>
            <w:tcW w:w="1382" w:type="dxa"/>
            <w:tcBorders>
              <w:top w:val="nil"/>
              <w:left w:val="nil"/>
              <w:bottom w:val="single" w:sz="4" w:space="0" w:color="auto"/>
              <w:right w:val="single" w:sz="4" w:space="0" w:color="auto"/>
            </w:tcBorders>
            <w:shd w:val="clear" w:color="auto" w:fill="auto"/>
            <w:noWrap/>
            <w:vAlign w:val="center"/>
            <w:hideMark/>
          </w:tcPr>
          <w:p w14:paraId="0C77F502"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shd w:val="clear" w:color="auto" w:fill="auto"/>
            <w:noWrap/>
            <w:vAlign w:val="center"/>
            <w:hideMark/>
          </w:tcPr>
          <w:p w14:paraId="70FF0E16"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územní rezerva</w:t>
            </w:r>
          </w:p>
        </w:tc>
      </w:tr>
      <w:tr w:rsidR="00C162B0" w:rsidRPr="00552526" w14:paraId="096D366E" w14:textId="77777777" w:rsidTr="00C162B0">
        <w:trPr>
          <w:trHeight w:val="300"/>
          <w:jc w:val="center"/>
        </w:trPr>
        <w:tc>
          <w:tcPr>
            <w:tcW w:w="959" w:type="dxa"/>
            <w:tcBorders>
              <w:top w:val="nil"/>
              <w:left w:val="single" w:sz="4" w:space="0" w:color="auto"/>
              <w:bottom w:val="single" w:sz="4" w:space="0" w:color="auto"/>
              <w:right w:val="single" w:sz="4" w:space="0" w:color="auto"/>
            </w:tcBorders>
            <w:shd w:val="clear" w:color="auto" w:fill="auto"/>
            <w:noWrap/>
            <w:vAlign w:val="center"/>
            <w:hideMark/>
          </w:tcPr>
          <w:p w14:paraId="530B080C"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Z.09</w:t>
            </w:r>
          </w:p>
        </w:tc>
        <w:tc>
          <w:tcPr>
            <w:tcW w:w="960" w:type="dxa"/>
            <w:tcBorders>
              <w:top w:val="nil"/>
              <w:left w:val="nil"/>
              <w:bottom w:val="single" w:sz="4" w:space="0" w:color="auto"/>
              <w:right w:val="single" w:sz="4" w:space="0" w:color="auto"/>
            </w:tcBorders>
            <w:shd w:val="clear" w:color="auto" w:fill="auto"/>
            <w:noWrap/>
            <w:vAlign w:val="center"/>
            <w:hideMark/>
          </w:tcPr>
          <w:p w14:paraId="6940843B"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BI</w:t>
            </w:r>
          </w:p>
        </w:tc>
        <w:tc>
          <w:tcPr>
            <w:tcW w:w="960" w:type="dxa"/>
            <w:tcBorders>
              <w:top w:val="nil"/>
              <w:left w:val="nil"/>
              <w:bottom w:val="single" w:sz="4" w:space="0" w:color="auto"/>
              <w:right w:val="single" w:sz="4" w:space="0" w:color="auto"/>
            </w:tcBorders>
            <w:shd w:val="clear" w:color="auto" w:fill="auto"/>
            <w:noWrap/>
            <w:vAlign w:val="center"/>
            <w:hideMark/>
          </w:tcPr>
          <w:p w14:paraId="6B1DBD66"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0,336</w:t>
            </w:r>
          </w:p>
        </w:tc>
        <w:tc>
          <w:tcPr>
            <w:tcW w:w="1062" w:type="dxa"/>
            <w:tcBorders>
              <w:top w:val="nil"/>
              <w:left w:val="nil"/>
              <w:bottom w:val="single" w:sz="4" w:space="0" w:color="auto"/>
              <w:right w:val="single" w:sz="4" w:space="0" w:color="auto"/>
            </w:tcBorders>
            <w:shd w:val="clear" w:color="auto" w:fill="auto"/>
            <w:noWrap/>
            <w:vAlign w:val="center"/>
            <w:hideMark/>
          </w:tcPr>
          <w:p w14:paraId="6EF7D675"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shd w:val="clear" w:color="auto" w:fill="auto"/>
            <w:noWrap/>
            <w:vAlign w:val="center"/>
            <w:hideMark/>
          </w:tcPr>
          <w:p w14:paraId="34EB2FA1"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shd w:val="clear" w:color="auto" w:fill="auto"/>
            <w:noWrap/>
            <w:vAlign w:val="center"/>
            <w:hideMark/>
          </w:tcPr>
          <w:p w14:paraId="3D8F0755"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820" w:type="dxa"/>
            <w:tcBorders>
              <w:top w:val="nil"/>
              <w:left w:val="nil"/>
              <w:bottom w:val="single" w:sz="4" w:space="0" w:color="auto"/>
              <w:right w:val="single" w:sz="4" w:space="0" w:color="auto"/>
            </w:tcBorders>
            <w:shd w:val="clear" w:color="auto" w:fill="auto"/>
            <w:noWrap/>
            <w:vAlign w:val="center"/>
            <w:hideMark/>
          </w:tcPr>
          <w:p w14:paraId="33192B89"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0,336</w:t>
            </w:r>
          </w:p>
        </w:tc>
        <w:tc>
          <w:tcPr>
            <w:tcW w:w="907" w:type="dxa"/>
            <w:tcBorders>
              <w:top w:val="nil"/>
              <w:left w:val="nil"/>
              <w:bottom w:val="single" w:sz="4" w:space="0" w:color="auto"/>
              <w:right w:val="single" w:sz="4" w:space="0" w:color="auto"/>
            </w:tcBorders>
            <w:shd w:val="clear" w:color="auto" w:fill="auto"/>
            <w:noWrap/>
            <w:vAlign w:val="center"/>
            <w:hideMark/>
          </w:tcPr>
          <w:p w14:paraId="67A7F092"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1444" w:type="dxa"/>
            <w:tcBorders>
              <w:top w:val="nil"/>
              <w:left w:val="nil"/>
              <w:bottom w:val="single" w:sz="4" w:space="0" w:color="auto"/>
              <w:right w:val="single" w:sz="4" w:space="0" w:color="auto"/>
            </w:tcBorders>
            <w:shd w:val="clear" w:color="auto" w:fill="auto"/>
            <w:noWrap/>
            <w:vAlign w:val="center"/>
            <w:hideMark/>
          </w:tcPr>
          <w:p w14:paraId="30C50E05"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1382" w:type="dxa"/>
            <w:tcBorders>
              <w:top w:val="nil"/>
              <w:left w:val="nil"/>
              <w:bottom w:val="single" w:sz="4" w:space="0" w:color="auto"/>
              <w:right w:val="single" w:sz="4" w:space="0" w:color="auto"/>
            </w:tcBorders>
            <w:shd w:val="clear" w:color="auto" w:fill="auto"/>
            <w:noWrap/>
            <w:vAlign w:val="center"/>
            <w:hideMark/>
          </w:tcPr>
          <w:p w14:paraId="12B7AEC2"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shd w:val="clear" w:color="auto" w:fill="auto"/>
            <w:noWrap/>
            <w:vAlign w:val="center"/>
            <w:hideMark/>
          </w:tcPr>
          <w:p w14:paraId="2BB81342"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shd w:val="clear" w:color="auto" w:fill="auto"/>
            <w:noWrap/>
            <w:vAlign w:val="center"/>
            <w:hideMark/>
          </w:tcPr>
          <w:p w14:paraId="4FC78917"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shd w:val="clear" w:color="auto" w:fill="auto"/>
            <w:noWrap/>
            <w:vAlign w:val="center"/>
            <w:hideMark/>
          </w:tcPr>
          <w:p w14:paraId="34E32773"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w:t>
            </w:r>
          </w:p>
        </w:tc>
      </w:tr>
      <w:tr w:rsidR="00C162B0" w:rsidRPr="00552526" w14:paraId="0663387E" w14:textId="77777777" w:rsidTr="00C162B0">
        <w:trPr>
          <w:trHeight w:val="300"/>
          <w:jc w:val="center"/>
        </w:trPr>
        <w:tc>
          <w:tcPr>
            <w:tcW w:w="959" w:type="dxa"/>
            <w:tcBorders>
              <w:top w:val="nil"/>
              <w:left w:val="single" w:sz="4" w:space="0" w:color="auto"/>
              <w:bottom w:val="single" w:sz="4" w:space="0" w:color="auto"/>
              <w:right w:val="single" w:sz="4" w:space="0" w:color="auto"/>
            </w:tcBorders>
            <w:shd w:val="clear" w:color="auto" w:fill="auto"/>
            <w:noWrap/>
            <w:vAlign w:val="center"/>
            <w:hideMark/>
          </w:tcPr>
          <w:p w14:paraId="3DCDD0A9"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Z.11</w:t>
            </w:r>
          </w:p>
        </w:tc>
        <w:tc>
          <w:tcPr>
            <w:tcW w:w="960" w:type="dxa"/>
            <w:tcBorders>
              <w:top w:val="nil"/>
              <w:left w:val="nil"/>
              <w:bottom w:val="single" w:sz="4" w:space="0" w:color="auto"/>
              <w:right w:val="single" w:sz="4" w:space="0" w:color="auto"/>
            </w:tcBorders>
            <w:shd w:val="clear" w:color="auto" w:fill="auto"/>
            <w:noWrap/>
            <w:vAlign w:val="center"/>
            <w:hideMark/>
          </w:tcPr>
          <w:p w14:paraId="1BCAADCD"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BI</w:t>
            </w:r>
          </w:p>
        </w:tc>
        <w:tc>
          <w:tcPr>
            <w:tcW w:w="960" w:type="dxa"/>
            <w:tcBorders>
              <w:top w:val="nil"/>
              <w:left w:val="nil"/>
              <w:bottom w:val="single" w:sz="4" w:space="0" w:color="auto"/>
              <w:right w:val="single" w:sz="4" w:space="0" w:color="auto"/>
            </w:tcBorders>
            <w:shd w:val="clear" w:color="auto" w:fill="auto"/>
            <w:noWrap/>
            <w:vAlign w:val="center"/>
            <w:hideMark/>
          </w:tcPr>
          <w:p w14:paraId="497A531C"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0,342</w:t>
            </w:r>
          </w:p>
        </w:tc>
        <w:tc>
          <w:tcPr>
            <w:tcW w:w="1062" w:type="dxa"/>
            <w:tcBorders>
              <w:top w:val="nil"/>
              <w:left w:val="nil"/>
              <w:bottom w:val="single" w:sz="4" w:space="0" w:color="auto"/>
              <w:right w:val="single" w:sz="4" w:space="0" w:color="auto"/>
            </w:tcBorders>
            <w:shd w:val="clear" w:color="auto" w:fill="auto"/>
            <w:noWrap/>
            <w:vAlign w:val="center"/>
            <w:hideMark/>
          </w:tcPr>
          <w:p w14:paraId="74D33781"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shd w:val="clear" w:color="auto" w:fill="auto"/>
            <w:noWrap/>
            <w:vAlign w:val="center"/>
            <w:hideMark/>
          </w:tcPr>
          <w:p w14:paraId="66054400"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shd w:val="clear" w:color="auto" w:fill="auto"/>
            <w:noWrap/>
            <w:vAlign w:val="center"/>
            <w:hideMark/>
          </w:tcPr>
          <w:p w14:paraId="730EA2D1"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0,342</w:t>
            </w:r>
          </w:p>
        </w:tc>
        <w:tc>
          <w:tcPr>
            <w:tcW w:w="820" w:type="dxa"/>
            <w:tcBorders>
              <w:top w:val="nil"/>
              <w:left w:val="nil"/>
              <w:bottom w:val="single" w:sz="4" w:space="0" w:color="auto"/>
              <w:right w:val="single" w:sz="4" w:space="0" w:color="auto"/>
            </w:tcBorders>
            <w:shd w:val="clear" w:color="auto" w:fill="auto"/>
            <w:noWrap/>
            <w:vAlign w:val="center"/>
            <w:hideMark/>
          </w:tcPr>
          <w:p w14:paraId="13891E92"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shd w:val="clear" w:color="auto" w:fill="auto"/>
            <w:noWrap/>
            <w:vAlign w:val="center"/>
            <w:hideMark/>
          </w:tcPr>
          <w:p w14:paraId="0E667739"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1444" w:type="dxa"/>
            <w:tcBorders>
              <w:top w:val="nil"/>
              <w:left w:val="nil"/>
              <w:bottom w:val="single" w:sz="4" w:space="0" w:color="auto"/>
              <w:right w:val="single" w:sz="4" w:space="0" w:color="auto"/>
            </w:tcBorders>
            <w:shd w:val="clear" w:color="auto" w:fill="auto"/>
            <w:noWrap/>
            <w:vAlign w:val="center"/>
            <w:hideMark/>
          </w:tcPr>
          <w:p w14:paraId="0BF87152"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1382" w:type="dxa"/>
            <w:tcBorders>
              <w:top w:val="nil"/>
              <w:left w:val="nil"/>
              <w:bottom w:val="single" w:sz="4" w:space="0" w:color="auto"/>
              <w:right w:val="single" w:sz="4" w:space="0" w:color="auto"/>
            </w:tcBorders>
            <w:shd w:val="clear" w:color="auto" w:fill="auto"/>
            <w:noWrap/>
            <w:vAlign w:val="center"/>
            <w:hideMark/>
          </w:tcPr>
          <w:p w14:paraId="551FFF53"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shd w:val="clear" w:color="auto" w:fill="auto"/>
            <w:noWrap/>
            <w:vAlign w:val="center"/>
            <w:hideMark/>
          </w:tcPr>
          <w:p w14:paraId="4792F742"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shd w:val="clear" w:color="auto" w:fill="auto"/>
            <w:noWrap/>
            <w:vAlign w:val="center"/>
            <w:hideMark/>
          </w:tcPr>
          <w:p w14:paraId="6C246C3A"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shd w:val="clear" w:color="auto" w:fill="auto"/>
            <w:noWrap/>
            <w:vAlign w:val="center"/>
            <w:hideMark/>
          </w:tcPr>
          <w:p w14:paraId="4C58D153"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w:t>
            </w:r>
          </w:p>
        </w:tc>
      </w:tr>
      <w:tr w:rsidR="00C162B0" w:rsidRPr="00552526" w14:paraId="4C9C40C8" w14:textId="77777777" w:rsidTr="00C162B0">
        <w:trPr>
          <w:trHeight w:val="300"/>
          <w:jc w:val="center"/>
        </w:trPr>
        <w:tc>
          <w:tcPr>
            <w:tcW w:w="959" w:type="dxa"/>
            <w:tcBorders>
              <w:top w:val="nil"/>
              <w:left w:val="single" w:sz="4" w:space="0" w:color="auto"/>
              <w:bottom w:val="single" w:sz="4" w:space="0" w:color="auto"/>
              <w:right w:val="single" w:sz="4" w:space="0" w:color="auto"/>
            </w:tcBorders>
            <w:shd w:val="clear" w:color="auto" w:fill="auto"/>
            <w:noWrap/>
            <w:vAlign w:val="center"/>
            <w:hideMark/>
          </w:tcPr>
          <w:p w14:paraId="277AFD5C"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Z.14</w:t>
            </w:r>
          </w:p>
        </w:tc>
        <w:tc>
          <w:tcPr>
            <w:tcW w:w="960" w:type="dxa"/>
            <w:tcBorders>
              <w:top w:val="nil"/>
              <w:left w:val="nil"/>
              <w:bottom w:val="single" w:sz="4" w:space="0" w:color="auto"/>
              <w:right w:val="single" w:sz="4" w:space="0" w:color="auto"/>
            </w:tcBorders>
            <w:shd w:val="clear" w:color="auto" w:fill="auto"/>
            <w:noWrap/>
            <w:vAlign w:val="center"/>
            <w:hideMark/>
          </w:tcPr>
          <w:p w14:paraId="3456861E"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BI</w:t>
            </w:r>
          </w:p>
        </w:tc>
        <w:tc>
          <w:tcPr>
            <w:tcW w:w="960" w:type="dxa"/>
            <w:tcBorders>
              <w:top w:val="nil"/>
              <w:left w:val="nil"/>
              <w:bottom w:val="single" w:sz="4" w:space="0" w:color="auto"/>
              <w:right w:val="single" w:sz="4" w:space="0" w:color="auto"/>
            </w:tcBorders>
            <w:shd w:val="clear" w:color="auto" w:fill="auto"/>
            <w:noWrap/>
            <w:vAlign w:val="center"/>
            <w:hideMark/>
          </w:tcPr>
          <w:p w14:paraId="7664029D"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4,657</w:t>
            </w:r>
          </w:p>
        </w:tc>
        <w:tc>
          <w:tcPr>
            <w:tcW w:w="1062" w:type="dxa"/>
            <w:tcBorders>
              <w:top w:val="nil"/>
              <w:left w:val="nil"/>
              <w:bottom w:val="single" w:sz="4" w:space="0" w:color="auto"/>
              <w:right w:val="single" w:sz="4" w:space="0" w:color="auto"/>
            </w:tcBorders>
            <w:shd w:val="clear" w:color="auto" w:fill="auto"/>
            <w:noWrap/>
            <w:vAlign w:val="center"/>
            <w:hideMark/>
          </w:tcPr>
          <w:p w14:paraId="75C53971"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4,657</w:t>
            </w:r>
          </w:p>
        </w:tc>
        <w:tc>
          <w:tcPr>
            <w:tcW w:w="907" w:type="dxa"/>
            <w:tcBorders>
              <w:top w:val="nil"/>
              <w:left w:val="nil"/>
              <w:bottom w:val="single" w:sz="4" w:space="0" w:color="auto"/>
              <w:right w:val="single" w:sz="4" w:space="0" w:color="auto"/>
            </w:tcBorders>
            <w:shd w:val="clear" w:color="auto" w:fill="auto"/>
            <w:noWrap/>
            <w:vAlign w:val="center"/>
            <w:hideMark/>
          </w:tcPr>
          <w:p w14:paraId="2A39A05C"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shd w:val="clear" w:color="auto" w:fill="auto"/>
            <w:noWrap/>
            <w:vAlign w:val="center"/>
            <w:hideMark/>
          </w:tcPr>
          <w:p w14:paraId="7FC9AA15"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820" w:type="dxa"/>
            <w:tcBorders>
              <w:top w:val="nil"/>
              <w:left w:val="nil"/>
              <w:bottom w:val="single" w:sz="4" w:space="0" w:color="auto"/>
              <w:right w:val="single" w:sz="4" w:space="0" w:color="auto"/>
            </w:tcBorders>
            <w:shd w:val="clear" w:color="auto" w:fill="auto"/>
            <w:noWrap/>
            <w:vAlign w:val="center"/>
            <w:hideMark/>
          </w:tcPr>
          <w:p w14:paraId="768EDE76"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shd w:val="clear" w:color="auto" w:fill="auto"/>
            <w:noWrap/>
            <w:vAlign w:val="center"/>
            <w:hideMark/>
          </w:tcPr>
          <w:p w14:paraId="61F9585D"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1444" w:type="dxa"/>
            <w:tcBorders>
              <w:top w:val="nil"/>
              <w:left w:val="nil"/>
              <w:bottom w:val="single" w:sz="4" w:space="0" w:color="auto"/>
              <w:right w:val="single" w:sz="4" w:space="0" w:color="auto"/>
            </w:tcBorders>
            <w:shd w:val="clear" w:color="auto" w:fill="auto"/>
            <w:noWrap/>
            <w:vAlign w:val="center"/>
            <w:hideMark/>
          </w:tcPr>
          <w:p w14:paraId="35BFDF99"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1382" w:type="dxa"/>
            <w:tcBorders>
              <w:top w:val="nil"/>
              <w:left w:val="nil"/>
              <w:bottom w:val="single" w:sz="4" w:space="0" w:color="auto"/>
              <w:right w:val="single" w:sz="4" w:space="0" w:color="auto"/>
            </w:tcBorders>
            <w:shd w:val="clear" w:color="auto" w:fill="auto"/>
            <w:noWrap/>
            <w:vAlign w:val="center"/>
            <w:hideMark/>
          </w:tcPr>
          <w:p w14:paraId="1CF1B512"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shd w:val="clear" w:color="auto" w:fill="auto"/>
            <w:noWrap/>
            <w:vAlign w:val="center"/>
            <w:hideMark/>
          </w:tcPr>
          <w:p w14:paraId="7FBC27C3"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shd w:val="clear" w:color="auto" w:fill="auto"/>
            <w:noWrap/>
            <w:vAlign w:val="center"/>
            <w:hideMark/>
          </w:tcPr>
          <w:p w14:paraId="704E54D4"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shd w:val="clear" w:color="auto" w:fill="auto"/>
            <w:noWrap/>
            <w:vAlign w:val="center"/>
            <w:hideMark/>
          </w:tcPr>
          <w:p w14:paraId="081945ED"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ANO</w:t>
            </w:r>
          </w:p>
        </w:tc>
      </w:tr>
      <w:tr w:rsidR="00552526" w:rsidRPr="00552526" w14:paraId="537015A7" w14:textId="77777777" w:rsidTr="00C162B0">
        <w:trPr>
          <w:trHeight w:val="300"/>
          <w:jc w:val="center"/>
        </w:trPr>
        <w:tc>
          <w:tcPr>
            <w:tcW w:w="1919" w:type="dxa"/>
            <w:gridSpan w:val="2"/>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216E0E87"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Σ</w:t>
            </w:r>
          </w:p>
        </w:tc>
        <w:tc>
          <w:tcPr>
            <w:tcW w:w="960" w:type="dxa"/>
            <w:tcBorders>
              <w:top w:val="nil"/>
              <w:left w:val="nil"/>
              <w:bottom w:val="single" w:sz="4" w:space="0" w:color="auto"/>
              <w:right w:val="single" w:sz="4" w:space="0" w:color="auto"/>
            </w:tcBorders>
            <w:shd w:val="clear" w:color="000000" w:fill="F2F2F2"/>
            <w:noWrap/>
            <w:vAlign w:val="center"/>
            <w:hideMark/>
          </w:tcPr>
          <w:p w14:paraId="16300AAA"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10,0113</w:t>
            </w:r>
          </w:p>
        </w:tc>
        <w:tc>
          <w:tcPr>
            <w:tcW w:w="1062" w:type="dxa"/>
            <w:tcBorders>
              <w:top w:val="nil"/>
              <w:left w:val="nil"/>
              <w:bottom w:val="single" w:sz="4" w:space="0" w:color="auto"/>
              <w:right w:val="single" w:sz="4" w:space="0" w:color="auto"/>
            </w:tcBorders>
            <w:shd w:val="clear" w:color="000000" w:fill="F2F2F2"/>
            <w:noWrap/>
            <w:vAlign w:val="center"/>
            <w:hideMark/>
          </w:tcPr>
          <w:p w14:paraId="4C15E962"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8,0091</w:t>
            </w:r>
          </w:p>
        </w:tc>
        <w:tc>
          <w:tcPr>
            <w:tcW w:w="907" w:type="dxa"/>
            <w:tcBorders>
              <w:top w:val="nil"/>
              <w:left w:val="nil"/>
              <w:bottom w:val="single" w:sz="4" w:space="0" w:color="auto"/>
              <w:right w:val="single" w:sz="4" w:space="0" w:color="auto"/>
            </w:tcBorders>
            <w:shd w:val="clear" w:color="000000" w:fill="F2F2F2"/>
            <w:noWrap/>
            <w:vAlign w:val="center"/>
            <w:hideMark/>
          </w:tcPr>
          <w:p w14:paraId="7FA73555"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0</w:t>
            </w:r>
          </w:p>
        </w:tc>
        <w:tc>
          <w:tcPr>
            <w:tcW w:w="907" w:type="dxa"/>
            <w:tcBorders>
              <w:top w:val="nil"/>
              <w:left w:val="nil"/>
              <w:bottom w:val="single" w:sz="4" w:space="0" w:color="auto"/>
              <w:right w:val="single" w:sz="4" w:space="0" w:color="auto"/>
            </w:tcBorders>
            <w:shd w:val="clear" w:color="000000" w:fill="F2F2F2"/>
            <w:noWrap/>
            <w:vAlign w:val="center"/>
            <w:hideMark/>
          </w:tcPr>
          <w:p w14:paraId="4CB5EAD3"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0,342</w:t>
            </w:r>
          </w:p>
        </w:tc>
        <w:tc>
          <w:tcPr>
            <w:tcW w:w="820" w:type="dxa"/>
            <w:tcBorders>
              <w:top w:val="nil"/>
              <w:left w:val="nil"/>
              <w:bottom w:val="single" w:sz="4" w:space="0" w:color="auto"/>
              <w:right w:val="single" w:sz="4" w:space="0" w:color="auto"/>
            </w:tcBorders>
            <w:shd w:val="clear" w:color="000000" w:fill="F2F2F2"/>
            <w:noWrap/>
            <w:vAlign w:val="center"/>
            <w:hideMark/>
          </w:tcPr>
          <w:p w14:paraId="79FE7EAF"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1,6602</w:t>
            </w:r>
          </w:p>
        </w:tc>
        <w:tc>
          <w:tcPr>
            <w:tcW w:w="907" w:type="dxa"/>
            <w:tcBorders>
              <w:top w:val="nil"/>
              <w:left w:val="nil"/>
              <w:bottom w:val="single" w:sz="4" w:space="0" w:color="auto"/>
              <w:right w:val="single" w:sz="4" w:space="0" w:color="auto"/>
            </w:tcBorders>
            <w:shd w:val="clear" w:color="000000" w:fill="F2F2F2"/>
            <w:noWrap/>
            <w:vAlign w:val="center"/>
            <w:hideMark/>
          </w:tcPr>
          <w:p w14:paraId="334EFE34"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0</w:t>
            </w:r>
          </w:p>
        </w:tc>
        <w:tc>
          <w:tcPr>
            <w:tcW w:w="1444" w:type="dxa"/>
            <w:tcBorders>
              <w:top w:val="nil"/>
              <w:left w:val="nil"/>
              <w:bottom w:val="single" w:sz="4" w:space="0" w:color="auto"/>
              <w:right w:val="single" w:sz="4" w:space="0" w:color="auto"/>
            </w:tcBorders>
            <w:shd w:val="clear" w:color="000000" w:fill="F2F2F2"/>
            <w:noWrap/>
            <w:vAlign w:val="center"/>
            <w:hideMark/>
          </w:tcPr>
          <w:p w14:paraId="787AE9D4"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0</w:t>
            </w:r>
          </w:p>
        </w:tc>
        <w:tc>
          <w:tcPr>
            <w:tcW w:w="1382" w:type="dxa"/>
            <w:tcBorders>
              <w:top w:val="nil"/>
              <w:left w:val="nil"/>
              <w:bottom w:val="single" w:sz="4" w:space="0" w:color="auto"/>
              <w:right w:val="single" w:sz="4" w:space="0" w:color="auto"/>
              <w:tr2bl w:val="single" w:sz="4" w:space="0" w:color="auto"/>
            </w:tcBorders>
            <w:shd w:val="clear" w:color="000000" w:fill="F2F2F2"/>
            <w:noWrap/>
            <w:vAlign w:val="center"/>
            <w:hideMark/>
          </w:tcPr>
          <w:p w14:paraId="1E695B29"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 </w:t>
            </w:r>
          </w:p>
        </w:tc>
        <w:tc>
          <w:tcPr>
            <w:tcW w:w="1382" w:type="dxa"/>
            <w:tcBorders>
              <w:top w:val="nil"/>
              <w:left w:val="nil"/>
              <w:bottom w:val="single" w:sz="4" w:space="0" w:color="auto"/>
              <w:right w:val="single" w:sz="4" w:space="0" w:color="auto"/>
              <w:tr2bl w:val="single" w:sz="4" w:space="0" w:color="auto"/>
            </w:tcBorders>
            <w:shd w:val="clear" w:color="000000" w:fill="F2F2F2"/>
            <w:noWrap/>
            <w:vAlign w:val="center"/>
            <w:hideMark/>
          </w:tcPr>
          <w:p w14:paraId="4ADAF229"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 </w:t>
            </w:r>
          </w:p>
        </w:tc>
        <w:tc>
          <w:tcPr>
            <w:tcW w:w="1382" w:type="dxa"/>
            <w:tcBorders>
              <w:top w:val="nil"/>
              <w:left w:val="nil"/>
              <w:bottom w:val="single" w:sz="4" w:space="0" w:color="auto"/>
              <w:right w:val="single" w:sz="4" w:space="0" w:color="auto"/>
              <w:tr2bl w:val="single" w:sz="4" w:space="0" w:color="auto"/>
            </w:tcBorders>
            <w:shd w:val="clear" w:color="000000" w:fill="F2F2F2"/>
            <w:noWrap/>
            <w:vAlign w:val="center"/>
            <w:hideMark/>
          </w:tcPr>
          <w:p w14:paraId="4C88E68F"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 </w:t>
            </w:r>
          </w:p>
        </w:tc>
        <w:tc>
          <w:tcPr>
            <w:tcW w:w="1382" w:type="dxa"/>
            <w:tcBorders>
              <w:top w:val="nil"/>
              <w:left w:val="nil"/>
              <w:bottom w:val="single" w:sz="4" w:space="0" w:color="auto"/>
              <w:right w:val="single" w:sz="4" w:space="0" w:color="auto"/>
              <w:tr2bl w:val="single" w:sz="4" w:space="0" w:color="auto"/>
            </w:tcBorders>
            <w:shd w:val="clear" w:color="000000" w:fill="F2F2F2"/>
            <w:noWrap/>
            <w:vAlign w:val="center"/>
            <w:hideMark/>
          </w:tcPr>
          <w:p w14:paraId="3B01E9B8"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 </w:t>
            </w:r>
          </w:p>
        </w:tc>
      </w:tr>
      <w:tr w:rsidR="00552526" w:rsidRPr="00552526" w14:paraId="07058E7C" w14:textId="77777777" w:rsidTr="00C162B0">
        <w:trPr>
          <w:trHeight w:val="300"/>
          <w:jc w:val="center"/>
        </w:trPr>
        <w:tc>
          <w:tcPr>
            <w:tcW w:w="14454" w:type="dxa"/>
            <w:gridSpan w:val="13"/>
            <w:tcBorders>
              <w:top w:val="single" w:sz="4" w:space="0" w:color="auto"/>
              <w:left w:val="single" w:sz="4" w:space="0" w:color="auto"/>
              <w:bottom w:val="single" w:sz="4" w:space="0" w:color="auto"/>
              <w:right w:val="single" w:sz="4" w:space="0" w:color="auto"/>
            </w:tcBorders>
            <w:shd w:val="clear" w:color="000000" w:fill="FCE4D6"/>
            <w:noWrap/>
            <w:vAlign w:val="center"/>
            <w:hideMark/>
          </w:tcPr>
          <w:p w14:paraId="0DFB9165"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PLOCHY VEŘEJNÝCH PROSTRANSTVÍ</w:t>
            </w:r>
          </w:p>
        </w:tc>
      </w:tr>
      <w:tr w:rsidR="00C162B0" w:rsidRPr="00552526" w14:paraId="54ABBA36" w14:textId="77777777" w:rsidTr="00C162B0">
        <w:trPr>
          <w:trHeight w:val="300"/>
          <w:jc w:val="center"/>
        </w:trPr>
        <w:tc>
          <w:tcPr>
            <w:tcW w:w="959" w:type="dxa"/>
            <w:tcBorders>
              <w:top w:val="nil"/>
              <w:left w:val="single" w:sz="4" w:space="0" w:color="auto"/>
              <w:bottom w:val="single" w:sz="4" w:space="0" w:color="auto"/>
              <w:right w:val="single" w:sz="4" w:space="0" w:color="auto"/>
            </w:tcBorders>
            <w:shd w:val="clear" w:color="auto" w:fill="auto"/>
            <w:noWrap/>
            <w:vAlign w:val="center"/>
            <w:hideMark/>
          </w:tcPr>
          <w:p w14:paraId="7B37E6C3"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Z.22</w:t>
            </w:r>
          </w:p>
        </w:tc>
        <w:tc>
          <w:tcPr>
            <w:tcW w:w="960" w:type="dxa"/>
            <w:tcBorders>
              <w:top w:val="nil"/>
              <w:left w:val="nil"/>
              <w:bottom w:val="single" w:sz="4" w:space="0" w:color="auto"/>
              <w:right w:val="single" w:sz="4" w:space="0" w:color="auto"/>
            </w:tcBorders>
            <w:shd w:val="clear" w:color="auto" w:fill="auto"/>
            <w:noWrap/>
            <w:vAlign w:val="center"/>
            <w:hideMark/>
          </w:tcPr>
          <w:p w14:paraId="2A9CBE21"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PU</w:t>
            </w:r>
          </w:p>
        </w:tc>
        <w:tc>
          <w:tcPr>
            <w:tcW w:w="960" w:type="dxa"/>
            <w:tcBorders>
              <w:top w:val="nil"/>
              <w:left w:val="nil"/>
              <w:bottom w:val="single" w:sz="4" w:space="0" w:color="auto"/>
              <w:right w:val="single" w:sz="4" w:space="0" w:color="auto"/>
            </w:tcBorders>
            <w:shd w:val="clear" w:color="auto" w:fill="auto"/>
            <w:noWrap/>
            <w:vAlign w:val="center"/>
            <w:hideMark/>
          </w:tcPr>
          <w:p w14:paraId="5A36B20E"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0,1827</w:t>
            </w:r>
          </w:p>
        </w:tc>
        <w:tc>
          <w:tcPr>
            <w:tcW w:w="1062" w:type="dxa"/>
            <w:tcBorders>
              <w:top w:val="nil"/>
              <w:left w:val="nil"/>
              <w:bottom w:val="single" w:sz="4" w:space="0" w:color="auto"/>
              <w:right w:val="single" w:sz="4" w:space="0" w:color="auto"/>
            </w:tcBorders>
            <w:shd w:val="clear" w:color="auto" w:fill="auto"/>
            <w:noWrap/>
            <w:vAlign w:val="center"/>
            <w:hideMark/>
          </w:tcPr>
          <w:p w14:paraId="7F59BA85"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shd w:val="clear" w:color="auto" w:fill="auto"/>
            <w:noWrap/>
            <w:vAlign w:val="center"/>
            <w:hideMark/>
          </w:tcPr>
          <w:p w14:paraId="30556EB0"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shd w:val="clear" w:color="auto" w:fill="auto"/>
            <w:noWrap/>
            <w:vAlign w:val="center"/>
            <w:hideMark/>
          </w:tcPr>
          <w:p w14:paraId="58841ED7"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0,164</w:t>
            </w:r>
          </w:p>
        </w:tc>
        <w:tc>
          <w:tcPr>
            <w:tcW w:w="820" w:type="dxa"/>
            <w:tcBorders>
              <w:top w:val="nil"/>
              <w:left w:val="nil"/>
              <w:bottom w:val="single" w:sz="4" w:space="0" w:color="auto"/>
              <w:right w:val="single" w:sz="4" w:space="0" w:color="auto"/>
            </w:tcBorders>
            <w:shd w:val="clear" w:color="auto" w:fill="auto"/>
            <w:noWrap/>
            <w:vAlign w:val="center"/>
            <w:hideMark/>
          </w:tcPr>
          <w:p w14:paraId="5FA01431"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shd w:val="clear" w:color="auto" w:fill="auto"/>
            <w:noWrap/>
            <w:vAlign w:val="center"/>
            <w:hideMark/>
          </w:tcPr>
          <w:p w14:paraId="1B337FD5"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0,0187</w:t>
            </w:r>
          </w:p>
        </w:tc>
        <w:tc>
          <w:tcPr>
            <w:tcW w:w="1444" w:type="dxa"/>
            <w:tcBorders>
              <w:top w:val="nil"/>
              <w:left w:val="nil"/>
              <w:bottom w:val="single" w:sz="4" w:space="0" w:color="auto"/>
              <w:right w:val="single" w:sz="4" w:space="0" w:color="auto"/>
            </w:tcBorders>
            <w:shd w:val="clear" w:color="auto" w:fill="auto"/>
            <w:noWrap/>
            <w:vAlign w:val="center"/>
            <w:hideMark/>
          </w:tcPr>
          <w:p w14:paraId="21BBD4AA"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1382" w:type="dxa"/>
            <w:tcBorders>
              <w:top w:val="nil"/>
              <w:left w:val="nil"/>
              <w:bottom w:val="single" w:sz="4" w:space="0" w:color="auto"/>
              <w:right w:val="single" w:sz="4" w:space="0" w:color="auto"/>
            </w:tcBorders>
            <w:shd w:val="clear" w:color="auto" w:fill="auto"/>
            <w:noWrap/>
            <w:vAlign w:val="center"/>
            <w:hideMark/>
          </w:tcPr>
          <w:p w14:paraId="3DDA3FC5"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shd w:val="clear" w:color="auto" w:fill="auto"/>
            <w:noWrap/>
            <w:vAlign w:val="center"/>
            <w:hideMark/>
          </w:tcPr>
          <w:p w14:paraId="78CD4360"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shd w:val="clear" w:color="auto" w:fill="auto"/>
            <w:noWrap/>
            <w:vAlign w:val="center"/>
            <w:hideMark/>
          </w:tcPr>
          <w:p w14:paraId="759EBFC5"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shd w:val="clear" w:color="auto" w:fill="auto"/>
            <w:noWrap/>
            <w:vAlign w:val="center"/>
            <w:hideMark/>
          </w:tcPr>
          <w:p w14:paraId="662FD92E"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w:t>
            </w:r>
          </w:p>
        </w:tc>
      </w:tr>
      <w:tr w:rsidR="00552526" w:rsidRPr="00552526" w14:paraId="164278AB" w14:textId="77777777" w:rsidTr="00C162B0">
        <w:trPr>
          <w:trHeight w:val="300"/>
          <w:jc w:val="center"/>
        </w:trPr>
        <w:tc>
          <w:tcPr>
            <w:tcW w:w="1919" w:type="dxa"/>
            <w:gridSpan w:val="2"/>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5B139729"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Σ</w:t>
            </w:r>
          </w:p>
        </w:tc>
        <w:tc>
          <w:tcPr>
            <w:tcW w:w="960" w:type="dxa"/>
            <w:tcBorders>
              <w:top w:val="nil"/>
              <w:left w:val="nil"/>
              <w:bottom w:val="single" w:sz="4" w:space="0" w:color="auto"/>
              <w:right w:val="single" w:sz="4" w:space="0" w:color="auto"/>
            </w:tcBorders>
            <w:shd w:val="clear" w:color="000000" w:fill="F2F2F2"/>
            <w:noWrap/>
            <w:vAlign w:val="center"/>
            <w:hideMark/>
          </w:tcPr>
          <w:p w14:paraId="199AEF2A"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0,1827</w:t>
            </w:r>
          </w:p>
        </w:tc>
        <w:tc>
          <w:tcPr>
            <w:tcW w:w="1062" w:type="dxa"/>
            <w:tcBorders>
              <w:top w:val="nil"/>
              <w:left w:val="nil"/>
              <w:bottom w:val="single" w:sz="4" w:space="0" w:color="auto"/>
              <w:right w:val="single" w:sz="4" w:space="0" w:color="auto"/>
            </w:tcBorders>
            <w:shd w:val="clear" w:color="000000" w:fill="F2F2F2"/>
            <w:noWrap/>
            <w:vAlign w:val="center"/>
            <w:hideMark/>
          </w:tcPr>
          <w:p w14:paraId="67D5EDFB"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0</w:t>
            </w:r>
          </w:p>
        </w:tc>
        <w:tc>
          <w:tcPr>
            <w:tcW w:w="907" w:type="dxa"/>
            <w:tcBorders>
              <w:top w:val="nil"/>
              <w:left w:val="nil"/>
              <w:bottom w:val="single" w:sz="4" w:space="0" w:color="auto"/>
              <w:right w:val="single" w:sz="4" w:space="0" w:color="auto"/>
            </w:tcBorders>
            <w:shd w:val="clear" w:color="000000" w:fill="F2F2F2"/>
            <w:noWrap/>
            <w:vAlign w:val="center"/>
            <w:hideMark/>
          </w:tcPr>
          <w:p w14:paraId="15179A37"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0</w:t>
            </w:r>
          </w:p>
        </w:tc>
        <w:tc>
          <w:tcPr>
            <w:tcW w:w="907" w:type="dxa"/>
            <w:tcBorders>
              <w:top w:val="nil"/>
              <w:left w:val="nil"/>
              <w:bottom w:val="single" w:sz="4" w:space="0" w:color="auto"/>
              <w:right w:val="single" w:sz="4" w:space="0" w:color="auto"/>
            </w:tcBorders>
            <w:shd w:val="clear" w:color="000000" w:fill="F2F2F2"/>
            <w:noWrap/>
            <w:vAlign w:val="center"/>
            <w:hideMark/>
          </w:tcPr>
          <w:p w14:paraId="4583F643"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0,164</w:t>
            </w:r>
          </w:p>
        </w:tc>
        <w:tc>
          <w:tcPr>
            <w:tcW w:w="820" w:type="dxa"/>
            <w:tcBorders>
              <w:top w:val="nil"/>
              <w:left w:val="nil"/>
              <w:bottom w:val="single" w:sz="4" w:space="0" w:color="auto"/>
              <w:right w:val="single" w:sz="4" w:space="0" w:color="auto"/>
            </w:tcBorders>
            <w:shd w:val="clear" w:color="000000" w:fill="F2F2F2"/>
            <w:noWrap/>
            <w:vAlign w:val="center"/>
            <w:hideMark/>
          </w:tcPr>
          <w:p w14:paraId="728B50B6"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0</w:t>
            </w:r>
          </w:p>
        </w:tc>
        <w:tc>
          <w:tcPr>
            <w:tcW w:w="907" w:type="dxa"/>
            <w:tcBorders>
              <w:top w:val="nil"/>
              <w:left w:val="nil"/>
              <w:bottom w:val="single" w:sz="4" w:space="0" w:color="auto"/>
              <w:right w:val="single" w:sz="4" w:space="0" w:color="auto"/>
            </w:tcBorders>
            <w:shd w:val="clear" w:color="000000" w:fill="F2F2F2"/>
            <w:noWrap/>
            <w:vAlign w:val="center"/>
            <w:hideMark/>
          </w:tcPr>
          <w:p w14:paraId="65A4574B"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0,0187</w:t>
            </w:r>
          </w:p>
        </w:tc>
        <w:tc>
          <w:tcPr>
            <w:tcW w:w="1444" w:type="dxa"/>
            <w:tcBorders>
              <w:top w:val="nil"/>
              <w:left w:val="nil"/>
              <w:bottom w:val="single" w:sz="4" w:space="0" w:color="auto"/>
              <w:right w:val="single" w:sz="4" w:space="0" w:color="auto"/>
            </w:tcBorders>
            <w:shd w:val="clear" w:color="000000" w:fill="F2F2F2"/>
            <w:noWrap/>
            <w:vAlign w:val="center"/>
            <w:hideMark/>
          </w:tcPr>
          <w:p w14:paraId="6CB5B7C7"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0</w:t>
            </w:r>
          </w:p>
        </w:tc>
        <w:tc>
          <w:tcPr>
            <w:tcW w:w="1382" w:type="dxa"/>
            <w:tcBorders>
              <w:top w:val="nil"/>
              <w:left w:val="nil"/>
              <w:bottom w:val="single" w:sz="4" w:space="0" w:color="auto"/>
              <w:right w:val="single" w:sz="4" w:space="0" w:color="auto"/>
              <w:tr2bl w:val="single" w:sz="4" w:space="0" w:color="auto"/>
            </w:tcBorders>
            <w:shd w:val="clear" w:color="000000" w:fill="F2F2F2"/>
            <w:noWrap/>
            <w:vAlign w:val="center"/>
            <w:hideMark/>
          </w:tcPr>
          <w:p w14:paraId="12583DD7"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 </w:t>
            </w:r>
          </w:p>
        </w:tc>
        <w:tc>
          <w:tcPr>
            <w:tcW w:w="1382" w:type="dxa"/>
            <w:tcBorders>
              <w:top w:val="nil"/>
              <w:left w:val="nil"/>
              <w:bottom w:val="single" w:sz="4" w:space="0" w:color="auto"/>
              <w:right w:val="single" w:sz="4" w:space="0" w:color="auto"/>
              <w:tr2bl w:val="single" w:sz="4" w:space="0" w:color="auto"/>
            </w:tcBorders>
            <w:shd w:val="clear" w:color="000000" w:fill="F2F2F2"/>
            <w:noWrap/>
            <w:vAlign w:val="center"/>
            <w:hideMark/>
          </w:tcPr>
          <w:p w14:paraId="5E490DFC"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 </w:t>
            </w:r>
          </w:p>
        </w:tc>
        <w:tc>
          <w:tcPr>
            <w:tcW w:w="1382" w:type="dxa"/>
            <w:tcBorders>
              <w:top w:val="nil"/>
              <w:left w:val="nil"/>
              <w:bottom w:val="single" w:sz="4" w:space="0" w:color="auto"/>
              <w:right w:val="single" w:sz="4" w:space="0" w:color="auto"/>
              <w:tr2bl w:val="single" w:sz="4" w:space="0" w:color="auto"/>
            </w:tcBorders>
            <w:shd w:val="clear" w:color="000000" w:fill="F2F2F2"/>
            <w:noWrap/>
            <w:vAlign w:val="center"/>
            <w:hideMark/>
          </w:tcPr>
          <w:p w14:paraId="33AA752F"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 </w:t>
            </w:r>
          </w:p>
        </w:tc>
        <w:tc>
          <w:tcPr>
            <w:tcW w:w="1382" w:type="dxa"/>
            <w:tcBorders>
              <w:top w:val="nil"/>
              <w:left w:val="nil"/>
              <w:bottom w:val="single" w:sz="4" w:space="0" w:color="auto"/>
              <w:right w:val="single" w:sz="4" w:space="0" w:color="auto"/>
              <w:tr2bl w:val="single" w:sz="4" w:space="0" w:color="auto"/>
            </w:tcBorders>
            <w:shd w:val="clear" w:color="000000" w:fill="F2F2F2"/>
            <w:noWrap/>
            <w:vAlign w:val="center"/>
            <w:hideMark/>
          </w:tcPr>
          <w:p w14:paraId="2D5E507C"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 </w:t>
            </w:r>
          </w:p>
        </w:tc>
      </w:tr>
      <w:tr w:rsidR="00552526" w:rsidRPr="00552526" w14:paraId="41406F2E" w14:textId="77777777" w:rsidTr="00C162B0">
        <w:trPr>
          <w:trHeight w:val="300"/>
          <w:jc w:val="center"/>
        </w:trPr>
        <w:tc>
          <w:tcPr>
            <w:tcW w:w="14454" w:type="dxa"/>
            <w:gridSpan w:val="13"/>
            <w:tcBorders>
              <w:top w:val="single" w:sz="4" w:space="0" w:color="auto"/>
              <w:left w:val="single" w:sz="4" w:space="0" w:color="auto"/>
              <w:bottom w:val="single" w:sz="4" w:space="0" w:color="auto"/>
              <w:right w:val="single" w:sz="4" w:space="0" w:color="auto"/>
            </w:tcBorders>
            <w:shd w:val="clear" w:color="000000" w:fill="FCE4D6"/>
            <w:noWrap/>
            <w:vAlign w:val="center"/>
            <w:hideMark/>
          </w:tcPr>
          <w:p w14:paraId="0F1C06E0"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PLOCHY ZELENĚ</w:t>
            </w:r>
          </w:p>
        </w:tc>
      </w:tr>
      <w:tr w:rsidR="00C162B0" w:rsidRPr="00552526" w14:paraId="00222E6C" w14:textId="77777777" w:rsidTr="00C162B0">
        <w:trPr>
          <w:trHeight w:val="300"/>
          <w:jc w:val="center"/>
        </w:trPr>
        <w:tc>
          <w:tcPr>
            <w:tcW w:w="959" w:type="dxa"/>
            <w:tcBorders>
              <w:top w:val="nil"/>
              <w:left w:val="single" w:sz="4" w:space="0" w:color="auto"/>
              <w:bottom w:val="single" w:sz="4" w:space="0" w:color="auto"/>
              <w:right w:val="single" w:sz="4" w:space="0" w:color="auto"/>
            </w:tcBorders>
            <w:shd w:val="clear" w:color="auto" w:fill="auto"/>
            <w:noWrap/>
            <w:vAlign w:val="center"/>
            <w:hideMark/>
          </w:tcPr>
          <w:p w14:paraId="5FF60D34"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Z.08</w:t>
            </w:r>
          </w:p>
        </w:tc>
        <w:tc>
          <w:tcPr>
            <w:tcW w:w="960" w:type="dxa"/>
            <w:tcBorders>
              <w:top w:val="nil"/>
              <w:left w:val="nil"/>
              <w:bottom w:val="single" w:sz="4" w:space="0" w:color="auto"/>
              <w:right w:val="single" w:sz="4" w:space="0" w:color="auto"/>
            </w:tcBorders>
            <w:shd w:val="clear" w:color="auto" w:fill="auto"/>
            <w:noWrap/>
            <w:vAlign w:val="center"/>
            <w:hideMark/>
          </w:tcPr>
          <w:p w14:paraId="7D656764"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ZP</w:t>
            </w:r>
          </w:p>
        </w:tc>
        <w:tc>
          <w:tcPr>
            <w:tcW w:w="960" w:type="dxa"/>
            <w:tcBorders>
              <w:top w:val="nil"/>
              <w:left w:val="nil"/>
              <w:bottom w:val="single" w:sz="4" w:space="0" w:color="auto"/>
              <w:right w:val="single" w:sz="4" w:space="0" w:color="auto"/>
            </w:tcBorders>
            <w:shd w:val="clear" w:color="auto" w:fill="auto"/>
            <w:noWrap/>
            <w:vAlign w:val="center"/>
            <w:hideMark/>
          </w:tcPr>
          <w:p w14:paraId="363C6FEC"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0,1761</w:t>
            </w:r>
          </w:p>
        </w:tc>
        <w:tc>
          <w:tcPr>
            <w:tcW w:w="1062" w:type="dxa"/>
            <w:tcBorders>
              <w:top w:val="nil"/>
              <w:left w:val="nil"/>
              <w:bottom w:val="single" w:sz="4" w:space="0" w:color="auto"/>
              <w:right w:val="single" w:sz="4" w:space="0" w:color="auto"/>
            </w:tcBorders>
            <w:shd w:val="clear" w:color="auto" w:fill="auto"/>
            <w:noWrap/>
            <w:vAlign w:val="center"/>
            <w:hideMark/>
          </w:tcPr>
          <w:p w14:paraId="479E8FAB"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0,1761</w:t>
            </w:r>
          </w:p>
        </w:tc>
        <w:tc>
          <w:tcPr>
            <w:tcW w:w="907" w:type="dxa"/>
            <w:tcBorders>
              <w:top w:val="nil"/>
              <w:left w:val="nil"/>
              <w:bottom w:val="single" w:sz="4" w:space="0" w:color="auto"/>
              <w:right w:val="single" w:sz="4" w:space="0" w:color="auto"/>
            </w:tcBorders>
            <w:shd w:val="clear" w:color="auto" w:fill="auto"/>
            <w:noWrap/>
            <w:vAlign w:val="center"/>
            <w:hideMark/>
          </w:tcPr>
          <w:p w14:paraId="28FA7248"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shd w:val="clear" w:color="auto" w:fill="auto"/>
            <w:noWrap/>
            <w:vAlign w:val="center"/>
            <w:hideMark/>
          </w:tcPr>
          <w:p w14:paraId="2AFF01DC"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820" w:type="dxa"/>
            <w:tcBorders>
              <w:top w:val="nil"/>
              <w:left w:val="nil"/>
              <w:bottom w:val="single" w:sz="4" w:space="0" w:color="auto"/>
              <w:right w:val="single" w:sz="4" w:space="0" w:color="auto"/>
            </w:tcBorders>
            <w:shd w:val="clear" w:color="auto" w:fill="auto"/>
            <w:noWrap/>
            <w:vAlign w:val="center"/>
            <w:hideMark/>
          </w:tcPr>
          <w:p w14:paraId="13F71643"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shd w:val="clear" w:color="auto" w:fill="auto"/>
            <w:noWrap/>
            <w:vAlign w:val="center"/>
            <w:hideMark/>
          </w:tcPr>
          <w:p w14:paraId="091DCACE"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1444" w:type="dxa"/>
            <w:tcBorders>
              <w:top w:val="nil"/>
              <w:left w:val="nil"/>
              <w:bottom w:val="single" w:sz="4" w:space="0" w:color="auto"/>
              <w:right w:val="single" w:sz="4" w:space="0" w:color="auto"/>
            </w:tcBorders>
            <w:shd w:val="clear" w:color="auto" w:fill="auto"/>
            <w:noWrap/>
            <w:vAlign w:val="center"/>
            <w:hideMark/>
          </w:tcPr>
          <w:p w14:paraId="56F9F8BB"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1382" w:type="dxa"/>
            <w:tcBorders>
              <w:top w:val="nil"/>
              <w:left w:val="nil"/>
              <w:bottom w:val="single" w:sz="4" w:space="0" w:color="auto"/>
              <w:right w:val="single" w:sz="4" w:space="0" w:color="auto"/>
            </w:tcBorders>
            <w:shd w:val="clear" w:color="auto" w:fill="auto"/>
            <w:noWrap/>
            <w:vAlign w:val="center"/>
            <w:hideMark/>
          </w:tcPr>
          <w:p w14:paraId="4EC80B1B"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shd w:val="clear" w:color="auto" w:fill="auto"/>
            <w:noWrap/>
            <w:vAlign w:val="center"/>
            <w:hideMark/>
          </w:tcPr>
          <w:p w14:paraId="6B5ED73C"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shd w:val="clear" w:color="auto" w:fill="auto"/>
            <w:noWrap/>
            <w:vAlign w:val="center"/>
            <w:hideMark/>
          </w:tcPr>
          <w:p w14:paraId="3073FD21"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shd w:val="clear" w:color="auto" w:fill="auto"/>
            <w:noWrap/>
            <w:vAlign w:val="center"/>
            <w:hideMark/>
          </w:tcPr>
          <w:p w14:paraId="6CC296DB"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r>
      <w:tr w:rsidR="00C162B0" w:rsidRPr="00552526" w14:paraId="34473A48" w14:textId="77777777" w:rsidTr="00C162B0">
        <w:trPr>
          <w:trHeight w:val="300"/>
          <w:jc w:val="center"/>
        </w:trPr>
        <w:tc>
          <w:tcPr>
            <w:tcW w:w="959" w:type="dxa"/>
            <w:tcBorders>
              <w:top w:val="nil"/>
              <w:left w:val="single" w:sz="4" w:space="0" w:color="auto"/>
              <w:bottom w:val="single" w:sz="4" w:space="0" w:color="auto"/>
              <w:right w:val="single" w:sz="4" w:space="0" w:color="auto"/>
            </w:tcBorders>
            <w:shd w:val="clear" w:color="auto" w:fill="auto"/>
            <w:noWrap/>
            <w:vAlign w:val="center"/>
            <w:hideMark/>
          </w:tcPr>
          <w:p w14:paraId="3A5B9736"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Z.12</w:t>
            </w:r>
          </w:p>
        </w:tc>
        <w:tc>
          <w:tcPr>
            <w:tcW w:w="960" w:type="dxa"/>
            <w:tcBorders>
              <w:top w:val="nil"/>
              <w:left w:val="nil"/>
              <w:bottom w:val="single" w:sz="4" w:space="0" w:color="auto"/>
              <w:right w:val="single" w:sz="4" w:space="0" w:color="auto"/>
            </w:tcBorders>
            <w:shd w:val="clear" w:color="auto" w:fill="auto"/>
            <w:noWrap/>
            <w:vAlign w:val="center"/>
            <w:hideMark/>
          </w:tcPr>
          <w:p w14:paraId="66C4D260"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ZP</w:t>
            </w:r>
          </w:p>
        </w:tc>
        <w:tc>
          <w:tcPr>
            <w:tcW w:w="960" w:type="dxa"/>
            <w:tcBorders>
              <w:top w:val="nil"/>
              <w:left w:val="nil"/>
              <w:bottom w:val="single" w:sz="4" w:space="0" w:color="auto"/>
              <w:right w:val="single" w:sz="4" w:space="0" w:color="auto"/>
            </w:tcBorders>
            <w:shd w:val="clear" w:color="auto" w:fill="auto"/>
            <w:noWrap/>
            <w:vAlign w:val="center"/>
            <w:hideMark/>
          </w:tcPr>
          <w:p w14:paraId="27C79A59"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0,4666</w:t>
            </w:r>
          </w:p>
        </w:tc>
        <w:tc>
          <w:tcPr>
            <w:tcW w:w="1062" w:type="dxa"/>
            <w:tcBorders>
              <w:top w:val="nil"/>
              <w:left w:val="nil"/>
              <w:bottom w:val="single" w:sz="4" w:space="0" w:color="auto"/>
              <w:right w:val="single" w:sz="4" w:space="0" w:color="auto"/>
            </w:tcBorders>
            <w:shd w:val="clear" w:color="auto" w:fill="auto"/>
            <w:noWrap/>
            <w:vAlign w:val="center"/>
            <w:hideMark/>
          </w:tcPr>
          <w:p w14:paraId="2F790A45"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0,0434</w:t>
            </w:r>
          </w:p>
        </w:tc>
        <w:tc>
          <w:tcPr>
            <w:tcW w:w="907" w:type="dxa"/>
            <w:tcBorders>
              <w:top w:val="nil"/>
              <w:left w:val="nil"/>
              <w:bottom w:val="single" w:sz="4" w:space="0" w:color="auto"/>
              <w:right w:val="single" w:sz="4" w:space="0" w:color="auto"/>
            </w:tcBorders>
            <w:shd w:val="clear" w:color="auto" w:fill="auto"/>
            <w:noWrap/>
            <w:vAlign w:val="center"/>
            <w:hideMark/>
          </w:tcPr>
          <w:p w14:paraId="518BCCE9"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shd w:val="clear" w:color="auto" w:fill="auto"/>
            <w:noWrap/>
            <w:vAlign w:val="center"/>
            <w:hideMark/>
          </w:tcPr>
          <w:p w14:paraId="7B40EA4C"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0,4232</w:t>
            </w:r>
          </w:p>
        </w:tc>
        <w:tc>
          <w:tcPr>
            <w:tcW w:w="820" w:type="dxa"/>
            <w:tcBorders>
              <w:top w:val="nil"/>
              <w:left w:val="nil"/>
              <w:bottom w:val="single" w:sz="4" w:space="0" w:color="auto"/>
              <w:right w:val="single" w:sz="4" w:space="0" w:color="auto"/>
            </w:tcBorders>
            <w:shd w:val="clear" w:color="auto" w:fill="auto"/>
            <w:noWrap/>
            <w:vAlign w:val="center"/>
            <w:hideMark/>
          </w:tcPr>
          <w:p w14:paraId="046955C8"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shd w:val="clear" w:color="auto" w:fill="auto"/>
            <w:noWrap/>
            <w:vAlign w:val="center"/>
            <w:hideMark/>
          </w:tcPr>
          <w:p w14:paraId="580C89FC"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1444" w:type="dxa"/>
            <w:tcBorders>
              <w:top w:val="nil"/>
              <w:left w:val="nil"/>
              <w:bottom w:val="single" w:sz="4" w:space="0" w:color="auto"/>
              <w:right w:val="single" w:sz="4" w:space="0" w:color="auto"/>
            </w:tcBorders>
            <w:shd w:val="clear" w:color="auto" w:fill="auto"/>
            <w:noWrap/>
            <w:vAlign w:val="center"/>
            <w:hideMark/>
          </w:tcPr>
          <w:p w14:paraId="74166874"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1382" w:type="dxa"/>
            <w:tcBorders>
              <w:top w:val="nil"/>
              <w:left w:val="nil"/>
              <w:bottom w:val="single" w:sz="4" w:space="0" w:color="auto"/>
              <w:right w:val="single" w:sz="4" w:space="0" w:color="auto"/>
            </w:tcBorders>
            <w:shd w:val="clear" w:color="auto" w:fill="auto"/>
            <w:noWrap/>
            <w:vAlign w:val="center"/>
            <w:hideMark/>
          </w:tcPr>
          <w:p w14:paraId="1AB2172A"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shd w:val="clear" w:color="auto" w:fill="auto"/>
            <w:noWrap/>
            <w:vAlign w:val="center"/>
            <w:hideMark/>
          </w:tcPr>
          <w:p w14:paraId="3D2F64D3"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shd w:val="clear" w:color="auto" w:fill="auto"/>
            <w:noWrap/>
            <w:vAlign w:val="center"/>
            <w:hideMark/>
          </w:tcPr>
          <w:p w14:paraId="5E3BBFD4"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shd w:val="clear" w:color="auto" w:fill="auto"/>
            <w:noWrap/>
            <w:vAlign w:val="center"/>
            <w:hideMark/>
          </w:tcPr>
          <w:p w14:paraId="353B054D"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r>
      <w:tr w:rsidR="00552526" w:rsidRPr="00552526" w14:paraId="4DC3FDD3" w14:textId="77777777" w:rsidTr="00C162B0">
        <w:trPr>
          <w:trHeight w:val="300"/>
          <w:jc w:val="center"/>
        </w:trPr>
        <w:tc>
          <w:tcPr>
            <w:tcW w:w="1919" w:type="dxa"/>
            <w:gridSpan w:val="2"/>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2B93B7CC"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Σ</w:t>
            </w:r>
          </w:p>
        </w:tc>
        <w:tc>
          <w:tcPr>
            <w:tcW w:w="960" w:type="dxa"/>
            <w:tcBorders>
              <w:top w:val="nil"/>
              <w:left w:val="nil"/>
              <w:bottom w:val="single" w:sz="4" w:space="0" w:color="auto"/>
              <w:right w:val="single" w:sz="4" w:space="0" w:color="auto"/>
            </w:tcBorders>
            <w:shd w:val="clear" w:color="000000" w:fill="F2F2F2"/>
            <w:noWrap/>
            <w:vAlign w:val="center"/>
            <w:hideMark/>
          </w:tcPr>
          <w:p w14:paraId="5CFEC634"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0,6427</w:t>
            </w:r>
          </w:p>
        </w:tc>
        <w:tc>
          <w:tcPr>
            <w:tcW w:w="1062" w:type="dxa"/>
            <w:tcBorders>
              <w:top w:val="nil"/>
              <w:left w:val="nil"/>
              <w:bottom w:val="single" w:sz="4" w:space="0" w:color="auto"/>
              <w:right w:val="single" w:sz="4" w:space="0" w:color="auto"/>
            </w:tcBorders>
            <w:shd w:val="clear" w:color="000000" w:fill="F2F2F2"/>
            <w:noWrap/>
            <w:vAlign w:val="center"/>
            <w:hideMark/>
          </w:tcPr>
          <w:p w14:paraId="3506A277"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0,2195</w:t>
            </w:r>
          </w:p>
        </w:tc>
        <w:tc>
          <w:tcPr>
            <w:tcW w:w="907" w:type="dxa"/>
            <w:tcBorders>
              <w:top w:val="nil"/>
              <w:left w:val="nil"/>
              <w:bottom w:val="single" w:sz="4" w:space="0" w:color="auto"/>
              <w:right w:val="single" w:sz="4" w:space="0" w:color="auto"/>
            </w:tcBorders>
            <w:shd w:val="clear" w:color="000000" w:fill="F2F2F2"/>
            <w:noWrap/>
            <w:vAlign w:val="center"/>
            <w:hideMark/>
          </w:tcPr>
          <w:p w14:paraId="5A938672"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0</w:t>
            </w:r>
          </w:p>
        </w:tc>
        <w:tc>
          <w:tcPr>
            <w:tcW w:w="907" w:type="dxa"/>
            <w:tcBorders>
              <w:top w:val="nil"/>
              <w:left w:val="nil"/>
              <w:bottom w:val="single" w:sz="4" w:space="0" w:color="auto"/>
              <w:right w:val="single" w:sz="4" w:space="0" w:color="auto"/>
            </w:tcBorders>
            <w:shd w:val="clear" w:color="000000" w:fill="F2F2F2"/>
            <w:noWrap/>
            <w:vAlign w:val="center"/>
            <w:hideMark/>
          </w:tcPr>
          <w:p w14:paraId="6899ADBC"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0,4232</w:t>
            </w:r>
          </w:p>
        </w:tc>
        <w:tc>
          <w:tcPr>
            <w:tcW w:w="820" w:type="dxa"/>
            <w:tcBorders>
              <w:top w:val="nil"/>
              <w:left w:val="nil"/>
              <w:bottom w:val="single" w:sz="4" w:space="0" w:color="auto"/>
              <w:right w:val="single" w:sz="4" w:space="0" w:color="auto"/>
            </w:tcBorders>
            <w:shd w:val="clear" w:color="000000" w:fill="F2F2F2"/>
            <w:noWrap/>
            <w:vAlign w:val="center"/>
            <w:hideMark/>
          </w:tcPr>
          <w:p w14:paraId="6AAAFBD5"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0</w:t>
            </w:r>
          </w:p>
        </w:tc>
        <w:tc>
          <w:tcPr>
            <w:tcW w:w="907" w:type="dxa"/>
            <w:tcBorders>
              <w:top w:val="nil"/>
              <w:left w:val="nil"/>
              <w:bottom w:val="single" w:sz="4" w:space="0" w:color="auto"/>
              <w:right w:val="single" w:sz="4" w:space="0" w:color="auto"/>
            </w:tcBorders>
            <w:shd w:val="clear" w:color="000000" w:fill="F2F2F2"/>
            <w:noWrap/>
            <w:vAlign w:val="center"/>
            <w:hideMark/>
          </w:tcPr>
          <w:p w14:paraId="3C8C01DB"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0</w:t>
            </w:r>
          </w:p>
        </w:tc>
        <w:tc>
          <w:tcPr>
            <w:tcW w:w="1444" w:type="dxa"/>
            <w:tcBorders>
              <w:top w:val="nil"/>
              <w:left w:val="nil"/>
              <w:bottom w:val="single" w:sz="4" w:space="0" w:color="auto"/>
              <w:right w:val="single" w:sz="4" w:space="0" w:color="auto"/>
            </w:tcBorders>
            <w:shd w:val="clear" w:color="000000" w:fill="F2F2F2"/>
            <w:noWrap/>
            <w:vAlign w:val="center"/>
            <w:hideMark/>
          </w:tcPr>
          <w:p w14:paraId="6230027A"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0</w:t>
            </w:r>
          </w:p>
        </w:tc>
        <w:tc>
          <w:tcPr>
            <w:tcW w:w="1382" w:type="dxa"/>
            <w:tcBorders>
              <w:top w:val="nil"/>
              <w:left w:val="nil"/>
              <w:bottom w:val="single" w:sz="4" w:space="0" w:color="auto"/>
              <w:right w:val="single" w:sz="4" w:space="0" w:color="auto"/>
              <w:tr2bl w:val="single" w:sz="4" w:space="0" w:color="auto"/>
            </w:tcBorders>
            <w:shd w:val="clear" w:color="000000" w:fill="F2F2F2"/>
            <w:noWrap/>
            <w:vAlign w:val="center"/>
            <w:hideMark/>
          </w:tcPr>
          <w:p w14:paraId="66DBECF1"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 </w:t>
            </w:r>
          </w:p>
        </w:tc>
        <w:tc>
          <w:tcPr>
            <w:tcW w:w="1382" w:type="dxa"/>
            <w:tcBorders>
              <w:top w:val="nil"/>
              <w:left w:val="nil"/>
              <w:bottom w:val="single" w:sz="4" w:space="0" w:color="auto"/>
              <w:right w:val="single" w:sz="4" w:space="0" w:color="auto"/>
              <w:tr2bl w:val="single" w:sz="4" w:space="0" w:color="auto"/>
            </w:tcBorders>
            <w:shd w:val="clear" w:color="000000" w:fill="F2F2F2"/>
            <w:noWrap/>
            <w:vAlign w:val="center"/>
            <w:hideMark/>
          </w:tcPr>
          <w:p w14:paraId="1E1DC59A"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 </w:t>
            </w:r>
          </w:p>
        </w:tc>
        <w:tc>
          <w:tcPr>
            <w:tcW w:w="1382" w:type="dxa"/>
            <w:tcBorders>
              <w:top w:val="nil"/>
              <w:left w:val="nil"/>
              <w:bottom w:val="single" w:sz="4" w:space="0" w:color="auto"/>
              <w:right w:val="single" w:sz="4" w:space="0" w:color="auto"/>
              <w:tr2bl w:val="single" w:sz="4" w:space="0" w:color="auto"/>
            </w:tcBorders>
            <w:shd w:val="clear" w:color="000000" w:fill="F2F2F2"/>
            <w:noWrap/>
            <w:vAlign w:val="center"/>
            <w:hideMark/>
          </w:tcPr>
          <w:p w14:paraId="77325592"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 </w:t>
            </w:r>
          </w:p>
        </w:tc>
        <w:tc>
          <w:tcPr>
            <w:tcW w:w="1382" w:type="dxa"/>
            <w:tcBorders>
              <w:top w:val="nil"/>
              <w:left w:val="nil"/>
              <w:bottom w:val="single" w:sz="4" w:space="0" w:color="auto"/>
              <w:right w:val="single" w:sz="4" w:space="0" w:color="auto"/>
              <w:tr2bl w:val="single" w:sz="4" w:space="0" w:color="auto"/>
            </w:tcBorders>
            <w:shd w:val="clear" w:color="000000" w:fill="F2F2F2"/>
            <w:noWrap/>
            <w:vAlign w:val="center"/>
            <w:hideMark/>
          </w:tcPr>
          <w:p w14:paraId="6109BDD2"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 </w:t>
            </w:r>
          </w:p>
        </w:tc>
      </w:tr>
      <w:tr w:rsidR="00552526" w:rsidRPr="00552526" w14:paraId="19A1FADA" w14:textId="77777777" w:rsidTr="00C162B0">
        <w:trPr>
          <w:trHeight w:val="300"/>
          <w:jc w:val="center"/>
        </w:trPr>
        <w:tc>
          <w:tcPr>
            <w:tcW w:w="14454" w:type="dxa"/>
            <w:gridSpan w:val="13"/>
            <w:tcBorders>
              <w:top w:val="single" w:sz="4" w:space="0" w:color="auto"/>
              <w:left w:val="single" w:sz="4" w:space="0" w:color="auto"/>
              <w:bottom w:val="single" w:sz="4" w:space="0" w:color="auto"/>
              <w:right w:val="single" w:sz="4" w:space="0" w:color="auto"/>
            </w:tcBorders>
            <w:shd w:val="clear" w:color="000000" w:fill="FCE4D6"/>
            <w:noWrap/>
            <w:vAlign w:val="center"/>
            <w:hideMark/>
          </w:tcPr>
          <w:p w14:paraId="72ED6E00"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PLOCHY SMÍŠENÉ OBYTNÉ</w:t>
            </w:r>
          </w:p>
        </w:tc>
      </w:tr>
      <w:tr w:rsidR="00C162B0" w:rsidRPr="00552526" w14:paraId="6102113D" w14:textId="77777777" w:rsidTr="00C162B0">
        <w:trPr>
          <w:trHeight w:val="300"/>
          <w:jc w:val="center"/>
        </w:trPr>
        <w:tc>
          <w:tcPr>
            <w:tcW w:w="959" w:type="dxa"/>
            <w:tcBorders>
              <w:top w:val="nil"/>
              <w:left w:val="single" w:sz="4" w:space="0" w:color="auto"/>
              <w:bottom w:val="single" w:sz="4" w:space="0" w:color="auto"/>
              <w:right w:val="single" w:sz="4" w:space="0" w:color="auto"/>
            </w:tcBorders>
            <w:shd w:val="clear" w:color="auto" w:fill="auto"/>
            <w:noWrap/>
            <w:vAlign w:val="center"/>
            <w:hideMark/>
          </w:tcPr>
          <w:p w14:paraId="7621329E"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Z.03</w:t>
            </w:r>
          </w:p>
        </w:tc>
        <w:tc>
          <w:tcPr>
            <w:tcW w:w="960" w:type="dxa"/>
            <w:tcBorders>
              <w:top w:val="nil"/>
              <w:left w:val="nil"/>
              <w:bottom w:val="single" w:sz="4" w:space="0" w:color="auto"/>
              <w:right w:val="single" w:sz="4" w:space="0" w:color="auto"/>
            </w:tcBorders>
            <w:shd w:val="clear" w:color="auto" w:fill="auto"/>
            <w:noWrap/>
            <w:vAlign w:val="center"/>
            <w:hideMark/>
          </w:tcPr>
          <w:p w14:paraId="729FC4CA"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SV</w:t>
            </w:r>
          </w:p>
        </w:tc>
        <w:tc>
          <w:tcPr>
            <w:tcW w:w="960" w:type="dxa"/>
            <w:tcBorders>
              <w:top w:val="nil"/>
              <w:left w:val="nil"/>
              <w:bottom w:val="single" w:sz="4" w:space="0" w:color="auto"/>
              <w:right w:val="single" w:sz="4" w:space="0" w:color="auto"/>
            </w:tcBorders>
            <w:shd w:val="clear" w:color="auto" w:fill="auto"/>
            <w:noWrap/>
            <w:vAlign w:val="center"/>
            <w:hideMark/>
          </w:tcPr>
          <w:p w14:paraId="764D8113"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0,717</w:t>
            </w:r>
          </w:p>
        </w:tc>
        <w:tc>
          <w:tcPr>
            <w:tcW w:w="1062" w:type="dxa"/>
            <w:tcBorders>
              <w:top w:val="nil"/>
              <w:left w:val="nil"/>
              <w:bottom w:val="single" w:sz="4" w:space="0" w:color="auto"/>
              <w:right w:val="single" w:sz="4" w:space="0" w:color="auto"/>
            </w:tcBorders>
            <w:shd w:val="clear" w:color="auto" w:fill="auto"/>
            <w:noWrap/>
            <w:vAlign w:val="center"/>
            <w:hideMark/>
          </w:tcPr>
          <w:p w14:paraId="165DB44F"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shd w:val="clear" w:color="auto" w:fill="auto"/>
            <w:noWrap/>
            <w:vAlign w:val="center"/>
            <w:hideMark/>
          </w:tcPr>
          <w:p w14:paraId="23DAFEA9"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shd w:val="clear" w:color="auto" w:fill="auto"/>
            <w:noWrap/>
            <w:vAlign w:val="center"/>
            <w:hideMark/>
          </w:tcPr>
          <w:p w14:paraId="23686992"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820" w:type="dxa"/>
            <w:tcBorders>
              <w:top w:val="nil"/>
              <w:left w:val="nil"/>
              <w:bottom w:val="single" w:sz="4" w:space="0" w:color="auto"/>
              <w:right w:val="single" w:sz="4" w:space="0" w:color="auto"/>
            </w:tcBorders>
            <w:shd w:val="clear" w:color="auto" w:fill="auto"/>
            <w:noWrap/>
            <w:vAlign w:val="center"/>
            <w:hideMark/>
          </w:tcPr>
          <w:p w14:paraId="77A6C726"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0,717</w:t>
            </w:r>
          </w:p>
        </w:tc>
        <w:tc>
          <w:tcPr>
            <w:tcW w:w="907" w:type="dxa"/>
            <w:tcBorders>
              <w:top w:val="nil"/>
              <w:left w:val="nil"/>
              <w:bottom w:val="single" w:sz="4" w:space="0" w:color="auto"/>
              <w:right w:val="single" w:sz="4" w:space="0" w:color="auto"/>
            </w:tcBorders>
            <w:shd w:val="clear" w:color="auto" w:fill="auto"/>
            <w:noWrap/>
            <w:vAlign w:val="center"/>
            <w:hideMark/>
          </w:tcPr>
          <w:p w14:paraId="5432F716"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1444" w:type="dxa"/>
            <w:tcBorders>
              <w:top w:val="nil"/>
              <w:left w:val="nil"/>
              <w:bottom w:val="single" w:sz="4" w:space="0" w:color="auto"/>
              <w:right w:val="single" w:sz="4" w:space="0" w:color="auto"/>
            </w:tcBorders>
            <w:shd w:val="clear" w:color="auto" w:fill="auto"/>
            <w:noWrap/>
            <w:vAlign w:val="center"/>
            <w:hideMark/>
          </w:tcPr>
          <w:p w14:paraId="423DF19E"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1382" w:type="dxa"/>
            <w:tcBorders>
              <w:top w:val="nil"/>
              <w:left w:val="nil"/>
              <w:bottom w:val="single" w:sz="4" w:space="0" w:color="auto"/>
              <w:right w:val="single" w:sz="4" w:space="0" w:color="auto"/>
            </w:tcBorders>
            <w:shd w:val="clear" w:color="auto" w:fill="auto"/>
            <w:noWrap/>
            <w:vAlign w:val="center"/>
            <w:hideMark/>
          </w:tcPr>
          <w:p w14:paraId="5D6B0015"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shd w:val="clear" w:color="auto" w:fill="auto"/>
            <w:noWrap/>
            <w:vAlign w:val="center"/>
            <w:hideMark/>
          </w:tcPr>
          <w:p w14:paraId="6CEEFC9E"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shd w:val="clear" w:color="auto" w:fill="auto"/>
            <w:noWrap/>
            <w:vAlign w:val="center"/>
            <w:hideMark/>
          </w:tcPr>
          <w:p w14:paraId="275E352F"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shd w:val="clear" w:color="auto" w:fill="auto"/>
            <w:noWrap/>
            <w:vAlign w:val="center"/>
            <w:hideMark/>
          </w:tcPr>
          <w:p w14:paraId="642B023F"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w:t>
            </w:r>
          </w:p>
        </w:tc>
      </w:tr>
      <w:tr w:rsidR="00C162B0" w:rsidRPr="00552526" w14:paraId="22D75171" w14:textId="77777777" w:rsidTr="00C162B0">
        <w:trPr>
          <w:trHeight w:val="300"/>
          <w:jc w:val="center"/>
        </w:trPr>
        <w:tc>
          <w:tcPr>
            <w:tcW w:w="959" w:type="dxa"/>
            <w:tcBorders>
              <w:top w:val="nil"/>
              <w:left w:val="single" w:sz="4" w:space="0" w:color="auto"/>
              <w:bottom w:val="single" w:sz="4" w:space="0" w:color="auto"/>
              <w:right w:val="single" w:sz="4" w:space="0" w:color="auto"/>
            </w:tcBorders>
            <w:shd w:val="clear" w:color="auto" w:fill="auto"/>
            <w:noWrap/>
            <w:vAlign w:val="center"/>
            <w:hideMark/>
          </w:tcPr>
          <w:p w14:paraId="275C2FA6"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Z.04</w:t>
            </w:r>
          </w:p>
        </w:tc>
        <w:tc>
          <w:tcPr>
            <w:tcW w:w="960" w:type="dxa"/>
            <w:tcBorders>
              <w:top w:val="nil"/>
              <w:left w:val="nil"/>
              <w:bottom w:val="single" w:sz="4" w:space="0" w:color="auto"/>
              <w:right w:val="single" w:sz="4" w:space="0" w:color="auto"/>
            </w:tcBorders>
            <w:shd w:val="clear" w:color="auto" w:fill="auto"/>
            <w:noWrap/>
            <w:vAlign w:val="center"/>
            <w:hideMark/>
          </w:tcPr>
          <w:p w14:paraId="169CA8A8"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SV</w:t>
            </w:r>
          </w:p>
        </w:tc>
        <w:tc>
          <w:tcPr>
            <w:tcW w:w="960" w:type="dxa"/>
            <w:tcBorders>
              <w:top w:val="nil"/>
              <w:left w:val="nil"/>
              <w:bottom w:val="single" w:sz="4" w:space="0" w:color="auto"/>
              <w:right w:val="single" w:sz="4" w:space="0" w:color="auto"/>
            </w:tcBorders>
            <w:shd w:val="clear" w:color="auto" w:fill="auto"/>
            <w:noWrap/>
            <w:vAlign w:val="center"/>
            <w:hideMark/>
          </w:tcPr>
          <w:p w14:paraId="12FEF519"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0,4161</w:t>
            </w:r>
          </w:p>
        </w:tc>
        <w:tc>
          <w:tcPr>
            <w:tcW w:w="1062" w:type="dxa"/>
            <w:tcBorders>
              <w:top w:val="nil"/>
              <w:left w:val="nil"/>
              <w:bottom w:val="single" w:sz="4" w:space="0" w:color="auto"/>
              <w:right w:val="single" w:sz="4" w:space="0" w:color="auto"/>
            </w:tcBorders>
            <w:shd w:val="clear" w:color="auto" w:fill="auto"/>
            <w:noWrap/>
            <w:vAlign w:val="center"/>
            <w:hideMark/>
          </w:tcPr>
          <w:p w14:paraId="5A0D7F2C"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shd w:val="clear" w:color="auto" w:fill="auto"/>
            <w:noWrap/>
            <w:vAlign w:val="center"/>
            <w:hideMark/>
          </w:tcPr>
          <w:p w14:paraId="52D49293"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shd w:val="clear" w:color="auto" w:fill="auto"/>
            <w:noWrap/>
            <w:vAlign w:val="center"/>
            <w:hideMark/>
          </w:tcPr>
          <w:p w14:paraId="4007F834"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820" w:type="dxa"/>
            <w:tcBorders>
              <w:top w:val="nil"/>
              <w:left w:val="nil"/>
              <w:bottom w:val="single" w:sz="4" w:space="0" w:color="auto"/>
              <w:right w:val="single" w:sz="4" w:space="0" w:color="auto"/>
            </w:tcBorders>
            <w:shd w:val="clear" w:color="auto" w:fill="auto"/>
            <w:noWrap/>
            <w:vAlign w:val="center"/>
            <w:hideMark/>
          </w:tcPr>
          <w:p w14:paraId="0CC9C4D3"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0,4161</w:t>
            </w:r>
          </w:p>
        </w:tc>
        <w:tc>
          <w:tcPr>
            <w:tcW w:w="907" w:type="dxa"/>
            <w:tcBorders>
              <w:top w:val="nil"/>
              <w:left w:val="nil"/>
              <w:bottom w:val="single" w:sz="4" w:space="0" w:color="auto"/>
              <w:right w:val="single" w:sz="4" w:space="0" w:color="auto"/>
            </w:tcBorders>
            <w:shd w:val="clear" w:color="auto" w:fill="auto"/>
            <w:noWrap/>
            <w:vAlign w:val="center"/>
            <w:hideMark/>
          </w:tcPr>
          <w:p w14:paraId="339095A4"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1444" w:type="dxa"/>
            <w:tcBorders>
              <w:top w:val="nil"/>
              <w:left w:val="nil"/>
              <w:bottom w:val="single" w:sz="4" w:space="0" w:color="auto"/>
              <w:right w:val="single" w:sz="4" w:space="0" w:color="auto"/>
            </w:tcBorders>
            <w:shd w:val="clear" w:color="auto" w:fill="auto"/>
            <w:noWrap/>
            <w:vAlign w:val="center"/>
            <w:hideMark/>
          </w:tcPr>
          <w:p w14:paraId="4CC976E4"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1382" w:type="dxa"/>
            <w:tcBorders>
              <w:top w:val="nil"/>
              <w:left w:val="nil"/>
              <w:bottom w:val="single" w:sz="4" w:space="0" w:color="auto"/>
              <w:right w:val="single" w:sz="4" w:space="0" w:color="auto"/>
            </w:tcBorders>
            <w:shd w:val="clear" w:color="auto" w:fill="auto"/>
            <w:noWrap/>
            <w:vAlign w:val="center"/>
            <w:hideMark/>
          </w:tcPr>
          <w:p w14:paraId="67E2D926"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shd w:val="clear" w:color="auto" w:fill="auto"/>
            <w:noWrap/>
            <w:vAlign w:val="center"/>
            <w:hideMark/>
          </w:tcPr>
          <w:p w14:paraId="04B17C39"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shd w:val="clear" w:color="auto" w:fill="auto"/>
            <w:noWrap/>
            <w:vAlign w:val="center"/>
            <w:hideMark/>
          </w:tcPr>
          <w:p w14:paraId="27F73C06"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shd w:val="clear" w:color="auto" w:fill="auto"/>
            <w:noWrap/>
            <w:vAlign w:val="center"/>
            <w:hideMark/>
          </w:tcPr>
          <w:p w14:paraId="52C67730"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w:t>
            </w:r>
          </w:p>
        </w:tc>
      </w:tr>
      <w:tr w:rsidR="00C162B0" w:rsidRPr="00552526" w14:paraId="4640DFA8" w14:textId="77777777" w:rsidTr="00C162B0">
        <w:trPr>
          <w:trHeight w:val="300"/>
          <w:jc w:val="center"/>
        </w:trPr>
        <w:tc>
          <w:tcPr>
            <w:tcW w:w="9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5C3032"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Z.15</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20B1C755"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SV</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5F38C133"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0,2538</w:t>
            </w:r>
          </w:p>
        </w:tc>
        <w:tc>
          <w:tcPr>
            <w:tcW w:w="1062" w:type="dxa"/>
            <w:tcBorders>
              <w:top w:val="single" w:sz="4" w:space="0" w:color="auto"/>
              <w:left w:val="nil"/>
              <w:bottom w:val="single" w:sz="4" w:space="0" w:color="auto"/>
              <w:right w:val="single" w:sz="4" w:space="0" w:color="auto"/>
            </w:tcBorders>
            <w:shd w:val="clear" w:color="auto" w:fill="auto"/>
            <w:noWrap/>
            <w:vAlign w:val="center"/>
            <w:hideMark/>
          </w:tcPr>
          <w:p w14:paraId="1F5899A5"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0,2538</w:t>
            </w:r>
          </w:p>
        </w:tc>
        <w:tc>
          <w:tcPr>
            <w:tcW w:w="907" w:type="dxa"/>
            <w:tcBorders>
              <w:top w:val="single" w:sz="4" w:space="0" w:color="auto"/>
              <w:left w:val="nil"/>
              <w:bottom w:val="single" w:sz="4" w:space="0" w:color="auto"/>
              <w:right w:val="single" w:sz="4" w:space="0" w:color="auto"/>
            </w:tcBorders>
            <w:shd w:val="clear" w:color="auto" w:fill="auto"/>
            <w:noWrap/>
            <w:vAlign w:val="center"/>
            <w:hideMark/>
          </w:tcPr>
          <w:p w14:paraId="250B19CC"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907" w:type="dxa"/>
            <w:tcBorders>
              <w:top w:val="single" w:sz="4" w:space="0" w:color="auto"/>
              <w:left w:val="nil"/>
              <w:bottom w:val="single" w:sz="4" w:space="0" w:color="auto"/>
              <w:right w:val="single" w:sz="4" w:space="0" w:color="auto"/>
            </w:tcBorders>
            <w:shd w:val="clear" w:color="auto" w:fill="auto"/>
            <w:noWrap/>
            <w:vAlign w:val="center"/>
            <w:hideMark/>
          </w:tcPr>
          <w:p w14:paraId="35E96C32"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820" w:type="dxa"/>
            <w:tcBorders>
              <w:top w:val="single" w:sz="4" w:space="0" w:color="auto"/>
              <w:left w:val="nil"/>
              <w:bottom w:val="single" w:sz="4" w:space="0" w:color="auto"/>
              <w:right w:val="single" w:sz="4" w:space="0" w:color="auto"/>
            </w:tcBorders>
            <w:shd w:val="clear" w:color="auto" w:fill="auto"/>
            <w:noWrap/>
            <w:vAlign w:val="center"/>
            <w:hideMark/>
          </w:tcPr>
          <w:p w14:paraId="56E87FC5"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907" w:type="dxa"/>
            <w:tcBorders>
              <w:top w:val="single" w:sz="4" w:space="0" w:color="auto"/>
              <w:left w:val="nil"/>
              <w:bottom w:val="single" w:sz="4" w:space="0" w:color="auto"/>
              <w:right w:val="single" w:sz="4" w:space="0" w:color="auto"/>
            </w:tcBorders>
            <w:shd w:val="clear" w:color="auto" w:fill="auto"/>
            <w:noWrap/>
            <w:vAlign w:val="center"/>
            <w:hideMark/>
          </w:tcPr>
          <w:p w14:paraId="307A9EF4"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1444" w:type="dxa"/>
            <w:tcBorders>
              <w:top w:val="single" w:sz="4" w:space="0" w:color="auto"/>
              <w:left w:val="nil"/>
              <w:bottom w:val="single" w:sz="4" w:space="0" w:color="auto"/>
              <w:right w:val="single" w:sz="4" w:space="0" w:color="auto"/>
            </w:tcBorders>
            <w:shd w:val="clear" w:color="auto" w:fill="auto"/>
            <w:noWrap/>
            <w:vAlign w:val="center"/>
            <w:hideMark/>
          </w:tcPr>
          <w:p w14:paraId="6B30D02D"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1382" w:type="dxa"/>
            <w:tcBorders>
              <w:top w:val="single" w:sz="4" w:space="0" w:color="auto"/>
              <w:left w:val="nil"/>
              <w:bottom w:val="single" w:sz="4" w:space="0" w:color="auto"/>
              <w:right w:val="single" w:sz="4" w:space="0" w:color="auto"/>
            </w:tcBorders>
            <w:shd w:val="clear" w:color="auto" w:fill="auto"/>
            <w:noWrap/>
            <w:vAlign w:val="center"/>
            <w:hideMark/>
          </w:tcPr>
          <w:p w14:paraId="4AAF50DF"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single" w:sz="4" w:space="0" w:color="auto"/>
              <w:left w:val="nil"/>
              <w:bottom w:val="single" w:sz="4" w:space="0" w:color="auto"/>
              <w:right w:val="single" w:sz="4" w:space="0" w:color="auto"/>
            </w:tcBorders>
            <w:shd w:val="clear" w:color="auto" w:fill="auto"/>
            <w:noWrap/>
            <w:vAlign w:val="center"/>
            <w:hideMark/>
          </w:tcPr>
          <w:p w14:paraId="42BE6509"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ANO</w:t>
            </w:r>
          </w:p>
        </w:tc>
        <w:tc>
          <w:tcPr>
            <w:tcW w:w="1382" w:type="dxa"/>
            <w:tcBorders>
              <w:top w:val="single" w:sz="4" w:space="0" w:color="auto"/>
              <w:left w:val="nil"/>
              <w:bottom w:val="single" w:sz="4" w:space="0" w:color="auto"/>
              <w:right w:val="single" w:sz="4" w:space="0" w:color="auto"/>
            </w:tcBorders>
            <w:shd w:val="clear" w:color="auto" w:fill="auto"/>
            <w:noWrap/>
            <w:vAlign w:val="center"/>
            <w:hideMark/>
          </w:tcPr>
          <w:p w14:paraId="1D36E4EF"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single" w:sz="4" w:space="0" w:color="auto"/>
              <w:left w:val="nil"/>
              <w:bottom w:val="single" w:sz="4" w:space="0" w:color="auto"/>
              <w:right w:val="single" w:sz="4" w:space="0" w:color="auto"/>
            </w:tcBorders>
            <w:shd w:val="clear" w:color="auto" w:fill="auto"/>
            <w:noWrap/>
            <w:vAlign w:val="center"/>
            <w:hideMark/>
          </w:tcPr>
          <w:p w14:paraId="5DF9766B"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r>
      <w:tr w:rsidR="00C162B0" w:rsidRPr="00552526" w14:paraId="631EB245" w14:textId="77777777" w:rsidTr="00C162B0">
        <w:trPr>
          <w:trHeight w:val="300"/>
          <w:jc w:val="center"/>
        </w:trPr>
        <w:tc>
          <w:tcPr>
            <w:tcW w:w="9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D10261"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Z.16</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0A550E9F"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SV</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7C1E92E5"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0,4222</w:t>
            </w:r>
          </w:p>
        </w:tc>
        <w:tc>
          <w:tcPr>
            <w:tcW w:w="1062" w:type="dxa"/>
            <w:tcBorders>
              <w:top w:val="single" w:sz="4" w:space="0" w:color="auto"/>
              <w:left w:val="nil"/>
              <w:bottom w:val="single" w:sz="4" w:space="0" w:color="auto"/>
              <w:right w:val="single" w:sz="4" w:space="0" w:color="auto"/>
            </w:tcBorders>
            <w:shd w:val="clear" w:color="auto" w:fill="auto"/>
            <w:noWrap/>
            <w:vAlign w:val="center"/>
            <w:hideMark/>
          </w:tcPr>
          <w:p w14:paraId="3BF650AE"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0,4222</w:t>
            </w:r>
          </w:p>
        </w:tc>
        <w:tc>
          <w:tcPr>
            <w:tcW w:w="907" w:type="dxa"/>
            <w:tcBorders>
              <w:top w:val="single" w:sz="4" w:space="0" w:color="auto"/>
              <w:left w:val="nil"/>
              <w:bottom w:val="single" w:sz="4" w:space="0" w:color="auto"/>
              <w:right w:val="single" w:sz="4" w:space="0" w:color="auto"/>
            </w:tcBorders>
            <w:shd w:val="clear" w:color="auto" w:fill="auto"/>
            <w:noWrap/>
            <w:vAlign w:val="center"/>
            <w:hideMark/>
          </w:tcPr>
          <w:p w14:paraId="7381F5DB"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907" w:type="dxa"/>
            <w:tcBorders>
              <w:top w:val="single" w:sz="4" w:space="0" w:color="auto"/>
              <w:left w:val="nil"/>
              <w:bottom w:val="single" w:sz="4" w:space="0" w:color="auto"/>
              <w:right w:val="single" w:sz="4" w:space="0" w:color="auto"/>
            </w:tcBorders>
            <w:shd w:val="clear" w:color="auto" w:fill="auto"/>
            <w:noWrap/>
            <w:vAlign w:val="center"/>
            <w:hideMark/>
          </w:tcPr>
          <w:p w14:paraId="5BC1B9CF"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820" w:type="dxa"/>
            <w:tcBorders>
              <w:top w:val="single" w:sz="4" w:space="0" w:color="auto"/>
              <w:left w:val="nil"/>
              <w:bottom w:val="single" w:sz="4" w:space="0" w:color="auto"/>
              <w:right w:val="single" w:sz="4" w:space="0" w:color="auto"/>
            </w:tcBorders>
            <w:shd w:val="clear" w:color="auto" w:fill="auto"/>
            <w:noWrap/>
            <w:vAlign w:val="center"/>
            <w:hideMark/>
          </w:tcPr>
          <w:p w14:paraId="32021FBA"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907" w:type="dxa"/>
            <w:tcBorders>
              <w:top w:val="single" w:sz="4" w:space="0" w:color="auto"/>
              <w:left w:val="nil"/>
              <w:bottom w:val="single" w:sz="4" w:space="0" w:color="auto"/>
              <w:right w:val="single" w:sz="4" w:space="0" w:color="auto"/>
            </w:tcBorders>
            <w:shd w:val="clear" w:color="auto" w:fill="auto"/>
            <w:noWrap/>
            <w:vAlign w:val="center"/>
            <w:hideMark/>
          </w:tcPr>
          <w:p w14:paraId="16880122"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1444" w:type="dxa"/>
            <w:tcBorders>
              <w:top w:val="single" w:sz="4" w:space="0" w:color="auto"/>
              <w:left w:val="nil"/>
              <w:bottom w:val="single" w:sz="4" w:space="0" w:color="auto"/>
              <w:right w:val="single" w:sz="4" w:space="0" w:color="auto"/>
            </w:tcBorders>
            <w:shd w:val="clear" w:color="auto" w:fill="auto"/>
            <w:noWrap/>
            <w:vAlign w:val="center"/>
            <w:hideMark/>
          </w:tcPr>
          <w:p w14:paraId="7AA031AA"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1382" w:type="dxa"/>
            <w:tcBorders>
              <w:top w:val="single" w:sz="4" w:space="0" w:color="auto"/>
              <w:left w:val="nil"/>
              <w:bottom w:val="single" w:sz="4" w:space="0" w:color="auto"/>
              <w:right w:val="single" w:sz="4" w:space="0" w:color="auto"/>
            </w:tcBorders>
            <w:shd w:val="clear" w:color="auto" w:fill="auto"/>
            <w:noWrap/>
            <w:vAlign w:val="center"/>
            <w:hideMark/>
          </w:tcPr>
          <w:p w14:paraId="6E9E4F6D"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single" w:sz="4" w:space="0" w:color="auto"/>
              <w:left w:val="nil"/>
              <w:bottom w:val="single" w:sz="4" w:space="0" w:color="auto"/>
              <w:right w:val="single" w:sz="4" w:space="0" w:color="auto"/>
            </w:tcBorders>
            <w:shd w:val="clear" w:color="auto" w:fill="auto"/>
            <w:noWrap/>
            <w:vAlign w:val="center"/>
            <w:hideMark/>
          </w:tcPr>
          <w:p w14:paraId="4A59EE6D"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ANO</w:t>
            </w:r>
          </w:p>
        </w:tc>
        <w:tc>
          <w:tcPr>
            <w:tcW w:w="1382" w:type="dxa"/>
            <w:tcBorders>
              <w:top w:val="single" w:sz="4" w:space="0" w:color="auto"/>
              <w:left w:val="nil"/>
              <w:bottom w:val="single" w:sz="4" w:space="0" w:color="auto"/>
              <w:right w:val="single" w:sz="4" w:space="0" w:color="auto"/>
            </w:tcBorders>
            <w:shd w:val="clear" w:color="auto" w:fill="auto"/>
            <w:noWrap/>
            <w:vAlign w:val="center"/>
            <w:hideMark/>
          </w:tcPr>
          <w:p w14:paraId="771C9FBD"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single" w:sz="4" w:space="0" w:color="auto"/>
              <w:left w:val="nil"/>
              <w:bottom w:val="single" w:sz="4" w:space="0" w:color="auto"/>
              <w:right w:val="single" w:sz="4" w:space="0" w:color="auto"/>
            </w:tcBorders>
            <w:shd w:val="clear" w:color="auto" w:fill="auto"/>
            <w:noWrap/>
            <w:vAlign w:val="center"/>
            <w:hideMark/>
          </w:tcPr>
          <w:p w14:paraId="20291531"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ANO</w:t>
            </w:r>
          </w:p>
        </w:tc>
      </w:tr>
      <w:tr w:rsidR="00C162B0" w:rsidRPr="00552526" w14:paraId="0C759998" w14:textId="77777777" w:rsidTr="00C162B0">
        <w:trPr>
          <w:trHeight w:val="300"/>
          <w:jc w:val="center"/>
        </w:trPr>
        <w:tc>
          <w:tcPr>
            <w:tcW w:w="959" w:type="dxa"/>
            <w:tcBorders>
              <w:top w:val="nil"/>
              <w:left w:val="single" w:sz="4" w:space="0" w:color="auto"/>
              <w:bottom w:val="single" w:sz="4" w:space="0" w:color="auto"/>
              <w:right w:val="single" w:sz="4" w:space="0" w:color="auto"/>
            </w:tcBorders>
            <w:shd w:val="clear" w:color="auto" w:fill="auto"/>
            <w:noWrap/>
            <w:vAlign w:val="center"/>
            <w:hideMark/>
          </w:tcPr>
          <w:p w14:paraId="2BA9E71F"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Z.17</w:t>
            </w:r>
          </w:p>
        </w:tc>
        <w:tc>
          <w:tcPr>
            <w:tcW w:w="960" w:type="dxa"/>
            <w:tcBorders>
              <w:top w:val="nil"/>
              <w:left w:val="nil"/>
              <w:bottom w:val="single" w:sz="4" w:space="0" w:color="auto"/>
              <w:right w:val="single" w:sz="4" w:space="0" w:color="auto"/>
            </w:tcBorders>
            <w:shd w:val="clear" w:color="auto" w:fill="auto"/>
            <w:noWrap/>
            <w:vAlign w:val="center"/>
            <w:hideMark/>
          </w:tcPr>
          <w:p w14:paraId="301452E0"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SV</w:t>
            </w:r>
          </w:p>
        </w:tc>
        <w:tc>
          <w:tcPr>
            <w:tcW w:w="960" w:type="dxa"/>
            <w:tcBorders>
              <w:top w:val="nil"/>
              <w:left w:val="nil"/>
              <w:bottom w:val="single" w:sz="4" w:space="0" w:color="auto"/>
              <w:right w:val="single" w:sz="4" w:space="0" w:color="auto"/>
            </w:tcBorders>
            <w:shd w:val="clear" w:color="auto" w:fill="auto"/>
            <w:noWrap/>
            <w:vAlign w:val="center"/>
            <w:hideMark/>
          </w:tcPr>
          <w:p w14:paraId="16BC2136"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1,0529</w:t>
            </w:r>
          </w:p>
        </w:tc>
        <w:tc>
          <w:tcPr>
            <w:tcW w:w="1062" w:type="dxa"/>
            <w:tcBorders>
              <w:top w:val="nil"/>
              <w:left w:val="nil"/>
              <w:bottom w:val="single" w:sz="4" w:space="0" w:color="auto"/>
              <w:right w:val="single" w:sz="4" w:space="0" w:color="auto"/>
            </w:tcBorders>
            <w:shd w:val="clear" w:color="auto" w:fill="auto"/>
            <w:noWrap/>
            <w:vAlign w:val="center"/>
            <w:hideMark/>
          </w:tcPr>
          <w:p w14:paraId="4A52D32F"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1,0529</w:t>
            </w:r>
          </w:p>
        </w:tc>
        <w:tc>
          <w:tcPr>
            <w:tcW w:w="907" w:type="dxa"/>
            <w:tcBorders>
              <w:top w:val="nil"/>
              <w:left w:val="nil"/>
              <w:bottom w:val="single" w:sz="4" w:space="0" w:color="auto"/>
              <w:right w:val="single" w:sz="4" w:space="0" w:color="auto"/>
            </w:tcBorders>
            <w:shd w:val="clear" w:color="auto" w:fill="auto"/>
            <w:noWrap/>
            <w:vAlign w:val="center"/>
            <w:hideMark/>
          </w:tcPr>
          <w:p w14:paraId="667C7F40"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shd w:val="clear" w:color="auto" w:fill="auto"/>
            <w:noWrap/>
            <w:vAlign w:val="center"/>
            <w:hideMark/>
          </w:tcPr>
          <w:p w14:paraId="512A9789"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820" w:type="dxa"/>
            <w:tcBorders>
              <w:top w:val="nil"/>
              <w:left w:val="nil"/>
              <w:bottom w:val="single" w:sz="4" w:space="0" w:color="auto"/>
              <w:right w:val="single" w:sz="4" w:space="0" w:color="auto"/>
            </w:tcBorders>
            <w:shd w:val="clear" w:color="auto" w:fill="auto"/>
            <w:noWrap/>
            <w:vAlign w:val="center"/>
            <w:hideMark/>
          </w:tcPr>
          <w:p w14:paraId="6A044213"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shd w:val="clear" w:color="auto" w:fill="auto"/>
            <w:noWrap/>
            <w:vAlign w:val="center"/>
            <w:hideMark/>
          </w:tcPr>
          <w:p w14:paraId="4067D4E7"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1444" w:type="dxa"/>
            <w:tcBorders>
              <w:top w:val="nil"/>
              <w:left w:val="nil"/>
              <w:bottom w:val="single" w:sz="4" w:space="0" w:color="auto"/>
              <w:right w:val="single" w:sz="4" w:space="0" w:color="auto"/>
            </w:tcBorders>
            <w:shd w:val="clear" w:color="auto" w:fill="auto"/>
            <w:noWrap/>
            <w:vAlign w:val="center"/>
            <w:hideMark/>
          </w:tcPr>
          <w:p w14:paraId="6A5F8160"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1382" w:type="dxa"/>
            <w:tcBorders>
              <w:top w:val="nil"/>
              <w:left w:val="nil"/>
              <w:bottom w:val="single" w:sz="4" w:space="0" w:color="auto"/>
              <w:right w:val="single" w:sz="4" w:space="0" w:color="auto"/>
            </w:tcBorders>
            <w:shd w:val="clear" w:color="auto" w:fill="auto"/>
            <w:noWrap/>
            <w:vAlign w:val="center"/>
            <w:hideMark/>
          </w:tcPr>
          <w:p w14:paraId="6CF32972"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shd w:val="clear" w:color="auto" w:fill="auto"/>
            <w:noWrap/>
            <w:vAlign w:val="center"/>
            <w:hideMark/>
          </w:tcPr>
          <w:p w14:paraId="4789F7FE"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ANO</w:t>
            </w:r>
          </w:p>
        </w:tc>
        <w:tc>
          <w:tcPr>
            <w:tcW w:w="1382" w:type="dxa"/>
            <w:tcBorders>
              <w:top w:val="nil"/>
              <w:left w:val="nil"/>
              <w:bottom w:val="single" w:sz="4" w:space="0" w:color="auto"/>
              <w:right w:val="single" w:sz="4" w:space="0" w:color="auto"/>
            </w:tcBorders>
            <w:shd w:val="clear" w:color="auto" w:fill="auto"/>
            <w:noWrap/>
            <w:vAlign w:val="center"/>
            <w:hideMark/>
          </w:tcPr>
          <w:p w14:paraId="12FBB59A"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shd w:val="clear" w:color="auto" w:fill="auto"/>
            <w:noWrap/>
            <w:vAlign w:val="center"/>
            <w:hideMark/>
          </w:tcPr>
          <w:p w14:paraId="5D727EC1"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r>
      <w:tr w:rsidR="00C162B0" w:rsidRPr="00552526" w14:paraId="1EACE9FA" w14:textId="77777777" w:rsidTr="00C162B0">
        <w:trPr>
          <w:trHeight w:val="300"/>
          <w:jc w:val="center"/>
        </w:trPr>
        <w:tc>
          <w:tcPr>
            <w:tcW w:w="959" w:type="dxa"/>
            <w:tcBorders>
              <w:top w:val="nil"/>
              <w:left w:val="single" w:sz="4" w:space="0" w:color="auto"/>
              <w:bottom w:val="single" w:sz="4" w:space="0" w:color="auto"/>
              <w:right w:val="single" w:sz="4" w:space="0" w:color="auto"/>
            </w:tcBorders>
            <w:shd w:val="clear" w:color="auto" w:fill="auto"/>
            <w:noWrap/>
            <w:vAlign w:val="center"/>
            <w:hideMark/>
          </w:tcPr>
          <w:p w14:paraId="169209C7"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Z.18</w:t>
            </w:r>
          </w:p>
        </w:tc>
        <w:tc>
          <w:tcPr>
            <w:tcW w:w="960" w:type="dxa"/>
            <w:tcBorders>
              <w:top w:val="nil"/>
              <w:left w:val="nil"/>
              <w:bottom w:val="single" w:sz="4" w:space="0" w:color="auto"/>
              <w:right w:val="single" w:sz="4" w:space="0" w:color="auto"/>
            </w:tcBorders>
            <w:shd w:val="clear" w:color="auto" w:fill="auto"/>
            <w:noWrap/>
            <w:vAlign w:val="center"/>
            <w:hideMark/>
          </w:tcPr>
          <w:p w14:paraId="7B8DDB8D"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SV</w:t>
            </w:r>
          </w:p>
        </w:tc>
        <w:tc>
          <w:tcPr>
            <w:tcW w:w="960" w:type="dxa"/>
            <w:tcBorders>
              <w:top w:val="nil"/>
              <w:left w:val="nil"/>
              <w:bottom w:val="single" w:sz="4" w:space="0" w:color="auto"/>
              <w:right w:val="single" w:sz="4" w:space="0" w:color="auto"/>
            </w:tcBorders>
            <w:shd w:val="clear" w:color="auto" w:fill="auto"/>
            <w:noWrap/>
            <w:vAlign w:val="center"/>
            <w:hideMark/>
          </w:tcPr>
          <w:p w14:paraId="0C2C9C46"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1,962</w:t>
            </w:r>
          </w:p>
        </w:tc>
        <w:tc>
          <w:tcPr>
            <w:tcW w:w="1062" w:type="dxa"/>
            <w:tcBorders>
              <w:top w:val="nil"/>
              <w:left w:val="nil"/>
              <w:bottom w:val="single" w:sz="4" w:space="0" w:color="auto"/>
              <w:right w:val="single" w:sz="4" w:space="0" w:color="auto"/>
            </w:tcBorders>
            <w:shd w:val="clear" w:color="auto" w:fill="auto"/>
            <w:noWrap/>
            <w:vAlign w:val="center"/>
            <w:hideMark/>
          </w:tcPr>
          <w:p w14:paraId="2673DA36"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1,962</w:t>
            </w:r>
          </w:p>
        </w:tc>
        <w:tc>
          <w:tcPr>
            <w:tcW w:w="907" w:type="dxa"/>
            <w:tcBorders>
              <w:top w:val="nil"/>
              <w:left w:val="nil"/>
              <w:bottom w:val="single" w:sz="4" w:space="0" w:color="auto"/>
              <w:right w:val="single" w:sz="4" w:space="0" w:color="auto"/>
            </w:tcBorders>
            <w:shd w:val="clear" w:color="auto" w:fill="auto"/>
            <w:noWrap/>
            <w:vAlign w:val="center"/>
            <w:hideMark/>
          </w:tcPr>
          <w:p w14:paraId="4587069C"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shd w:val="clear" w:color="auto" w:fill="auto"/>
            <w:noWrap/>
            <w:vAlign w:val="center"/>
            <w:hideMark/>
          </w:tcPr>
          <w:p w14:paraId="681562F7"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820" w:type="dxa"/>
            <w:tcBorders>
              <w:top w:val="nil"/>
              <w:left w:val="nil"/>
              <w:bottom w:val="single" w:sz="4" w:space="0" w:color="auto"/>
              <w:right w:val="single" w:sz="4" w:space="0" w:color="auto"/>
            </w:tcBorders>
            <w:shd w:val="clear" w:color="auto" w:fill="auto"/>
            <w:noWrap/>
            <w:vAlign w:val="center"/>
            <w:hideMark/>
          </w:tcPr>
          <w:p w14:paraId="178284D6"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shd w:val="clear" w:color="auto" w:fill="auto"/>
            <w:noWrap/>
            <w:vAlign w:val="center"/>
            <w:hideMark/>
          </w:tcPr>
          <w:p w14:paraId="052EB6D3"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1444" w:type="dxa"/>
            <w:tcBorders>
              <w:top w:val="nil"/>
              <w:left w:val="nil"/>
              <w:bottom w:val="single" w:sz="4" w:space="0" w:color="auto"/>
              <w:right w:val="single" w:sz="4" w:space="0" w:color="auto"/>
            </w:tcBorders>
            <w:shd w:val="clear" w:color="auto" w:fill="auto"/>
            <w:noWrap/>
            <w:vAlign w:val="center"/>
            <w:hideMark/>
          </w:tcPr>
          <w:p w14:paraId="6C286F27"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1382" w:type="dxa"/>
            <w:tcBorders>
              <w:top w:val="nil"/>
              <w:left w:val="nil"/>
              <w:bottom w:val="single" w:sz="4" w:space="0" w:color="auto"/>
              <w:right w:val="single" w:sz="4" w:space="0" w:color="auto"/>
            </w:tcBorders>
            <w:shd w:val="clear" w:color="auto" w:fill="auto"/>
            <w:noWrap/>
            <w:vAlign w:val="center"/>
            <w:hideMark/>
          </w:tcPr>
          <w:p w14:paraId="663D1557"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shd w:val="clear" w:color="auto" w:fill="auto"/>
            <w:noWrap/>
            <w:vAlign w:val="center"/>
            <w:hideMark/>
          </w:tcPr>
          <w:p w14:paraId="50689348"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ANO</w:t>
            </w:r>
          </w:p>
        </w:tc>
        <w:tc>
          <w:tcPr>
            <w:tcW w:w="1382" w:type="dxa"/>
            <w:tcBorders>
              <w:top w:val="nil"/>
              <w:left w:val="nil"/>
              <w:bottom w:val="single" w:sz="4" w:space="0" w:color="auto"/>
              <w:right w:val="single" w:sz="4" w:space="0" w:color="auto"/>
            </w:tcBorders>
            <w:shd w:val="clear" w:color="auto" w:fill="auto"/>
            <w:noWrap/>
            <w:vAlign w:val="center"/>
            <w:hideMark/>
          </w:tcPr>
          <w:p w14:paraId="56E7017A"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shd w:val="clear" w:color="auto" w:fill="auto"/>
            <w:noWrap/>
            <w:vAlign w:val="center"/>
            <w:hideMark/>
          </w:tcPr>
          <w:p w14:paraId="77309ABB"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ANO (část)</w:t>
            </w:r>
          </w:p>
        </w:tc>
      </w:tr>
      <w:tr w:rsidR="00C162B0" w:rsidRPr="00552526" w14:paraId="1BA2348E" w14:textId="77777777" w:rsidTr="00C162B0">
        <w:trPr>
          <w:trHeight w:val="300"/>
          <w:jc w:val="center"/>
        </w:trPr>
        <w:tc>
          <w:tcPr>
            <w:tcW w:w="959" w:type="dxa"/>
            <w:tcBorders>
              <w:top w:val="nil"/>
              <w:left w:val="single" w:sz="4" w:space="0" w:color="auto"/>
              <w:bottom w:val="single" w:sz="4" w:space="0" w:color="auto"/>
              <w:right w:val="single" w:sz="4" w:space="0" w:color="auto"/>
            </w:tcBorders>
            <w:shd w:val="clear" w:color="auto" w:fill="auto"/>
            <w:noWrap/>
            <w:vAlign w:val="center"/>
            <w:hideMark/>
          </w:tcPr>
          <w:p w14:paraId="6A98E0FA"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Z.19</w:t>
            </w:r>
          </w:p>
        </w:tc>
        <w:tc>
          <w:tcPr>
            <w:tcW w:w="960" w:type="dxa"/>
            <w:tcBorders>
              <w:top w:val="nil"/>
              <w:left w:val="nil"/>
              <w:bottom w:val="single" w:sz="4" w:space="0" w:color="auto"/>
              <w:right w:val="single" w:sz="4" w:space="0" w:color="auto"/>
            </w:tcBorders>
            <w:shd w:val="clear" w:color="auto" w:fill="auto"/>
            <w:noWrap/>
            <w:vAlign w:val="center"/>
            <w:hideMark/>
          </w:tcPr>
          <w:p w14:paraId="05FBC9C4"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SV</w:t>
            </w:r>
          </w:p>
        </w:tc>
        <w:tc>
          <w:tcPr>
            <w:tcW w:w="960" w:type="dxa"/>
            <w:tcBorders>
              <w:top w:val="nil"/>
              <w:left w:val="nil"/>
              <w:bottom w:val="single" w:sz="4" w:space="0" w:color="auto"/>
              <w:right w:val="single" w:sz="4" w:space="0" w:color="auto"/>
            </w:tcBorders>
            <w:shd w:val="clear" w:color="auto" w:fill="auto"/>
            <w:noWrap/>
            <w:vAlign w:val="center"/>
            <w:hideMark/>
          </w:tcPr>
          <w:p w14:paraId="277809BE"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1,5576</w:t>
            </w:r>
          </w:p>
        </w:tc>
        <w:tc>
          <w:tcPr>
            <w:tcW w:w="1062" w:type="dxa"/>
            <w:tcBorders>
              <w:top w:val="nil"/>
              <w:left w:val="nil"/>
              <w:bottom w:val="single" w:sz="4" w:space="0" w:color="auto"/>
              <w:right w:val="single" w:sz="4" w:space="0" w:color="auto"/>
            </w:tcBorders>
            <w:shd w:val="clear" w:color="auto" w:fill="auto"/>
            <w:noWrap/>
            <w:vAlign w:val="center"/>
            <w:hideMark/>
          </w:tcPr>
          <w:p w14:paraId="431A97F0"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1,5576</w:t>
            </w:r>
          </w:p>
        </w:tc>
        <w:tc>
          <w:tcPr>
            <w:tcW w:w="907" w:type="dxa"/>
            <w:tcBorders>
              <w:top w:val="nil"/>
              <w:left w:val="nil"/>
              <w:bottom w:val="single" w:sz="4" w:space="0" w:color="auto"/>
              <w:right w:val="single" w:sz="4" w:space="0" w:color="auto"/>
            </w:tcBorders>
            <w:shd w:val="clear" w:color="auto" w:fill="auto"/>
            <w:noWrap/>
            <w:vAlign w:val="center"/>
            <w:hideMark/>
          </w:tcPr>
          <w:p w14:paraId="6E43AAD3"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shd w:val="clear" w:color="auto" w:fill="auto"/>
            <w:noWrap/>
            <w:vAlign w:val="center"/>
            <w:hideMark/>
          </w:tcPr>
          <w:p w14:paraId="34FD5C49"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820" w:type="dxa"/>
            <w:tcBorders>
              <w:top w:val="nil"/>
              <w:left w:val="nil"/>
              <w:bottom w:val="single" w:sz="4" w:space="0" w:color="auto"/>
              <w:right w:val="single" w:sz="4" w:space="0" w:color="auto"/>
            </w:tcBorders>
            <w:shd w:val="clear" w:color="auto" w:fill="auto"/>
            <w:noWrap/>
            <w:vAlign w:val="center"/>
            <w:hideMark/>
          </w:tcPr>
          <w:p w14:paraId="76CA2B44"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shd w:val="clear" w:color="auto" w:fill="auto"/>
            <w:noWrap/>
            <w:vAlign w:val="center"/>
            <w:hideMark/>
          </w:tcPr>
          <w:p w14:paraId="44EACC3C"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1444" w:type="dxa"/>
            <w:tcBorders>
              <w:top w:val="nil"/>
              <w:left w:val="nil"/>
              <w:bottom w:val="single" w:sz="4" w:space="0" w:color="auto"/>
              <w:right w:val="single" w:sz="4" w:space="0" w:color="auto"/>
            </w:tcBorders>
            <w:shd w:val="clear" w:color="auto" w:fill="auto"/>
            <w:noWrap/>
            <w:vAlign w:val="center"/>
            <w:hideMark/>
          </w:tcPr>
          <w:p w14:paraId="7EA9EF70"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1382" w:type="dxa"/>
            <w:tcBorders>
              <w:top w:val="nil"/>
              <w:left w:val="nil"/>
              <w:bottom w:val="single" w:sz="4" w:space="0" w:color="auto"/>
              <w:right w:val="single" w:sz="4" w:space="0" w:color="auto"/>
            </w:tcBorders>
            <w:shd w:val="clear" w:color="auto" w:fill="auto"/>
            <w:noWrap/>
            <w:vAlign w:val="center"/>
            <w:hideMark/>
          </w:tcPr>
          <w:p w14:paraId="58538D21"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shd w:val="clear" w:color="auto" w:fill="auto"/>
            <w:noWrap/>
            <w:vAlign w:val="center"/>
            <w:hideMark/>
          </w:tcPr>
          <w:p w14:paraId="185A0521"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ANO</w:t>
            </w:r>
          </w:p>
        </w:tc>
        <w:tc>
          <w:tcPr>
            <w:tcW w:w="1382" w:type="dxa"/>
            <w:tcBorders>
              <w:top w:val="nil"/>
              <w:left w:val="nil"/>
              <w:bottom w:val="single" w:sz="4" w:space="0" w:color="auto"/>
              <w:right w:val="single" w:sz="4" w:space="0" w:color="auto"/>
            </w:tcBorders>
            <w:shd w:val="clear" w:color="auto" w:fill="auto"/>
            <w:noWrap/>
            <w:vAlign w:val="center"/>
            <w:hideMark/>
          </w:tcPr>
          <w:p w14:paraId="50838A2B"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shd w:val="clear" w:color="auto" w:fill="auto"/>
            <w:noWrap/>
            <w:vAlign w:val="center"/>
            <w:hideMark/>
          </w:tcPr>
          <w:p w14:paraId="615882E3"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ANO (část)</w:t>
            </w:r>
          </w:p>
        </w:tc>
      </w:tr>
      <w:tr w:rsidR="00C162B0" w:rsidRPr="00552526" w14:paraId="4FFE8117" w14:textId="77777777" w:rsidTr="00C162B0">
        <w:trPr>
          <w:trHeight w:val="300"/>
          <w:jc w:val="center"/>
        </w:trPr>
        <w:tc>
          <w:tcPr>
            <w:tcW w:w="9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C6E941"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lastRenderedPageBreak/>
              <w:t>Z.20</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41EF28E5"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SV</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0F00C192"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0,4406</w:t>
            </w:r>
          </w:p>
        </w:tc>
        <w:tc>
          <w:tcPr>
            <w:tcW w:w="1062" w:type="dxa"/>
            <w:tcBorders>
              <w:top w:val="single" w:sz="4" w:space="0" w:color="auto"/>
              <w:left w:val="nil"/>
              <w:bottom w:val="single" w:sz="4" w:space="0" w:color="auto"/>
              <w:right w:val="single" w:sz="4" w:space="0" w:color="auto"/>
            </w:tcBorders>
            <w:shd w:val="clear" w:color="auto" w:fill="auto"/>
            <w:noWrap/>
            <w:vAlign w:val="center"/>
            <w:hideMark/>
          </w:tcPr>
          <w:p w14:paraId="2B0EB27E"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907" w:type="dxa"/>
            <w:tcBorders>
              <w:top w:val="single" w:sz="4" w:space="0" w:color="auto"/>
              <w:left w:val="nil"/>
              <w:bottom w:val="single" w:sz="4" w:space="0" w:color="auto"/>
              <w:right w:val="single" w:sz="4" w:space="0" w:color="auto"/>
            </w:tcBorders>
            <w:shd w:val="clear" w:color="auto" w:fill="auto"/>
            <w:noWrap/>
            <w:vAlign w:val="center"/>
            <w:hideMark/>
          </w:tcPr>
          <w:p w14:paraId="6DE244F1"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907" w:type="dxa"/>
            <w:tcBorders>
              <w:top w:val="single" w:sz="4" w:space="0" w:color="auto"/>
              <w:left w:val="nil"/>
              <w:bottom w:val="single" w:sz="4" w:space="0" w:color="auto"/>
              <w:right w:val="single" w:sz="4" w:space="0" w:color="auto"/>
            </w:tcBorders>
            <w:shd w:val="clear" w:color="auto" w:fill="auto"/>
            <w:noWrap/>
            <w:vAlign w:val="center"/>
            <w:hideMark/>
          </w:tcPr>
          <w:p w14:paraId="1C7BC218"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820" w:type="dxa"/>
            <w:tcBorders>
              <w:top w:val="single" w:sz="4" w:space="0" w:color="auto"/>
              <w:left w:val="nil"/>
              <w:bottom w:val="single" w:sz="4" w:space="0" w:color="auto"/>
              <w:right w:val="single" w:sz="4" w:space="0" w:color="auto"/>
            </w:tcBorders>
            <w:shd w:val="clear" w:color="auto" w:fill="auto"/>
            <w:noWrap/>
            <w:vAlign w:val="center"/>
            <w:hideMark/>
          </w:tcPr>
          <w:p w14:paraId="52D1E5F7"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0,4406</w:t>
            </w:r>
          </w:p>
        </w:tc>
        <w:tc>
          <w:tcPr>
            <w:tcW w:w="907" w:type="dxa"/>
            <w:tcBorders>
              <w:top w:val="single" w:sz="4" w:space="0" w:color="auto"/>
              <w:left w:val="nil"/>
              <w:bottom w:val="single" w:sz="4" w:space="0" w:color="auto"/>
              <w:right w:val="single" w:sz="4" w:space="0" w:color="auto"/>
            </w:tcBorders>
            <w:shd w:val="clear" w:color="auto" w:fill="auto"/>
            <w:noWrap/>
            <w:vAlign w:val="center"/>
            <w:hideMark/>
          </w:tcPr>
          <w:p w14:paraId="59700700"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1444" w:type="dxa"/>
            <w:tcBorders>
              <w:top w:val="single" w:sz="4" w:space="0" w:color="auto"/>
              <w:left w:val="nil"/>
              <w:bottom w:val="single" w:sz="4" w:space="0" w:color="auto"/>
              <w:right w:val="single" w:sz="4" w:space="0" w:color="auto"/>
            </w:tcBorders>
            <w:shd w:val="clear" w:color="auto" w:fill="auto"/>
            <w:noWrap/>
            <w:vAlign w:val="center"/>
            <w:hideMark/>
          </w:tcPr>
          <w:p w14:paraId="39C975C6"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1382" w:type="dxa"/>
            <w:tcBorders>
              <w:top w:val="single" w:sz="4" w:space="0" w:color="auto"/>
              <w:left w:val="nil"/>
              <w:bottom w:val="single" w:sz="4" w:space="0" w:color="auto"/>
              <w:right w:val="single" w:sz="4" w:space="0" w:color="auto"/>
            </w:tcBorders>
            <w:shd w:val="clear" w:color="auto" w:fill="auto"/>
            <w:noWrap/>
            <w:vAlign w:val="center"/>
            <w:hideMark/>
          </w:tcPr>
          <w:p w14:paraId="00B8008E"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single" w:sz="4" w:space="0" w:color="auto"/>
              <w:left w:val="nil"/>
              <w:bottom w:val="single" w:sz="4" w:space="0" w:color="auto"/>
              <w:right w:val="single" w:sz="4" w:space="0" w:color="auto"/>
            </w:tcBorders>
            <w:shd w:val="clear" w:color="auto" w:fill="auto"/>
            <w:noWrap/>
            <w:vAlign w:val="center"/>
            <w:hideMark/>
          </w:tcPr>
          <w:p w14:paraId="2DF9EFF9"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single" w:sz="4" w:space="0" w:color="auto"/>
              <w:left w:val="nil"/>
              <w:bottom w:val="single" w:sz="4" w:space="0" w:color="auto"/>
              <w:right w:val="single" w:sz="4" w:space="0" w:color="auto"/>
            </w:tcBorders>
            <w:shd w:val="clear" w:color="auto" w:fill="auto"/>
            <w:noWrap/>
            <w:vAlign w:val="center"/>
            <w:hideMark/>
          </w:tcPr>
          <w:p w14:paraId="6877F9A0"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single" w:sz="4" w:space="0" w:color="auto"/>
              <w:left w:val="nil"/>
              <w:bottom w:val="single" w:sz="4" w:space="0" w:color="auto"/>
              <w:right w:val="single" w:sz="4" w:space="0" w:color="auto"/>
            </w:tcBorders>
            <w:shd w:val="clear" w:color="auto" w:fill="auto"/>
            <w:noWrap/>
            <w:vAlign w:val="center"/>
            <w:hideMark/>
          </w:tcPr>
          <w:p w14:paraId="5DB0501E"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w:t>
            </w:r>
          </w:p>
        </w:tc>
      </w:tr>
      <w:tr w:rsidR="00C162B0" w:rsidRPr="00552526" w14:paraId="79354B68" w14:textId="77777777" w:rsidTr="00C162B0">
        <w:trPr>
          <w:trHeight w:val="300"/>
          <w:jc w:val="center"/>
        </w:trPr>
        <w:tc>
          <w:tcPr>
            <w:tcW w:w="959" w:type="dxa"/>
            <w:tcBorders>
              <w:top w:val="nil"/>
              <w:left w:val="single" w:sz="4" w:space="0" w:color="auto"/>
              <w:bottom w:val="single" w:sz="4" w:space="0" w:color="auto"/>
              <w:right w:val="single" w:sz="4" w:space="0" w:color="auto"/>
            </w:tcBorders>
            <w:shd w:val="clear" w:color="auto" w:fill="auto"/>
            <w:noWrap/>
            <w:vAlign w:val="center"/>
            <w:hideMark/>
          </w:tcPr>
          <w:p w14:paraId="71AB224C"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Z.21</w:t>
            </w:r>
          </w:p>
        </w:tc>
        <w:tc>
          <w:tcPr>
            <w:tcW w:w="960" w:type="dxa"/>
            <w:tcBorders>
              <w:top w:val="nil"/>
              <w:left w:val="nil"/>
              <w:bottom w:val="single" w:sz="4" w:space="0" w:color="auto"/>
              <w:right w:val="single" w:sz="4" w:space="0" w:color="auto"/>
            </w:tcBorders>
            <w:shd w:val="clear" w:color="auto" w:fill="auto"/>
            <w:noWrap/>
            <w:vAlign w:val="center"/>
            <w:hideMark/>
          </w:tcPr>
          <w:p w14:paraId="4D4FC0BC"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SV</w:t>
            </w:r>
          </w:p>
        </w:tc>
        <w:tc>
          <w:tcPr>
            <w:tcW w:w="960" w:type="dxa"/>
            <w:tcBorders>
              <w:top w:val="nil"/>
              <w:left w:val="nil"/>
              <w:bottom w:val="single" w:sz="4" w:space="0" w:color="auto"/>
              <w:right w:val="single" w:sz="4" w:space="0" w:color="auto"/>
            </w:tcBorders>
            <w:shd w:val="clear" w:color="auto" w:fill="auto"/>
            <w:noWrap/>
            <w:vAlign w:val="center"/>
            <w:hideMark/>
          </w:tcPr>
          <w:p w14:paraId="07A1C158"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0,6455</w:t>
            </w:r>
          </w:p>
        </w:tc>
        <w:tc>
          <w:tcPr>
            <w:tcW w:w="1062" w:type="dxa"/>
            <w:tcBorders>
              <w:top w:val="nil"/>
              <w:left w:val="nil"/>
              <w:bottom w:val="single" w:sz="4" w:space="0" w:color="auto"/>
              <w:right w:val="single" w:sz="4" w:space="0" w:color="auto"/>
            </w:tcBorders>
            <w:shd w:val="clear" w:color="auto" w:fill="auto"/>
            <w:noWrap/>
            <w:vAlign w:val="center"/>
            <w:hideMark/>
          </w:tcPr>
          <w:p w14:paraId="638306A9"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shd w:val="clear" w:color="auto" w:fill="auto"/>
            <w:noWrap/>
            <w:vAlign w:val="center"/>
            <w:hideMark/>
          </w:tcPr>
          <w:p w14:paraId="34A37C5A"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0,6455</w:t>
            </w:r>
          </w:p>
        </w:tc>
        <w:tc>
          <w:tcPr>
            <w:tcW w:w="907" w:type="dxa"/>
            <w:tcBorders>
              <w:top w:val="nil"/>
              <w:left w:val="nil"/>
              <w:bottom w:val="single" w:sz="4" w:space="0" w:color="auto"/>
              <w:right w:val="single" w:sz="4" w:space="0" w:color="auto"/>
            </w:tcBorders>
            <w:shd w:val="clear" w:color="auto" w:fill="auto"/>
            <w:noWrap/>
            <w:vAlign w:val="center"/>
            <w:hideMark/>
          </w:tcPr>
          <w:p w14:paraId="7EE6654E"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820" w:type="dxa"/>
            <w:tcBorders>
              <w:top w:val="nil"/>
              <w:left w:val="nil"/>
              <w:bottom w:val="single" w:sz="4" w:space="0" w:color="auto"/>
              <w:right w:val="single" w:sz="4" w:space="0" w:color="auto"/>
            </w:tcBorders>
            <w:shd w:val="clear" w:color="auto" w:fill="auto"/>
            <w:noWrap/>
            <w:vAlign w:val="center"/>
            <w:hideMark/>
          </w:tcPr>
          <w:p w14:paraId="67C94EA7"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shd w:val="clear" w:color="auto" w:fill="auto"/>
            <w:noWrap/>
            <w:vAlign w:val="center"/>
            <w:hideMark/>
          </w:tcPr>
          <w:p w14:paraId="30DB5D79"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1444" w:type="dxa"/>
            <w:tcBorders>
              <w:top w:val="nil"/>
              <w:left w:val="nil"/>
              <w:bottom w:val="single" w:sz="4" w:space="0" w:color="auto"/>
              <w:right w:val="single" w:sz="4" w:space="0" w:color="auto"/>
            </w:tcBorders>
            <w:shd w:val="clear" w:color="auto" w:fill="auto"/>
            <w:noWrap/>
            <w:vAlign w:val="center"/>
            <w:hideMark/>
          </w:tcPr>
          <w:p w14:paraId="6A9DA7A6"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1382" w:type="dxa"/>
            <w:tcBorders>
              <w:top w:val="nil"/>
              <w:left w:val="nil"/>
              <w:bottom w:val="single" w:sz="4" w:space="0" w:color="auto"/>
              <w:right w:val="single" w:sz="4" w:space="0" w:color="auto"/>
            </w:tcBorders>
            <w:shd w:val="clear" w:color="auto" w:fill="auto"/>
            <w:noWrap/>
            <w:vAlign w:val="center"/>
            <w:hideMark/>
          </w:tcPr>
          <w:p w14:paraId="3D356A17"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shd w:val="clear" w:color="auto" w:fill="auto"/>
            <w:noWrap/>
            <w:vAlign w:val="center"/>
            <w:hideMark/>
          </w:tcPr>
          <w:p w14:paraId="4533C594"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shd w:val="clear" w:color="auto" w:fill="auto"/>
            <w:noWrap/>
            <w:vAlign w:val="center"/>
            <w:hideMark/>
          </w:tcPr>
          <w:p w14:paraId="6E2F94B5"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shd w:val="clear" w:color="auto" w:fill="auto"/>
            <w:noWrap/>
            <w:vAlign w:val="center"/>
            <w:hideMark/>
          </w:tcPr>
          <w:p w14:paraId="3268CAB5"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r>
      <w:tr w:rsidR="00EF7150" w:rsidRPr="00552526" w14:paraId="5070BB21" w14:textId="77777777" w:rsidTr="00EF7150">
        <w:trPr>
          <w:trHeight w:val="300"/>
          <w:jc w:val="center"/>
        </w:trPr>
        <w:tc>
          <w:tcPr>
            <w:tcW w:w="1919" w:type="dxa"/>
            <w:gridSpan w:val="2"/>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5A8A4339" w14:textId="77777777" w:rsidR="00EF7150" w:rsidRPr="00552526" w:rsidRDefault="00EF7150" w:rsidP="00EF7150">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Σ</w:t>
            </w:r>
          </w:p>
        </w:tc>
        <w:tc>
          <w:tcPr>
            <w:tcW w:w="960" w:type="dxa"/>
            <w:tcBorders>
              <w:top w:val="nil"/>
              <w:left w:val="nil"/>
              <w:bottom w:val="single" w:sz="4" w:space="0" w:color="auto"/>
              <w:right w:val="single" w:sz="4" w:space="0" w:color="auto"/>
            </w:tcBorders>
            <w:shd w:val="clear" w:color="000000" w:fill="F2F2F2"/>
            <w:noWrap/>
            <w:vAlign w:val="center"/>
            <w:hideMark/>
          </w:tcPr>
          <w:p w14:paraId="0541D1E1" w14:textId="32889D1A" w:rsidR="00EF7150" w:rsidRPr="00EF7150" w:rsidRDefault="00EF7150" w:rsidP="00EF7150">
            <w:pPr>
              <w:spacing w:after="0" w:line="240" w:lineRule="auto"/>
              <w:jc w:val="center"/>
              <w:rPr>
                <w:rFonts w:asciiTheme="majorHAnsi" w:eastAsia="Times New Roman" w:hAnsiTheme="majorHAnsi" w:cstheme="majorHAnsi"/>
                <w:b/>
                <w:bCs/>
                <w:color w:val="000000"/>
                <w:sz w:val="18"/>
                <w:szCs w:val="18"/>
                <w:lang w:eastAsia="cs-CZ"/>
              </w:rPr>
            </w:pPr>
            <w:r w:rsidRPr="00EF7150">
              <w:rPr>
                <w:rFonts w:asciiTheme="majorHAnsi" w:hAnsiTheme="majorHAnsi" w:cstheme="majorHAnsi"/>
                <w:b/>
                <w:bCs/>
                <w:sz w:val="18"/>
                <w:szCs w:val="18"/>
              </w:rPr>
              <w:t>7,4677</w:t>
            </w:r>
          </w:p>
        </w:tc>
        <w:tc>
          <w:tcPr>
            <w:tcW w:w="1062" w:type="dxa"/>
            <w:tcBorders>
              <w:top w:val="nil"/>
              <w:left w:val="nil"/>
              <w:bottom w:val="single" w:sz="4" w:space="0" w:color="auto"/>
              <w:right w:val="single" w:sz="4" w:space="0" w:color="auto"/>
            </w:tcBorders>
            <w:shd w:val="clear" w:color="000000" w:fill="F2F2F2"/>
            <w:noWrap/>
            <w:vAlign w:val="center"/>
            <w:hideMark/>
          </w:tcPr>
          <w:p w14:paraId="491D54FE" w14:textId="1682E36A" w:rsidR="00EF7150" w:rsidRPr="00EF7150" w:rsidRDefault="00EF7150" w:rsidP="00EF7150">
            <w:pPr>
              <w:spacing w:after="0" w:line="240" w:lineRule="auto"/>
              <w:jc w:val="center"/>
              <w:rPr>
                <w:rFonts w:asciiTheme="majorHAnsi" w:eastAsia="Times New Roman" w:hAnsiTheme="majorHAnsi" w:cstheme="majorHAnsi"/>
                <w:b/>
                <w:bCs/>
                <w:color w:val="000000"/>
                <w:sz w:val="18"/>
                <w:szCs w:val="18"/>
                <w:lang w:eastAsia="cs-CZ"/>
              </w:rPr>
            </w:pPr>
            <w:r w:rsidRPr="00EF7150">
              <w:rPr>
                <w:rFonts w:asciiTheme="majorHAnsi" w:hAnsiTheme="majorHAnsi" w:cstheme="majorHAnsi"/>
                <w:b/>
                <w:bCs/>
                <w:sz w:val="18"/>
                <w:szCs w:val="18"/>
              </w:rPr>
              <w:t>5,2485</w:t>
            </w:r>
          </w:p>
        </w:tc>
        <w:tc>
          <w:tcPr>
            <w:tcW w:w="907" w:type="dxa"/>
            <w:tcBorders>
              <w:top w:val="nil"/>
              <w:left w:val="nil"/>
              <w:bottom w:val="single" w:sz="4" w:space="0" w:color="auto"/>
              <w:right w:val="single" w:sz="4" w:space="0" w:color="auto"/>
            </w:tcBorders>
            <w:shd w:val="clear" w:color="000000" w:fill="F2F2F2"/>
            <w:noWrap/>
            <w:vAlign w:val="center"/>
            <w:hideMark/>
          </w:tcPr>
          <w:p w14:paraId="05526D38" w14:textId="77777777" w:rsidR="00EF7150" w:rsidRPr="00552526" w:rsidRDefault="00EF7150" w:rsidP="00EF7150">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0,6455</w:t>
            </w:r>
          </w:p>
        </w:tc>
        <w:tc>
          <w:tcPr>
            <w:tcW w:w="907" w:type="dxa"/>
            <w:tcBorders>
              <w:top w:val="nil"/>
              <w:left w:val="nil"/>
              <w:bottom w:val="single" w:sz="4" w:space="0" w:color="auto"/>
              <w:right w:val="single" w:sz="4" w:space="0" w:color="auto"/>
            </w:tcBorders>
            <w:shd w:val="clear" w:color="000000" w:fill="F2F2F2"/>
            <w:noWrap/>
            <w:vAlign w:val="center"/>
            <w:hideMark/>
          </w:tcPr>
          <w:p w14:paraId="4634A1C2" w14:textId="77777777" w:rsidR="00EF7150" w:rsidRPr="00552526" w:rsidRDefault="00EF7150" w:rsidP="00EF7150">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0</w:t>
            </w:r>
          </w:p>
        </w:tc>
        <w:tc>
          <w:tcPr>
            <w:tcW w:w="820" w:type="dxa"/>
            <w:tcBorders>
              <w:top w:val="nil"/>
              <w:left w:val="nil"/>
              <w:bottom w:val="single" w:sz="4" w:space="0" w:color="auto"/>
              <w:right w:val="single" w:sz="4" w:space="0" w:color="auto"/>
            </w:tcBorders>
            <w:shd w:val="clear" w:color="000000" w:fill="F2F2F2"/>
            <w:noWrap/>
            <w:vAlign w:val="center"/>
            <w:hideMark/>
          </w:tcPr>
          <w:p w14:paraId="6C2E73F4" w14:textId="77777777" w:rsidR="00EF7150" w:rsidRPr="00552526" w:rsidRDefault="00EF7150" w:rsidP="00EF7150">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1,5737</w:t>
            </w:r>
          </w:p>
        </w:tc>
        <w:tc>
          <w:tcPr>
            <w:tcW w:w="907" w:type="dxa"/>
            <w:tcBorders>
              <w:top w:val="nil"/>
              <w:left w:val="nil"/>
              <w:bottom w:val="single" w:sz="4" w:space="0" w:color="auto"/>
              <w:right w:val="single" w:sz="4" w:space="0" w:color="auto"/>
            </w:tcBorders>
            <w:shd w:val="clear" w:color="000000" w:fill="F2F2F2"/>
            <w:noWrap/>
            <w:vAlign w:val="center"/>
            <w:hideMark/>
          </w:tcPr>
          <w:p w14:paraId="4D2347BC" w14:textId="77777777" w:rsidR="00EF7150" w:rsidRPr="00552526" w:rsidRDefault="00EF7150" w:rsidP="00EF7150">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0</w:t>
            </w:r>
          </w:p>
        </w:tc>
        <w:tc>
          <w:tcPr>
            <w:tcW w:w="1444" w:type="dxa"/>
            <w:tcBorders>
              <w:top w:val="nil"/>
              <w:left w:val="nil"/>
              <w:bottom w:val="single" w:sz="4" w:space="0" w:color="auto"/>
              <w:right w:val="single" w:sz="4" w:space="0" w:color="auto"/>
            </w:tcBorders>
            <w:shd w:val="clear" w:color="000000" w:fill="F2F2F2"/>
            <w:noWrap/>
            <w:vAlign w:val="center"/>
            <w:hideMark/>
          </w:tcPr>
          <w:p w14:paraId="5D83C6F2" w14:textId="77777777" w:rsidR="00EF7150" w:rsidRPr="00552526" w:rsidRDefault="00EF7150" w:rsidP="00EF7150">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0</w:t>
            </w:r>
          </w:p>
        </w:tc>
        <w:tc>
          <w:tcPr>
            <w:tcW w:w="1382" w:type="dxa"/>
            <w:tcBorders>
              <w:top w:val="nil"/>
              <w:left w:val="nil"/>
              <w:bottom w:val="single" w:sz="4" w:space="0" w:color="auto"/>
              <w:right w:val="single" w:sz="4" w:space="0" w:color="auto"/>
              <w:tr2bl w:val="single" w:sz="4" w:space="0" w:color="auto"/>
            </w:tcBorders>
            <w:shd w:val="clear" w:color="000000" w:fill="F2F2F2"/>
            <w:noWrap/>
            <w:vAlign w:val="center"/>
            <w:hideMark/>
          </w:tcPr>
          <w:p w14:paraId="23740EFA" w14:textId="77777777" w:rsidR="00EF7150" w:rsidRPr="00552526" w:rsidRDefault="00EF7150" w:rsidP="00EF7150">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 </w:t>
            </w:r>
          </w:p>
        </w:tc>
        <w:tc>
          <w:tcPr>
            <w:tcW w:w="1382" w:type="dxa"/>
            <w:tcBorders>
              <w:top w:val="nil"/>
              <w:left w:val="nil"/>
              <w:bottom w:val="single" w:sz="4" w:space="0" w:color="auto"/>
              <w:right w:val="single" w:sz="4" w:space="0" w:color="auto"/>
              <w:tr2bl w:val="single" w:sz="4" w:space="0" w:color="auto"/>
            </w:tcBorders>
            <w:shd w:val="clear" w:color="000000" w:fill="F2F2F2"/>
            <w:noWrap/>
            <w:vAlign w:val="center"/>
            <w:hideMark/>
          </w:tcPr>
          <w:p w14:paraId="366F573A" w14:textId="77777777" w:rsidR="00EF7150" w:rsidRPr="00552526" w:rsidRDefault="00EF7150" w:rsidP="00EF7150">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 </w:t>
            </w:r>
          </w:p>
        </w:tc>
        <w:tc>
          <w:tcPr>
            <w:tcW w:w="1382" w:type="dxa"/>
            <w:tcBorders>
              <w:top w:val="nil"/>
              <w:left w:val="nil"/>
              <w:bottom w:val="single" w:sz="4" w:space="0" w:color="auto"/>
              <w:right w:val="single" w:sz="4" w:space="0" w:color="auto"/>
              <w:tr2bl w:val="single" w:sz="4" w:space="0" w:color="auto"/>
            </w:tcBorders>
            <w:shd w:val="clear" w:color="000000" w:fill="F2F2F2"/>
            <w:noWrap/>
            <w:vAlign w:val="center"/>
            <w:hideMark/>
          </w:tcPr>
          <w:p w14:paraId="68720DB5" w14:textId="77777777" w:rsidR="00EF7150" w:rsidRPr="00552526" w:rsidRDefault="00EF7150" w:rsidP="00EF7150">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 </w:t>
            </w:r>
          </w:p>
        </w:tc>
        <w:tc>
          <w:tcPr>
            <w:tcW w:w="1382" w:type="dxa"/>
            <w:tcBorders>
              <w:top w:val="nil"/>
              <w:left w:val="nil"/>
              <w:bottom w:val="single" w:sz="4" w:space="0" w:color="auto"/>
              <w:right w:val="single" w:sz="4" w:space="0" w:color="auto"/>
              <w:tr2bl w:val="single" w:sz="4" w:space="0" w:color="auto"/>
            </w:tcBorders>
            <w:shd w:val="clear" w:color="000000" w:fill="F2F2F2"/>
            <w:noWrap/>
            <w:vAlign w:val="center"/>
            <w:hideMark/>
          </w:tcPr>
          <w:p w14:paraId="7A84B716" w14:textId="77777777" w:rsidR="00EF7150" w:rsidRPr="00552526" w:rsidRDefault="00EF7150" w:rsidP="00EF7150">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 </w:t>
            </w:r>
          </w:p>
        </w:tc>
      </w:tr>
      <w:tr w:rsidR="00552526" w:rsidRPr="00552526" w14:paraId="7F7C0479" w14:textId="77777777" w:rsidTr="00C162B0">
        <w:trPr>
          <w:trHeight w:val="300"/>
          <w:jc w:val="center"/>
        </w:trPr>
        <w:tc>
          <w:tcPr>
            <w:tcW w:w="14454" w:type="dxa"/>
            <w:gridSpan w:val="13"/>
            <w:tcBorders>
              <w:top w:val="single" w:sz="4" w:space="0" w:color="auto"/>
              <w:left w:val="single" w:sz="4" w:space="0" w:color="auto"/>
              <w:bottom w:val="single" w:sz="4" w:space="0" w:color="auto"/>
              <w:right w:val="single" w:sz="4" w:space="0" w:color="auto"/>
            </w:tcBorders>
            <w:shd w:val="clear" w:color="000000" w:fill="FCE4D6"/>
            <w:noWrap/>
            <w:vAlign w:val="center"/>
            <w:hideMark/>
          </w:tcPr>
          <w:p w14:paraId="0FC7CFCF"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PLOCHY TECHNICKÉ INFRASTRUKTURY</w:t>
            </w:r>
          </w:p>
        </w:tc>
      </w:tr>
      <w:tr w:rsidR="00C162B0" w:rsidRPr="00552526" w14:paraId="5C45DD11" w14:textId="77777777" w:rsidTr="00C162B0">
        <w:trPr>
          <w:trHeight w:val="300"/>
          <w:jc w:val="center"/>
        </w:trPr>
        <w:tc>
          <w:tcPr>
            <w:tcW w:w="959" w:type="dxa"/>
            <w:tcBorders>
              <w:top w:val="nil"/>
              <w:left w:val="single" w:sz="4" w:space="0" w:color="auto"/>
              <w:bottom w:val="single" w:sz="4" w:space="0" w:color="auto"/>
              <w:right w:val="single" w:sz="4" w:space="0" w:color="auto"/>
            </w:tcBorders>
            <w:shd w:val="clear" w:color="auto" w:fill="auto"/>
            <w:noWrap/>
            <w:vAlign w:val="center"/>
            <w:hideMark/>
          </w:tcPr>
          <w:p w14:paraId="53C492B6"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Z.23</w:t>
            </w:r>
          </w:p>
        </w:tc>
        <w:tc>
          <w:tcPr>
            <w:tcW w:w="960" w:type="dxa"/>
            <w:tcBorders>
              <w:top w:val="nil"/>
              <w:left w:val="nil"/>
              <w:bottom w:val="single" w:sz="4" w:space="0" w:color="auto"/>
              <w:right w:val="single" w:sz="4" w:space="0" w:color="auto"/>
            </w:tcBorders>
            <w:shd w:val="clear" w:color="auto" w:fill="auto"/>
            <w:noWrap/>
            <w:vAlign w:val="center"/>
            <w:hideMark/>
          </w:tcPr>
          <w:p w14:paraId="373D3A97"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TU</w:t>
            </w:r>
          </w:p>
        </w:tc>
        <w:tc>
          <w:tcPr>
            <w:tcW w:w="960" w:type="dxa"/>
            <w:tcBorders>
              <w:top w:val="nil"/>
              <w:left w:val="nil"/>
              <w:bottom w:val="single" w:sz="4" w:space="0" w:color="auto"/>
              <w:right w:val="single" w:sz="4" w:space="0" w:color="auto"/>
            </w:tcBorders>
            <w:shd w:val="clear" w:color="auto" w:fill="auto"/>
            <w:noWrap/>
            <w:vAlign w:val="center"/>
            <w:hideMark/>
          </w:tcPr>
          <w:p w14:paraId="42FD90F7"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0,0068</w:t>
            </w:r>
          </w:p>
        </w:tc>
        <w:tc>
          <w:tcPr>
            <w:tcW w:w="1062" w:type="dxa"/>
            <w:tcBorders>
              <w:top w:val="nil"/>
              <w:left w:val="nil"/>
              <w:bottom w:val="single" w:sz="4" w:space="0" w:color="auto"/>
              <w:right w:val="single" w:sz="4" w:space="0" w:color="auto"/>
            </w:tcBorders>
            <w:shd w:val="clear" w:color="auto" w:fill="auto"/>
            <w:noWrap/>
            <w:vAlign w:val="center"/>
            <w:hideMark/>
          </w:tcPr>
          <w:p w14:paraId="14AF32F8"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shd w:val="clear" w:color="auto" w:fill="auto"/>
            <w:noWrap/>
            <w:vAlign w:val="center"/>
            <w:hideMark/>
          </w:tcPr>
          <w:p w14:paraId="20430267"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shd w:val="clear" w:color="auto" w:fill="auto"/>
            <w:noWrap/>
            <w:vAlign w:val="center"/>
            <w:hideMark/>
          </w:tcPr>
          <w:p w14:paraId="45BFE6A2"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820" w:type="dxa"/>
            <w:tcBorders>
              <w:top w:val="nil"/>
              <w:left w:val="nil"/>
              <w:bottom w:val="single" w:sz="4" w:space="0" w:color="auto"/>
              <w:right w:val="single" w:sz="4" w:space="0" w:color="auto"/>
            </w:tcBorders>
            <w:shd w:val="clear" w:color="auto" w:fill="auto"/>
            <w:noWrap/>
            <w:vAlign w:val="center"/>
            <w:hideMark/>
          </w:tcPr>
          <w:p w14:paraId="6DFFBE0C"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0,0068</w:t>
            </w:r>
          </w:p>
        </w:tc>
        <w:tc>
          <w:tcPr>
            <w:tcW w:w="907" w:type="dxa"/>
            <w:tcBorders>
              <w:top w:val="nil"/>
              <w:left w:val="nil"/>
              <w:bottom w:val="single" w:sz="4" w:space="0" w:color="auto"/>
              <w:right w:val="single" w:sz="4" w:space="0" w:color="auto"/>
            </w:tcBorders>
            <w:shd w:val="clear" w:color="auto" w:fill="auto"/>
            <w:noWrap/>
            <w:vAlign w:val="center"/>
            <w:hideMark/>
          </w:tcPr>
          <w:p w14:paraId="072AD377"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1444" w:type="dxa"/>
            <w:tcBorders>
              <w:top w:val="nil"/>
              <w:left w:val="nil"/>
              <w:bottom w:val="single" w:sz="4" w:space="0" w:color="auto"/>
              <w:right w:val="single" w:sz="4" w:space="0" w:color="auto"/>
            </w:tcBorders>
            <w:shd w:val="clear" w:color="auto" w:fill="auto"/>
            <w:noWrap/>
            <w:vAlign w:val="center"/>
            <w:hideMark/>
          </w:tcPr>
          <w:p w14:paraId="10FF2E83"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1382" w:type="dxa"/>
            <w:tcBorders>
              <w:top w:val="nil"/>
              <w:left w:val="nil"/>
              <w:bottom w:val="single" w:sz="4" w:space="0" w:color="auto"/>
              <w:right w:val="single" w:sz="4" w:space="0" w:color="auto"/>
            </w:tcBorders>
            <w:shd w:val="clear" w:color="auto" w:fill="auto"/>
            <w:noWrap/>
            <w:vAlign w:val="center"/>
            <w:hideMark/>
          </w:tcPr>
          <w:p w14:paraId="28A8067F"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shd w:val="clear" w:color="auto" w:fill="auto"/>
            <w:noWrap/>
            <w:vAlign w:val="center"/>
            <w:hideMark/>
          </w:tcPr>
          <w:p w14:paraId="510E04BC"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shd w:val="clear" w:color="auto" w:fill="auto"/>
            <w:noWrap/>
            <w:vAlign w:val="center"/>
            <w:hideMark/>
          </w:tcPr>
          <w:p w14:paraId="21D88EE5"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shd w:val="clear" w:color="auto" w:fill="auto"/>
            <w:noWrap/>
            <w:vAlign w:val="center"/>
            <w:hideMark/>
          </w:tcPr>
          <w:p w14:paraId="0BEE9E91"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w:t>
            </w:r>
          </w:p>
        </w:tc>
      </w:tr>
      <w:tr w:rsidR="00552526" w:rsidRPr="00552526" w14:paraId="3B258868" w14:textId="77777777" w:rsidTr="00C162B0">
        <w:trPr>
          <w:trHeight w:val="300"/>
          <w:jc w:val="center"/>
        </w:trPr>
        <w:tc>
          <w:tcPr>
            <w:tcW w:w="1919" w:type="dxa"/>
            <w:gridSpan w:val="2"/>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7F3EBE72"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Σ</w:t>
            </w:r>
          </w:p>
        </w:tc>
        <w:tc>
          <w:tcPr>
            <w:tcW w:w="960" w:type="dxa"/>
            <w:tcBorders>
              <w:top w:val="nil"/>
              <w:left w:val="nil"/>
              <w:bottom w:val="single" w:sz="4" w:space="0" w:color="auto"/>
              <w:right w:val="single" w:sz="4" w:space="0" w:color="auto"/>
            </w:tcBorders>
            <w:shd w:val="clear" w:color="000000" w:fill="F2F2F2"/>
            <w:noWrap/>
            <w:vAlign w:val="center"/>
            <w:hideMark/>
          </w:tcPr>
          <w:p w14:paraId="251D237C"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0,0068</w:t>
            </w:r>
          </w:p>
        </w:tc>
        <w:tc>
          <w:tcPr>
            <w:tcW w:w="1062" w:type="dxa"/>
            <w:tcBorders>
              <w:top w:val="nil"/>
              <w:left w:val="nil"/>
              <w:bottom w:val="single" w:sz="4" w:space="0" w:color="auto"/>
              <w:right w:val="single" w:sz="4" w:space="0" w:color="auto"/>
            </w:tcBorders>
            <w:shd w:val="clear" w:color="000000" w:fill="F2F2F2"/>
            <w:noWrap/>
            <w:vAlign w:val="center"/>
            <w:hideMark/>
          </w:tcPr>
          <w:p w14:paraId="69E7207D"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0</w:t>
            </w:r>
          </w:p>
        </w:tc>
        <w:tc>
          <w:tcPr>
            <w:tcW w:w="907" w:type="dxa"/>
            <w:tcBorders>
              <w:top w:val="nil"/>
              <w:left w:val="nil"/>
              <w:bottom w:val="single" w:sz="4" w:space="0" w:color="auto"/>
              <w:right w:val="single" w:sz="4" w:space="0" w:color="auto"/>
            </w:tcBorders>
            <w:shd w:val="clear" w:color="000000" w:fill="F2F2F2"/>
            <w:noWrap/>
            <w:vAlign w:val="center"/>
            <w:hideMark/>
          </w:tcPr>
          <w:p w14:paraId="62D65072"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0</w:t>
            </w:r>
          </w:p>
        </w:tc>
        <w:tc>
          <w:tcPr>
            <w:tcW w:w="907" w:type="dxa"/>
            <w:tcBorders>
              <w:top w:val="nil"/>
              <w:left w:val="nil"/>
              <w:bottom w:val="single" w:sz="4" w:space="0" w:color="auto"/>
              <w:right w:val="single" w:sz="4" w:space="0" w:color="auto"/>
            </w:tcBorders>
            <w:shd w:val="clear" w:color="000000" w:fill="F2F2F2"/>
            <w:noWrap/>
            <w:vAlign w:val="center"/>
            <w:hideMark/>
          </w:tcPr>
          <w:p w14:paraId="52D91AFA"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0</w:t>
            </w:r>
          </w:p>
        </w:tc>
        <w:tc>
          <w:tcPr>
            <w:tcW w:w="820" w:type="dxa"/>
            <w:tcBorders>
              <w:top w:val="nil"/>
              <w:left w:val="nil"/>
              <w:bottom w:val="single" w:sz="4" w:space="0" w:color="auto"/>
              <w:right w:val="single" w:sz="4" w:space="0" w:color="auto"/>
            </w:tcBorders>
            <w:shd w:val="clear" w:color="000000" w:fill="F2F2F2"/>
            <w:noWrap/>
            <w:vAlign w:val="center"/>
            <w:hideMark/>
          </w:tcPr>
          <w:p w14:paraId="6DECC26F"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0,0068</w:t>
            </w:r>
          </w:p>
        </w:tc>
        <w:tc>
          <w:tcPr>
            <w:tcW w:w="907" w:type="dxa"/>
            <w:tcBorders>
              <w:top w:val="nil"/>
              <w:left w:val="nil"/>
              <w:bottom w:val="single" w:sz="4" w:space="0" w:color="auto"/>
              <w:right w:val="single" w:sz="4" w:space="0" w:color="auto"/>
            </w:tcBorders>
            <w:shd w:val="clear" w:color="000000" w:fill="F2F2F2"/>
            <w:noWrap/>
            <w:vAlign w:val="center"/>
            <w:hideMark/>
          </w:tcPr>
          <w:p w14:paraId="2EEBFF75"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0</w:t>
            </w:r>
          </w:p>
        </w:tc>
        <w:tc>
          <w:tcPr>
            <w:tcW w:w="1444" w:type="dxa"/>
            <w:tcBorders>
              <w:top w:val="nil"/>
              <w:left w:val="nil"/>
              <w:bottom w:val="single" w:sz="4" w:space="0" w:color="auto"/>
              <w:right w:val="single" w:sz="4" w:space="0" w:color="auto"/>
            </w:tcBorders>
            <w:shd w:val="clear" w:color="000000" w:fill="F2F2F2"/>
            <w:noWrap/>
            <w:vAlign w:val="center"/>
            <w:hideMark/>
          </w:tcPr>
          <w:p w14:paraId="2EB3EAF8"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0</w:t>
            </w:r>
          </w:p>
        </w:tc>
        <w:tc>
          <w:tcPr>
            <w:tcW w:w="1382" w:type="dxa"/>
            <w:tcBorders>
              <w:top w:val="nil"/>
              <w:left w:val="nil"/>
              <w:bottom w:val="single" w:sz="4" w:space="0" w:color="auto"/>
              <w:right w:val="single" w:sz="4" w:space="0" w:color="auto"/>
              <w:tr2bl w:val="single" w:sz="4" w:space="0" w:color="auto"/>
            </w:tcBorders>
            <w:shd w:val="clear" w:color="000000" w:fill="F2F2F2"/>
            <w:noWrap/>
            <w:vAlign w:val="center"/>
            <w:hideMark/>
          </w:tcPr>
          <w:p w14:paraId="474A002A"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 </w:t>
            </w:r>
          </w:p>
        </w:tc>
        <w:tc>
          <w:tcPr>
            <w:tcW w:w="1382" w:type="dxa"/>
            <w:tcBorders>
              <w:top w:val="nil"/>
              <w:left w:val="nil"/>
              <w:bottom w:val="single" w:sz="4" w:space="0" w:color="auto"/>
              <w:right w:val="single" w:sz="4" w:space="0" w:color="auto"/>
              <w:tr2bl w:val="single" w:sz="4" w:space="0" w:color="auto"/>
            </w:tcBorders>
            <w:shd w:val="clear" w:color="000000" w:fill="F2F2F2"/>
            <w:noWrap/>
            <w:vAlign w:val="center"/>
            <w:hideMark/>
          </w:tcPr>
          <w:p w14:paraId="7CF51D73"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 </w:t>
            </w:r>
          </w:p>
        </w:tc>
        <w:tc>
          <w:tcPr>
            <w:tcW w:w="1382" w:type="dxa"/>
            <w:tcBorders>
              <w:top w:val="nil"/>
              <w:left w:val="nil"/>
              <w:bottom w:val="single" w:sz="4" w:space="0" w:color="auto"/>
              <w:right w:val="single" w:sz="4" w:space="0" w:color="auto"/>
              <w:tr2bl w:val="single" w:sz="4" w:space="0" w:color="auto"/>
            </w:tcBorders>
            <w:shd w:val="clear" w:color="000000" w:fill="F2F2F2"/>
            <w:noWrap/>
            <w:vAlign w:val="center"/>
            <w:hideMark/>
          </w:tcPr>
          <w:p w14:paraId="6277CEF1"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 </w:t>
            </w:r>
          </w:p>
        </w:tc>
        <w:tc>
          <w:tcPr>
            <w:tcW w:w="1382" w:type="dxa"/>
            <w:tcBorders>
              <w:top w:val="nil"/>
              <w:left w:val="nil"/>
              <w:bottom w:val="single" w:sz="4" w:space="0" w:color="auto"/>
              <w:right w:val="single" w:sz="4" w:space="0" w:color="auto"/>
              <w:tr2bl w:val="single" w:sz="4" w:space="0" w:color="auto"/>
            </w:tcBorders>
            <w:shd w:val="clear" w:color="000000" w:fill="F2F2F2"/>
            <w:noWrap/>
            <w:vAlign w:val="center"/>
            <w:hideMark/>
          </w:tcPr>
          <w:p w14:paraId="294AF1A8"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 </w:t>
            </w:r>
          </w:p>
        </w:tc>
      </w:tr>
      <w:tr w:rsidR="00552526" w:rsidRPr="00552526" w14:paraId="4ACD00B1" w14:textId="77777777" w:rsidTr="00C162B0">
        <w:trPr>
          <w:trHeight w:val="300"/>
          <w:jc w:val="center"/>
        </w:trPr>
        <w:tc>
          <w:tcPr>
            <w:tcW w:w="14454" w:type="dxa"/>
            <w:gridSpan w:val="13"/>
            <w:tcBorders>
              <w:top w:val="single" w:sz="4" w:space="0" w:color="auto"/>
              <w:left w:val="single" w:sz="4" w:space="0" w:color="auto"/>
              <w:bottom w:val="single" w:sz="4" w:space="0" w:color="auto"/>
              <w:right w:val="single" w:sz="4" w:space="0" w:color="auto"/>
            </w:tcBorders>
            <w:shd w:val="clear" w:color="000000" w:fill="FCE4D6"/>
            <w:noWrap/>
            <w:vAlign w:val="center"/>
            <w:hideMark/>
          </w:tcPr>
          <w:p w14:paraId="29EED779"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PLOCHY VÝROBY A SKLADOVÁNÍ</w:t>
            </w:r>
          </w:p>
        </w:tc>
      </w:tr>
      <w:tr w:rsidR="00C162B0" w:rsidRPr="00552526" w14:paraId="700D2E19" w14:textId="77777777" w:rsidTr="00C162B0">
        <w:trPr>
          <w:trHeight w:val="300"/>
          <w:jc w:val="center"/>
        </w:trPr>
        <w:tc>
          <w:tcPr>
            <w:tcW w:w="959" w:type="dxa"/>
            <w:tcBorders>
              <w:top w:val="nil"/>
              <w:left w:val="single" w:sz="4" w:space="0" w:color="auto"/>
              <w:bottom w:val="single" w:sz="4" w:space="0" w:color="auto"/>
              <w:right w:val="single" w:sz="4" w:space="0" w:color="auto"/>
            </w:tcBorders>
            <w:shd w:val="clear" w:color="auto" w:fill="auto"/>
            <w:noWrap/>
            <w:vAlign w:val="center"/>
            <w:hideMark/>
          </w:tcPr>
          <w:p w14:paraId="35A067EF"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Z.13</w:t>
            </w:r>
          </w:p>
        </w:tc>
        <w:tc>
          <w:tcPr>
            <w:tcW w:w="960" w:type="dxa"/>
            <w:tcBorders>
              <w:top w:val="nil"/>
              <w:left w:val="nil"/>
              <w:bottom w:val="single" w:sz="4" w:space="0" w:color="auto"/>
              <w:right w:val="single" w:sz="4" w:space="0" w:color="auto"/>
            </w:tcBorders>
            <w:shd w:val="clear" w:color="auto" w:fill="auto"/>
            <w:noWrap/>
            <w:vAlign w:val="center"/>
            <w:hideMark/>
          </w:tcPr>
          <w:p w14:paraId="65C0094C"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VL</w:t>
            </w:r>
          </w:p>
        </w:tc>
        <w:tc>
          <w:tcPr>
            <w:tcW w:w="960" w:type="dxa"/>
            <w:tcBorders>
              <w:top w:val="nil"/>
              <w:left w:val="nil"/>
              <w:bottom w:val="single" w:sz="4" w:space="0" w:color="auto"/>
              <w:right w:val="single" w:sz="4" w:space="0" w:color="auto"/>
            </w:tcBorders>
            <w:shd w:val="clear" w:color="auto" w:fill="auto"/>
            <w:noWrap/>
            <w:vAlign w:val="center"/>
            <w:hideMark/>
          </w:tcPr>
          <w:p w14:paraId="1331A1C5" w14:textId="682721ED" w:rsidR="00552526" w:rsidRPr="00552526" w:rsidRDefault="00AC3D3F" w:rsidP="00552526">
            <w:pPr>
              <w:spacing w:after="0" w:line="240" w:lineRule="auto"/>
              <w:jc w:val="center"/>
              <w:rPr>
                <w:rFonts w:ascii="Calibri Light" w:eastAsia="Times New Roman" w:hAnsi="Calibri Light" w:cs="Calibri Light"/>
                <w:color w:val="000000"/>
                <w:sz w:val="18"/>
                <w:szCs w:val="18"/>
                <w:lang w:eastAsia="cs-CZ"/>
              </w:rPr>
            </w:pPr>
            <w:r>
              <w:rPr>
                <w:rFonts w:ascii="Calibri Light" w:eastAsia="Times New Roman" w:hAnsi="Calibri Light" w:cs="Calibri Light"/>
                <w:color w:val="000000"/>
                <w:sz w:val="18"/>
                <w:szCs w:val="18"/>
                <w:lang w:eastAsia="cs-CZ"/>
              </w:rPr>
              <w:t>2,1064</w:t>
            </w:r>
          </w:p>
        </w:tc>
        <w:tc>
          <w:tcPr>
            <w:tcW w:w="1062" w:type="dxa"/>
            <w:tcBorders>
              <w:top w:val="nil"/>
              <w:left w:val="nil"/>
              <w:bottom w:val="single" w:sz="4" w:space="0" w:color="auto"/>
              <w:right w:val="single" w:sz="4" w:space="0" w:color="auto"/>
            </w:tcBorders>
            <w:shd w:val="clear" w:color="auto" w:fill="auto"/>
            <w:noWrap/>
            <w:vAlign w:val="center"/>
            <w:hideMark/>
          </w:tcPr>
          <w:p w14:paraId="7217D163" w14:textId="13766C3A" w:rsidR="00552526" w:rsidRPr="00552526" w:rsidRDefault="00AC3D3F" w:rsidP="00552526">
            <w:pPr>
              <w:spacing w:after="0" w:line="240" w:lineRule="auto"/>
              <w:jc w:val="center"/>
              <w:rPr>
                <w:rFonts w:ascii="Calibri Light" w:eastAsia="Times New Roman" w:hAnsi="Calibri Light" w:cs="Calibri Light"/>
                <w:color w:val="000000"/>
                <w:sz w:val="18"/>
                <w:szCs w:val="18"/>
                <w:lang w:eastAsia="cs-CZ"/>
              </w:rPr>
            </w:pPr>
            <w:r>
              <w:rPr>
                <w:rFonts w:ascii="Calibri Light" w:eastAsia="Times New Roman" w:hAnsi="Calibri Light" w:cs="Calibri Light"/>
                <w:color w:val="000000"/>
                <w:sz w:val="18"/>
                <w:szCs w:val="18"/>
                <w:lang w:eastAsia="cs-CZ"/>
              </w:rPr>
              <w:t>0,5943</w:t>
            </w:r>
          </w:p>
        </w:tc>
        <w:tc>
          <w:tcPr>
            <w:tcW w:w="907" w:type="dxa"/>
            <w:tcBorders>
              <w:top w:val="nil"/>
              <w:left w:val="nil"/>
              <w:bottom w:val="single" w:sz="4" w:space="0" w:color="auto"/>
              <w:right w:val="single" w:sz="4" w:space="0" w:color="auto"/>
            </w:tcBorders>
            <w:shd w:val="clear" w:color="auto" w:fill="auto"/>
            <w:noWrap/>
            <w:vAlign w:val="center"/>
            <w:hideMark/>
          </w:tcPr>
          <w:p w14:paraId="16C8C678"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shd w:val="clear" w:color="auto" w:fill="auto"/>
            <w:noWrap/>
            <w:vAlign w:val="center"/>
            <w:hideMark/>
          </w:tcPr>
          <w:p w14:paraId="2F7294AE" w14:textId="416F8912" w:rsidR="00552526" w:rsidRPr="00552526" w:rsidRDefault="00AC3D3F" w:rsidP="00552526">
            <w:pPr>
              <w:spacing w:after="0" w:line="240" w:lineRule="auto"/>
              <w:jc w:val="center"/>
              <w:rPr>
                <w:rFonts w:ascii="Calibri Light" w:eastAsia="Times New Roman" w:hAnsi="Calibri Light" w:cs="Calibri Light"/>
                <w:color w:val="000000"/>
                <w:sz w:val="18"/>
                <w:szCs w:val="18"/>
                <w:lang w:eastAsia="cs-CZ"/>
              </w:rPr>
            </w:pPr>
            <w:r>
              <w:rPr>
                <w:rFonts w:ascii="Calibri Light" w:eastAsia="Times New Roman" w:hAnsi="Calibri Light" w:cs="Calibri Light"/>
                <w:color w:val="000000"/>
                <w:sz w:val="18"/>
                <w:szCs w:val="18"/>
                <w:lang w:eastAsia="cs-CZ"/>
              </w:rPr>
              <w:t>0,9231</w:t>
            </w:r>
          </w:p>
        </w:tc>
        <w:tc>
          <w:tcPr>
            <w:tcW w:w="820" w:type="dxa"/>
            <w:tcBorders>
              <w:top w:val="nil"/>
              <w:left w:val="nil"/>
              <w:bottom w:val="single" w:sz="4" w:space="0" w:color="auto"/>
              <w:right w:val="single" w:sz="4" w:space="0" w:color="auto"/>
            </w:tcBorders>
            <w:shd w:val="clear" w:color="auto" w:fill="auto"/>
            <w:noWrap/>
            <w:vAlign w:val="center"/>
            <w:hideMark/>
          </w:tcPr>
          <w:p w14:paraId="59BE9BB2"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0,589</w:t>
            </w:r>
          </w:p>
        </w:tc>
        <w:tc>
          <w:tcPr>
            <w:tcW w:w="907" w:type="dxa"/>
            <w:tcBorders>
              <w:top w:val="nil"/>
              <w:left w:val="nil"/>
              <w:bottom w:val="single" w:sz="4" w:space="0" w:color="auto"/>
              <w:right w:val="single" w:sz="4" w:space="0" w:color="auto"/>
            </w:tcBorders>
            <w:shd w:val="clear" w:color="auto" w:fill="auto"/>
            <w:noWrap/>
            <w:vAlign w:val="center"/>
            <w:hideMark/>
          </w:tcPr>
          <w:p w14:paraId="0067D642"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1444" w:type="dxa"/>
            <w:tcBorders>
              <w:top w:val="nil"/>
              <w:left w:val="nil"/>
              <w:bottom w:val="single" w:sz="4" w:space="0" w:color="auto"/>
              <w:right w:val="single" w:sz="4" w:space="0" w:color="auto"/>
            </w:tcBorders>
            <w:shd w:val="clear" w:color="auto" w:fill="auto"/>
            <w:noWrap/>
            <w:vAlign w:val="center"/>
            <w:hideMark/>
          </w:tcPr>
          <w:p w14:paraId="2A93463E"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1382" w:type="dxa"/>
            <w:tcBorders>
              <w:top w:val="nil"/>
              <w:left w:val="nil"/>
              <w:bottom w:val="single" w:sz="4" w:space="0" w:color="auto"/>
              <w:right w:val="single" w:sz="4" w:space="0" w:color="auto"/>
            </w:tcBorders>
            <w:shd w:val="clear" w:color="auto" w:fill="auto"/>
            <w:noWrap/>
            <w:vAlign w:val="center"/>
            <w:hideMark/>
          </w:tcPr>
          <w:p w14:paraId="6EFA8F11"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shd w:val="clear" w:color="auto" w:fill="auto"/>
            <w:noWrap/>
            <w:vAlign w:val="center"/>
            <w:hideMark/>
          </w:tcPr>
          <w:p w14:paraId="1D4F5F89"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shd w:val="clear" w:color="auto" w:fill="auto"/>
            <w:noWrap/>
            <w:vAlign w:val="center"/>
            <w:hideMark/>
          </w:tcPr>
          <w:p w14:paraId="0910D507"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shd w:val="clear" w:color="auto" w:fill="auto"/>
            <w:noWrap/>
            <w:vAlign w:val="center"/>
            <w:hideMark/>
          </w:tcPr>
          <w:p w14:paraId="65C9213E"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ANO</w:t>
            </w:r>
          </w:p>
        </w:tc>
      </w:tr>
      <w:tr w:rsidR="00552526" w:rsidRPr="00552526" w14:paraId="2118A45F" w14:textId="77777777" w:rsidTr="00C162B0">
        <w:trPr>
          <w:trHeight w:val="300"/>
          <w:jc w:val="center"/>
        </w:trPr>
        <w:tc>
          <w:tcPr>
            <w:tcW w:w="1919" w:type="dxa"/>
            <w:gridSpan w:val="2"/>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44AE6879"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Σ</w:t>
            </w:r>
          </w:p>
        </w:tc>
        <w:tc>
          <w:tcPr>
            <w:tcW w:w="960" w:type="dxa"/>
            <w:tcBorders>
              <w:top w:val="nil"/>
              <w:left w:val="nil"/>
              <w:bottom w:val="single" w:sz="4" w:space="0" w:color="auto"/>
              <w:right w:val="single" w:sz="4" w:space="0" w:color="auto"/>
            </w:tcBorders>
            <w:shd w:val="clear" w:color="000000" w:fill="F2F2F2"/>
            <w:noWrap/>
            <w:vAlign w:val="center"/>
            <w:hideMark/>
          </w:tcPr>
          <w:p w14:paraId="71EAB94E" w14:textId="7E797597" w:rsidR="00552526" w:rsidRPr="00552526" w:rsidRDefault="00A95984" w:rsidP="00552526">
            <w:pPr>
              <w:spacing w:after="0" w:line="240" w:lineRule="auto"/>
              <w:jc w:val="center"/>
              <w:rPr>
                <w:rFonts w:ascii="Calibri Light" w:eastAsia="Times New Roman" w:hAnsi="Calibri Light" w:cs="Calibri Light"/>
                <w:b/>
                <w:bCs/>
                <w:color w:val="000000"/>
                <w:sz w:val="18"/>
                <w:szCs w:val="18"/>
                <w:lang w:eastAsia="cs-CZ"/>
              </w:rPr>
            </w:pPr>
            <w:r>
              <w:rPr>
                <w:rFonts w:ascii="Calibri Light" w:eastAsia="Times New Roman" w:hAnsi="Calibri Light" w:cs="Calibri Light"/>
                <w:b/>
                <w:bCs/>
                <w:color w:val="000000"/>
                <w:sz w:val="18"/>
                <w:szCs w:val="18"/>
                <w:lang w:eastAsia="cs-CZ"/>
              </w:rPr>
              <w:t>2,1064</w:t>
            </w:r>
          </w:p>
        </w:tc>
        <w:tc>
          <w:tcPr>
            <w:tcW w:w="1062" w:type="dxa"/>
            <w:tcBorders>
              <w:top w:val="nil"/>
              <w:left w:val="nil"/>
              <w:bottom w:val="single" w:sz="4" w:space="0" w:color="auto"/>
              <w:right w:val="single" w:sz="4" w:space="0" w:color="auto"/>
            </w:tcBorders>
            <w:shd w:val="clear" w:color="000000" w:fill="F2F2F2"/>
            <w:noWrap/>
            <w:vAlign w:val="center"/>
            <w:hideMark/>
          </w:tcPr>
          <w:p w14:paraId="54D3CCE3" w14:textId="4EA2384A" w:rsidR="00552526" w:rsidRPr="00552526" w:rsidRDefault="00A95984" w:rsidP="00552526">
            <w:pPr>
              <w:spacing w:after="0" w:line="240" w:lineRule="auto"/>
              <w:jc w:val="center"/>
              <w:rPr>
                <w:rFonts w:ascii="Calibri Light" w:eastAsia="Times New Roman" w:hAnsi="Calibri Light" w:cs="Calibri Light"/>
                <w:b/>
                <w:bCs/>
                <w:color w:val="000000"/>
                <w:sz w:val="18"/>
                <w:szCs w:val="18"/>
                <w:lang w:eastAsia="cs-CZ"/>
              </w:rPr>
            </w:pPr>
            <w:r>
              <w:rPr>
                <w:rFonts w:ascii="Calibri Light" w:eastAsia="Times New Roman" w:hAnsi="Calibri Light" w:cs="Calibri Light"/>
                <w:b/>
                <w:bCs/>
                <w:color w:val="000000"/>
                <w:sz w:val="18"/>
                <w:szCs w:val="18"/>
                <w:lang w:eastAsia="cs-CZ"/>
              </w:rPr>
              <w:t>0,5943</w:t>
            </w:r>
          </w:p>
        </w:tc>
        <w:tc>
          <w:tcPr>
            <w:tcW w:w="907" w:type="dxa"/>
            <w:tcBorders>
              <w:top w:val="nil"/>
              <w:left w:val="nil"/>
              <w:bottom w:val="single" w:sz="4" w:space="0" w:color="auto"/>
              <w:right w:val="single" w:sz="4" w:space="0" w:color="auto"/>
            </w:tcBorders>
            <w:shd w:val="clear" w:color="000000" w:fill="F2F2F2"/>
            <w:noWrap/>
            <w:vAlign w:val="center"/>
            <w:hideMark/>
          </w:tcPr>
          <w:p w14:paraId="5C67FB80"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0</w:t>
            </w:r>
          </w:p>
        </w:tc>
        <w:tc>
          <w:tcPr>
            <w:tcW w:w="907" w:type="dxa"/>
            <w:tcBorders>
              <w:top w:val="nil"/>
              <w:left w:val="nil"/>
              <w:bottom w:val="single" w:sz="4" w:space="0" w:color="auto"/>
              <w:right w:val="single" w:sz="4" w:space="0" w:color="auto"/>
            </w:tcBorders>
            <w:shd w:val="clear" w:color="000000" w:fill="F2F2F2"/>
            <w:noWrap/>
            <w:vAlign w:val="center"/>
            <w:hideMark/>
          </w:tcPr>
          <w:p w14:paraId="1C2851F1" w14:textId="6B3B8123" w:rsidR="00552526" w:rsidRPr="00552526" w:rsidRDefault="00A95984" w:rsidP="00552526">
            <w:pPr>
              <w:spacing w:after="0" w:line="240" w:lineRule="auto"/>
              <w:jc w:val="center"/>
              <w:rPr>
                <w:rFonts w:ascii="Calibri Light" w:eastAsia="Times New Roman" w:hAnsi="Calibri Light" w:cs="Calibri Light"/>
                <w:b/>
                <w:bCs/>
                <w:color w:val="000000"/>
                <w:sz w:val="18"/>
                <w:szCs w:val="18"/>
                <w:lang w:eastAsia="cs-CZ"/>
              </w:rPr>
            </w:pPr>
            <w:r>
              <w:rPr>
                <w:rFonts w:ascii="Calibri Light" w:eastAsia="Times New Roman" w:hAnsi="Calibri Light" w:cs="Calibri Light"/>
                <w:b/>
                <w:bCs/>
                <w:color w:val="000000"/>
                <w:sz w:val="18"/>
                <w:szCs w:val="18"/>
                <w:lang w:eastAsia="cs-CZ"/>
              </w:rPr>
              <w:t>0,9231</w:t>
            </w:r>
          </w:p>
        </w:tc>
        <w:tc>
          <w:tcPr>
            <w:tcW w:w="820" w:type="dxa"/>
            <w:tcBorders>
              <w:top w:val="nil"/>
              <w:left w:val="nil"/>
              <w:bottom w:val="single" w:sz="4" w:space="0" w:color="auto"/>
              <w:right w:val="single" w:sz="4" w:space="0" w:color="auto"/>
            </w:tcBorders>
            <w:shd w:val="clear" w:color="000000" w:fill="F2F2F2"/>
            <w:noWrap/>
            <w:vAlign w:val="center"/>
            <w:hideMark/>
          </w:tcPr>
          <w:p w14:paraId="51DC485E"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0,589</w:t>
            </w:r>
          </w:p>
        </w:tc>
        <w:tc>
          <w:tcPr>
            <w:tcW w:w="907" w:type="dxa"/>
            <w:tcBorders>
              <w:top w:val="nil"/>
              <w:left w:val="nil"/>
              <w:bottom w:val="single" w:sz="4" w:space="0" w:color="auto"/>
              <w:right w:val="single" w:sz="4" w:space="0" w:color="auto"/>
            </w:tcBorders>
            <w:shd w:val="clear" w:color="000000" w:fill="F2F2F2"/>
            <w:noWrap/>
            <w:vAlign w:val="center"/>
            <w:hideMark/>
          </w:tcPr>
          <w:p w14:paraId="0AD1125F"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0</w:t>
            </w:r>
          </w:p>
        </w:tc>
        <w:tc>
          <w:tcPr>
            <w:tcW w:w="1444" w:type="dxa"/>
            <w:tcBorders>
              <w:top w:val="nil"/>
              <w:left w:val="nil"/>
              <w:bottom w:val="single" w:sz="4" w:space="0" w:color="auto"/>
              <w:right w:val="single" w:sz="4" w:space="0" w:color="auto"/>
            </w:tcBorders>
            <w:shd w:val="clear" w:color="000000" w:fill="F2F2F2"/>
            <w:noWrap/>
            <w:vAlign w:val="center"/>
            <w:hideMark/>
          </w:tcPr>
          <w:p w14:paraId="11BA8049"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0</w:t>
            </w:r>
          </w:p>
        </w:tc>
        <w:tc>
          <w:tcPr>
            <w:tcW w:w="1382" w:type="dxa"/>
            <w:tcBorders>
              <w:top w:val="nil"/>
              <w:left w:val="nil"/>
              <w:bottom w:val="single" w:sz="4" w:space="0" w:color="auto"/>
              <w:right w:val="single" w:sz="4" w:space="0" w:color="auto"/>
              <w:tr2bl w:val="single" w:sz="4" w:space="0" w:color="auto"/>
            </w:tcBorders>
            <w:shd w:val="clear" w:color="000000" w:fill="F2F2F2"/>
            <w:noWrap/>
            <w:vAlign w:val="center"/>
            <w:hideMark/>
          </w:tcPr>
          <w:p w14:paraId="3AD825B8"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 </w:t>
            </w:r>
          </w:p>
        </w:tc>
        <w:tc>
          <w:tcPr>
            <w:tcW w:w="1382" w:type="dxa"/>
            <w:tcBorders>
              <w:top w:val="nil"/>
              <w:left w:val="nil"/>
              <w:bottom w:val="single" w:sz="4" w:space="0" w:color="auto"/>
              <w:right w:val="single" w:sz="4" w:space="0" w:color="auto"/>
              <w:tr2bl w:val="single" w:sz="4" w:space="0" w:color="auto"/>
            </w:tcBorders>
            <w:shd w:val="clear" w:color="000000" w:fill="F2F2F2"/>
            <w:noWrap/>
            <w:vAlign w:val="center"/>
            <w:hideMark/>
          </w:tcPr>
          <w:p w14:paraId="112BDC56"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 </w:t>
            </w:r>
          </w:p>
        </w:tc>
        <w:tc>
          <w:tcPr>
            <w:tcW w:w="1382" w:type="dxa"/>
            <w:tcBorders>
              <w:top w:val="nil"/>
              <w:left w:val="nil"/>
              <w:bottom w:val="single" w:sz="4" w:space="0" w:color="auto"/>
              <w:right w:val="single" w:sz="4" w:space="0" w:color="auto"/>
              <w:tr2bl w:val="single" w:sz="4" w:space="0" w:color="auto"/>
            </w:tcBorders>
            <w:shd w:val="clear" w:color="000000" w:fill="F2F2F2"/>
            <w:noWrap/>
            <w:vAlign w:val="center"/>
            <w:hideMark/>
          </w:tcPr>
          <w:p w14:paraId="5AB09693"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 </w:t>
            </w:r>
          </w:p>
        </w:tc>
        <w:tc>
          <w:tcPr>
            <w:tcW w:w="1382" w:type="dxa"/>
            <w:tcBorders>
              <w:top w:val="nil"/>
              <w:left w:val="nil"/>
              <w:bottom w:val="single" w:sz="4" w:space="0" w:color="auto"/>
              <w:right w:val="single" w:sz="4" w:space="0" w:color="auto"/>
              <w:tr2bl w:val="single" w:sz="4" w:space="0" w:color="auto"/>
            </w:tcBorders>
            <w:shd w:val="clear" w:color="000000" w:fill="F2F2F2"/>
            <w:noWrap/>
            <w:vAlign w:val="center"/>
            <w:hideMark/>
          </w:tcPr>
          <w:p w14:paraId="438D5C3F"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 </w:t>
            </w:r>
          </w:p>
        </w:tc>
      </w:tr>
      <w:tr w:rsidR="00552526" w:rsidRPr="00552526" w14:paraId="7E85FFB2" w14:textId="77777777" w:rsidTr="00C162B0">
        <w:trPr>
          <w:trHeight w:val="300"/>
          <w:jc w:val="center"/>
        </w:trPr>
        <w:tc>
          <w:tcPr>
            <w:tcW w:w="14454" w:type="dxa"/>
            <w:gridSpan w:val="13"/>
            <w:tcBorders>
              <w:top w:val="single" w:sz="4" w:space="0" w:color="auto"/>
              <w:left w:val="single" w:sz="4" w:space="0" w:color="auto"/>
              <w:bottom w:val="single" w:sz="4" w:space="0" w:color="auto"/>
              <w:right w:val="single" w:sz="4" w:space="0" w:color="auto"/>
            </w:tcBorders>
            <w:shd w:val="clear" w:color="000000" w:fill="FCE4D6"/>
            <w:noWrap/>
            <w:vAlign w:val="center"/>
            <w:hideMark/>
          </w:tcPr>
          <w:p w14:paraId="49668EED"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PLOCHY SMÍŠENÉ NEZASTAVĚNÉHO ÚZEMÍ</w:t>
            </w:r>
          </w:p>
        </w:tc>
      </w:tr>
      <w:tr w:rsidR="00C162B0" w:rsidRPr="00552526" w14:paraId="3CEB197B" w14:textId="77777777" w:rsidTr="00C162B0">
        <w:trPr>
          <w:trHeight w:val="300"/>
          <w:jc w:val="center"/>
        </w:trPr>
        <w:tc>
          <w:tcPr>
            <w:tcW w:w="959" w:type="dxa"/>
            <w:tcBorders>
              <w:top w:val="nil"/>
              <w:left w:val="single" w:sz="4" w:space="0" w:color="auto"/>
              <w:bottom w:val="single" w:sz="4" w:space="0" w:color="auto"/>
              <w:right w:val="single" w:sz="4" w:space="0" w:color="auto"/>
            </w:tcBorders>
            <w:shd w:val="clear" w:color="auto" w:fill="auto"/>
            <w:noWrap/>
            <w:vAlign w:val="center"/>
            <w:hideMark/>
          </w:tcPr>
          <w:p w14:paraId="75AF5B8D"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K.01</w:t>
            </w:r>
          </w:p>
        </w:tc>
        <w:tc>
          <w:tcPr>
            <w:tcW w:w="960" w:type="dxa"/>
            <w:tcBorders>
              <w:top w:val="nil"/>
              <w:left w:val="nil"/>
              <w:bottom w:val="single" w:sz="4" w:space="0" w:color="auto"/>
              <w:right w:val="single" w:sz="4" w:space="0" w:color="auto"/>
            </w:tcBorders>
            <w:shd w:val="clear" w:color="auto" w:fill="auto"/>
            <w:noWrap/>
            <w:vAlign w:val="center"/>
            <w:hideMark/>
          </w:tcPr>
          <w:p w14:paraId="63583538"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MU.zp</w:t>
            </w:r>
          </w:p>
        </w:tc>
        <w:tc>
          <w:tcPr>
            <w:tcW w:w="960" w:type="dxa"/>
            <w:tcBorders>
              <w:top w:val="nil"/>
              <w:left w:val="nil"/>
              <w:bottom w:val="single" w:sz="4" w:space="0" w:color="auto"/>
              <w:right w:val="single" w:sz="4" w:space="0" w:color="auto"/>
            </w:tcBorders>
            <w:shd w:val="clear" w:color="auto" w:fill="auto"/>
            <w:noWrap/>
            <w:vAlign w:val="center"/>
            <w:hideMark/>
          </w:tcPr>
          <w:p w14:paraId="49FE8F11"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0,3703</w:t>
            </w:r>
          </w:p>
        </w:tc>
        <w:tc>
          <w:tcPr>
            <w:tcW w:w="1062" w:type="dxa"/>
            <w:tcBorders>
              <w:top w:val="nil"/>
              <w:left w:val="nil"/>
              <w:bottom w:val="single" w:sz="4" w:space="0" w:color="auto"/>
              <w:right w:val="single" w:sz="4" w:space="0" w:color="auto"/>
            </w:tcBorders>
            <w:shd w:val="clear" w:color="auto" w:fill="auto"/>
            <w:noWrap/>
            <w:vAlign w:val="center"/>
            <w:hideMark/>
          </w:tcPr>
          <w:p w14:paraId="45C36454"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shd w:val="clear" w:color="auto" w:fill="auto"/>
            <w:noWrap/>
            <w:vAlign w:val="center"/>
            <w:hideMark/>
          </w:tcPr>
          <w:p w14:paraId="73ECCC98"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shd w:val="clear" w:color="auto" w:fill="auto"/>
            <w:noWrap/>
            <w:vAlign w:val="center"/>
            <w:hideMark/>
          </w:tcPr>
          <w:p w14:paraId="5E71DA81"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820" w:type="dxa"/>
            <w:tcBorders>
              <w:top w:val="nil"/>
              <w:left w:val="nil"/>
              <w:bottom w:val="single" w:sz="4" w:space="0" w:color="auto"/>
              <w:right w:val="single" w:sz="4" w:space="0" w:color="auto"/>
            </w:tcBorders>
            <w:shd w:val="clear" w:color="auto" w:fill="auto"/>
            <w:noWrap/>
            <w:vAlign w:val="center"/>
            <w:hideMark/>
          </w:tcPr>
          <w:p w14:paraId="50D8674C"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0,3703</w:t>
            </w:r>
          </w:p>
        </w:tc>
        <w:tc>
          <w:tcPr>
            <w:tcW w:w="907" w:type="dxa"/>
            <w:tcBorders>
              <w:top w:val="nil"/>
              <w:left w:val="nil"/>
              <w:bottom w:val="single" w:sz="4" w:space="0" w:color="auto"/>
              <w:right w:val="single" w:sz="4" w:space="0" w:color="auto"/>
            </w:tcBorders>
            <w:shd w:val="clear" w:color="auto" w:fill="auto"/>
            <w:noWrap/>
            <w:vAlign w:val="center"/>
            <w:hideMark/>
          </w:tcPr>
          <w:p w14:paraId="18FF9FAF"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1444" w:type="dxa"/>
            <w:tcBorders>
              <w:top w:val="nil"/>
              <w:left w:val="nil"/>
              <w:bottom w:val="single" w:sz="4" w:space="0" w:color="auto"/>
              <w:right w:val="single" w:sz="4" w:space="0" w:color="auto"/>
            </w:tcBorders>
            <w:shd w:val="clear" w:color="auto" w:fill="auto"/>
            <w:noWrap/>
            <w:vAlign w:val="center"/>
            <w:hideMark/>
          </w:tcPr>
          <w:p w14:paraId="219DC495"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0,37</w:t>
            </w:r>
          </w:p>
        </w:tc>
        <w:tc>
          <w:tcPr>
            <w:tcW w:w="1382" w:type="dxa"/>
            <w:tcBorders>
              <w:top w:val="nil"/>
              <w:left w:val="nil"/>
              <w:bottom w:val="single" w:sz="4" w:space="0" w:color="auto"/>
              <w:right w:val="single" w:sz="4" w:space="0" w:color="auto"/>
            </w:tcBorders>
            <w:shd w:val="clear" w:color="auto" w:fill="auto"/>
            <w:noWrap/>
            <w:vAlign w:val="center"/>
            <w:hideMark/>
          </w:tcPr>
          <w:p w14:paraId="3C8B50F6"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shd w:val="clear" w:color="auto" w:fill="auto"/>
            <w:noWrap/>
            <w:vAlign w:val="center"/>
            <w:hideMark/>
          </w:tcPr>
          <w:p w14:paraId="47ADB61F"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shd w:val="clear" w:color="auto" w:fill="auto"/>
            <w:noWrap/>
            <w:vAlign w:val="center"/>
            <w:hideMark/>
          </w:tcPr>
          <w:p w14:paraId="6E30AB69"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shd w:val="clear" w:color="auto" w:fill="auto"/>
            <w:noWrap/>
            <w:vAlign w:val="center"/>
            <w:hideMark/>
          </w:tcPr>
          <w:p w14:paraId="5C2CC76A"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w:t>
            </w:r>
          </w:p>
        </w:tc>
      </w:tr>
      <w:tr w:rsidR="00552526" w:rsidRPr="00552526" w14:paraId="19A9420E" w14:textId="77777777" w:rsidTr="00C162B0">
        <w:trPr>
          <w:trHeight w:val="300"/>
          <w:jc w:val="center"/>
        </w:trPr>
        <w:tc>
          <w:tcPr>
            <w:tcW w:w="1919" w:type="dxa"/>
            <w:gridSpan w:val="2"/>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223D53B6"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Σ</w:t>
            </w:r>
          </w:p>
        </w:tc>
        <w:tc>
          <w:tcPr>
            <w:tcW w:w="960" w:type="dxa"/>
            <w:tcBorders>
              <w:top w:val="nil"/>
              <w:left w:val="nil"/>
              <w:bottom w:val="single" w:sz="4" w:space="0" w:color="auto"/>
              <w:right w:val="single" w:sz="4" w:space="0" w:color="auto"/>
            </w:tcBorders>
            <w:shd w:val="clear" w:color="000000" w:fill="F2F2F2"/>
            <w:noWrap/>
            <w:vAlign w:val="center"/>
            <w:hideMark/>
          </w:tcPr>
          <w:p w14:paraId="25C1204C"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0,3703</w:t>
            </w:r>
          </w:p>
        </w:tc>
        <w:tc>
          <w:tcPr>
            <w:tcW w:w="1062" w:type="dxa"/>
            <w:tcBorders>
              <w:top w:val="nil"/>
              <w:left w:val="nil"/>
              <w:bottom w:val="single" w:sz="4" w:space="0" w:color="auto"/>
              <w:right w:val="single" w:sz="4" w:space="0" w:color="auto"/>
            </w:tcBorders>
            <w:shd w:val="clear" w:color="000000" w:fill="F2F2F2"/>
            <w:noWrap/>
            <w:vAlign w:val="center"/>
            <w:hideMark/>
          </w:tcPr>
          <w:p w14:paraId="7D00B968"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0</w:t>
            </w:r>
          </w:p>
        </w:tc>
        <w:tc>
          <w:tcPr>
            <w:tcW w:w="907" w:type="dxa"/>
            <w:tcBorders>
              <w:top w:val="nil"/>
              <w:left w:val="nil"/>
              <w:bottom w:val="single" w:sz="4" w:space="0" w:color="auto"/>
              <w:right w:val="single" w:sz="4" w:space="0" w:color="auto"/>
            </w:tcBorders>
            <w:shd w:val="clear" w:color="000000" w:fill="F2F2F2"/>
            <w:noWrap/>
            <w:vAlign w:val="center"/>
            <w:hideMark/>
          </w:tcPr>
          <w:p w14:paraId="1FD5B4A8"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0</w:t>
            </w:r>
          </w:p>
        </w:tc>
        <w:tc>
          <w:tcPr>
            <w:tcW w:w="907" w:type="dxa"/>
            <w:tcBorders>
              <w:top w:val="nil"/>
              <w:left w:val="nil"/>
              <w:bottom w:val="single" w:sz="4" w:space="0" w:color="auto"/>
              <w:right w:val="single" w:sz="4" w:space="0" w:color="auto"/>
            </w:tcBorders>
            <w:shd w:val="clear" w:color="000000" w:fill="F2F2F2"/>
            <w:noWrap/>
            <w:vAlign w:val="center"/>
            <w:hideMark/>
          </w:tcPr>
          <w:p w14:paraId="64805DD5"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0</w:t>
            </w:r>
          </w:p>
        </w:tc>
        <w:tc>
          <w:tcPr>
            <w:tcW w:w="820" w:type="dxa"/>
            <w:tcBorders>
              <w:top w:val="nil"/>
              <w:left w:val="nil"/>
              <w:bottom w:val="single" w:sz="4" w:space="0" w:color="auto"/>
              <w:right w:val="single" w:sz="4" w:space="0" w:color="auto"/>
            </w:tcBorders>
            <w:shd w:val="clear" w:color="000000" w:fill="F2F2F2"/>
            <w:noWrap/>
            <w:vAlign w:val="center"/>
            <w:hideMark/>
          </w:tcPr>
          <w:p w14:paraId="2B9C9530"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0,3703</w:t>
            </w:r>
          </w:p>
        </w:tc>
        <w:tc>
          <w:tcPr>
            <w:tcW w:w="907" w:type="dxa"/>
            <w:tcBorders>
              <w:top w:val="nil"/>
              <w:left w:val="nil"/>
              <w:bottom w:val="single" w:sz="4" w:space="0" w:color="auto"/>
              <w:right w:val="single" w:sz="4" w:space="0" w:color="auto"/>
            </w:tcBorders>
            <w:shd w:val="clear" w:color="000000" w:fill="F2F2F2"/>
            <w:noWrap/>
            <w:vAlign w:val="center"/>
            <w:hideMark/>
          </w:tcPr>
          <w:p w14:paraId="31141FFD"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0</w:t>
            </w:r>
          </w:p>
        </w:tc>
        <w:tc>
          <w:tcPr>
            <w:tcW w:w="1444" w:type="dxa"/>
            <w:tcBorders>
              <w:top w:val="nil"/>
              <w:left w:val="nil"/>
              <w:bottom w:val="single" w:sz="4" w:space="0" w:color="auto"/>
              <w:right w:val="single" w:sz="4" w:space="0" w:color="auto"/>
            </w:tcBorders>
            <w:shd w:val="clear" w:color="000000" w:fill="F2F2F2"/>
            <w:noWrap/>
            <w:vAlign w:val="center"/>
            <w:hideMark/>
          </w:tcPr>
          <w:p w14:paraId="6C1C06AC"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0,37</w:t>
            </w:r>
          </w:p>
        </w:tc>
        <w:tc>
          <w:tcPr>
            <w:tcW w:w="1382" w:type="dxa"/>
            <w:tcBorders>
              <w:top w:val="nil"/>
              <w:left w:val="nil"/>
              <w:bottom w:val="single" w:sz="4" w:space="0" w:color="auto"/>
              <w:right w:val="single" w:sz="4" w:space="0" w:color="auto"/>
              <w:tr2bl w:val="single" w:sz="4" w:space="0" w:color="auto"/>
            </w:tcBorders>
            <w:shd w:val="clear" w:color="000000" w:fill="F2F2F2"/>
            <w:noWrap/>
            <w:vAlign w:val="center"/>
            <w:hideMark/>
          </w:tcPr>
          <w:p w14:paraId="0A38E58E"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 </w:t>
            </w:r>
          </w:p>
        </w:tc>
        <w:tc>
          <w:tcPr>
            <w:tcW w:w="1382" w:type="dxa"/>
            <w:tcBorders>
              <w:top w:val="nil"/>
              <w:left w:val="nil"/>
              <w:bottom w:val="single" w:sz="4" w:space="0" w:color="auto"/>
              <w:right w:val="single" w:sz="4" w:space="0" w:color="auto"/>
              <w:tr2bl w:val="single" w:sz="4" w:space="0" w:color="auto"/>
            </w:tcBorders>
            <w:shd w:val="clear" w:color="000000" w:fill="F2F2F2"/>
            <w:noWrap/>
            <w:vAlign w:val="center"/>
            <w:hideMark/>
          </w:tcPr>
          <w:p w14:paraId="43CB2FCF"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 </w:t>
            </w:r>
          </w:p>
        </w:tc>
        <w:tc>
          <w:tcPr>
            <w:tcW w:w="1382" w:type="dxa"/>
            <w:tcBorders>
              <w:top w:val="nil"/>
              <w:left w:val="nil"/>
              <w:bottom w:val="single" w:sz="4" w:space="0" w:color="auto"/>
              <w:right w:val="single" w:sz="4" w:space="0" w:color="auto"/>
              <w:tr2bl w:val="single" w:sz="4" w:space="0" w:color="auto"/>
            </w:tcBorders>
            <w:shd w:val="clear" w:color="000000" w:fill="F2F2F2"/>
            <w:noWrap/>
            <w:vAlign w:val="center"/>
            <w:hideMark/>
          </w:tcPr>
          <w:p w14:paraId="64F5ED04"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 </w:t>
            </w:r>
          </w:p>
        </w:tc>
        <w:tc>
          <w:tcPr>
            <w:tcW w:w="1382" w:type="dxa"/>
            <w:tcBorders>
              <w:top w:val="nil"/>
              <w:left w:val="nil"/>
              <w:bottom w:val="single" w:sz="4" w:space="0" w:color="auto"/>
              <w:right w:val="single" w:sz="4" w:space="0" w:color="auto"/>
              <w:tr2bl w:val="single" w:sz="4" w:space="0" w:color="auto"/>
            </w:tcBorders>
            <w:shd w:val="clear" w:color="000000" w:fill="F2F2F2"/>
            <w:noWrap/>
            <w:vAlign w:val="center"/>
            <w:hideMark/>
          </w:tcPr>
          <w:p w14:paraId="4992A3F8"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 </w:t>
            </w:r>
          </w:p>
        </w:tc>
      </w:tr>
      <w:tr w:rsidR="00552526" w:rsidRPr="00552526" w14:paraId="7BA89123" w14:textId="77777777" w:rsidTr="00C162B0">
        <w:trPr>
          <w:trHeight w:val="300"/>
          <w:jc w:val="center"/>
        </w:trPr>
        <w:tc>
          <w:tcPr>
            <w:tcW w:w="14454" w:type="dxa"/>
            <w:gridSpan w:val="13"/>
            <w:tcBorders>
              <w:top w:val="single" w:sz="4" w:space="0" w:color="auto"/>
              <w:left w:val="single" w:sz="4" w:space="0" w:color="auto"/>
              <w:bottom w:val="single" w:sz="4" w:space="0" w:color="auto"/>
              <w:right w:val="single" w:sz="4" w:space="0" w:color="auto"/>
            </w:tcBorders>
            <w:shd w:val="clear" w:color="000000" w:fill="FCE4D6"/>
            <w:noWrap/>
            <w:vAlign w:val="center"/>
            <w:hideMark/>
          </w:tcPr>
          <w:p w14:paraId="0D57C837"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PLOCHY PŘÍRODNÍ</w:t>
            </w:r>
          </w:p>
        </w:tc>
      </w:tr>
      <w:tr w:rsidR="00C162B0" w:rsidRPr="00552526" w14:paraId="42DAE933" w14:textId="77777777" w:rsidTr="00C162B0">
        <w:trPr>
          <w:trHeight w:val="300"/>
          <w:jc w:val="center"/>
        </w:trPr>
        <w:tc>
          <w:tcPr>
            <w:tcW w:w="959" w:type="dxa"/>
            <w:tcBorders>
              <w:top w:val="nil"/>
              <w:left w:val="single" w:sz="4" w:space="0" w:color="auto"/>
              <w:bottom w:val="single" w:sz="4" w:space="0" w:color="auto"/>
              <w:right w:val="single" w:sz="4" w:space="0" w:color="auto"/>
            </w:tcBorders>
            <w:shd w:val="clear" w:color="auto" w:fill="auto"/>
            <w:noWrap/>
            <w:vAlign w:val="center"/>
            <w:hideMark/>
          </w:tcPr>
          <w:p w14:paraId="0CD4DD89"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K.02</w:t>
            </w:r>
          </w:p>
        </w:tc>
        <w:tc>
          <w:tcPr>
            <w:tcW w:w="960" w:type="dxa"/>
            <w:tcBorders>
              <w:top w:val="nil"/>
              <w:left w:val="nil"/>
              <w:bottom w:val="single" w:sz="4" w:space="0" w:color="auto"/>
              <w:right w:val="single" w:sz="4" w:space="0" w:color="auto"/>
            </w:tcBorders>
            <w:shd w:val="clear" w:color="auto" w:fill="auto"/>
            <w:noWrap/>
            <w:vAlign w:val="center"/>
            <w:hideMark/>
          </w:tcPr>
          <w:p w14:paraId="5D4380F2"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NU</w:t>
            </w:r>
          </w:p>
        </w:tc>
        <w:tc>
          <w:tcPr>
            <w:tcW w:w="960" w:type="dxa"/>
            <w:tcBorders>
              <w:top w:val="nil"/>
              <w:left w:val="nil"/>
              <w:bottom w:val="single" w:sz="4" w:space="0" w:color="auto"/>
              <w:right w:val="single" w:sz="4" w:space="0" w:color="auto"/>
            </w:tcBorders>
            <w:shd w:val="clear" w:color="auto" w:fill="auto"/>
            <w:noWrap/>
            <w:vAlign w:val="center"/>
            <w:hideMark/>
          </w:tcPr>
          <w:p w14:paraId="01B6BC41"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1,0235</w:t>
            </w:r>
          </w:p>
        </w:tc>
        <w:tc>
          <w:tcPr>
            <w:tcW w:w="1062" w:type="dxa"/>
            <w:tcBorders>
              <w:top w:val="nil"/>
              <w:left w:val="nil"/>
              <w:bottom w:val="single" w:sz="4" w:space="0" w:color="auto"/>
              <w:right w:val="single" w:sz="4" w:space="0" w:color="auto"/>
            </w:tcBorders>
            <w:shd w:val="clear" w:color="auto" w:fill="auto"/>
            <w:noWrap/>
            <w:vAlign w:val="center"/>
            <w:hideMark/>
          </w:tcPr>
          <w:p w14:paraId="5A60B226"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1,0235</w:t>
            </w:r>
          </w:p>
        </w:tc>
        <w:tc>
          <w:tcPr>
            <w:tcW w:w="907" w:type="dxa"/>
            <w:tcBorders>
              <w:top w:val="nil"/>
              <w:left w:val="nil"/>
              <w:bottom w:val="single" w:sz="4" w:space="0" w:color="auto"/>
              <w:right w:val="single" w:sz="4" w:space="0" w:color="auto"/>
            </w:tcBorders>
            <w:shd w:val="clear" w:color="auto" w:fill="auto"/>
            <w:noWrap/>
            <w:vAlign w:val="center"/>
            <w:hideMark/>
          </w:tcPr>
          <w:p w14:paraId="4A9F3FE9"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shd w:val="clear" w:color="auto" w:fill="auto"/>
            <w:noWrap/>
            <w:vAlign w:val="center"/>
            <w:hideMark/>
          </w:tcPr>
          <w:p w14:paraId="5A63B1E6"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820" w:type="dxa"/>
            <w:tcBorders>
              <w:top w:val="nil"/>
              <w:left w:val="nil"/>
              <w:bottom w:val="single" w:sz="4" w:space="0" w:color="auto"/>
              <w:right w:val="single" w:sz="4" w:space="0" w:color="auto"/>
            </w:tcBorders>
            <w:shd w:val="clear" w:color="auto" w:fill="auto"/>
            <w:noWrap/>
            <w:vAlign w:val="center"/>
            <w:hideMark/>
          </w:tcPr>
          <w:p w14:paraId="3DAC9FBE"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shd w:val="clear" w:color="auto" w:fill="auto"/>
            <w:noWrap/>
            <w:vAlign w:val="center"/>
            <w:hideMark/>
          </w:tcPr>
          <w:p w14:paraId="2279180A"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1444" w:type="dxa"/>
            <w:tcBorders>
              <w:top w:val="nil"/>
              <w:left w:val="nil"/>
              <w:bottom w:val="single" w:sz="4" w:space="0" w:color="auto"/>
              <w:right w:val="single" w:sz="4" w:space="0" w:color="auto"/>
            </w:tcBorders>
            <w:shd w:val="clear" w:color="auto" w:fill="auto"/>
            <w:noWrap/>
            <w:vAlign w:val="center"/>
            <w:hideMark/>
          </w:tcPr>
          <w:p w14:paraId="1A9BED36"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1382" w:type="dxa"/>
            <w:tcBorders>
              <w:top w:val="nil"/>
              <w:left w:val="nil"/>
              <w:bottom w:val="single" w:sz="4" w:space="0" w:color="auto"/>
              <w:right w:val="single" w:sz="4" w:space="0" w:color="auto"/>
            </w:tcBorders>
            <w:shd w:val="clear" w:color="auto" w:fill="auto"/>
            <w:noWrap/>
            <w:vAlign w:val="center"/>
            <w:hideMark/>
          </w:tcPr>
          <w:p w14:paraId="6AE7DF38"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shd w:val="clear" w:color="auto" w:fill="auto"/>
            <w:noWrap/>
            <w:vAlign w:val="center"/>
            <w:hideMark/>
          </w:tcPr>
          <w:p w14:paraId="5C6B66CC"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shd w:val="clear" w:color="auto" w:fill="auto"/>
            <w:noWrap/>
            <w:vAlign w:val="center"/>
            <w:hideMark/>
          </w:tcPr>
          <w:p w14:paraId="1F5378E7"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shd w:val="clear" w:color="auto" w:fill="auto"/>
            <w:noWrap/>
            <w:vAlign w:val="center"/>
            <w:hideMark/>
          </w:tcPr>
          <w:p w14:paraId="6051F2C2"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ANO</w:t>
            </w:r>
          </w:p>
        </w:tc>
      </w:tr>
      <w:tr w:rsidR="00C162B0" w:rsidRPr="00552526" w14:paraId="61702C17" w14:textId="77777777" w:rsidTr="00C162B0">
        <w:trPr>
          <w:trHeight w:val="300"/>
          <w:jc w:val="center"/>
        </w:trPr>
        <w:tc>
          <w:tcPr>
            <w:tcW w:w="959" w:type="dxa"/>
            <w:tcBorders>
              <w:top w:val="nil"/>
              <w:left w:val="single" w:sz="4" w:space="0" w:color="auto"/>
              <w:bottom w:val="single" w:sz="4" w:space="0" w:color="auto"/>
              <w:right w:val="single" w:sz="4" w:space="0" w:color="auto"/>
            </w:tcBorders>
            <w:shd w:val="clear" w:color="auto" w:fill="auto"/>
            <w:noWrap/>
            <w:vAlign w:val="center"/>
            <w:hideMark/>
          </w:tcPr>
          <w:p w14:paraId="63311281"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K.03</w:t>
            </w:r>
          </w:p>
        </w:tc>
        <w:tc>
          <w:tcPr>
            <w:tcW w:w="960" w:type="dxa"/>
            <w:tcBorders>
              <w:top w:val="nil"/>
              <w:left w:val="nil"/>
              <w:bottom w:val="single" w:sz="4" w:space="0" w:color="auto"/>
              <w:right w:val="single" w:sz="4" w:space="0" w:color="auto"/>
            </w:tcBorders>
            <w:shd w:val="clear" w:color="auto" w:fill="auto"/>
            <w:noWrap/>
            <w:vAlign w:val="center"/>
            <w:hideMark/>
          </w:tcPr>
          <w:p w14:paraId="6C9FDBEB"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NU</w:t>
            </w:r>
          </w:p>
        </w:tc>
        <w:tc>
          <w:tcPr>
            <w:tcW w:w="960" w:type="dxa"/>
            <w:tcBorders>
              <w:top w:val="nil"/>
              <w:left w:val="nil"/>
              <w:bottom w:val="single" w:sz="4" w:space="0" w:color="auto"/>
              <w:right w:val="single" w:sz="4" w:space="0" w:color="auto"/>
            </w:tcBorders>
            <w:shd w:val="clear" w:color="auto" w:fill="auto"/>
            <w:noWrap/>
            <w:vAlign w:val="center"/>
            <w:hideMark/>
          </w:tcPr>
          <w:p w14:paraId="4BC4A647"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3,4826</w:t>
            </w:r>
          </w:p>
        </w:tc>
        <w:tc>
          <w:tcPr>
            <w:tcW w:w="1062" w:type="dxa"/>
            <w:tcBorders>
              <w:top w:val="nil"/>
              <w:left w:val="nil"/>
              <w:bottom w:val="single" w:sz="4" w:space="0" w:color="auto"/>
              <w:right w:val="single" w:sz="4" w:space="0" w:color="auto"/>
            </w:tcBorders>
            <w:shd w:val="clear" w:color="auto" w:fill="auto"/>
            <w:noWrap/>
            <w:vAlign w:val="center"/>
            <w:hideMark/>
          </w:tcPr>
          <w:p w14:paraId="522BDED0"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3,4826</w:t>
            </w:r>
          </w:p>
        </w:tc>
        <w:tc>
          <w:tcPr>
            <w:tcW w:w="907" w:type="dxa"/>
            <w:tcBorders>
              <w:top w:val="nil"/>
              <w:left w:val="nil"/>
              <w:bottom w:val="single" w:sz="4" w:space="0" w:color="auto"/>
              <w:right w:val="single" w:sz="4" w:space="0" w:color="auto"/>
            </w:tcBorders>
            <w:shd w:val="clear" w:color="auto" w:fill="auto"/>
            <w:noWrap/>
            <w:vAlign w:val="center"/>
            <w:hideMark/>
          </w:tcPr>
          <w:p w14:paraId="780FB66A"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shd w:val="clear" w:color="auto" w:fill="auto"/>
            <w:noWrap/>
            <w:vAlign w:val="center"/>
            <w:hideMark/>
          </w:tcPr>
          <w:p w14:paraId="0DD5ED15"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820" w:type="dxa"/>
            <w:tcBorders>
              <w:top w:val="nil"/>
              <w:left w:val="nil"/>
              <w:bottom w:val="single" w:sz="4" w:space="0" w:color="auto"/>
              <w:right w:val="single" w:sz="4" w:space="0" w:color="auto"/>
            </w:tcBorders>
            <w:shd w:val="clear" w:color="auto" w:fill="auto"/>
            <w:noWrap/>
            <w:vAlign w:val="center"/>
            <w:hideMark/>
          </w:tcPr>
          <w:p w14:paraId="62F4F9BF"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shd w:val="clear" w:color="auto" w:fill="auto"/>
            <w:noWrap/>
            <w:vAlign w:val="center"/>
            <w:hideMark/>
          </w:tcPr>
          <w:p w14:paraId="6B1DFA49"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1444" w:type="dxa"/>
            <w:tcBorders>
              <w:top w:val="nil"/>
              <w:left w:val="nil"/>
              <w:bottom w:val="single" w:sz="4" w:space="0" w:color="auto"/>
              <w:right w:val="single" w:sz="4" w:space="0" w:color="auto"/>
            </w:tcBorders>
            <w:shd w:val="clear" w:color="auto" w:fill="auto"/>
            <w:noWrap/>
            <w:vAlign w:val="center"/>
            <w:hideMark/>
          </w:tcPr>
          <w:p w14:paraId="7817C3EB"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1382" w:type="dxa"/>
            <w:tcBorders>
              <w:top w:val="nil"/>
              <w:left w:val="nil"/>
              <w:bottom w:val="single" w:sz="4" w:space="0" w:color="auto"/>
              <w:right w:val="single" w:sz="4" w:space="0" w:color="auto"/>
            </w:tcBorders>
            <w:shd w:val="clear" w:color="auto" w:fill="auto"/>
            <w:noWrap/>
            <w:vAlign w:val="center"/>
            <w:hideMark/>
          </w:tcPr>
          <w:p w14:paraId="42C402E2"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shd w:val="clear" w:color="auto" w:fill="auto"/>
            <w:noWrap/>
            <w:vAlign w:val="center"/>
            <w:hideMark/>
          </w:tcPr>
          <w:p w14:paraId="74AF8352"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shd w:val="clear" w:color="auto" w:fill="auto"/>
            <w:noWrap/>
            <w:vAlign w:val="center"/>
            <w:hideMark/>
          </w:tcPr>
          <w:p w14:paraId="0C4DDE39"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shd w:val="clear" w:color="auto" w:fill="auto"/>
            <w:noWrap/>
            <w:vAlign w:val="center"/>
            <w:hideMark/>
          </w:tcPr>
          <w:p w14:paraId="2252E6E2"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ANO</w:t>
            </w:r>
          </w:p>
        </w:tc>
      </w:tr>
      <w:tr w:rsidR="00C162B0" w:rsidRPr="00552526" w14:paraId="6073B038" w14:textId="77777777" w:rsidTr="00C162B0">
        <w:trPr>
          <w:trHeight w:val="300"/>
          <w:jc w:val="center"/>
        </w:trPr>
        <w:tc>
          <w:tcPr>
            <w:tcW w:w="959" w:type="dxa"/>
            <w:tcBorders>
              <w:top w:val="nil"/>
              <w:left w:val="single" w:sz="4" w:space="0" w:color="auto"/>
              <w:bottom w:val="single" w:sz="4" w:space="0" w:color="auto"/>
              <w:right w:val="single" w:sz="4" w:space="0" w:color="auto"/>
            </w:tcBorders>
            <w:shd w:val="clear" w:color="auto" w:fill="auto"/>
            <w:noWrap/>
            <w:vAlign w:val="center"/>
            <w:hideMark/>
          </w:tcPr>
          <w:p w14:paraId="27584CD8"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K.04</w:t>
            </w:r>
          </w:p>
        </w:tc>
        <w:tc>
          <w:tcPr>
            <w:tcW w:w="960" w:type="dxa"/>
            <w:tcBorders>
              <w:top w:val="nil"/>
              <w:left w:val="nil"/>
              <w:bottom w:val="single" w:sz="4" w:space="0" w:color="auto"/>
              <w:right w:val="single" w:sz="4" w:space="0" w:color="auto"/>
            </w:tcBorders>
            <w:shd w:val="clear" w:color="auto" w:fill="auto"/>
            <w:noWrap/>
            <w:vAlign w:val="center"/>
            <w:hideMark/>
          </w:tcPr>
          <w:p w14:paraId="0188AFD2"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NU</w:t>
            </w:r>
          </w:p>
        </w:tc>
        <w:tc>
          <w:tcPr>
            <w:tcW w:w="960" w:type="dxa"/>
            <w:tcBorders>
              <w:top w:val="nil"/>
              <w:left w:val="nil"/>
              <w:bottom w:val="single" w:sz="4" w:space="0" w:color="auto"/>
              <w:right w:val="single" w:sz="4" w:space="0" w:color="auto"/>
            </w:tcBorders>
            <w:shd w:val="clear" w:color="auto" w:fill="auto"/>
            <w:noWrap/>
            <w:vAlign w:val="center"/>
            <w:hideMark/>
          </w:tcPr>
          <w:p w14:paraId="73CDCB5A"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1,4025</w:t>
            </w:r>
          </w:p>
        </w:tc>
        <w:tc>
          <w:tcPr>
            <w:tcW w:w="1062" w:type="dxa"/>
            <w:tcBorders>
              <w:top w:val="nil"/>
              <w:left w:val="nil"/>
              <w:bottom w:val="single" w:sz="4" w:space="0" w:color="auto"/>
              <w:right w:val="single" w:sz="4" w:space="0" w:color="auto"/>
            </w:tcBorders>
            <w:shd w:val="clear" w:color="auto" w:fill="auto"/>
            <w:noWrap/>
            <w:vAlign w:val="center"/>
            <w:hideMark/>
          </w:tcPr>
          <w:p w14:paraId="38FF2126"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1,4025</w:t>
            </w:r>
          </w:p>
        </w:tc>
        <w:tc>
          <w:tcPr>
            <w:tcW w:w="907" w:type="dxa"/>
            <w:tcBorders>
              <w:top w:val="nil"/>
              <w:left w:val="nil"/>
              <w:bottom w:val="single" w:sz="4" w:space="0" w:color="auto"/>
              <w:right w:val="single" w:sz="4" w:space="0" w:color="auto"/>
            </w:tcBorders>
            <w:shd w:val="clear" w:color="auto" w:fill="auto"/>
            <w:noWrap/>
            <w:vAlign w:val="center"/>
            <w:hideMark/>
          </w:tcPr>
          <w:p w14:paraId="2EA791F0"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shd w:val="clear" w:color="auto" w:fill="auto"/>
            <w:noWrap/>
            <w:vAlign w:val="center"/>
            <w:hideMark/>
          </w:tcPr>
          <w:p w14:paraId="6D966393"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820" w:type="dxa"/>
            <w:tcBorders>
              <w:top w:val="nil"/>
              <w:left w:val="nil"/>
              <w:bottom w:val="single" w:sz="4" w:space="0" w:color="auto"/>
              <w:right w:val="single" w:sz="4" w:space="0" w:color="auto"/>
            </w:tcBorders>
            <w:shd w:val="clear" w:color="auto" w:fill="auto"/>
            <w:noWrap/>
            <w:vAlign w:val="center"/>
            <w:hideMark/>
          </w:tcPr>
          <w:p w14:paraId="3D76F1DE"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shd w:val="clear" w:color="auto" w:fill="auto"/>
            <w:noWrap/>
            <w:vAlign w:val="center"/>
            <w:hideMark/>
          </w:tcPr>
          <w:p w14:paraId="1729A80B"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1444" w:type="dxa"/>
            <w:tcBorders>
              <w:top w:val="nil"/>
              <w:left w:val="nil"/>
              <w:bottom w:val="single" w:sz="4" w:space="0" w:color="auto"/>
              <w:right w:val="single" w:sz="4" w:space="0" w:color="auto"/>
            </w:tcBorders>
            <w:shd w:val="clear" w:color="auto" w:fill="auto"/>
            <w:noWrap/>
            <w:vAlign w:val="center"/>
            <w:hideMark/>
          </w:tcPr>
          <w:p w14:paraId="34207208"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1382" w:type="dxa"/>
            <w:tcBorders>
              <w:top w:val="nil"/>
              <w:left w:val="nil"/>
              <w:bottom w:val="single" w:sz="4" w:space="0" w:color="auto"/>
              <w:right w:val="single" w:sz="4" w:space="0" w:color="auto"/>
            </w:tcBorders>
            <w:shd w:val="clear" w:color="auto" w:fill="auto"/>
            <w:noWrap/>
            <w:vAlign w:val="center"/>
            <w:hideMark/>
          </w:tcPr>
          <w:p w14:paraId="5BC3740C"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shd w:val="clear" w:color="auto" w:fill="auto"/>
            <w:noWrap/>
            <w:vAlign w:val="center"/>
            <w:hideMark/>
          </w:tcPr>
          <w:p w14:paraId="7447D3B6"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ANO</w:t>
            </w:r>
          </w:p>
        </w:tc>
        <w:tc>
          <w:tcPr>
            <w:tcW w:w="1382" w:type="dxa"/>
            <w:tcBorders>
              <w:top w:val="nil"/>
              <w:left w:val="nil"/>
              <w:bottom w:val="single" w:sz="4" w:space="0" w:color="auto"/>
              <w:right w:val="single" w:sz="4" w:space="0" w:color="auto"/>
            </w:tcBorders>
            <w:shd w:val="clear" w:color="auto" w:fill="auto"/>
            <w:noWrap/>
            <w:vAlign w:val="center"/>
            <w:hideMark/>
          </w:tcPr>
          <w:p w14:paraId="0291E7C7"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shd w:val="clear" w:color="auto" w:fill="auto"/>
            <w:noWrap/>
            <w:vAlign w:val="center"/>
            <w:hideMark/>
          </w:tcPr>
          <w:p w14:paraId="32757E1B"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ANO</w:t>
            </w:r>
          </w:p>
        </w:tc>
      </w:tr>
      <w:tr w:rsidR="00C162B0" w:rsidRPr="00552526" w14:paraId="01BAC5EA" w14:textId="77777777" w:rsidTr="00C162B0">
        <w:trPr>
          <w:trHeight w:val="300"/>
          <w:jc w:val="center"/>
        </w:trPr>
        <w:tc>
          <w:tcPr>
            <w:tcW w:w="959" w:type="dxa"/>
            <w:tcBorders>
              <w:top w:val="nil"/>
              <w:left w:val="single" w:sz="4" w:space="0" w:color="auto"/>
              <w:bottom w:val="single" w:sz="4" w:space="0" w:color="auto"/>
              <w:right w:val="single" w:sz="4" w:space="0" w:color="auto"/>
            </w:tcBorders>
            <w:shd w:val="clear" w:color="auto" w:fill="auto"/>
            <w:noWrap/>
            <w:vAlign w:val="center"/>
            <w:hideMark/>
          </w:tcPr>
          <w:p w14:paraId="513C4017"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K.05</w:t>
            </w:r>
          </w:p>
        </w:tc>
        <w:tc>
          <w:tcPr>
            <w:tcW w:w="960" w:type="dxa"/>
            <w:tcBorders>
              <w:top w:val="nil"/>
              <w:left w:val="nil"/>
              <w:bottom w:val="single" w:sz="4" w:space="0" w:color="auto"/>
              <w:right w:val="single" w:sz="4" w:space="0" w:color="auto"/>
            </w:tcBorders>
            <w:shd w:val="clear" w:color="auto" w:fill="auto"/>
            <w:noWrap/>
            <w:vAlign w:val="center"/>
            <w:hideMark/>
          </w:tcPr>
          <w:p w14:paraId="0F7393D7"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NU</w:t>
            </w:r>
          </w:p>
        </w:tc>
        <w:tc>
          <w:tcPr>
            <w:tcW w:w="960" w:type="dxa"/>
            <w:tcBorders>
              <w:top w:val="nil"/>
              <w:left w:val="nil"/>
              <w:bottom w:val="single" w:sz="4" w:space="0" w:color="auto"/>
              <w:right w:val="single" w:sz="4" w:space="0" w:color="auto"/>
            </w:tcBorders>
            <w:shd w:val="clear" w:color="auto" w:fill="auto"/>
            <w:noWrap/>
            <w:vAlign w:val="center"/>
            <w:hideMark/>
          </w:tcPr>
          <w:p w14:paraId="5FFB5EA5"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0,2171</w:t>
            </w:r>
          </w:p>
        </w:tc>
        <w:tc>
          <w:tcPr>
            <w:tcW w:w="1062" w:type="dxa"/>
            <w:tcBorders>
              <w:top w:val="nil"/>
              <w:left w:val="nil"/>
              <w:bottom w:val="single" w:sz="4" w:space="0" w:color="auto"/>
              <w:right w:val="single" w:sz="4" w:space="0" w:color="auto"/>
            </w:tcBorders>
            <w:shd w:val="clear" w:color="auto" w:fill="auto"/>
            <w:noWrap/>
            <w:vAlign w:val="center"/>
            <w:hideMark/>
          </w:tcPr>
          <w:p w14:paraId="496ABAFB"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0,2171</w:t>
            </w:r>
          </w:p>
        </w:tc>
        <w:tc>
          <w:tcPr>
            <w:tcW w:w="907" w:type="dxa"/>
            <w:tcBorders>
              <w:top w:val="nil"/>
              <w:left w:val="nil"/>
              <w:bottom w:val="single" w:sz="4" w:space="0" w:color="auto"/>
              <w:right w:val="single" w:sz="4" w:space="0" w:color="auto"/>
            </w:tcBorders>
            <w:shd w:val="clear" w:color="auto" w:fill="auto"/>
            <w:noWrap/>
            <w:vAlign w:val="center"/>
            <w:hideMark/>
          </w:tcPr>
          <w:p w14:paraId="1E93FD43"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shd w:val="clear" w:color="auto" w:fill="auto"/>
            <w:noWrap/>
            <w:vAlign w:val="center"/>
            <w:hideMark/>
          </w:tcPr>
          <w:p w14:paraId="2E67B128"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820" w:type="dxa"/>
            <w:tcBorders>
              <w:top w:val="nil"/>
              <w:left w:val="nil"/>
              <w:bottom w:val="single" w:sz="4" w:space="0" w:color="auto"/>
              <w:right w:val="single" w:sz="4" w:space="0" w:color="auto"/>
            </w:tcBorders>
            <w:shd w:val="clear" w:color="auto" w:fill="auto"/>
            <w:noWrap/>
            <w:vAlign w:val="center"/>
            <w:hideMark/>
          </w:tcPr>
          <w:p w14:paraId="5B041FC0"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shd w:val="clear" w:color="auto" w:fill="auto"/>
            <w:noWrap/>
            <w:vAlign w:val="center"/>
            <w:hideMark/>
          </w:tcPr>
          <w:p w14:paraId="4842E8E2"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1444" w:type="dxa"/>
            <w:tcBorders>
              <w:top w:val="nil"/>
              <w:left w:val="nil"/>
              <w:bottom w:val="single" w:sz="4" w:space="0" w:color="auto"/>
              <w:right w:val="single" w:sz="4" w:space="0" w:color="auto"/>
            </w:tcBorders>
            <w:shd w:val="clear" w:color="auto" w:fill="auto"/>
            <w:noWrap/>
            <w:vAlign w:val="center"/>
            <w:hideMark/>
          </w:tcPr>
          <w:p w14:paraId="49ED01AA"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1382" w:type="dxa"/>
            <w:tcBorders>
              <w:top w:val="nil"/>
              <w:left w:val="nil"/>
              <w:bottom w:val="single" w:sz="4" w:space="0" w:color="auto"/>
              <w:right w:val="single" w:sz="4" w:space="0" w:color="auto"/>
            </w:tcBorders>
            <w:shd w:val="clear" w:color="auto" w:fill="auto"/>
            <w:noWrap/>
            <w:vAlign w:val="center"/>
            <w:hideMark/>
          </w:tcPr>
          <w:p w14:paraId="2465AF40"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shd w:val="clear" w:color="auto" w:fill="auto"/>
            <w:noWrap/>
            <w:vAlign w:val="center"/>
            <w:hideMark/>
          </w:tcPr>
          <w:p w14:paraId="6C00F194"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ANO</w:t>
            </w:r>
          </w:p>
        </w:tc>
        <w:tc>
          <w:tcPr>
            <w:tcW w:w="1382" w:type="dxa"/>
            <w:tcBorders>
              <w:top w:val="nil"/>
              <w:left w:val="nil"/>
              <w:bottom w:val="single" w:sz="4" w:space="0" w:color="auto"/>
              <w:right w:val="single" w:sz="4" w:space="0" w:color="auto"/>
            </w:tcBorders>
            <w:shd w:val="clear" w:color="auto" w:fill="auto"/>
            <w:noWrap/>
            <w:vAlign w:val="center"/>
            <w:hideMark/>
          </w:tcPr>
          <w:p w14:paraId="7B40B7F8"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shd w:val="clear" w:color="auto" w:fill="auto"/>
            <w:noWrap/>
            <w:vAlign w:val="center"/>
            <w:hideMark/>
          </w:tcPr>
          <w:p w14:paraId="7CDE9303"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ANO</w:t>
            </w:r>
          </w:p>
        </w:tc>
      </w:tr>
      <w:tr w:rsidR="00552526" w:rsidRPr="00552526" w14:paraId="33042D4E" w14:textId="77777777" w:rsidTr="00C162B0">
        <w:trPr>
          <w:trHeight w:val="300"/>
          <w:jc w:val="center"/>
        </w:trPr>
        <w:tc>
          <w:tcPr>
            <w:tcW w:w="1919" w:type="dxa"/>
            <w:gridSpan w:val="2"/>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7547642B"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Σ</w:t>
            </w:r>
          </w:p>
        </w:tc>
        <w:tc>
          <w:tcPr>
            <w:tcW w:w="960" w:type="dxa"/>
            <w:tcBorders>
              <w:top w:val="nil"/>
              <w:left w:val="nil"/>
              <w:bottom w:val="single" w:sz="4" w:space="0" w:color="auto"/>
              <w:right w:val="single" w:sz="4" w:space="0" w:color="auto"/>
            </w:tcBorders>
            <w:shd w:val="clear" w:color="000000" w:fill="F2F2F2"/>
            <w:noWrap/>
            <w:vAlign w:val="center"/>
            <w:hideMark/>
          </w:tcPr>
          <w:p w14:paraId="4EDAAE5F"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6,1257</w:t>
            </w:r>
          </w:p>
        </w:tc>
        <w:tc>
          <w:tcPr>
            <w:tcW w:w="1062" w:type="dxa"/>
            <w:tcBorders>
              <w:top w:val="nil"/>
              <w:left w:val="nil"/>
              <w:bottom w:val="single" w:sz="4" w:space="0" w:color="auto"/>
              <w:right w:val="single" w:sz="4" w:space="0" w:color="auto"/>
            </w:tcBorders>
            <w:shd w:val="clear" w:color="000000" w:fill="F2F2F2"/>
            <w:noWrap/>
            <w:vAlign w:val="center"/>
            <w:hideMark/>
          </w:tcPr>
          <w:p w14:paraId="366060E2"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6,1257</w:t>
            </w:r>
          </w:p>
        </w:tc>
        <w:tc>
          <w:tcPr>
            <w:tcW w:w="907" w:type="dxa"/>
            <w:tcBorders>
              <w:top w:val="nil"/>
              <w:left w:val="nil"/>
              <w:bottom w:val="single" w:sz="4" w:space="0" w:color="auto"/>
              <w:right w:val="single" w:sz="4" w:space="0" w:color="auto"/>
            </w:tcBorders>
            <w:shd w:val="clear" w:color="000000" w:fill="F2F2F2"/>
            <w:noWrap/>
            <w:vAlign w:val="center"/>
            <w:hideMark/>
          </w:tcPr>
          <w:p w14:paraId="2A7186EF"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0</w:t>
            </w:r>
          </w:p>
        </w:tc>
        <w:tc>
          <w:tcPr>
            <w:tcW w:w="907" w:type="dxa"/>
            <w:tcBorders>
              <w:top w:val="nil"/>
              <w:left w:val="nil"/>
              <w:bottom w:val="single" w:sz="4" w:space="0" w:color="auto"/>
              <w:right w:val="single" w:sz="4" w:space="0" w:color="auto"/>
            </w:tcBorders>
            <w:shd w:val="clear" w:color="000000" w:fill="F2F2F2"/>
            <w:noWrap/>
            <w:vAlign w:val="center"/>
            <w:hideMark/>
          </w:tcPr>
          <w:p w14:paraId="60524794"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0</w:t>
            </w:r>
          </w:p>
        </w:tc>
        <w:tc>
          <w:tcPr>
            <w:tcW w:w="820" w:type="dxa"/>
            <w:tcBorders>
              <w:top w:val="nil"/>
              <w:left w:val="nil"/>
              <w:bottom w:val="single" w:sz="4" w:space="0" w:color="auto"/>
              <w:right w:val="single" w:sz="4" w:space="0" w:color="auto"/>
            </w:tcBorders>
            <w:shd w:val="clear" w:color="000000" w:fill="F2F2F2"/>
            <w:noWrap/>
            <w:vAlign w:val="center"/>
            <w:hideMark/>
          </w:tcPr>
          <w:p w14:paraId="4F90E0EA"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0</w:t>
            </w:r>
          </w:p>
        </w:tc>
        <w:tc>
          <w:tcPr>
            <w:tcW w:w="907" w:type="dxa"/>
            <w:tcBorders>
              <w:top w:val="nil"/>
              <w:left w:val="nil"/>
              <w:bottom w:val="single" w:sz="4" w:space="0" w:color="auto"/>
              <w:right w:val="single" w:sz="4" w:space="0" w:color="auto"/>
            </w:tcBorders>
            <w:shd w:val="clear" w:color="000000" w:fill="F2F2F2"/>
            <w:noWrap/>
            <w:vAlign w:val="center"/>
            <w:hideMark/>
          </w:tcPr>
          <w:p w14:paraId="04115D48"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0</w:t>
            </w:r>
          </w:p>
        </w:tc>
        <w:tc>
          <w:tcPr>
            <w:tcW w:w="1444" w:type="dxa"/>
            <w:tcBorders>
              <w:top w:val="nil"/>
              <w:left w:val="nil"/>
              <w:bottom w:val="single" w:sz="4" w:space="0" w:color="auto"/>
              <w:right w:val="single" w:sz="4" w:space="0" w:color="auto"/>
            </w:tcBorders>
            <w:shd w:val="clear" w:color="000000" w:fill="F2F2F2"/>
            <w:noWrap/>
            <w:vAlign w:val="center"/>
            <w:hideMark/>
          </w:tcPr>
          <w:p w14:paraId="293458B1"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0</w:t>
            </w:r>
          </w:p>
        </w:tc>
        <w:tc>
          <w:tcPr>
            <w:tcW w:w="1382" w:type="dxa"/>
            <w:tcBorders>
              <w:top w:val="nil"/>
              <w:left w:val="nil"/>
              <w:bottom w:val="single" w:sz="4" w:space="0" w:color="auto"/>
              <w:right w:val="single" w:sz="4" w:space="0" w:color="auto"/>
              <w:tr2bl w:val="single" w:sz="4" w:space="0" w:color="auto"/>
            </w:tcBorders>
            <w:shd w:val="clear" w:color="000000" w:fill="F2F2F2"/>
            <w:noWrap/>
            <w:vAlign w:val="center"/>
            <w:hideMark/>
          </w:tcPr>
          <w:p w14:paraId="583B475B"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 </w:t>
            </w:r>
          </w:p>
        </w:tc>
        <w:tc>
          <w:tcPr>
            <w:tcW w:w="1382" w:type="dxa"/>
            <w:tcBorders>
              <w:top w:val="nil"/>
              <w:left w:val="nil"/>
              <w:bottom w:val="single" w:sz="4" w:space="0" w:color="auto"/>
              <w:right w:val="single" w:sz="4" w:space="0" w:color="auto"/>
              <w:tr2bl w:val="single" w:sz="4" w:space="0" w:color="auto"/>
            </w:tcBorders>
            <w:shd w:val="clear" w:color="000000" w:fill="F2F2F2"/>
            <w:noWrap/>
            <w:vAlign w:val="center"/>
            <w:hideMark/>
          </w:tcPr>
          <w:p w14:paraId="752D4BB7"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 </w:t>
            </w:r>
          </w:p>
        </w:tc>
        <w:tc>
          <w:tcPr>
            <w:tcW w:w="1382" w:type="dxa"/>
            <w:tcBorders>
              <w:top w:val="nil"/>
              <w:left w:val="nil"/>
              <w:bottom w:val="single" w:sz="4" w:space="0" w:color="auto"/>
              <w:right w:val="single" w:sz="4" w:space="0" w:color="auto"/>
              <w:tr2bl w:val="single" w:sz="4" w:space="0" w:color="auto"/>
            </w:tcBorders>
            <w:shd w:val="clear" w:color="000000" w:fill="F2F2F2"/>
            <w:noWrap/>
            <w:vAlign w:val="center"/>
            <w:hideMark/>
          </w:tcPr>
          <w:p w14:paraId="65BEADA1"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 </w:t>
            </w:r>
          </w:p>
        </w:tc>
        <w:tc>
          <w:tcPr>
            <w:tcW w:w="1382" w:type="dxa"/>
            <w:tcBorders>
              <w:top w:val="nil"/>
              <w:left w:val="nil"/>
              <w:bottom w:val="single" w:sz="4" w:space="0" w:color="auto"/>
              <w:right w:val="single" w:sz="4" w:space="0" w:color="auto"/>
              <w:tr2bl w:val="single" w:sz="4" w:space="0" w:color="auto"/>
            </w:tcBorders>
            <w:shd w:val="clear" w:color="000000" w:fill="F2F2F2"/>
            <w:noWrap/>
            <w:vAlign w:val="center"/>
            <w:hideMark/>
          </w:tcPr>
          <w:p w14:paraId="5F17E6F5"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 </w:t>
            </w:r>
          </w:p>
        </w:tc>
      </w:tr>
      <w:tr w:rsidR="00EF7150" w:rsidRPr="00552526" w14:paraId="38FA1A66" w14:textId="77777777" w:rsidTr="00C162B0">
        <w:trPr>
          <w:trHeight w:val="300"/>
          <w:jc w:val="center"/>
        </w:trPr>
        <w:tc>
          <w:tcPr>
            <w:tcW w:w="1919" w:type="dxa"/>
            <w:gridSpan w:val="2"/>
            <w:tcBorders>
              <w:top w:val="single" w:sz="4" w:space="0" w:color="auto"/>
              <w:left w:val="single" w:sz="4" w:space="0" w:color="auto"/>
              <w:bottom w:val="single" w:sz="4" w:space="0" w:color="auto"/>
              <w:right w:val="single" w:sz="4" w:space="0" w:color="auto"/>
            </w:tcBorders>
            <w:shd w:val="clear" w:color="000000" w:fill="70AD47"/>
            <w:noWrap/>
            <w:vAlign w:val="center"/>
            <w:hideMark/>
          </w:tcPr>
          <w:p w14:paraId="424ADD2E" w14:textId="77777777" w:rsidR="00EF7150" w:rsidRPr="00552526" w:rsidRDefault="00EF7150" w:rsidP="00EF7150">
            <w:pPr>
              <w:spacing w:after="0" w:line="240" w:lineRule="auto"/>
              <w:jc w:val="center"/>
              <w:rPr>
                <w:rFonts w:ascii="Calibri Light" w:eastAsia="Times New Roman" w:hAnsi="Calibri Light" w:cs="Calibri Light"/>
                <w:b/>
                <w:bCs/>
                <w:color w:val="000000"/>
                <w:sz w:val="20"/>
                <w:szCs w:val="20"/>
                <w:lang w:eastAsia="cs-CZ"/>
              </w:rPr>
            </w:pPr>
            <w:r w:rsidRPr="00552526">
              <w:rPr>
                <w:rFonts w:ascii="Calibri Light" w:eastAsia="Times New Roman" w:hAnsi="Calibri Light" w:cs="Calibri Light"/>
                <w:b/>
                <w:bCs/>
                <w:color w:val="000000"/>
                <w:sz w:val="20"/>
                <w:szCs w:val="20"/>
                <w:lang w:eastAsia="cs-CZ"/>
              </w:rPr>
              <w:t>Σ</w:t>
            </w:r>
          </w:p>
        </w:tc>
        <w:tc>
          <w:tcPr>
            <w:tcW w:w="960" w:type="dxa"/>
            <w:tcBorders>
              <w:top w:val="nil"/>
              <w:left w:val="nil"/>
              <w:bottom w:val="single" w:sz="4" w:space="0" w:color="auto"/>
              <w:right w:val="single" w:sz="4" w:space="0" w:color="auto"/>
            </w:tcBorders>
            <w:shd w:val="clear" w:color="000000" w:fill="70AD47"/>
            <w:noWrap/>
            <w:vAlign w:val="center"/>
            <w:hideMark/>
          </w:tcPr>
          <w:p w14:paraId="4D14115D" w14:textId="174F69C2" w:rsidR="00EF7150" w:rsidRPr="00552526" w:rsidRDefault="00A95984" w:rsidP="00EF7150">
            <w:pPr>
              <w:spacing w:after="0" w:line="240" w:lineRule="auto"/>
              <w:jc w:val="center"/>
              <w:rPr>
                <w:rFonts w:ascii="Calibri Light" w:eastAsia="Times New Roman" w:hAnsi="Calibri Light" w:cs="Calibri Light"/>
                <w:b/>
                <w:bCs/>
                <w:color w:val="000000"/>
                <w:sz w:val="20"/>
                <w:szCs w:val="20"/>
                <w:lang w:eastAsia="cs-CZ"/>
              </w:rPr>
            </w:pPr>
            <w:r>
              <w:rPr>
                <w:rFonts w:ascii="Calibri Light" w:hAnsi="Calibri Light" w:cs="Calibri Light"/>
                <w:b/>
                <w:bCs/>
                <w:color w:val="000000"/>
                <w:sz w:val="20"/>
                <w:szCs w:val="20"/>
              </w:rPr>
              <w:t>26,9136</w:t>
            </w:r>
          </w:p>
        </w:tc>
        <w:tc>
          <w:tcPr>
            <w:tcW w:w="1062" w:type="dxa"/>
            <w:tcBorders>
              <w:top w:val="nil"/>
              <w:left w:val="nil"/>
              <w:bottom w:val="single" w:sz="4" w:space="0" w:color="auto"/>
              <w:right w:val="single" w:sz="4" w:space="0" w:color="auto"/>
            </w:tcBorders>
            <w:shd w:val="clear" w:color="000000" w:fill="70AD47"/>
            <w:noWrap/>
            <w:vAlign w:val="center"/>
            <w:hideMark/>
          </w:tcPr>
          <w:p w14:paraId="15EB0CF5" w14:textId="75C323B9" w:rsidR="00EF7150" w:rsidRPr="00552526" w:rsidRDefault="00A95984" w:rsidP="00EF7150">
            <w:pPr>
              <w:spacing w:after="0" w:line="240" w:lineRule="auto"/>
              <w:jc w:val="center"/>
              <w:rPr>
                <w:rFonts w:ascii="Calibri Light" w:eastAsia="Times New Roman" w:hAnsi="Calibri Light" w:cs="Calibri Light"/>
                <w:b/>
                <w:bCs/>
                <w:color w:val="000000"/>
                <w:sz w:val="20"/>
                <w:szCs w:val="20"/>
                <w:lang w:eastAsia="cs-CZ"/>
              </w:rPr>
            </w:pPr>
            <w:r>
              <w:rPr>
                <w:rFonts w:ascii="Calibri Light" w:hAnsi="Calibri Light" w:cs="Calibri Light"/>
                <w:b/>
                <w:bCs/>
                <w:color w:val="000000"/>
                <w:sz w:val="20"/>
                <w:szCs w:val="20"/>
              </w:rPr>
              <w:t>20,1971</w:t>
            </w:r>
          </w:p>
        </w:tc>
        <w:tc>
          <w:tcPr>
            <w:tcW w:w="907" w:type="dxa"/>
            <w:tcBorders>
              <w:top w:val="nil"/>
              <w:left w:val="nil"/>
              <w:bottom w:val="single" w:sz="4" w:space="0" w:color="auto"/>
              <w:right w:val="single" w:sz="4" w:space="0" w:color="auto"/>
            </w:tcBorders>
            <w:shd w:val="clear" w:color="000000" w:fill="70AD47"/>
            <w:noWrap/>
            <w:vAlign w:val="center"/>
            <w:hideMark/>
          </w:tcPr>
          <w:p w14:paraId="755CC341" w14:textId="77777777" w:rsidR="00EF7150" w:rsidRPr="00552526" w:rsidRDefault="00EF7150" w:rsidP="00EF7150">
            <w:pPr>
              <w:spacing w:after="0" w:line="240" w:lineRule="auto"/>
              <w:jc w:val="center"/>
              <w:rPr>
                <w:rFonts w:ascii="Calibri Light" w:eastAsia="Times New Roman" w:hAnsi="Calibri Light" w:cs="Calibri Light"/>
                <w:b/>
                <w:bCs/>
                <w:color w:val="000000"/>
                <w:sz w:val="20"/>
                <w:szCs w:val="20"/>
                <w:lang w:eastAsia="cs-CZ"/>
              </w:rPr>
            </w:pPr>
            <w:r w:rsidRPr="00552526">
              <w:rPr>
                <w:rFonts w:ascii="Calibri Light" w:eastAsia="Times New Roman" w:hAnsi="Calibri Light" w:cs="Calibri Light"/>
                <w:b/>
                <w:bCs/>
                <w:color w:val="000000"/>
                <w:sz w:val="20"/>
                <w:szCs w:val="20"/>
                <w:lang w:eastAsia="cs-CZ"/>
              </w:rPr>
              <w:t>0,6455</w:t>
            </w:r>
          </w:p>
        </w:tc>
        <w:tc>
          <w:tcPr>
            <w:tcW w:w="907" w:type="dxa"/>
            <w:tcBorders>
              <w:top w:val="nil"/>
              <w:left w:val="nil"/>
              <w:bottom w:val="single" w:sz="4" w:space="0" w:color="auto"/>
              <w:right w:val="single" w:sz="4" w:space="0" w:color="auto"/>
            </w:tcBorders>
            <w:shd w:val="clear" w:color="000000" w:fill="70AD47"/>
            <w:noWrap/>
            <w:vAlign w:val="center"/>
            <w:hideMark/>
          </w:tcPr>
          <w:p w14:paraId="02BB93EC" w14:textId="73A1279A" w:rsidR="00EF7150" w:rsidRPr="00552526" w:rsidRDefault="00A95984" w:rsidP="00EF7150">
            <w:pPr>
              <w:spacing w:after="0" w:line="240" w:lineRule="auto"/>
              <w:jc w:val="center"/>
              <w:rPr>
                <w:rFonts w:ascii="Calibri Light" w:eastAsia="Times New Roman" w:hAnsi="Calibri Light" w:cs="Calibri Light"/>
                <w:b/>
                <w:bCs/>
                <w:color w:val="000000"/>
                <w:sz w:val="20"/>
                <w:szCs w:val="20"/>
                <w:lang w:eastAsia="cs-CZ"/>
              </w:rPr>
            </w:pPr>
            <w:r>
              <w:rPr>
                <w:rFonts w:ascii="Calibri Light" w:eastAsia="Times New Roman" w:hAnsi="Calibri Light" w:cs="Calibri Light"/>
                <w:b/>
                <w:bCs/>
                <w:color w:val="000000"/>
                <w:sz w:val="20"/>
                <w:szCs w:val="20"/>
                <w:lang w:eastAsia="cs-CZ"/>
              </w:rPr>
              <w:t>1,8523</w:t>
            </w:r>
          </w:p>
        </w:tc>
        <w:tc>
          <w:tcPr>
            <w:tcW w:w="820" w:type="dxa"/>
            <w:tcBorders>
              <w:top w:val="nil"/>
              <w:left w:val="nil"/>
              <w:bottom w:val="single" w:sz="4" w:space="0" w:color="auto"/>
              <w:right w:val="single" w:sz="4" w:space="0" w:color="auto"/>
            </w:tcBorders>
            <w:shd w:val="clear" w:color="000000" w:fill="70AD47"/>
            <w:noWrap/>
            <w:vAlign w:val="center"/>
            <w:hideMark/>
          </w:tcPr>
          <w:p w14:paraId="71266939" w14:textId="77777777" w:rsidR="00EF7150" w:rsidRPr="00552526" w:rsidRDefault="00EF7150" w:rsidP="00EF7150">
            <w:pPr>
              <w:spacing w:after="0" w:line="240" w:lineRule="auto"/>
              <w:jc w:val="center"/>
              <w:rPr>
                <w:rFonts w:ascii="Calibri Light" w:eastAsia="Times New Roman" w:hAnsi="Calibri Light" w:cs="Calibri Light"/>
                <w:b/>
                <w:bCs/>
                <w:color w:val="000000"/>
                <w:sz w:val="20"/>
                <w:szCs w:val="20"/>
                <w:lang w:eastAsia="cs-CZ"/>
              </w:rPr>
            </w:pPr>
            <w:r w:rsidRPr="00552526">
              <w:rPr>
                <w:rFonts w:ascii="Calibri Light" w:eastAsia="Times New Roman" w:hAnsi="Calibri Light" w:cs="Calibri Light"/>
                <w:b/>
                <w:bCs/>
                <w:color w:val="000000"/>
                <w:sz w:val="20"/>
                <w:szCs w:val="20"/>
                <w:lang w:eastAsia="cs-CZ"/>
              </w:rPr>
              <w:t>4,2</w:t>
            </w:r>
          </w:p>
        </w:tc>
        <w:tc>
          <w:tcPr>
            <w:tcW w:w="907" w:type="dxa"/>
            <w:tcBorders>
              <w:top w:val="nil"/>
              <w:left w:val="nil"/>
              <w:bottom w:val="single" w:sz="4" w:space="0" w:color="auto"/>
              <w:right w:val="single" w:sz="4" w:space="0" w:color="auto"/>
            </w:tcBorders>
            <w:shd w:val="clear" w:color="000000" w:fill="70AD47"/>
            <w:noWrap/>
            <w:vAlign w:val="center"/>
            <w:hideMark/>
          </w:tcPr>
          <w:p w14:paraId="699F9B28" w14:textId="77777777" w:rsidR="00EF7150" w:rsidRPr="00552526" w:rsidRDefault="00EF7150" w:rsidP="00EF7150">
            <w:pPr>
              <w:spacing w:after="0" w:line="240" w:lineRule="auto"/>
              <w:jc w:val="center"/>
              <w:rPr>
                <w:rFonts w:ascii="Calibri Light" w:eastAsia="Times New Roman" w:hAnsi="Calibri Light" w:cs="Calibri Light"/>
                <w:b/>
                <w:bCs/>
                <w:color w:val="000000"/>
                <w:sz w:val="20"/>
                <w:szCs w:val="20"/>
                <w:lang w:eastAsia="cs-CZ"/>
              </w:rPr>
            </w:pPr>
            <w:r w:rsidRPr="00552526">
              <w:rPr>
                <w:rFonts w:ascii="Calibri Light" w:eastAsia="Times New Roman" w:hAnsi="Calibri Light" w:cs="Calibri Light"/>
                <w:b/>
                <w:bCs/>
                <w:color w:val="000000"/>
                <w:sz w:val="20"/>
                <w:szCs w:val="20"/>
                <w:lang w:eastAsia="cs-CZ"/>
              </w:rPr>
              <w:t>0,0187</w:t>
            </w:r>
          </w:p>
        </w:tc>
        <w:tc>
          <w:tcPr>
            <w:tcW w:w="1444" w:type="dxa"/>
            <w:tcBorders>
              <w:top w:val="nil"/>
              <w:left w:val="nil"/>
              <w:bottom w:val="single" w:sz="4" w:space="0" w:color="auto"/>
              <w:right w:val="single" w:sz="4" w:space="0" w:color="auto"/>
            </w:tcBorders>
            <w:shd w:val="clear" w:color="000000" w:fill="70AD47"/>
            <w:noWrap/>
            <w:vAlign w:val="center"/>
            <w:hideMark/>
          </w:tcPr>
          <w:p w14:paraId="2B102A38" w14:textId="77777777" w:rsidR="00EF7150" w:rsidRPr="00552526" w:rsidRDefault="00EF7150" w:rsidP="00EF7150">
            <w:pPr>
              <w:spacing w:after="0" w:line="240" w:lineRule="auto"/>
              <w:jc w:val="center"/>
              <w:rPr>
                <w:rFonts w:ascii="Calibri Light" w:eastAsia="Times New Roman" w:hAnsi="Calibri Light" w:cs="Calibri Light"/>
                <w:b/>
                <w:bCs/>
                <w:color w:val="000000"/>
                <w:sz w:val="20"/>
                <w:szCs w:val="20"/>
                <w:lang w:eastAsia="cs-CZ"/>
              </w:rPr>
            </w:pPr>
            <w:r w:rsidRPr="00552526">
              <w:rPr>
                <w:rFonts w:ascii="Calibri Light" w:eastAsia="Times New Roman" w:hAnsi="Calibri Light" w:cs="Calibri Light"/>
                <w:b/>
                <w:bCs/>
                <w:color w:val="000000"/>
                <w:sz w:val="20"/>
                <w:szCs w:val="20"/>
                <w:lang w:eastAsia="cs-CZ"/>
              </w:rPr>
              <w:t>0,37</w:t>
            </w:r>
          </w:p>
        </w:tc>
        <w:tc>
          <w:tcPr>
            <w:tcW w:w="1382" w:type="dxa"/>
            <w:tcBorders>
              <w:top w:val="nil"/>
              <w:left w:val="nil"/>
              <w:bottom w:val="single" w:sz="4" w:space="0" w:color="auto"/>
              <w:right w:val="single" w:sz="4" w:space="0" w:color="auto"/>
              <w:tr2bl w:val="single" w:sz="4" w:space="0" w:color="auto"/>
            </w:tcBorders>
            <w:shd w:val="clear" w:color="000000" w:fill="70AD47"/>
            <w:noWrap/>
            <w:vAlign w:val="center"/>
            <w:hideMark/>
          </w:tcPr>
          <w:p w14:paraId="26307445" w14:textId="77777777" w:rsidR="00EF7150" w:rsidRPr="00552526" w:rsidRDefault="00EF7150" w:rsidP="00EF7150">
            <w:pPr>
              <w:spacing w:after="0" w:line="240" w:lineRule="auto"/>
              <w:jc w:val="center"/>
              <w:rPr>
                <w:rFonts w:ascii="Calibri Light" w:eastAsia="Times New Roman" w:hAnsi="Calibri Light" w:cs="Calibri Light"/>
                <w:b/>
                <w:bCs/>
                <w:color w:val="000000"/>
                <w:sz w:val="20"/>
                <w:szCs w:val="20"/>
                <w:lang w:eastAsia="cs-CZ"/>
              </w:rPr>
            </w:pPr>
            <w:r w:rsidRPr="00552526">
              <w:rPr>
                <w:rFonts w:ascii="Calibri Light" w:eastAsia="Times New Roman" w:hAnsi="Calibri Light" w:cs="Calibri Light"/>
                <w:b/>
                <w:bCs/>
                <w:color w:val="000000"/>
                <w:sz w:val="20"/>
                <w:szCs w:val="20"/>
                <w:lang w:eastAsia="cs-CZ"/>
              </w:rPr>
              <w:t> </w:t>
            </w:r>
          </w:p>
        </w:tc>
        <w:tc>
          <w:tcPr>
            <w:tcW w:w="1382" w:type="dxa"/>
            <w:tcBorders>
              <w:top w:val="nil"/>
              <w:left w:val="nil"/>
              <w:bottom w:val="single" w:sz="4" w:space="0" w:color="auto"/>
              <w:right w:val="single" w:sz="4" w:space="0" w:color="auto"/>
              <w:tr2bl w:val="single" w:sz="4" w:space="0" w:color="auto"/>
            </w:tcBorders>
            <w:shd w:val="clear" w:color="000000" w:fill="70AD47"/>
            <w:noWrap/>
            <w:vAlign w:val="center"/>
            <w:hideMark/>
          </w:tcPr>
          <w:p w14:paraId="2BE9514F" w14:textId="77777777" w:rsidR="00EF7150" w:rsidRPr="00552526" w:rsidRDefault="00EF7150" w:rsidP="00EF7150">
            <w:pPr>
              <w:spacing w:after="0" w:line="240" w:lineRule="auto"/>
              <w:jc w:val="center"/>
              <w:rPr>
                <w:rFonts w:ascii="Calibri Light" w:eastAsia="Times New Roman" w:hAnsi="Calibri Light" w:cs="Calibri Light"/>
                <w:b/>
                <w:bCs/>
                <w:color w:val="000000"/>
                <w:sz w:val="20"/>
                <w:szCs w:val="20"/>
                <w:lang w:eastAsia="cs-CZ"/>
              </w:rPr>
            </w:pPr>
            <w:r w:rsidRPr="00552526">
              <w:rPr>
                <w:rFonts w:ascii="Calibri Light" w:eastAsia="Times New Roman" w:hAnsi="Calibri Light" w:cs="Calibri Light"/>
                <w:b/>
                <w:bCs/>
                <w:color w:val="000000"/>
                <w:sz w:val="20"/>
                <w:szCs w:val="20"/>
                <w:lang w:eastAsia="cs-CZ"/>
              </w:rPr>
              <w:t> </w:t>
            </w:r>
          </w:p>
        </w:tc>
        <w:tc>
          <w:tcPr>
            <w:tcW w:w="1382" w:type="dxa"/>
            <w:tcBorders>
              <w:top w:val="nil"/>
              <w:left w:val="nil"/>
              <w:bottom w:val="single" w:sz="4" w:space="0" w:color="auto"/>
              <w:right w:val="single" w:sz="4" w:space="0" w:color="auto"/>
              <w:tr2bl w:val="single" w:sz="4" w:space="0" w:color="auto"/>
            </w:tcBorders>
            <w:shd w:val="clear" w:color="000000" w:fill="70AD47"/>
            <w:noWrap/>
            <w:vAlign w:val="center"/>
            <w:hideMark/>
          </w:tcPr>
          <w:p w14:paraId="30E12029" w14:textId="77777777" w:rsidR="00EF7150" w:rsidRPr="00552526" w:rsidRDefault="00EF7150" w:rsidP="00EF7150">
            <w:pPr>
              <w:spacing w:after="0" w:line="240" w:lineRule="auto"/>
              <w:jc w:val="center"/>
              <w:rPr>
                <w:rFonts w:ascii="Calibri Light" w:eastAsia="Times New Roman" w:hAnsi="Calibri Light" w:cs="Calibri Light"/>
                <w:b/>
                <w:bCs/>
                <w:color w:val="000000"/>
                <w:sz w:val="20"/>
                <w:szCs w:val="20"/>
                <w:lang w:eastAsia="cs-CZ"/>
              </w:rPr>
            </w:pPr>
            <w:r w:rsidRPr="00552526">
              <w:rPr>
                <w:rFonts w:ascii="Calibri Light" w:eastAsia="Times New Roman" w:hAnsi="Calibri Light" w:cs="Calibri Light"/>
                <w:b/>
                <w:bCs/>
                <w:color w:val="000000"/>
                <w:sz w:val="20"/>
                <w:szCs w:val="20"/>
                <w:lang w:eastAsia="cs-CZ"/>
              </w:rPr>
              <w:t> </w:t>
            </w:r>
          </w:p>
        </w:tc>
        <w:tc>
          <w:tcPr>
            <w:tcW w:w="1382" w:type="dxa"/>
            <w:tcBorders>
              <w:top w:val="nil"/>
              <w:left w:val="nil"/>
              <w:bottom w:val="single" w:sz="4" w:space="0" w:color="auto"/>
              <w:right w:val="single" w:sz="4" w:space="0" w:color="auto"/>
              <w:tr2bl w:val="single" w:sz="4" w:space="0" w:color="auto"/>
            </w:tcBorders>
            <w:shd w:val="clear" w:color="000000" w:fill="70AD47"/>
            <w:noWrap/>
            <w:vAlign w:val="center"/>
            <w:hideMark/>
          </w:tcPr>
          <w:p w14:paraId="479BA447" w14:textId="77777777" w:rsidR="00EF7150" w:rsidRPr="00552526" w:rsidRDefault="00EF7150" w:rsidP="00EF7150">
            <w:pPr>
              <w:spacing w:after="0" w:line="240" w:lineRule="auto"/>
              <w:jc w:val="center"/>
              <w:rPr>
                <w:rFonts w:ascii="Calibri Light" w:eastAsia="Times New Roman" w:hAnsi="Calibri Light" w:cs="Calibri Light"/>
                <w:b/>
                <w:bCs/>
                <w:color w:val="000000"/>
                <w:sz w:val="20"/>
                <w:szCs w:val="20"/>
                <w:lang w:eastAsia="cs-CZ"/>
              </w:rPr>
            </w:pPr>
            <w:r w:rsidRPr="00552526">
              <w:rPr>
                <w:rFonts w:ascii="Calibri Light" w:eastAsia="Times New Roman" w:hAnsi="Calibri Light" w:cs="Calibri Light"/>
                <w:b/>
                <w:bCs/>
                <w:color w:val="000000"/>
                <w:sz w:val="20"/>
                <w:szCs w:val="20"/>
                <w:lang w:eastAsia="cs-CZ"/>
              </w:rPr>
              <w:t> </w:t>
            </w:r>
          </w:p>
        </w:tc>
      </w:tr>
    </w:tbl>
    <w:p w14:paraId="5B531D34" w14:textId="77777777" w:rsidR="00552526" w:rsidRDefault="00552526" w:rsidP="00D37005">
      <w:pPr>
        <w:spacing w:after="0" w:line="240" w:lineRule="auto"/>
        <w:jc w:val="center"/>
        <w:rPr>
          <w:rFonts w:asciiTheme="majorHAnsi" w:hAnsiTheme="majorHAnsi" w:cstheme="majorHAnsi"/>
          <w:color w:val="FF0000"/>
        </w:rPr>
      </w:pPr>
    </w:p>
    <w:p w14:paraId="2A99508D" w14:textId="77777777" w:rsidR="00552526" w:rsidRDefault="00552526" w:rsidP="00D37005">
      <w:pPr>
        <w:spacing w:after="0" w:line="240" w:lineRule="auto"/>
        <w:jc w:val="center"/>
        <w:rPr>
          <w:rFonts w:asciiTheme="majorHAnsi" w:hAnsiTheme="majorHAnsi" w:cstheme="majorHAnsi"/>
          <w:color w:val="FF0000"/>
        </w:rPr>
      </w:pPr>
    </w:p>
    <w:p w14:paraId="35F5A202" w14:textId="77777777" w:rsidR="00EF7150" w:rsidRDefault="00EF7150" w:rsidP="00D37005">
      <w:pPr>
        <w:spacing w:after="0" w:line="240" w:lineRule="auto"/>
        <w:jc w:val="center"/>
        <w:rPr>
          <w:rFonts w:asciiTheme="majorHAnsi" w:hAnsiTheme="majorHAnsi" w:cstheme="majorHAnsi"/>
          <w:color w:val="FF0000"/>
        </w:rPr>
      </w:pPr>
    </w:p>
    <w:p w14:paraId="353DF585" w14:textId="77777777" w:rsidR="00552526" w:rsidRPr="006070EA" w:rsidRDefault="00552526" w:rsidP="00C162B0">
      <w:pPr>
        <w:spacing w:after="0" w:line="240" w:lineRule="auto"/>
        <w:jc w:val="center"/>
        <w:rPr>
          <w:rFonts w:asciiTheme="majorHAnsi" w:hAnsiTheme="majorHAnsi" w:cstheme="majorHAnsi"/>
          <w:color w:val="FF0000"/>
        </w:rPr>
      </w:pPr>
    </w:p>
    <w:tbl>
      <w:tblPr>
        <w:tblW w:w="14486" w:type="dxa"/>
        <w:jc w:val="center"/>
        <w:tblLayout w:type="fixed"/>
        <w:tblCellMar>
          <w:left w:w="70" w:type="dxa"/>
          <w:right w:w="70" w:type="dxa"/>
        </w:tblCellMar>
        <w:tblLook w:val="04A0" w:firstRow="1" w:lastRow="0" w:firstColumn="1" w:lastColumn="0" w:noHBand="0" w:noVBand="1"/>
      </w:tblPr>
      <w:tblGrid>
        <w:gridCol w:w="1980"/>
        <w:gridCol w:w="992"/>
        <w:gridCol w:w="907"/>
        <w:gridCol w:w="907"/>
        <w:gridCol w:w="907"/>
        <w:gridCol w:w="907"/>
        <w:gridCol w:w="908"/>
        <w:gridCol w:w="1418"/>
        <w:gridCol w:w="1390"/>
        <w:gridCol w:w="1390"/>
        <w:gridCol w:w="1390"/>
        <w:gridCol w:w="1390"/>
      </w:tblGrid>
      <w:tr w:rsidR="00C162B0" w:rsidRPr="00C162B0" w14:paraId="3C9178F0" w14:textId="77777777" w:rsidTr="00C162B0">
        <w:trPr>
          <w:trHeight w:val="1203"/>
          <w:jc w:val="center"/>
        </w:trPr>
        <w:tc>
          <w:tcPr>
            <w:tcW w:w="1980"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5BA45786" w14:textId="77777777" w:rsidR="00C162B0" w:rsidRPr="00C162B0" w:rsidRDefault="00C162B0" w:rsidP="00C162B0">
            <w:pPr>
              <w:keepNext/>
              <w:spacing w:after="0" w:line="240" w:lineRule="auto"/>
              <w:jc w:val="center"/>
              <w:rPr>
                <w:rFonts w:ascii="Calibri Light" w:eastAsia="Times New Roman" w:hAnsi="Calibri Light" w:cs="Calibri Light"/>
                <w:b/>
                <w:bCs/>
                <w:color w:val="000000"/>
                <w:sz w:val="18"/>
                <w:szCs w:val="18"/>
                <w:lang w:eastAsia="cs-CZ"/>
              </w:rPr>
            </w:pPr>
            <w:r w:rsidRPr="00C162B0">
              <w:rPr>
                <w:rFonts w:ascii="Calibri Light" w:eastAsia="Times New Roman" w:hAnsi="Calibri Light" w:cs="Calibri Light"/>
                <w:b/>
                <w:bCs/>
                <w:color w:val="000000"/>
                <w:sz w:val="18"/>
                <w:szCs w:val="18"/>
                <w:lang w:eastAsia="cs-CZ"/>
              </w:rPr>
              <w:lastRenderedPageBreak/>
              <w:t>Ozn. koridoru</w:t>
            </w:r>
          </w:p>
        </w:tc>
        <w:tc>
          <w:tcPr>
            <w:tcW w:w="992"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4ABE949C" w14:textId="77777777" w:rsidR="00C162B0" w:rsidRPr="00C162B0" w:rsidRDefault="00C162B0" w:rsidP="00C162B0">
            <w:pPr>
              <w:keepNext/>
              <w:spacing w:after="0" w:line="240" w:lineRule="auto"/>
              <w:jc w:val="center"/>
              <w:rPr>
                <w:rFonts w:ascii="Calibri Light" w:eastAsia="Times New Roman" w:hAnsi="Calibri Light" w:cs="Calibri Light"/>
                <w:b/>
                <w:bCs/>
                <w:color w:val="000000"/>
                <w:sz w:val="18"/>
                <w:szCs w:val="18"/>
                <w:lang w:eastAsia="cs-CZ"/>
              </w:rPr>
            </w:pPr>
            <w:r w:rsidRPr="00C162B0">
              <w:rPr>
                <w:rFonts w:ascii="Calibri Light" w:eastAsia="Times New Roman" w:hAnsi="Calibri Light" w:cs="Calibri Light"/>
                <w:b/>
                <w:bCs/>
                <w:color w:val="000000"/>
                <w:sz w:val="18"/>
                <w:szCs w:val="18"/>
                <w:lang w:eastAsia="cs-CZ"/>
              </w:rPr>
              <w:t>Maximální výměra záboru ZPF (ha)</w:t>
            </w:r>
          </w:p>
        </w:tc>
        <w:tc>
          <w:tcPr>
            <w:tcW w:w="4536" w:type="dxa"/>
            <w:gridSpan w:val="5"/>
            <w:tcBorders>
              <w:top w:val="single" w:sz="4" w:space="0" w:color="auto"/>
              <w:left w:val="nil"/>
              <w:bottom w:val="single" w:sz="4" w:space="0" w:color="auto"/>
              <w:right w:val="single" w:sz="4" w:space="0" w:color="auto"/>
            </w:tcBorders>
            <w:shd w:val="clear" w:color="000000" w:fill="F2F2F2"/>
            <w:vAlign w:val="center"/>
            <w:hideMark/>
          </w:tcPr>
          <w:p w14:paraId="0C57F1DA" w14:textId="77777777" w:rsidR="00C162B0" w:rsidRPr="00C162B0" w:rsidRDefault="00C162B0" w:rsidP="00C162B0">
            <w:pPr>
              <w:keepNext/>
              <w:spacing w:after="0" w:line="240" w:lineRule="auto"/>
              <w:jc w:val="center"/>
              <w:rPr>
                <w:rFonts w:ascii="Calibri Light" w:eastAsia="Times New Roman" w:hAnsi="Calibri Light" w:cs="Calibri Light"/>
                <w:b/>
                <w:bCs/>
                <w:color w:val="000000"/>
                <w:sz w:val="18"/>
                <w:szCs w:val="18"/>
                <w:lang w:eastAsia="cs-CZ"/>
              </w:rPr>
            </w:pPr>
            <w:r w:rsidRPr="00C162B0">
              <w:rPr>
                <w:rFonts w:ascii="Calibri Light" w:eastAsia="Times New Roman" w:hAnsi="Calibri Light" w:cs="Calibri Light"/>
                <w:b/>
                <w:bCs/>
                <w:color w:val="000000"/>
                <w:sz w:val="18"/>
                <w:szCs w:val="18"/>
                <w:lang w:eastAsia="cs-CZ"/>
              </w:rPr>
              <w:t>Odhad výměry záboru podle tříd ochrany (ha)</w:t>
            </w:r>
          </w:p>
        </w:tc>
        <w:tc>
          <w:tcPr>
            <w:tcW w:w="1418"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24E5EF1F" w14:textId="77777777" w:rsidR="00C162B0" w:rsidRPr="00C162B0" w:rsidRDefault="00C162B0" w:rsidP="00C162B0">
            <w:pPr>
              <w:keepNext/>
              <w:spacing w:after="0" w:line="240" w:lineRule="auto"/>
              <w:jc w:val="center"/>
              <w:rPr>
                <w:rFonts w:ascii="Calibri Light" w:eastAsia="Times New Roman" w:hAnsi="Calibri Light" w:cs="Calibri Light"/>
                <w:b/>
                <w:bCs/>
                <w:color w:val="000000"/>
                <w:sz w:val="18"/>
                <w:szCs w:val="18"/>
                <w:lang w:eastAsia="cs-CZ"/>
              </w:rPr>
            </w:pPr>
            <w:r w:rsidRPr="00C162B0">
              <w:rPr>
                <w:rFonts w:ascii="Calibri Light" w:eastAsia="Times New Roman" w:hAnsi="Calibri Light" w:cs="Calibri Light"/>
                <w:b/>
                <w:bCs/>
                <w:color w:val="000000"/>
                <w:sz w:val="18"/>
                <w:szCs w:val="18"/>
                <w:lang w:eastAsia="cs-CZ"/>
              </w:rPr>
              <w:t>Odhad výměry záboru, na které bude provedena rekultivace na zemědělskou půdu (ha)</w:t>
            </w:r>
          </w:p>
        </w:tc>
        <w:tc>
          <w:tcPr>
            <w:tcW w:w="1390"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24133136" w14:textId="77777777" w:rsidR="00C162B0" w:rsidRPr="00C162B0" w:rsidRDefault="00C162B0" w:rsidP="00C162B0">
            <w:pPr>
              <w:keepNext/>
              <w:spacing w:after="0" w:line="240" w:lineRule="auto"/>
              <w:jc w:val="center"/>
              <w:rPr>
                <w:rFonts w:ascii="Calibri Light" w:eastAsia="Times New Roman" w:hAnsi="Calibri Light" w:cs="Calibri Light"/>
                <w:b/>
                <w:bCs/>
                <w:color w:val="000000"/>
                <w:sz w:val="18"/>
                <w:szCs w:val="18"/>
                <w:lang w:eastAsia="cs-CZ"/>
              </w:rPr>
            </w:pPr>
            <w:r w:rsidRPr="00C162B0">
              <w:rPr>
                <w:rFonts w:ascii="Calibri Light" w:eastAsia="Times New Roman" w:hAnsi="Calibri Light" w:cs="Calibri Light"/>
                <w:b/>
                <w:bCs/>
                <w:color w:val="000000"/>
                <w:sz w:val="18"/>
                <w:szCs w:val="18"/>
                <w:lang w:eastAsia="cs-CZ"/>
              </w:rPr>
              <w:t>Informace o existenci závlah</w:t>
            </w:r>
          </w:p>
        </w:tc>
        <w:tc>
          <w:tcPr>
            <w:tcW w:w="1390"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0F5399E5" w14:textId="77777777" w:rsidR="00C162B0" w:rsidRPr="00C162B0" w:rsidRDefault="00C162B0" w:rsidP="00C162B0">
            <w:pPr>
              <w:keepNext/>
              <w:spacing w:after="0" w:line="240" w:lineRule="auto"/>
              <w:jc w:val="center"/>
              <w:rPr>
                <w:rFonts w:ascii="Calibri Light" w:eastAsia="Times New Roman" w:hAnsi="Calibri Light" w:cs="Calibri Light"/>
                <w:b/>
                <w:bCs/>
                <w:color w:val="000000"/>
                <w:sz w:val="18"/>
                <w:szCs w:val="18"/>
                <w:lang w:eastAsia="cs-CZ"/>
              </w:rPr>
            </w:pPr>
            <w:r w:rsidRPr="00C162B0">
              <w:rPr>
                <w:rFonts w:ascii="Calibri Light" w:eastAsia="Times New Roman" w:hAnsi="Calibri Light" w:cs="Calibri Light"/>
                <w:b/>
                <w:bCs/>
                <w:color w:val="000000"/>
                <w:sz w:val="18"/>
                <w:szCs w:val="18"/>
                <w:lang w:eastAsia="cs-CZ"/>
              </w:rPr>
              <w:t>Informace o existenci odvodnění</w:t>
            </w:r>
          </w:p>
        </w:tc>
        <w:tc>
          <w:tcPr>
            <w:tcW w:w="1390"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15439F4A" w14:textId="77777777" w:rsidR="00C162B0" w:rsidRPr="00C162B0" w:rsidRDefault="00C162B0" w:rsidP="00C162B0">
            <w:pPr>
              <w:keepNext/>
              <w:spacing w:after="0" w:line="240" w:lineRule="auto"/>
              <w:jc w:val="center"/>
              <w:rPr>
                <w:rFonts w:ascii="Calibri Light" w:eastAsia="Times New Roman" w:hAnsi="Calibri Light" w:cs="Calibri Light"/>
                <w:b/>
                <w:bCs/>
                <w:color w:val="000000"/>
                <w:sz w:val="18"/>
                <w:szCs w:val="18"/>
                <w:lang w:eastAsia="cs-CZ"/>
              </w:rPr>
            </w:pPr>
            <w:r w:rsidRPr="00C162B0">
              <w:rPr>
                <w:rFonts w:ascii="Calibri Light" w:eastAsia="Times New Roman" w:hAnsi="Calibri Light" w:cs="Calibri Light"/>
                <w:b/>
                <w:bCs/>
                <w:color w:val="000000"/>
                <w:sz w:val="18"/>
                <w:szCs w:val="18"/>
                <w:lang w:eastAsia="cs-CZ"/>
              </w:rPr>
              <w:t>Informace o existenci staveb k ochraně pozemku před erozní činností vody</w:t>
            </w:r>
          </w:p>
        </w:tc>
        <w:tc>
          <w:tcPr>
            <w:tcW w:w="1390"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5E429D18" w14:textId="77777777" w:rsidR="00C162B0" w:rsidRPr="00C162B0" w:rsidRDefault="00C162B0" w:rsidP="00C162B0">
            <w:pPr>
              <w:keepNext/>
              <w:spacing w:after="0" w:line="240" w:lineRule="auto"/>
              <w:jc w:val="center"/>
              <w:rPr>
                <w:rFonts w:ascii="Calibri Light" w:eastAsia="Times New Roman" w:hAnsi="Calibri Light" w:cs="Calibri Light"/>
                <w:b/>
                <w:bCs/>
                <w:color w:val="000000"/>
                <w:sz w:val="18"/>
                <w:szCs w:val="18"/>
                <w:lang w:eastAsia="cs-CZ"/>
              </w:rPr>
            </w:pPr>
            <w:r w:rsidRPr="00C162B0">
              <w:rPr>
                <w:rFonts w:ascii="Calibri Light" w:eastAsia="Times New Roman" w:hAnsi="Calibri Light" w:cs="Calibri Light"/>
                <w:b/>
                <w:bCs/>
                <w:color w:val="000000"/>
                <w:sz w:val="18"/>
                <w:szCs w:val="18"/>
                <w:lang w:eastAsia="cs-CZ"/>
              </w:rPr>
              <w:t>Informace podle ustanovení § 3 odst. 1 písm. g)</w:t>
            </w:r>
          </w:p>
        </w:tc>
      </w:tr>
      <w:tr w:rsidR="00C162B0" w:rsidRPr="00C162B0" w14:paraId="1B535A46" w14:textId="77777777" w:rsidTr="00C162B0">
        <w:trPr>
          <w:trHeight w:val="300"/>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33D95326" w14:textId="77777777" w:rsidR="00C162B0" w:rsidRPr="00C162B0" w:rsidRDefault="00C162B0" w:rsidP="00C162B0">
            <w:pPr>
              <w:keepNext/>
              <w:spacing w:after="0" w:line="240" w:lineRule="auto"/>
              <w:rPr>
                <w:rFonts w:ascii="Calibri Light" w:eastAsia="Times New Roman" w:hAnsi="Calibri Light" w:cs="Calibri Light"/>
                <w:b/>
                <w:bCs/>
                <w:color w:val="000000"/>
                <w:sz w:val="18"/>
                <w:szCs w:val="18"/>
                <w:lang w:eastAsia="cs-CZ"/>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357A8FB" w14:textId="77777777" w:rsidR="00C162B0" w:rsidRPr="00C162B0" w:rsidRDefault="00C162B0" w:rsidP="00C162B0">
            <w:pPr>
              <w:keepNext/>
              <w:spacing w:after="0" w:line="240" w:lineRule="auto"/>
              <w:rPr>
                <w:rFonts w:ascii="Calibri Light" w:eastAsia="Times New Roman" w:hAnsi="Calibri Light" w:cs="Calibri Light"/>
                <w:b/>
                <w:bCs/>
                <w:color w:val="000000"/>
                <w:sz w:val="18"/>
                <w:szCs w:val="18"/>
                <w:lang w:eastAsia="cs-CZ"/>
              </w:rPr>
            </w:pPr>
          </w:p>
        </w:tc>
        <w:tc>
          <w:tcPr>
            <w:tcW w:w="907" w:type="dxa"/>
            <w:tcBorders>
              <w:top w:val="nil"/>
              <w:left w:val="nil"/>
              <w:bottom w:val="single" w:sz="4" w:space="0" w:color="auto"/>
              <w:right w:val="single" w:sz="4" w:space="0" w:color="auto"/>
            </w:tcBorders>
            <w:shd w:val="clear" w:color="000000" w:fill="F2F2F2"/>
            <w:noWrap/>
            <w:vAlign w:val="center"/>
            <w:hideMark/>
          </w:tcPr>
          <w:p w14:paraId="44FA664C" w14:textId="77777777" w:rsidR="00C162B0" w:rsidRPr="00C162B0" w:rsidRDefault="00C162B0" w:rsidP="00C162B0">
            <w:pPr>
              <w:keepNext/>
              <w:spacing w:after="0" w:line="240" w:lineRule="auto"/>
              <w:jc w:val="center"/>
              <w:rPr>
                <w:rFonts w:ascii="Calibri Light" w:eastAsia="Times New Roman" w:hAnsi="Calibri Light" w:cs="Calibri Light"/>
                <w:b/>
                <w:bCs/>
                <w:color w:val="000000"/>
                <w:sz w:val="18"/>
                <w:szCs w:val="18"/>
                <w:lang w:eastAsia="cs-CZ"/>
              </w:rPr>
            </w:pPr>
            <w:r w:rsidRPr="00C162B0">
              <w:rPr>
                <w:rFonts w:ascii="Calibri Light" w:eastAsia="Times New Roman" w:hAnsi="Calibri Light" w:cs="Calibri Light"/>
                <w:b/>
                <w:bCs/>
                <w:color w:val="000000"/>
                <w:sz w:val="18"/>
                <w:szCs w:val="18"/>
                <w:lang w:eastAsia="cs-CZ"/>
              </w:rPr>
              <w:t>I.</w:t>
            </w:r>
          </w:p>
        </w:tc>
        <w:tc>
          <w:tcPr>
            <w:tcW w:w="907" w:type="dxa"/>
            <w:tcBorders>
              <w:top w:val="nil"/>
              <w:left w:val="nil"/>
              <w:bottom w:val="single" w:sz="4" w:space="0" w:color="auto"/>
              <w:right w:val="single" w:sz="4" w:space="0" w:color="auto"/>
            </w:tcBorders>
            <w:shd w:val="clear" w:color="000000" w:fill="F2F2F2"/>
            <w:noWrap/>
            <w:vAlign w:val="center"/>
            <w:hideMark/>
          </w:tcPr>
          <w:p w14:paraId="55334587" w14:textId="77777777" w:rsidR="00C162B0" w:rsidRPr="00C162B0" w:rsidRDefault="00C162B0" w:rsidP="00C162B0">
            <w:pPr>
              <w:keepNext/>
              <w:spacing w:after="0" w:line="240" w:lineRule="auto"/>
              <w:jc w:val="center"/>
              <w:rPr>
                <w:rFonts w:ascii="Calibri Light" w:eastAsia="Times New Roman" w:hAnsi="Calibri Light" w:cs="Calibri Light"/>
                <w:b/>
                <w:bCs/>
                <w:color w:val="000000"/>
                <w:sz w:val="18"/>
                <w:szCs w:val="18"/>
                <w:lang w:eastAsia="cs-CZ"/>
              </w:rPr>
            </w:pPr>
            <w:r w:rsidRPr="00C162B0">
              <w:rPr>
                <w:rFonts w:ascii="Calibri Light" w:eastAsia="Times New Roman" w:hAnsi="Calibri Light" w:cs="Calibri Light"/>
                <w:b/>
                <w:bCs/>
                <w:color w:val="000000"/>
                <w:sz w:val="18"/>
                <w:szCs w:val="18"/>
                <w:lang w:eastAsia="cs-CZ"/>
              </w:rPr>
              <w:t>II.</w:t>
            </w:r>
          </w:p>
        </w:tc>
        <w:tc>
          <w:tcPr>
            <w:tcW w:w="907" w:type="dxa"/>
            <w:tcBorders>
              <w:top w:val="nil"/>
              <w:left w:val="nil"/>
              <w:bottom w:val="single" w:sz="4" w:space="0" w:color="auto"/>
              <w:right w:val="single" w:sz="4" w:space="0" w:color="auto"/>
            </w:tcBorders>
            <w:shd w:val="clear" w:color="000000" w:fill="F2F2F2"/>
            <w:noWrap/>
            <w:vAlign w:val="center"/>
            <w:hideMark/>
          </w:tcPr>
          <w:p w14:paraId="2AFF36AB" w14:textId="77777777" w:rsidR="00C162B0" w:rsidRPr="00C162B0" w:rsidRDefault="00C162B0" w:rsidP="00C162B0">
            <w:pPr>
              <w:keepNext/>
              <w:spacing w:after="0" w:line="240" w:lineRule="auto"/>
              <w:jc w:val="center"/>
              <w:rPr>
                <w:rFonts w:ascii="Calibri Light" w:eastAsia="Times New Roman" w:hAnsi="Calibri Light" w:cs="Calibri Light"/>
                <w:b/>
                <w:bCs/>
                <w:color w:val="000000"/>
                <w:sz w:val="18"/>
                <w:szCs w:val="18"/>
                <w:lang w:eastAsia="cs-CZ"/>
              </w:rPr>
            </w:pPr>
            <w:r w:rsidRPr="00C162B0">
              <w:rPr>
                <w:rFonts w:ascii="Calibri Light" w:eastAsia="Times New Roman" w:hAnsi="Calibri Light" w:cs="Calibri Light"/>
                <w:b/>
                <w:bCs/>
                <w:color w:val="000000"/>
                <w:sz w:val="18"/>
                <w:szCs w:val="18"/>
                <w:lang w:eastAsia="cs-CZ"/>
              </w:rPr>
              <w:t>III.</w:t>
            </w:r>
          </w:p>
        </w:tc>
        <w:tc>
          <w:tcPr>
            <w:tcW w:w="907" w:type="dxa"/>
            <w:tcBorders>
              <w:top w:val="nil"/>
              <w:left w:val="nil"/>
              <w:bottom w:val="single" w:sz="4" w:space="0" w:color="auto"/>
              <w:right w:val="single" w:sz="4" w:space="0" w:color="auto"/>
            </w:tcBorders>
            <w:shd w:val="clear" w:color="000000" w:fill="F2F2F2"/>
            <w:noWrap/>
            <w:vAlign w:val="center"/>
            <w:hideMark/>
          </w:tcPr>
          <w:p w14:paraId="1BE103CF" w14:textId="77777777" w:rsidR="00C162B0" w:rsidRPr="00C162B0" w:rsidRDefault="00C162B0" w:rsidP="00C162B0">
            <w:pPr>
              <w:keepNext/>
              <w:spacing w:after="0" w:line="240" w:lineRule="auto"/>
              <w:jc w:val="center"/>
              <w:rPr>
                <w:rFonts w:ascii="Calibri Light" w:eastAsia="Times New Roman" w:hAnsi="Calibri Light" w:cs="Calibri Light"/>
                <w:b/>
                <w:bCs/>
                <w:color w:val="000000"/>
                <w:sz w:val="18"/>
                <w:szCs w:val="18"/>
                <w:lang w:eastAsia="cs-CZ"/>
              </w:rPr>
            </w:pPr>
            <w:r w:rsidRPr="00C162B0">
              <w:rPr>
                <w:rFonts w:ascii="Calibri Light" w:eastAsia="Times New Roman" w:hAnsi="Calibri Light" w:cs="Calibri Light"/>
                <w:b/>
                <w:bCs/>
                <w:color w:val="000000"/>
                <w:sz w:val="18"/>
                <w:szCs w:val="18"/>
                <w:lang w:eastAsia="cs-CZ"/>
              </w:rPr>
              <w:t>IV.</w:t>
            </w:r>
          </w:p>
        </w:tc>
        <w:tc>
          <w:tcPr>
            <w:tcW w:w="908" w:type="dxa"/>
            <w:tcBorders>
              <w:top w:val="nil"/>
              <w:left w:val="nil"/>
              <w:bottom w:val="single" w:sz="4" w:space="0" w:color="auto"/>
              <w:right w:val="single" w:sz="4" w:space="0" w:color="auto"/>
            </w:tcBorders>
            <w:shd w:val="clear" w:color="000000" w:fill="F2F2F2"/>
            <w:noWrap/>
            <w:vAlign w:val="center"/>
            <w:hideMark/>
          </w:tcPr>
          <w:p w14:paraId="225BCCD4" w14:textId="77777777" w:rsidR="00C162B0" w:rsidRPr="00C162B0" w:rsidRDefault="00C162B0" w:rsidP="00C162B0">
            <w:pPr>
              <w:keepNext/>
              <w:spacing w:after="0" w:line="240" w:lineRule="auto"/>
              <w:jc w:val="center"/>
              <w:rPr>
                <w:rFonts w:ascii="Calibri Light" w:eastAsia="Times New Roman" w:hAnsi="Calibri Light" w:cs="Calibri Light"/>
                <w:b/>
                <w:bCs/>
                <w:color w:val="000000"/>
                <w:sz w:val="18"/>
                <w:szCs w:val="18"/>
                <w:lang w:eastAsia="cs-CZ"/>
              </w:rPr>
            </w:pPr>
            <w:r w:rsidRPr="00C162B0">
              <w:rPr>
                <w:rFonts w:ascii="Calibri Light" w:eastAsia="Times New Roman" w:hAnsi="Calibri Light" w:cs="Calibri Light"/>
                <w:b/>
                <w:bCs/>
                <w:color w:val="000000"/>
                <w:sz w:val="18"/>
                <w:szCs w:val="18"/>
                <w:lang w:eastAsia="cs-CZ"/>
              </w:rPr>
              <w:t>V.</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36CDB66F" w14:textId="77777777" w:rsidR="00C162B0" w:rsidRPr="00C162B0" w:rsidRDefault="00C162B0" w:rsidP="00C162B0">
            <w:pPr>
              <w:keepNext/>
              <w:spacing w:after="0" w:line="240" w:lineRule="auto"/>
              <w:rPr>
                <w:rFonts w:ascii="Calibri Light" w:eastAsia="Times New Roman" w:hAnsi="Calibri Light" w:cs="Calibri Light"/>
                <w:b/>
                <w:bCs/>
                <w:color w:val="000000"/>
                <w:sz w:val="18"/>
                <w:szCs w:val="18"/>
                <w:lang w:eastAsia="cs-CZ"/>
              </w:rPr>
            </w:pPr>
          </w:p>
        </w:tc>
        <w:tc>
          <w:tcPr>
            <w:tcW w:w="1390" w:type="dxa"/>
            <w:vMerge/>
            <w:tcBorders>
              <w:top w:val="single" w:sz="4" w:space="0" w:color="auto"/>
              <w:left w:val="single" w:sz="4" w:space="0" w:color="auto"/>
              <w:bottom w:val="single" w:sz="4" w:space="0" w:color="auto"/>
              <w:right w:val="single" w:sz="4" w:space="0" w:color="auto"/>
            </w:tcBorders>
            <w:vAlign w:val="center"/>
            <w:hideMark/>
          </w:tcPr>
          <w:p w14:paraId="0CDC9CDD" w14:textId="77777777" w:rsidR="00C162B0" w:rsidRPr="00C162B0" w:rsidRDefault="00C162B0" w:rsidP="00C162B0">
            <w:pPr>
              <w:keepNext/>
              <w:spacing w:after="0" w:line="240" w:lineRule="auto"/>
              <w:rPr>
                <w:rFonts w:ascii="Calibri Light" w:eastAsia="Times New Roman" w:hAnsi="Calibri Light" w:cs="Calibri Light"/>
                <w:b/>
                <w:bCs/>
                <w:color w:val="000000"/>
                <w:sz w:val="18"/>
                <w:szCs w:val="18"/>
                <w:lang w:eastAsia="cs-CZ"/>
              </w:rPr>
            </w:pPr>
          </w:p>
        </w:tc>
        <w:tc>
          <w:tcPr>
            <w:tcW w:w="1390" w:type="dxa"/>
            <w:vMerge/>
            <w:tcBorders>
              <w:top w:val="single" w:sz="4" w:space="0" w:color="auto"/>
              <w:left w:val="single" w:sz="4" w:space="0" w:color="auto"/>
              <w:bottom w:val="single" w:sz="4" w:space="0" w:color="auto"/>
              <w:right w:val="single" w:sz="4" w:space="0" w:color="auto"/>
            </w:tcBorders>
            <w:vAlign w:val="center"/>
            <w:hideMark/>
          </w:tcPr>
          <w:p w14:paraId="067A8A47" w14:textId="77777777" w:rsidR="00C162B0" w:rsidRPr="00C162B0" w:rsidRDefault="00C162B0" w:rsidP="00C162B0">
            <w:pPr>
              <w:keepNext/>
              <w:spacing w:after="0" w:line="240" w:lineRule="auto"/>
              <w:rPr>
                <w:rFonts w:ascii="Calibri Light" w:eastAsia="Times New Roman" w:hAnsi="Calibri Light" w:cs="Calibri Light"/>
                <w:b/>
                <w:bCs/>
                <w:color w:val="000000"/>
                <w:sz w:val="18"/>
                <w:szCs w:val="18"/>
                <w:lang w:eastAsia="cs-CZ"/>
              </w:rPr>
            </w:pPr>
          </w:p>
        </w:tc>
        <w:tc>
          <w:tcPr>
            <w:tcW w:w="1390" w:type="dxa"/>
            <w:vMerge/>
            <w:tcBorders>
              <w:top w:val="single" w:sz="4" w:space="0" w:color="auto"/>
              <w:left w:val="single" w:sz="4" w:space="0" w:color="auto"/>
              <w:bottom w:val="single" w:sz="4" w:space="0" w:color="auto"/>
              <w:right w:val="single" w:sz="4" w:space="0" w:color="auto"/>
            </w:tcBorders>
            <w:vAlign w:val="center"/>
            <w:hideMark/>
          </w:tcPr>
          <w:p w14:paraId="26177DEB" w14:textId="77777777" w:rsidR="00C162B0" w:rsidRPr="00C162B0" w:rsidRDefault="00C162B0" w:rsidP="00C162B0">
            <w:pPr>
              <w:keepNext/>
              <w:spacing w:after="0" w:line="240" w:lineRule="auto"/>
              <w:rPr>
                <w:rFonts w:ascii="Calibri Light" w:eastAsia="Times New Roman" w:hAnsi="Calibri Light" w:cs="Calibri Light"/>
                <w:b/>
                <w:bCs/>
                <w:color w:val="000000"/>
                <w:sz w:val="18"/>
                <w:szCs w:val="18"/>
                <w:lang w:eastAsia="cs-CZ"/>
              </w:rPr>
            </w:pPr>
          </w:p>
        </w:tc>
        <w:tc>
          <w:tcPr>
            <w:tcW w:w="1390" w:type="dxa"/>
            <w:vMerge/>
            <w:tcBorders>
              <w:top w:val="single" w:sz="4" w:space="0" w:color="auto"/>
              <w:left w:val="single" w:sz="4" w:space="0" w:color="auto"/>
              <w:bottom w:val="single" w:sz="4" w:space="0" w:color="auto"/>
              <w:right w:val="single" w:sz="4" w:space="0" w:color="auto"/>
            </w:tcBorders>
            <w:vAlign w:val="center"/>
            <w:hideMark/>
          </w:tcPr>
          <w:p w14:paraId="6E4655B8" w14:textId="77777777" w:rsidR="00C162B0" w:rsidRPr="00C162B0" w:rsidRDefault="00C162B0" w:rsidP="00C162B0">
            <w:pPr>
              <w:keepNext/>
              <w:spacing w:after="0" w:line="240" w:lineRule="auto"/>
              <w:rPr>
                <w:rFonts w:ascii="Calibri Light" w:eastAsia="Times New Roman" w:hAnsi="Calibri Light" w:cs="Calibri Light"/>
                <w:b/>
                <w:bCs/>
                <w:color w:val="000000"/>
                <w:sz w:val="18"/>
                <w:szCs w:val="18"/>
                <w:lang w:eastAsia="cs-CZ"/>
              </w:rPr>
            </w:pPr>
          </w:p>
        </w:tc>
      </w:tr>
      <w:tr w:rsidR="00C162B0" w:rsidRPr="00C162B0" w14:paraId="09601BC8" w14:textId="77777777" w:rsidTr="00C162B0">
        <w:trPr>
          <w:trHeight w:val="300"/>
          <w:jc w:val="center"/>
        </w:trPr>
        <w:tc>
          <w:tcPr>
            <w:tcW w:w="14486" w:type="dxa"/>
            <w:gridSpan w:val="12"/>
            <w:tcBorders>
              <w:top w:val="single" w:sz="4" w:space="0" w:color="auto"/>
              <w:left w:val="single" w:sz="4" w:space="0" w:color="auto"/>
              <w:bottom w:val="single" w:sz="4" w:space="0" w:color="auto"/>
              <w:right w:val="single" w:sz="4" w:space="0" w:color="auto"/>
            </w:tcBorders>
            <w:shd w:val="clear" w:color="000000" w:fill="FCE4D6"/>
            <w:noWrap/>
            <w:vAlign w:val="center"/>
            <w:hideMark/>
          </w:tcPr>
          <w:p w14:paraId="67BAEE98" w14:textId="77777777" w:rsidR="00C162B0" w:rsidRPr="00C162B0" w:rsidRDefault="00C162B0" w:rsidP="00C162B0">
            <w:pPr>
              <w:keepNext/>
              <w:spacing w:after="0" w:line="240" w:lineRule="auto"/>
              <w:jc w:val="center"/>
              <w:rPr>
                <w:rFonts w:ascii="Calibri Light" w:eastAsia="Times New Roman" w:hAnsi="Calibri Light" w:cs="Calibri Light"/>
                <w:b/>
                <w:bCs/>
                <w:color w:val="000000"/>
                <w:sz w:val="18"/>
                <w:szCs w:val="18"/>
                <w:lang w:eastAsia="cs-CZ"/>
              </w:rPr>
            </w:pPr>
            <w:r w:rsidRPr="00C162B0">
              <w:rPr>
                <w:rFonts w:ascii="Calibri Light" w:eastAsia="Times New Roman" w:hAnsi="Calibri Light" w:cs="Calibri Light"/>
                <w:b/>
                <w:bCs/>
                <w:color w:val="000000"/>
                <w:sz w:val="18"/>
                <w:szCs w:val="18"/>
                <w:lang w:eastAsia="cs-CZ"/>
              </w:rPr>
              <w:t>KORIDORY</w:t>
            </w:r>
          </w:p>
        </w:tc>
      </w:tr>
      <w:tr w:rsidR="00C162B0" w:rsidRPr="00A76411" w14:paraId="38B7AC0F" w14:textId="77777777" w:rsidTr="00C162B0">
        <w:trPr>
          <w:trHeight w:val="300"/>
          <w:jc w:val="center"/>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471683F9"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CNU.KD1-jih*</w:t>
            </w:r>
          </w:p>
        </w:tc>
        <w:tc>
          <w:tcPr>
            <w:tcW w:w="992" w:type="dxa"/>
            <w:tcBorders>
              <w:top w:val="nil"/>
              <w:left w:val="nil"/>
              <w:bottom w:val="single" w:sz="4" w:space="0" w:color="auto"/>
              <w:right w:val="single" w:sz="4" w:space="0" w:color="auto"/>
            </w:tcBorders>
            <w:shd w:val="clear" w:color="auto" w:fill="auto"/>
            <w:noWrap/>
            <w:vAlign w:val="center"/>
            <w:hideMark/>
          </w:tcPr>
          <w:p w14:paraId="45D1C9C3"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1,5195</w:t>
            </w:r>
          </w:p>
        </w:tc>
        <w:tc>
          <w:tcPr>
            <w:tcW w:w="907" w:type="dxa"/>
            <w:tcBorders>
              <w:top w:val="nil"/>
              <w:left w:val="nil"/>
              <w:bottom w:val="single" w:sz="4" w:space="0" w:color="auto"/>
              <w:right w:val="single" w:sz="4" w:space="0" w:color="auto"/>
            </w:tcBorders>
            <w:shd w:val="clear" w:color="auto" w:fill="auto"/>
            <w:noWrap/>
            <w:vAlign w:val="center"/>
            <w:hideMark/>
          </w:tcPr>
          <w:p w14:paraId="1C3623AB"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0,4915</w:t>
            </w:r>
          </w:p>
        </w:tc>
        <w:tc>
          <w:tcPr>
            <w:tcW w:w="907" w:type="dxa"/>
            <w:tcBorders>
              <w:top w:val="nil"/>
              <w:left w:val="nil"/>
              <w:bottom w:val="single" w:sz="4" w:space="0" w:color="auto"/>
              <w:right w:val="single" w:sz="4" w:space="0" w:color="auto"/>
            </w:tcBorders>
            <w:shd w:val="clear" w:color="auto" w:fill="auto"/>
            <w:noWrap/>
            <w:vAlign w:val="center"/>
            <w:hideMark/>
          </w:tcPr>
          <w:p w14:paraId="64032B30"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shd w:val="clear" w:color="auto" w:fill="auto"/>
            <w:noWrap/>
            <w:vAlign w:val="center"/>
            <w:hideMark/>
          </w:tcPr>
          <w:p w14:paraId="689CC8FF"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shd w:val="clear" w:color="auto" w:fill="auto"/>
            <w:noWrap/>
            <w:vAlign w:val="center"/>
            <w:hideMark/>
          </w:tcPr>
          <w:p w14:paraId="61D7C271"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1,028</w:t>
            </w:r>
          </w:p>
        </w:tc>
        <w:tc>
          <w:tcPr>
            <w:tcW w:w="908" w:type="dxa"/>
            <w:tcBorders>
              <w:top w:val="nil"/>
              <w:left w:val="nil"/>
              <w:bottom w:val="single" w:sz="4" w:space="0" w:color="auto"/>
              <w:right w:val="single" w:sz="4" w:space="0" w:color="auto"/>
            </w:tcBorders>
            <w:shd w:val="clear" w:color="auto" w:fill="auto"/>
            <w:noWrap/>
            <w:vAlign w:val="center"/>
            <w:hideMark/>
          </w:tcPr>
          <w:p w14:paraId="2D4B40CB"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0</w:t>
            </w:r>
          </w:p>
        </w:tc>
        <w:tc>
          <w:tcPr>
            <w:tcW w:w="1418" w:type="dxa"/>
            <w:tcBorders>
              <w:top w:val="nil"/>
              <w:left w:val="nil"/>
              <w:bottom w:val="single" w:sz="4" w:space="0" w:color="auto"/>
              <w:right w:val="single" w:sz="4" w:space="0" w:color="auto"/>
            </w:tcBorders>
            <w:shd w:val="clear" w:color="auto" w:fill="auto"/>
            <w:noWrap/>
            <w:vAlign w:val="center"/>
            <w:hideMark/>
          </w:tcPr>
          <w:p w14:paraId="3B017A1F"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0</w:t>
            </w:r>
          </w:p>
        </w:tc>
        <w:tc>
          <w:tcPr>
            <w:tcW w:w="1390" w:type="dxa"/>
            <w:tcBorders>
              <w:top w:val="nil"/>
              <w:left w:val="nil"/>
              <w:bottom w:val="single" w:sz="4" w:space="0" w:color="auto"/>
              <w:right w:val="single" w:sz="4" w:space="0" w:color="auto"/>
            </w:tcBorders>
            <w:shd w:val="clear" w:color="auto" w:fill="auto"/>
            <w:noWrap/>
            <w:vAlign w:val="center"/>
            <w:hideMark/>
          </w:tcPr>
          <w:p w14:paraId="42B6D0F3"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NE</w:t>
            </w:r>
          </w:p>
        </w:tc>
        <w:tc>
          <w:tcPr>
            <w:tcW w:w="1390" w:type="dxa"/>
            <w:tcBorders>
              <w:top w:val="nil"/>
              <w:left w:val="nil"/>
              <w:bottom w:val="single" w:sz="4" w:space="0" w:color="auto"/>
              <w:right w:val="single" w:sz="4" w:space="0" w:color="auto"/>
            </w:tcBorders>
            <w:shd w:val="clear" w:color="auto" w:fill="auto"/>
            <w:noWrap/>
            <w:vAlign w:val="center"/>
            <w:hideMark/>
          </w:tcPr>
          <w:p w14:paraId="7A7AE45F"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ANO</w:t>
            </w:r>
          </w:p>
        </w:tc>
        <w:tc>
          <w:tcPr>
            <w:tcW w:w="1390" w:type="dxa"/>
            <w:tcBorders>
              <w:top w:val="nil"/>
              <w:left w:val="nil"/>
              <w:bottom w:val="single" w:sz="4" w:space="0" w:color="auto"/>
              <w:right w:val="single" w:sz="4" w:space="0" w:color="auto"/>
            </w:tcBorders>
            <w:shd w:val="clear" w:color="auto" w:fill="auto"/>
            <w:noWrap/>
            <w:vAlign w:val="center"/>
            <w:hideMark/>
          </w:tcPr>
          <w:p w14:paraId="57981881"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NE</w:t>
            </w:r>
          </w:p>
        </w:tc>
        <w:tc>
          <w:tcPr>
            <w:tcW w:w="1390" w:type="dxa"/>
            <w:tcBorders>
              <w:top w:val="nil"/>
              <w:left w:val="nil"/>
              <w:bottom w:val="single" w:sz="4" w:space="0" w:color="auto"/>
              <w:right w:val="single" w:sz="4" w:space="0" w:color="auto"/>
            </w:tcBorders>
            <w:shd w:val="clear" w:color="auto" w:fill="auto"/>
            <w:noWrap/>
            <w:vAlign w:val="center"/>
            <w:hideMark/>
          </w:tcPr>
          <w:p w14:paraId="00F100C8"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NE</w:t>
            </w:r>
          </w:p>
        </w:tc>
      </w:tr>
      <w:tr w:rsidR="00C162B0" w:rsidRPr="00A76411" w14:paraId="469BA940" w14:textId="77777777" w:rsidTr="00C162B0">
        <w:trPr>
          <w:trHeight w:val="300"/>
          <w:jc w:val="center"/>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79508627"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CNU.KD1-střed*</w:t>
            </w:r>
          </w:p>
        </w:tc>
        <w:tc>
          <w:tcPr>
            <w:tcW w:w="992" w:type="dxa"/>
            <w:tcBorders>
              <w:top w:val="nil"/>
              <w:left w:val="nil"/>
              <w:bottom w:val="single" w:sz="4" w:space="0" w:color="auto"/>
              <w:right w:val="single" w:sz="4" w:space="0" w:color="auto"/>
            </w:tcBorders>
            <w:shd w:val="clear" w:color="auto" w:fill="auto"/>
            <w:noWrap/>
            <w:vAlign w:val="center"/>
            <w:hideMark/>
          </w:tcPr>
          <w:p w14:paraId="21376F25"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1,4702</w:t>
            </w:r>
          </w:p>
        </w:tc>
        <w:tc>
          <w:tcPr>
            <w:tcW w:w="907" w:type="dxa"/>
            <w:tcBorders>
              <w:top w:val="nil"/>
              <w:left w:val="nil"/>
              <w:bottom w:val="single" w:sz="4" w:space="0" w:color="auto"/>
              <w:right w:val="single" w:sz="4" w:space="0" w:color="auto"/>
            </w:tcBorders>
            <w:shd w:val="clear" w:color="auto" w:fill="auto"/>
            <w:noWrap/>
            <w:vAlign w:val="center"/>
            <w:hideMark/>
          </w:tcPr>
          <w:p w14:paraId="66AFA459"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1,2853</w:t>
            </w:r>
          </w:p>
        </w:tc>
        <w:tc>
          <w:tcPr>
            <w:tcW w:w="907" w:type="dxa"/>
            <w:tcBorders>
              <w:top w:val="nil"/>
              <w:left w:val="nil"/>
              <w:bottom w:val="single" w:sz="4" w:space="0" w:color="auto"/>
              <w:right w:val="single" w:sz="4" w:space="0" w:color="auto"/>
            </w:tcBorders>
            <w:shd w:val="clear" w:color="auto" w:fill="auto"/>
            <w:noWrap/>
            <w:vAlign w:val="center"/>
            <w:hideMark/>
          </w:tcPr>
          <w:p w14:paraId="7B40D63A"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shd w:val="clear" w:color="auto" w:fill="auto"/>
            <w:noWrap/>
            <w:vAlign w:val="center"/>
            <w:hideMark/>
          </w:tcPr>
          <w:p w14:paraId="01675E7E"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shd w:val="clear" w:color="auto" w:fill="auto"/>
            <w:noWrap/>
            <w:vAlign w:val="center"/>
            <w:hideMark/>
          </w:tcPr>
          <w:p w14:paraId="75A0BF24"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0,1849</w:t>
            </w:r>
          </w:p>
        </w:tc>
        <w:tc>
          <w:tcPr>
            <w:tcW w:w="908" w:type="dxa"/>
            <w:tcBorders>
              <w:top w:val="nil"/>
              <w:left w:val="nil"/>
              <w:bottom w:val="single" w:sz="4" w:space="0" w:color="auto"/>
              <w:right w:val="single" w:sz="4" w:space="0" w:color="auto"/>
            </w:tcBorders>
            <w:shd w:val="clear" w:color="auto" w:fill="auto"/>
            <w:noWrap/>
            <w:vAlign w:val="center"/>
            <w:hideMark/>
          </w:tcPr>
          <w:p w14:paraId="32D1D133"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0</w:t>
            </w:r>
          </w:p>
        </w:tc>
        <w:tc>
          <w:tcPr>
            <w:tcW w:w="1418" w:type="dxa"/>
            <w:tcBorders>
              <w:top w:val="nil"/>
              <w:left w:val="nil"/>
              <w:bottom w:val="single" w:sz="4" w:space="0" w:color="auto"/>
              <w:right w:val="single" w:sz="4" w:space="0" w:color="auto"/>
            </w:tcBorders>
            <w:shd w:val="clear" w:color="auto" w:fill="auto"/>
            <w:noWrap/>
            <w:vAlign w:val="center"/>
            <w:hideMark/>
          </w:tcPr>
          <w:p w14:paraId="36535FFA"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0</w:t>
            </w:r>
          </w:p>
        </w:tc>
        <w:tc>
          <w:tcPr>
            <w:tcW w:w="1390" w:type="dxa"/>
            <w:tcBorders>
              <w:top w:val="nil"/>
              <w:left w:val="nil"/>
              <w:bottom w:val="single" w:sz="4" w:space="0" w:color="auto"/>
              <w:right w:val="single" w:sz="4" w:space="0" w:color="auto"/>
            </w:tcBorders>
            <w:shd w:val="clear" w:color="auto" w:fill="auto"/>
            <w:noWrap/>
            <w:vAlign w:val="center"/>
            <w:hideMark/>
          </w:tcPr>
          <w:p w14:paraId="3795DA7B"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NE</w:t>
            </w:r>
          </w:p>
        </w:tc>
        <w:tc>
          <w:tcPr>
            <w:tcW w:w="1390" w:type="dxa"/>
            <w:tcBorders>
              <w:top w:val="nil"/>
              <w:left w:val="nil"/>
              <w:bottom w:val="single" w:sz="4" w:space="0" w:color="auto"/>
              <w:right w:val="single" w:sz="4" w:space="0" w:color="auto"/>
            </w:tcBorders>
            <w:shd w:val="clear" w:color="auto" w:fill="auto"/>
            <w:noWrap/>
            <w:vAlign w:val="center"/>
            <w:hideMark/>
          </w:tcPr>
          <w:p w14:paraId="0AEB604D"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ANO</w:t>
            </w:r>
          </w:p>
        </w:tc>
        <w:tc>
          <w:tcPr>
            <w:tcW w:w="1390" w:type="dxa"/>
            <w:tcBorders>
              <w:top w:val="nil"/>
              <w:left w:val="nil"/>
              <w:bottom w:val="single" w:sz="4" w:space="0" w:color="auto"/>
              <w:right w:val="single" w:sz="4" w:space="0" w:color="auto"/>
            </w:tcBorders>
            <w:shd w:val="clear" w:color="auto" w:fill="auto"/>
            <w:noWrap/>
            <w:vAlign w:val="center"/>
            <w:hideMark/>
          </w:tcPr>
          <w:p w14:paraId="02DA259F"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NE</w:t>
            </w:r>
          </w:p>
        </w:tc>
        <w:tc>
          <w:tcPr>
            <w:tcW w:w="1390" w:type="dxa"/>
            <w:tcBorders>
              <w:top w:val="nil"/>
              <w:left w:val="nil"/>
              <w:bottom w:val="single" w:sz="4" w:space="0" w:color="auto"/>
              <w:right w:val="single" w:sz="4" w:space="0" w:color="auto"/>
            </w:tcBorders>
            <w:shd w:val="clear" w:color="auto" w:fill="auto"/>
            <w:noWrap/>
            <w:vAlign w:val="center"/>
            <w:hideMark/>
          </w:tcPr>
          <w:p w14:paraId="05E1E85B"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NE</w:t>
            </w:r>
          </w:p>
        </w:tc>
      </w:tr>
      <w:tr w:rsidR="00C162B0" w:rsidRPr="00A76411" w14:paraId="6A0F186C" w14:textId="77777777" w:rsidTr="00C162B0">
        <w:trPr>
          <w:trHeight w:val="300"/>
          <w:jc w:val="center"/>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5CB8E3F1"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CNU.KD1-sever*</w:t>
            </w:r>
          </w:p>
        </w:tc>
        <w:tc>
          <w:tcPr>
            <w:tcW w:w="992" w:type="dxa"/>
            <w:tcBorders>
              <w:top w:val="nil"/>
              <w:left w:val="nil"/>
              <w:bottom w:val="single" w:sz="4" w:space="0" w:color="auto"/>
              <w:right w:val="single" w:sz="4" w:space="0" w:color="auto"/>
            </w:tcBorders>
            <w:shd w:val="clear" w:color="auto" w:fill="auto"/>
            <w:noWrap/>
            <w:vAlign w:val="center"/>
            <w:hideMark/>
          </w:tcPr>
          <w:p w14:paraId="3C0D6E17"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1,3375</w:t>
            </w:r>
          </w:p>
        </w:tc>
        <w:tc>
          <w:tcPr>
            <w:tcW w:w="907" w:type="dxa"/>
            <w:tcBorders>
              <w:top w:val="nil"/>
              <w:left w:val="nil"/>
              <w:bottom w:val="single" w:sz="4" w:space="0" w:color="auto"/>
              <w:right w:val="single" w:sz="4" w:space="0" w:color="auto"/>
            </w:tcBorders>
            <w:shd w:val="clear" w:color="auto" w:fill="auto"/>
            <w:noWrap/>
            <w:vAlign w:val="center"/>
            <w:hideMark/>
          </w:tcPr>
          <w:p w14:paraId="6A454484"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1,1546</w:t>
            </w:r>
          </w:p>
        </w:tc>
        <w:tc>
          <w:tcPr>
            <w:tcW w:w="907" w:type="dxa"/>
            <w:tcBorders>
              <w:top w:val="nil"/>
              <w:left w:val="nil"/>
              <w:bottom w:val="single" w:sz="4" w:space="0" w:color="auto"/>
              <w:right w:val="single" w:sz="4" w:space="0" w:color="auto"/>
            </w:tcBorders>
            <w:shd w:val="clear" w:color="auto" w:fill="auto"/>
            <w:noWrap/>
            <w:vAlign w:val="center"/>
            <w:hideMark/>
          </w:tcPr>
          <w:p w14:paraId="7E6265D3"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shd w:val="clear" w:color="auto" w:fill="auto"/>
            <w:noWrap/>
            <w:vAlign w:val="center"/>
            <w:hideMark/>
          </w:tcPr>
          <w:p w14:paraId="1FE942BF"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shd w:val="clear" w:color="auto" w:fill="auto"/>
            <w:noWrap/>
            <w:vAlign w:val="center"/>
            <w:hideMark/>
          </w:tcPr>
          <w:p w14:paraId="52B24CDD"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0,1829</w:t>
            </w:r>
          </w:p>
        </w:tc>
        <w:tc>
          <w:tcPr>
            <w:tcW w:w="908" w:type="dxa"/>
            <w:tcBorders>
              <w:top w:val="nil"/>
              <w:left w:val="nil"/>
              <w:bottom w:val="single" w:sz="4" w:space="0" w:color="auto"/>
              <w:right w:val="single" w:sz="4" w:space="0" w:color="auto"/>
            </w:tcBorders>
            <w:shd w:val="clear" w:color="auto" w:fill="auto"/>
            <w:noWrap/>
            <w:vAlign w:val="center"/>
            <w:hideMark/>
          </w:tcPr>
          <w:p w14:paraId="1D3B8BF6"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0</w:t>
            </w:r>
          </w:p>
        </w:tc>
        <w:tc>
          <w:tcPr>
            <w:tcW w:w="1418" w:type="dxa"/>
            <w:tcBorders>
              <w:top w:val="nil"/>
              <w:left w:val="nil"/>
              <w:bottom w:val="single" w:sz="4" w:space="0" w:color="auto"/>
              <w:right w:val="single" w:sz="4" w:space="0" w:color="auto"/>
            </w:tcBorders>
            <w:shd w:val="clear" w:color="auto" w:fill="auto"/>
            <w:noWrap/>
            <w:vAlign w:val="center"/>
            <w:hideMark/>
          </w:tcPr>
          <w:p w14:paraId="10750F66"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0</w:t>
            </w:r>
          </w:p>
        </w:tc>
        <w:tc>
          <w:tcPr>
            <w:tcW w:w="1390" w:type="dxa"/>
            <w:tcBorders>
              <w:top w:val="nil"/>
              <w:left w:val="nil"/>
              <w:bottom w:val="single" w:sz="4" w:space="0" w:color="auto"/>
              <w:right w:val="single" w:sz="4" w:space="0" w:color="auto"/>
            </w:tcBorders>
            <w:shd w:val="clear" w:color="auto" w:fill="auto"/>
            <w:noWrap/>
            <w:vAlign w:val="center"/>
            <w:hideMark/>
          </w:tcPr>
          <w:p w14:paraId="75DC63EA"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NE</w:t>
            </w:r>
          </w:p>
        </w:tc>
        <w:tc>
          <w:tcPr>
            <w:tcW w:w="1390" w:type="dxa"/>
            <w:tcBorders>
              <w:top w:val="nil"/>
              <w:left w:val="nil"/>
              <w:bottom w:val="single" w:sz="4" w:space="0" w:color="auto"/>
              <w:right w:val="single" w:sz="4" w:space="0" w:color="auto"/>
            </w:tcBorders>
            <w:shd w:val="clear" w:color="auto" w:fill="auto"/>
            <w:noWrap/>
            <w:vAlign w:val="center"/>
            <w:hideMark/>
          </w:tcPr>
          <w:p w14:paraId="22F1FA20"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ANO</w:t>
            </w:r>
          </w:p>
        </w:tc>
        <w:tc>
          <w:tcPr>
            <w:tcW w:w="1390" w:type="dxa"/>
            <w:tcBorders>
              <w:top w:val="nil"/>
              <w:left w:val="nil"/>
              <w:bottom w:val="single" w:sz="4" w:space="0" w:color="auto"/>
              <w:right w:val="single" w:sz="4" w:space="0" w:color="auto"/>
            </w:tcBorders>
            <w:shd w:val="clear" w:color="auto" w:fill="auto"/>
            <w:noWrap/>
            <w:vAlign w:val="center"/>
            <w:hideMark/>
          </w:tcPr>
          <w:p w14:paraId="381569AE"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NE</w:t>
            </w:r>
          </w:p>
        </w:tc>
        <w:tc>
          <w:tcPr>
            <w:tcW w:w="1390" w:type="dxa"/>
            <w:tcBorders>
              <w:top w:val="nil"/>
              <w:left w:val="nil"/>
              <w:bottom w:val="single" w:sz="4" w:space="0" w:color="auto"/>
              <w:right w:val="single" w:sz="4" w:space="0" w:color="auto"/>
            </w:tcBorders>
            <w:shd w:val="clear" w:color="auto" w:fill="auto"/>
            <w:noWrap/>
            <w:vAlign w:val="center"/>
            <w:hideMark/>
          </w:tcPr>
          <w:p w14:paraId="2883F9B3"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NE</w:t>
            </w:r>
          </w:p>
        </w:tc>
      </w:tr>
      <w:tr w:rsidR="00C162B0" w:rsidRPr="00A76411" w14:paraId="3CA2AD8D" w14:textId="77777777" w:rsidTr="00C162B0">
        <w:trPr>
          <w:trHeight w:val="300"/>
          <w:jc w:val="center"/>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6028E39D"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CNU.KD2</w:t>
            </w:r>
          </w:p>
        </w:tc>
        <w:tc>
          <w:tcPr>
            <w:tcW w:w="992" w:type="dxa"/>
            <w:tcBorders>
              <w:top w:val="nil"/>
              <w:left w:val="nil"/>
              <w:bottom w:val="single" w:sz="4" w:space="0" w:color="auto"/>
              <w:right w:val="single" w:sz="4" w:space="0" w:color="auto"/>
            </w:tcBorders>
            <w:shd w:val="clear" w:color="auto" w:fill="auto"/>
            <w:noWrap/>
            <w:vAlign w:val="center"/>
            <w:hideMark/>
          </w:tcPr>
          <w:p w14:paraId="1BB0EBF5"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0,4434</w:t>
            </w:r>
          </w:p>
        </w:tc>
        <w:tc>
          <w:tcPr>
            <w:tcW w:w="907" w:type="dxa"/>
            <w:tcBorders>
              <w:top w:val="nil"/>
              <w:left w:val="nil"/>
              <w:bottom w:val="single" w:sz="4" w:space="0" w:color="auto"/>
              <w:right w:val="single" w:sz="4" w:space="0" w:color="auto"/>
            </w:tcBorders>
            <w:shd w:val="clear" w:color="auto" w:fill="auto"/>
            <w:noWrap/>
            <w:vAlign w:val="center"/>
            <w:hideMark/>
          </w:tcPr>
          <w:p w14:paraId="6D58DB63"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shd w:val="clear" w:color="auto" w:fill="auto"/>
            <w:noWrap/>
            <w:vAlign w:val="center"/>
            <w:hideMark/>
          </w:tcPr>
          <w:p w14:paraId="04E54673"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shd w:val="clear" w:color="auto" w:fill="auto"/>
            <w:noWrap/>
            <w:vAlign w:val="center"/>
            <w:hideMark/>
          </w:tcPr>
          <w:p w14:paraId="6ACC6964"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shd w:val="clear" w:color="auto" w:fill="auto"/>
            <w:noWrap/>
            <w:vAlign w:val="center"/>
            <w:hideMark/>
          </w:tcPr>
          <w:p w14:paraId="3EF40356"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0,4434</w:t>
            </w:r>
          </w:p>
        </w:tc>
        <w:tc>
          <w:tcPr>
            <w:tcW w:w="908" w:type="dxa"/>
            <w:tcBorders>
              <w:top w:val="nil"/>
              <w:left w:val="nil"/>
              <w:bottom w:val="single" w:sz="4" w:space="0" w:color="auto"/>
              <w:right w:val="single" w:sz="4" w:space="0" w:color="auto"/>
            </w:tcBorders>
            <w:shd w:val="clear" w:color="auto" w:fill="auto"/>
            <w:noWrap/>
            <w:vAlign w:val="center"/>
            <w:hideMark/>
          </w:tcPr>
          <w:p w14:paraId="3230C433"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0</w:t>
            </w:r>
          </w:p>
        </w:tc>
        <w:tc>
          <w:tcPr>
            <w:tcW w:w="1418" w:type="dxa"/>
            <w:tcBorders>
              <w:top w:val="nil"/>
              <w:left w:val="nil"/>
              <w:bottom w:val="single" w:sz="4" w:space="0" w:color="auto"/>
              <w:right w:val="single" w:sz="4" w:space="0" w:color="auto"/>
            </w:tcBorders>
            <w:shd w:val="clear" w:color="auto" w:fill="auto"/>
            <w:noWrap/>
            <w:vAlign w:val="center"/>
            <w:hideMark/>
          </w:tcPr>
          <w:p w14:paraId="13E396B9"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0</w:t>
            </w:r>
          </w:p>
        </w:tc>
        <w:tc>
          <w:tcPr>
            <w:tcW w:w="1390" w:type="dxa"/>
            <w:tcBorders>
              <w:top w:val="nil"/>
              <w:left w:val="nil"/>
              <w:bottom w:val="single" w:sz="4" w:space="0" w:color="auto"/>
              <w:right w:val="single" w:sz="4" w:space="0" w:color="auto"/>
            </w:tcBorders>
            <w:shd w:val="clear" w:color="auto" w:fill="auto"/>
            <w:noWrap/>
            <w:vAlign w:val="center"/>
            <w:hideMark/>
          </w:tcPr>
          <w:p w14:paraId="1D19E18B"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NE</w:t>
            </w:r>
          </w:p>
        </w:tc>
        <w:tc>
          <w:tcPr>
            <w:tcW w:w="1390" w:type="dxa"/>
            <w:tcBorders>
              <w:top w:val="nil"/>
              <w:left w:val="nil"/>
              <w:bottom w:val="single" w:sz="4" w:space="0" w:color="auto"/>
              <w:right w:val="single" w:sz="4" w:space="0" w:color="auto"/>
            </w:tcBorders>
            <w:shd w:val="clear" w:color="auto" w:fill="auto"/>
            <w:noWrap/>
            <w:vAlign w:val="center"/>
            <w:hideMark/>
          </w:tcPr>
          <w:p w14:paraId="04EE5D07"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ANO</w:t>
            </w:r>
          </w:p>
        </w:tc>
        <w:tc>
          <w:tcPr>
            <w:tcW w:w="1390" w:type="dxa"/>
            <w:tcBorders>
              <w:top w:val="nil"/>
              <w:left w:val="nil"/>
              <w:bottom w:val="single" w:sz="4" w:space="0" w:color="auto"/>
              <w:right w:val="single" w:sz="4" w:space="0" w:color="auto"/>
            </w:tcBorders>
            <w:shd w:val="clear" w:color="auto" w:fill="auto"/>
            <w:noWrap/>
            <w:vAlign w:val="center"/>
            <w:hideMark/>
          </w:tcPr>
          <w:p w14:paraId="47738C9D"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NE</w:t>
            </w:r>
          </w:p>
        </w:tc>
        <w:tc>
          <w:tcPr>
            <w:tcW w:w="1390" w:type="dxa"/>
            <w:tcBorders>
              <w:top w:val="nil"/>
              <w:left w:val="nil"/>
              <w:bottom w:val="single" w:sz="4" w:space="0" w:color="auto"/>
              <w:right w:val="single" w:sz="4" w:space="0" w:color="auto"/>
            </w:tcBorders>
            <w:shd w:val="clear" w:color="auto" w:fill="auto"/>
            <w:noWrap/>
            <w:vAlign w:val="center"/>
            <w:hideMark/>
          </w:tcPr>
          <w:p w14:paraId="36E65048"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w:t>
            </w:r>
          </w:p>
        </w:tc>
      </w:tr>
      <w:tr w:rsidR="00C162B0" w:rsidRPr="00C162B0" w14:paraId="3965B3C9" w14:textId="77777777" w:rsidTr="00C162B0">
        <w:trPr>
          <w:trHeight w:val="300"/>
          <w:jc w:val="center"/>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47E8DA6E" w14:textId="727726FB"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CN</w:t>
            </w:r>
            <w:r w:rsidR="00DD69E4" w:rsidRPr="00A76411">
              <w:rPr>
                <w:rFonts w:ascii="Calibri Light" w:eastAsia="Times New Roman" w:hAnsi="Calibri Light" w:cs="Calibri Light"/>
                <w:color w:val="000000"/>
                <w:sz w:val="18"/>
                <w:szCs w:val="18"/>
                <w:lang w:eastAsia="cs-CZ"/>
              </w:rPr>
              <w:t>Z</w:t>
            </w:r>
            <w:r w:rsidRPr="00A76411">
              <w:rPr>
                <w:rFonts w:ascii="Calibri Light" w:eastAsia="Times New Roman" w:hAnsi="Calibri Light" w:cs="Calibri Light"/>
                <w:color w:val="000000"/>
                <w:sz w:val="18"/>
                <w:szCs w:val="18"/>
                <w:lang w:eastAsia="cs-CZ"/>
              </w:rPr>
              <w:t>.</w:t>
            </w:r>
            <w:r w:rsidR="00DD69E4" w:rsidRPr="00A76411">
              <w:rPr>
                <w:rFonts w:ascii="Calibri Light" w:eastAsia="Times New Roman" w:hAnsi="Calibri Light" w:cs="Calibri Light"/>
                <w:color w:val="000000"/>
                <w:sz w:val="18"/>
                <w:szCs w:val="18"/>
                <w:lang w:eastAsia="cs-CZ"/>
              </w:rPr>
              <w:t>VD</w:t>
            </w:r>
            <w:r w:rsidRPr="00A76411">
              <w:rPr>
                <w:rFonts w:ascii="Calibri Light" w:eastAsia="Times New Roman" w:hAnsi="Calibri Light" w:cs="Calibri Light"/>
                <w:color w:val="000000"/>
                <w:sz w:val="18"/>
                <w:szCs w:val="18"/>
                <w:lang w:eastAsia="cs-CZ"/>
              </w:rPr>
              <w:t>1</w:t>
            </w:r>
          </w:p>
        </w:tc>
        <w:tc>
          <w:tcPr>
            <w:tcW w:w="992" w:type="dxa"/>
            <w:tcBorders>
              <w:top w:val="nil"/>
              <w:left w:val="nil"/>
              <w:bottom w:val="single" w:sz="4" w:space="0" w:color="auto"/>
              <w:right w:val="single" w:sz="4" w:space="0" w:color="auto"/>
            </w:tcBorders>
            <w:shd w:val="clear" w:color="auto" w:fill="auto"/>
            <w:noWrap/>
            <w:vAlign w:val="center"/>
            <w:hideMark/>
          </w:tcPr>
          <w:p w14:paraId="4B10907E"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0,083</w:t>
            </w:r>
          </w:p>
        </w:tc>
        <w:tc>
          <w:tcPr>
            <w:tcW w:w="907" w:type="dxa"/>
            <w:tcBorders>
              <w:top w:val="nil"/>
              <w:left w:val="nil"/>
              <w:bottom w:val="single" w:sz="4" w:space="0" w:color="auto"/>
              <w:right w:val="single" w:sz="4" w:space="0" w:color="auto"/>
            </w:tcBorders>
            <w:shd w:val="clear" w:color="auto" w:fill="auto"/>
            <w:noWrap/>
            <w:vAlign w:val="center"/>
            <w:hideMark/>
          </w:tcPr>
          <w:p w14:paraId="55840624"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shd w:val="clear" w:color="auto" w:fill="auto"/>
            <w:noWrap/>
            <w:vAlign w:val="center"/>
            <w:hideMark/>
          </w:tcPr>
          <w:p w14:paraId="44EC8126"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shd w:val="clear" w:color="auto" w:fill="auto"/>
            <w:noWrap/>
            <w:vAlign w:val="center"/>
            <w:hideMark/>
          </w:tcPr>
          <w:p w14:paraId="40236220"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shd w:val="clear" w:color="auto" w:fill="auto"/>
            <w:noWrap/>
            <w:vAlign w:val="center"/>
            <w:hideMark/>
          </w:tcPr>
          <w:p w14:paraId="28783EDE"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0,083</w:t>
            </w:r>
          </w:p>
        </w:tc>
        <w:tc>
          <w:tcPr>
            <w:tcW w:w="908" w:type="dxa"/>
            <w:tcBorders>
              <w:top w:val="nil"/>
              <w:left w:val="nil"/>
              <w:bottom w:val="single" w:sz="4" w:space="0" w:color="auto"/>
              <w:right w:val="single" w:sz="4" w:space="0" w:color="auto"/>
            </w:tcBorders>
            <w:shd w:val="clear" w:color="auto" w:fill="auto"/>
            <w:noWrap/>
            <w:vAlign w:val="center"/>
            <w:hideMark/>
          </w:tcPr>
          <w:p w14:paraId="28108AF0"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0</w:t>
            </w:r>
          </w:p>
        </w:tc>
        <w:tc>
          <w:tcPr>
            <w:tcW w:w="1418" w:type="dxa"/>
            <w:tcBorders>
              <w:top w:val="nil"/>
              <w:left w:val="nil"/>
              <w:bottom w:val="single" w:sz="4" w:space="0" w:color="auto"/>
              <w:right w:val="single" w:sz="4" w:space="0" w:color="auto"/>
            </w:tcBorders>
            <w:shd w:val="clear" w:color="auto" w:fill="auto"/>
            <w:noWrap/>
            <w:vAlign w:val="center"/>
            <w:hideMark/>
          </w:tcPr>
          <w:p w14:paraId="1DAEED2F"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0</w:t>
            </w:r>
          </w:p>
        </w:tc>
        <w:tc>
          <w:tcPr>
            <w:tcW w:w="1390" w:type="dxa"/>
            <w:tcBorders>
              <w:top w:val="nil"/>
              <w:left w:val="nil"/>
              <w:bottom w:val="single" w:sz="4" w:space="0" w:color="auto"/>
              <w:right w:val="single" w:sz="4" w:space="0" w:color="auto"/>
            </w:tcBorders>
            <w:shd w:val="clear" w:color="auto" w:fill="auto"/>
            <w:noWrap/>
            <w:vAlign w:val="center"/>
            <w:hideMark/>
          </w:tcPr>
          <w:p w14:paraId="5ACDEF4D"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NE</w:t>
            </w:r>
          </w:p>
        </w:tc>
        <w:tc>
          <w:tcPr>
            <w:tcW w:w="1390" w:type="dxa"/>
            <w:tcBorders>
              <w:top w:val="nil"/>
              <w:left w:val="nil"/>
              <w:bottom w:val="single" w:sz="4" w:space="0" w:color="auto"/>
              <w:right w:val="single" w:sz="4" w:space="0" w:color="auto"/>
            </w:tcBorders>
            <w:shd w:val="clear" w:color="auto" w:fill="auto"/>
            <w:noWrap/>
            <w:vAlign w:val="center"/>
            <w:hideMark/>
          </w:tcPr>
          <w:p w14:paraId="296244E6"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NE</w:t>
            </w:r>
          </w:p>
        </w:tc>
        <w:tc>
          <w:tcPr>
            <w:tcW w:w="1390" w:type="dxa"/>
            <w:tcBorders>
              <w:top w:val="nil"/>
              <w:left w:val="nil"/>
              <w:bottom w:val="single" w:sz="4" w:space="0" w:color="auto"/>
              <w:right w:val="single" w:sz="4" w:space="0" w:color="auto"/>
            </w:tcBorders>
            <w:shd w:val="clear" w:color="auto" w:fill="auto"/>
            <w:noWrap/>
            <w:vAlign w:val="center"/>
            <w:hideMark/>
          </w:tcPr>
          <w:p w14:paraId="39FA02EC"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NE</w:t>
            </w:r>
          </w:p>
        </w:tc>
        <w:tc>
          <w:tcPr>
            <w:tcW w:w="1390" w:type="dxa"/>
            <w:tcBorders>
              <w:top w:val="nil"/>
              <w:left w:val="nil"/>
              <w:bottom w:val="single" w:sz="4" w:space="0" w:color="auto"/>
              <w:right w:val="single" w:sz="4" w:space="0" w:color="auto"/>
            </w:tcBorders>
            <w:shd w:val="clear" w:color="auto" w:fill="auto"/>
            <w:noWrap/>
            <w:vAlign w:val="center"/>
            <w:hideMark/>
          </w:tcPr>
          <w:p w14:paraId="474EE9A2" w14:textId="77777777" w:rsidR="00C162B0" w:rsidRPr="00C162B0"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w:t>
            </w:r>
          </w:p>
        </w:tc>
      </w:tr>
      <w:tr w:rsidR="00C162B0" w:rsidRPr="00C162B0" w14:paraId="7FC57F9A" w14:textId="77777777" w:rsidTr="00C162B0">
        <w:trPr>
          <w:trHeight w:val="300"/>
          <w:jc w:val="center"/>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0DAEE7E3" w14:textId="77777777" w:rsidR="00C162B0" w:rsidRPr="00C162B0" w:rsidRDefault="00C162B0" w:rsidP="00C162B0">
            <w:pPr>
              <w:spacing w:after="0" w:line="240" w:lineRule="auto"/>
              <w:jc w:val="center"/>
              <w:rPr>
                <w:rFonts w:ascii="Calibri Light" w:eastAsia="Times New Roman" w:hAnsi="Calibri Light" w:cs="Calibri Light"/>
                <w:color w:val="000000"/>
                <w:sz w:val="18"/>
                <w:szCs w:val="18"/>
                <w:lang w:eastAsia="cs-CZ"/>
              </w:rPr>
            </w:pPr>
            <w:r w:rsidRPr="00C162B0">
              <w:rPr>
                <w:rFonts w:ascii="Calibri Light" w:eastAsia="Times New Roman" w:hAnsi="Calibri Light" w:cs="Calibri Light"/>
                <w:color w:val="000000"/>
                <w:sz w:val="18"/>
                <w:szCs w:val="18"/>
                <w:lang w:eastAsia="cs-CZ"/>
              </w:rPr>
              <w:t>CNU.KDN1</w:t>
            </w:r>
          </w:p>
        </w:tc>
        <w:tc>
          <w:tcPr>
            <w:tcW w:w="992" w:type="dxa"/>
            <w:tcBorders>
              <w:top w:val="nil"/>
              <w:left w:val="nil"/>
              <w:bottom w:val="single" w:sz="4" w:space="0" w:color="auto"/>
              <w:right w:val="single" w:sz="4" w:space="0" w:color="auto"/>
            </w:tcBorders>
            <w:shd w:val="clear" w:color="auto" w:fill="auto"/>
            <w:noWrap/>
            <w:vAlign w:val="center"/>
            <w:hideMark/>
          </w:tcPr>
          <w:p w14:paraId="0A0295FB" w14:textId="77777777" w:rsidR="00C162B0" w:rsidRPr="00C162B0" w:rsidRDefault="00C162B0" w:rsidP="00C162B0">
            <w:pPr>
              <w:spacing w:after="0" w:line="240" w:lineRule="auto"/>
              <w:jc w:val="center"/>
              <w:rPr>
                <w:rFonts w:ascii="Calibri Light" w:eastAsia="Times New Roman" w:hAnsi="Calibri Light" w:cs="Calibri Light"/>
                <w:color w:val="000000"/>
                <w:sz w:val="18"/>
                <w:szCs w:val="18"/>
                <w:lang w:eastAsia="cs-CZ"/>
              </w:rPr>
            </w:pPr>
            <w:r w:rsidRPr="00C162B0">
              <w:rPr>
                <w:rFonts w:ascii="Calibri Light" w:eastAsia="Times New Roman" w:hAnsi="Calibri Light" w:cs="Calibri Light"/>
                <w:color w:val="000000"/>
                <w:sz w:val="18"/>
                <w:szCs w:val="18"/>
                <w:lang w:eastAsia="cs-CZ"/>
              </w:rPr>
              <w:t>1,3506</w:t>
            </w:r>
          </w:p>
        </w:tc>
        <w:tc>
          <w:tcPr>
            <w:tcW w:w="907" w:type="dxa"/>
            <w:tcBorders>
              <w:top w:val="nil"/>
              <w:left w:val="nil"/>
              <w:bottom w:val="single" w:sz="4" w:space="0" w:color="auto"/>
              <w:right w:val="single" w:sz="4" w:space="0" w:color="auto"/>
            </w:tcBorders>
            <w:shd w:val="clear" w:color="auto" w:fill="auto"/>
            <w:noWrap/>
            <w:vAlign w:val="center"/>
            <w:hideMark/>
          </w:tcPr>
          <w:p w14:paraId="20407F99" w14:textId="77777777" w:rsidR="00C162B0" w:rsidRPr="00C162B0" w:rsidRDefault="00C162B0" w:rsidP="00C162B0">
            <w:pPr>
              <w:spacing w:after="0" w:line="240" w:lineRule="auto"/>
              <w:jc w:val="center"/>
              <w:rPr>
                <w:rFonts w:ascii="Calibri Light" w:eastAsia="Times New Roman" w:hAnsi="Calibri Light" w:cs="Calibri Light"/>
                <w:color w:val="000000"/>
                <w:sz w:val="18"/>
                <w:szCs w:val="18"/>
                <w:lang w:eastAsia="cs-CZ"/>
              </w:rPr>
            </w:pPr>
            <w:r w:rsidRPr="00C162B0">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shd w:val="clear" w:color="auto" w:fill="auto"/>
            <w:noWrap/>
            <w:vAlign w:val="center"/>
            <w:hideMark/>
          </w:tcPr>
          <w:p w14:paraId="656BDA03" w14:textId="77777777" w:rsidR="00C162B0" w:rsidRPr="00C162B0" w:rsidRDefault="00C162B0" w:rsidP="00C162B0">
            <w:pPr>
              <w:spacing w:after="0" w:line="240" w:lineRule="auto"/>
              <w:jc w:val="center"/>
              <w:rPr>
                <w:rFonts w:ascii="Calibri Light" w:eastAsia="Times New Roman" w:hAnsi="Calibri Light" w:cs="Calibri Light"/>
                <w:color w:val="000000"/>
                <w:sz w:val="18"/>
                <w:szCs w:val="18"/>
                <w:lang w:eastAsia="cs-CZ"/>
              </w:rPr>
            </w:pPr>
            <w:r w:rsidRPr="00C162B0">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shd w:val="clear" w:color="auto" w:fill="auto"/>
            <w:noWrap/>
            <w:vAlign w:val="center"/>
            <w:hideMark/>
          </w:tcPr>
          <w:p w14:paraId="75977F3A" w14:textId="77777777" w:rsidR="00C162B0" w:rsidRPr="00C162B0" w:rsidRDefault="00C162B0" w:rsidP="00C162B0">
            <w:pPr>
              <w:spacing w:after="0" w:line="240" w:lineRule="auto"/>
              <w:jc w:val="center"/>
              <w:rPr>
                <w:rFonts w:ascii="Calibri Light" w:eastAsia="Times New Roman" w:hAnsi="Calibri Light" w:cs="Calibri Light"/>
                <w:color w:val="000000"/>
                <w:sz w:val="18"/>
                <w:szCs w:val="18"/>
                <w:lang w:eastAsia="cs-CZ"/>
              </w:rPr>
            </w:pPr>
            <w:r w:rsidRPr="00C162B0">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shd w:val="clear" w:color="auto" w:fill="auto"/>
            <w:noWrap/>
            <w:vAlign w:val="center"/>
            <w:hideMark/>
          </w:tcPr>
          <w:p w14:paraId="4FF8C19D" w14:textId="77777777" w:rsidR="00C162B0" w:rsidRPr="00C162B0" w:rsidRDefault="00C162B0" w:rsidP="00C162B0">
            <w:pPr>
              <w:spacing w:after="0" w:line="240" w:lineRule="auto"/>
              <w:jc w:val="center"/>
              <w:rPr>
                <w:rFonts w:ascii="Calibri Light" w:eastAsia="Times New Roman" w:hAnsi="Calibri Light" w:cs="Calibri Light"/>
                <w:color w:val="000000"/>
                <w:sz w:val="18"/>
                <w:szCs w:val="18"/>
                <w:lang w:eastAsia="cs-CZ"/>
              </w:rPr>
            </w:pPr>
            <w:r w:rsidRPr="00C162B0">
              <w:rPr>
                <w:rFonts w:ascii="Calibri Light" w:eastAsia="Times New Roman" w:hAnsi="Calibri Light" w:cs="Calibri Light"/>
                <w:color w:val="000000"/>
                <w:sz w:val="18"/>
                <w:szCs w:val="18"/>
                <w:lang w:eastAsia="cs-CZ"/>
              </w:rPr>
              <w:t>1,3506</w:t>
            </w:r>
          </w:p>
        </w:tc>
        <w:tc>
          <w:tcPr>
            <w:tcW w:w="908" w:type="dxa"/>
            <w:tcBorders>
              <w:top w:val="nil"/>
              <w:left w:val="nil"/>
              <w:bottom w:val="single" w:sz="4" w:space="0" w:color="auto"/>
              <w:right w:val="single" w:sz="4" w:space="0" w:color="auto"/>
            </w:tcBorders>
            <w:shd w:val="clear" w:color="auto" w:fill="auto"/>
            <w:noWrap/>
            <w:vAlign w:val="center"/>
            <w:hideMark/>
          </w:tcPr>
          <w:p w14:paraId="15289375" w14:textId="77777777" w:rsidR="00C162B0" w:rsidRPr="00C162B0" w:rsidRDefault="00C162B0" w:rsidP="00C162B0">
            <w:pPr>
              <w:spacing w:after="0" w:line="240" w:lineRule="auto"/>
              <w:jc w:val="center"/>
              <w:rPr>
                <w:rFonts w:ascii="Calibri Light" w:eastAsia="Times New Roman" w:hAnsi="Calibri Light" w:cs="Calibri Light"/>
                <w:color w:val="000000"/>
                <w:sz w:val="18"/>
                <w:szCs w:val="18"/>
                <w:lang w:eastAsia="cs-CZ"/>
              </w:rPr>
            </w:pPr>
            <w:r w:rsidRPr="00C162B0">
              <w:rPr>
                <w:rFonts w:ascii="Calibri Light" w:eastAsia="Times New Roman" w:hAnsi="Calibri Light" w:cs="Calibri Light"/>
                <w:color w:val="000000"/>
                <w:sz w:val="18"/>
                <w:szCs w:val="18"/>
                <w:lang w:eastAsia="cs-CZ"/>
              </w:rPr>
              <w:t>0</w:t>
            </w:r>
          </w:p>
        </w:tc>
        <w:tc>
          <w:tcPr>
            <w:tcW w:w="1418" w:type="dxa"/>
            <w:tcBorders>
              <w:top w:val="nil"/>
              <w:left w:val="nil"/>
              <w:bottom w:val="single" w:sz="4" w:space="0" w:color="auto"/>
              <w:right w:val="single" w:sz="4" w:space="0" w:color="auto"/>
            </w:tcBorders>
            <w:shd w:val="clear" w:color="auto" w:fill="auto"/>
            <w:noWrap/>
            <w:vAlign w:val="center"/>
            <w:hideMark/>
          </w:tcPr>
          <w:p w14:paraId="50ADA6CD" w14:textId="77777777" w:rsidR="00C162B0" w:rsidRPr="00C162B0" w:rsidRDefault="00C162B0" w:rsidP="00C162B0">
            <w:pPr>
              <w:spacing w:after="0" w:line="240" w:lineRule="auto"/>
              <w:jc w:val="center"/>
              <w:rPr>
                <w:rFonts w:ascii="Calibri Light" w:eastAsia="Times New Roman" w:hAnsi="Calibri Light" w:cs="Calibri Light"/>
                <w:color w:val="000000"/>
                <w:sz w:val="18"/>
                <w:szCs w:val="18"/>
                <w:lang w:eastAsia="cs-CZ"/>
              </w:rPr>
            </w:pPr>
            <w:r w:rsidRPr="00C162B0">
              <w:rPr>
                <w:rFonts w:ascii="Calibri Light" w:eastAsia="Times New Roman" w:hAnsi="Calibri Light" w:cs="Calibri Light"/>
                <w:color w:val="000000"/>
                <w:sz w:val="18"/>
                <w:szCs w:val="18"/>
                <w:lang w:eastAsia="cs-CZ"/>
              </w:rPr>
              <w:t>0</w:t>
            </w:r>
          </w:p>
        </w:tc>
        <w:tc>
          <w:tcPr>
            <w:tcW w:w="1390" w:type="dxa"/>
            <w:tcBorders>
              <w:top w:val="nil"/>
              <w:left w:val="nil"/>
              <w:bottom w:val="single" w:sz="4" w:space="0" w:color="auto"/>
              <w:right w:val="single" w:sz="4" w:space="0" w:color="auto"/>
            </w:tcBorders>
            <w:shd w:val="clear" w:color="auto" w:fill="auto"/>
            <w:noWrap/>
            <w:vAlign w:val="center"/>
            <w:hideMark/>
          </w:tcPr>
          <w:p w14:paraId="30E4E243" w14:textId="77777777" w:rsidR="00C162B0" w:rsidRPr="00C162B0" w:rsidRDefault="00C162B0" w:rsidP="00C162B0">
            <w:pPr>
              <w:spacing w:after="0" w:line="240" w:lineRule="auto"/>
              <w:jc w:val="center"/>
              <w:rPr>
                <w:rFonts w:ascii="Calibri Light" w:eastAsia="Times New Roman" w:hAnsi="Calibri Light" w:cs="Calibri Light"/>
                <w:color w:val="000000"/>
                <w:sz w:val="18"/>
                <w:szCs w:val="18"/>
                <w:lang w:eastAsia="cs-CZ"/>
              </w:rPr>
            </w:pPr>
            <w:r w:rsidRPr="00C162B0">
              <w:rPr>
                <w:rFonts w:ascii="Calibri Light" w:eastAsia="Times New Roman" w:hAnsi="Calibri Light" w:cs="Calibri Light"/>
                <w:color w:val="000000"/>
                <w:sz w:val="18"/>
                <w:szCs w:val="18"/>
                <w:lang w:eastAsia="cs-CZ"/>
              </w:rPr>
              <w:t>NE</w:t>
            </w:r>
          </w:p>
        </w:tc>
        <w:tc>
          <w:tcPr>
            <w:tcW w:w="1390" w:type="dxa"/>
            <w:tcBorders>
              <w:top w:val="nil"/>
              <w:left w:val="nil"/>
              <w:bottom w:val="single" w:sz="4" w:space="0" w:color="auto"/>
              <w:right w:val="single" w:sz="4" w:space="0" w:color="auto"/>
            </w:tcBorders>
            <w:shd w:val="clear" w:color="auto" w:fill="auto"/>
            <w:noWrap/>
            <w:vAlign w:val="center"/>
            <w:hideMark/>
          </w:tcPr>
          <w:p w14:paraId="57C8EB5F" w14:textId="77777777" w:rsidR="00C162B0" w:rsidRPr="00C162B0" w:rsidRDefault="00C162B0" w:rsidP="00C162B0">
            <w:pPr>
              <w:spacing w:after="0" w:line="240" w:lineRule="auto"/>
              <w:jc w:val="center"/>
              <w:rPr>
                <w:rFonts w:ascii="Calibri Light" w:eastAsia="Times New Roman" w:hAnsi="Calibri Light" w:cs="Calibri Light"/>
                <w:color w:val="000000"/>
                <w:sz w:val="18"/>
                <w:szCs w:val="18"/>
                <w:lang w:eastAsia="cs-CZ"/>
              </w:rPr>
            </w:pPr>
            <w:r w:rsidRPr="00C162B0">
              <w:rPr>
                <w:rFonts w:ascii="Calibri Light" w:eastAsia="Times New Roman" w:hAnsi="Calibri Light" w:cs="Calibri Light"/>
                <w:color w:val="000000"/>
                <w:sz w:val="18"/>
                <w:szCs w:val="18"/>
                <w:lang w:eastAsia="cs-CZ"/>
              </w:rPr>
              <w:t>NE</w:t>
            </w:r>
          </w:p>
        </w:tc>
        <w:tc>
          <w:tcPr>
            <w:tcW w:w="1390" w:type="dxa"/>
            <w:tcBorders>
              <w:top w:val="nil"/>
              <w:left w:val="nil"/>
              <w:bottom w:val="single" w:sz="4" w:space="0" w:color="auto"/>
              <w:right w:val="single" w:sz="4" w:space="0" w:color="auto"/>
            </w:tcBorders>
            <w:shd w:val="clear" w:color="auto" w:fill="auto"/>
            <w:noWrap/>
            <w:vAlign w:val="center"/>
            <w:hideMark/>
          </w:tcPr>
          <w:p w14:paraId="51FA7CD8" w14:textId="77777777" w:rsidR="00C162B0" w:rsidRPr="00C162B0" w:rsidRDefault="00C162B0" w:rsidP="00C162B0">
            <w:pPr>
              <w:spacing w:after="0" w:line="240" w:lineRule="auto"/>
              <w:jc w:val="center"/>
              <w:rPr>
                <w:rFonts w:ascii="Calibri Light" w:eastAsia="Times New Roman" w:hAnsi="Calibri Light" w:cs="Calibri Light"/>
                <w:color w:val="000000"/>
                <w:sz w:val="18"/>
                <w:szCs w:val="18"/>
                <w:lang w:eastAsia="cs-CZ"/>
              </w:rPr>
            </w:pPr>
            <w:r w:rsidRPr="00C162B0">
              <w:rPr>
                <w:rFonts w:ascii="Calibri Light" w:eastAsia="Times New Roman" w:hAnsi="Calibri Light" w:cs="Calibri Light"/>
                <w:color w:val="000000"/>
                <w:sz w:val="18"/>
                <w:szCs w:val="18"/>
                <w:lang w:eastAsia="cs-CZ"/>
              </w:rPr>
              <w:t>NE</w:t>
            </w:r>
          </w:p>
        </w:tc>
        <w:tc>
          <w:tcPr>
            <w:tcW w:w="1390" w:type="dxa"/>
            <w:tcBorders>
              <w:top w:val="nil"/>
              <w:left w:val="nil"/>
              <w:bottom w:val="single" w:sz="4" w:space="0" w:color="auto"/>
              <w:right w:val="single" w:sz="4" w:space="0" w:color="auto"/>
            </w:tcBorders>
            <w:shd w:val="clear" w:color="auto" w:fill="auto"/>
            <w:noWrap/>
            <w:vAlign w:val="center"/>
            <w:hideMark/>
          </w:tcPr>
          <w:p w14:paraId="11944270" w14:textId="77777777" w:rsidR="00C162B0" w:rsidRPr="00C162B0" w:rsidRDefault="00C162B0" w:rsidP="00C162B0">
            <w:pPr>
              <w:spacing w:after="0" w:line="240" w:lineRule="auto"/>
              <w:jc w:val="center"/>
              <w:rPr>
                <w:rFonts w:ascii="Calibri Light" w:eastAsia="Times New Roman" w:hAnsi="Calibri Light" w:cs="Calibri Light"/>
                <w:color w:val="000000"/>
                <w:sz w:val="18"/>
                <w:szCs w:val="18"/>
                <w:lang w:eastAsia="cs-CZ"/>
              </w:rPr>
            </w:pPr>
            <w:r w:rsidRPr="00C162B0">
              <w:rPr>
                <w:rFonts w:ascii="Calibri Light" w:eastAsia="Times New Roman" w:hAnsi="Calibri Light" w:cs="Calibri Light"/>
                <w:color w:val="000000"/>
                <w:sz w:val="18"/>
                <w:szCs w:val="18"/>
                <w:lang w:eastAsia="cs-CZ"/>
              </w:rPr>
              <w:t>-</w:t>
            </w:r>
          </w:p>
        </w:tc>
      </w:tr>
      <w:tr w:rsidR="00C162B0" w:rsidRPr="00C162B0" w14:paraId="5A9E53D6" w14:textId="77777777" w:rsidTr="00C162B0">
        <w:trPr>
          <w:trHeight w:val="300"/>
          <w:jc w:val="center"/>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56BD2AA2" w14:textId="77777777" w:rsidR="00C162B0" w:rsidRPr="00C162B0" w:rsidRDefault="00C162B0" w:rsidP="00C162B0">
            <w:pPr>
              <w:spacing w:after="0" w:line="240" w:lineRule="auto"/>
              <w:jc w:val="center"/>
              <w:rPr>
                <w:rFonts w:ascii="Calibri Light" w:eastAsia="Times New Roman" w:hAnsi="Calibri Light" w:cs="Calibri Light"/>
                <w:color w:val="000000"/>
                <w:sz w:val="18"/>
                <w:szCs w:val="18"/>
                <w:lang w:eastAsia="cs-CZ"/>
              </w:rPr>
            </w:pPr>
            <w:r w:rsidRPr="00C162B0">
              <w:rPr>
                <w:rFonts w:ascii="Calibri Light" w:eastAsia="Times New Roman" w:hAnsi="Calibri Light" w:cs="Calibri Light"/>
                <w:color w:val="000000"/>
                <w:sz w:val="18"/>
                <w:szCs w:val="18"/>
                <w:lang w:eastAsia="cs-CZ"/>
              </w:rPr>
              <w:t>CNU.KTI1</w:t>
            </w:r>
          </w:p>
        </w:tc>
        <w:tc>
          <w:tcPr>
            <w:tcW w:w="992" w:type="dxa"/>
            <w:tcBorders>
              <w:top w:val="nil"/>
              <w:left w:val="nil"/>
              <w:bottom w:val="single" w:sz="4" w:space="0" w:color="auto"/>
              <w:right w:val="single" w:sz="4" w:space="0" w:color="auto"/>
            </w:tcBorders>
            <w:shd w:val="clear" w:color="auto" w:fill="auto"/>
            <w:noWrap/>
            <w:vAlign w:val="center"/>
            <w:hideMark/>
          </w:tcPr>
          <w:p w14:paraId="32197413" w14:textId="77777777" w:rsidR="00C162B0" w:rsidRPr="00C162B0" w:rsidRDefault="00C162B0" w:rsidP="00C162B0">
            <w:pPr>
              <w:spacing w:after="0" w:line="240" w:lineRule="auto"/>
              <w:jc w:val="center"/>
              <w:rPr>
                <w:rFonts w:ascii="Calibri Light" w:eastAsia="Times New Roman" w:hAnsi="Calibri Light" w:cs="Calibri Light"/>
                <w:color w:val="000000"/>
                <w:sz w:val="18"/>
                <w:szCs w:val="18"/>
                <w:lang w:eastAsia="cs-CZ"/>
              </w:rPr>
            </w:pPr>
            <w:r w:rsidRPr="00C162B0">
              <w:rPr>
                <w:rFonts w:ascii="Calibri Light" w:eastAsia="Times New Roman" w:hAnsi="Calibri Light" w:cs="Calibri Light"/>
                <w:color w:val="000000"/>
                <w:sz w:val="18"/>
                <w:szCs w:val="18"/>
                <w:lang w:eastAsia="cs-CZ"/>
              </w:rPr>
              <w:t>2,4302</w:t>
            </w:r>
          </w:p>
        </w:tc>
        <w:tc>
          <w:tcPr>
            <w:tcW w:w="907" w:type="dxa"/>
            <w:tcBorders>
              <w:top w:val="nil"/>
              <w:left w:val="nil"/>
              <w:bottom w:val="single" w:sz="4" w:space="0" w:color="auto"/>
              <w:right w:val="single" w:sz="4" w:space="0" w:color="auto"/>
            </w:tcBorders>
            <w:shd w:val="clear" w:color="auto" w:fill="auto"/>
            <w:noWrap/>
            <w:vAlign w:val="center"/>
            <w:hideMark/>
          </w:tcPr>
          <w:p w14:paraId="1586D3F9" w14:textId="77777777" w:rsidR="00C162B0" w:rsidRPr="00C162B0" w:rsidRDefault="00C162B0" w:rsidP="00C162B0">
            <w:pPr>
              <w:spacing w:after="0" w:line="240" w:lineRule="auto"/>
              <w:jc w:val="center"/>
              <w:rPr>
                <w:rFonts w:ascii="Calibri Light" w:eastAsia="Times New Roman" w:hAnsi="Calibri Light" w:cs="Calibri Light"/>
                <w:color w:val="000000"/>
                <w:sz w:val="18"/>
                <w:szCs w:val="18"/>
                <w:lang w:eastAsia="cs-CZ"/>
              </w:rPr>
            </w:pPr>
            <w:r w:rsidRPr="00C162B0">
              <w:rPr>
                <w:rFonts w:ascii="Calibri Light" w:eastAsia="Times New Roman" w:hAnsi="Calibri Light" w:cs="Calibri Light"/>
                <w:color w:val="000000"/>
                <w:sz w:val="18"/>
                <w:szCs w:val="18"/>
                <w:lang w:eastAsia="cs-CZ"/>
              </w:rPr>
              <w:t>0,5087</w:t>
            </w:r>
          </w:p>
        </w:tc>
        <w:tc>
          <w:tcPr>
            <w:tcW w:w="907" w:type="dxa"/>
            <w:tcBorders>
              <w:top w:val="nil"/>
              <w:left w:val="nil"/>
              <w:bottom w:val="single" w:sz="4" w:space="0" w:color="auto"/>
              <w:right w:val="single" w:sz="4" w:space="0" w:color="auto"/>
            </w:tcBorders>
            <w:shd w:val="clear" w:color="auto" w:fill="auto"/>
            <w:noWrap/>
            <w:vAlign w:val="center"/>
            <w:hideMark/>
          </w:tcPr>
          <w:p w14:paraId="707EAD7A" w14:textId="77777777" w:rsidR="00C162B0" w:rsidRPr="00C162B0" w:rsidRDefault="00C162B0" w:rsidP="00C162B0">
            <w:pPr>
              <w:spacing w:after="0" w:line="240" w:lineRule="auto"/>
              <w:jc w:val="center"/>
              <w:rPr>
                <w:rFonts w:ascii="Calibri Light" w:eastAsia="Times New Roman" w:hAnsi="Calibri Light" w:cs="Calibri Light"/>
                <w:color w:val="000000"/>
                <w:sz w:val="18"/>
                <w:szCs w:val="18"/>
                <w:lang w:eastAsia="cs-CZ"/>
              </w:rPr>
            </w:pPr>
            <w:r w:rsidRPr="00C162B0">
              <w:rPr>
                <w:rFonts w:ascii="Calibri Light" w:eastAsia="Times New Roman" w:hAnsi="Calibri Light" w:cs="Calibri Light"/>
                <w:color w:val="000000"/>
                <w:sz w:val="18"/>
                <w:szCs w:val="18"/>
                <w:lang w:eastAsia="cs-CZ"/>
              </w:rPr>
              <w:t>0,1412</w:t>
            </w:r>
          </w:p>
        </w:tc>
        <w:tc>
          <w:tcPr>
            <w:tcW w:w="907" w:type="dxa"/>
            <w:tcBorders>
              <w:top w:val="nil"/>
              <w:left w:val="nil"/>
              <w:bottom w:val="single" w:sz="4" w:space="0" w:color="auto"/>
              <w:right w:val="single" w:sz="4" w:space="0" w:color="auto"/>
            </w:tcBorders>
            <w:shd w:val="clear" w:color="auto" w:fill="auto"/>
            <w:noWrap/>
            <w:vAlign w:val="center"/>
            <w:hideMark/>
          </w:tcPr>
          <w:p w14:paraId="46D22019" w14:textId="77777777" w:rsidR="00C162B0" w:rsidRPr="00C162B0" w:rsidRDefault="00C162B0" w:rsidP="00C162B0">
            <w:pPr>
              <w:spacing w:after="0" w:line="240" w:lineRule="auto"/>
              <w:jc w:val="center"/>
              <w:rPr>
                <w:rFonts w:ascii="Calibri Light" w:eastAsia="Times New Roman" w:hAnsi="Calibri Light" w:cs="Calibri Light"/>
                <w:color w:val="000000"/>
                <w:sz w:val="18"/>
                <w:szCs w:val="18"/>
                <w:lang w:eastAsia="cs-CZ"/>
              </w:rPr>
            </w:pPr>
            <w:r w:rsidRPr="00C162B0">
              <w:rPr>
                <w:rFonts w:ascii="Calibri Light" w:eastAsia="Times New Roman" w:hAnsi="Calibri Light" w:cs="Calibri Light"/>
                <w:color w:val="000000"/>
                <w:sz w:val="18"/>
                <w:szCs w:val="18"/>
                <w:lang w:eastAsia="cs-CZ"/>
              </w:rPr>
              <w:t>0,9103</w:t>
            </w:r>
          </w:p>
        </w:tc>
        <w:tc>
          <w:tcPr>
            <w:tcW w:w="907" w:type="dxa"/>
            <w:tcBorders>
              <w:top w:val="nil"/>
              <w:left w:val="nil"/>
              <w:bottom w:val="single" w:sz="4" w:space="0" w:color="auto"/>
              <w:right w:val="single" w:sz="4" w:space="0" w:color="auto"/>
            </w:tcBorders>
            <w:shd w:val="clear" w:color="auto" w:fill="auto"/>
            <w:noWrap/>
            <w:vAlign w:val="center"/>
            <w:hideMark/>
          </w:tcPr>
          <w:p w14:paraId="062645D0" w14:textId="77777777" w:rsidR="00C162B0" w:rsidRPr="00C162B0" w:rsidRDefault="00C162B0" w:rsidP="00C162B0">
            <w:pPr>
              <w:spacing w:after="0" w:line="240" w:lineRule="auto"/>
              <w:jc w:val="center"/>
              <w:rPr>
                <w:rFonts w:ascii="Calibri Light" w:eastAsia="Times New Roman" w:hAnsi="Calibri Light" w:cs="Calibri Light"/>
                <w:color w:val="000000"/>
                <w:sz w:val="18"/>
                <w:szCs w:val="18"/>
                <w:lang w:eastAsia="cs-CZ"/>
              </w:rPr>
            </w:pPr>
            <w:r w:rsidRPr="00C162B0">
              <w:rPr>
                <w:rFonts w:ascii="Calibri Light" w:eastAsia="Times New Roman" w:hAnsi="Calibri Light" w:cs="Calibri Light"/>
                <w:color w:val="000000"/>
                <w:sz w:val="18"/>
                <w:szCs w:val="18"/>
                <w:lang w:eastAsia="cs-CZ"/>
              </w:rPr>
              <w:t>0,5538</w:t>
            </w:r>
          </w:p>
        </w:tc>
        <w:tc>
          <w:tcPr>
            <w:tcW w:w="908" w:type="dxa"/>
            <w:tcBorders>
              <w:top w:val="nil"/>
              <w:left w:val="nil"/>
              <w:bottom w:val="single" w:sz="4" w:space="0" w:color="auto"/>
              <w:right w:val="single" w:sz="4" w:space="0" w:color="auto"/>
            </w:tcBorders>
            <w:shd w:val="clear" w:color="auto" w:fill="auto"/>
            <w:noWrap/>
            <w:vAlign w:val="center"/>
            <w:hideMark/>
          </w:tcPr>
          <w:p w14:paraId="0550F12B" w14:textId="77777777" w:rsidR="00C162B0" w:rsidRPr="00C162B0" w:rsidRDefault="00C162B0" w:rsidP="00C162B0">
            <w:pPr>
              <w:spacing w:after="0" w:line="240" w:lineRule="auto"/>
              <w:jc w:val="center"/>
              <w:rPr>
                <w:rFonts w:ascii="Calibri Light" w:eastAsia="Times New Roman" w:hAnsi="Calibri Light" w:cs="Calibri Light"/>
                <w:color w:val="000000"/>
                <w:sz w:val="18"/>
                <w:szCs w:val="18"/>
                <w:lang w:eastAsia="cs-CZ"/>
              </w:rPr>
            </w:pPr>
            <w:r w:rsidRPr="00C162B0">
              <w:rPr>
                <w:rFonts w:ascii="Calibri Light" w:eastAsia="Times New Roman" w:hAnsi="Calibri Light" w:cs="Calibri Light"/>
                <w:color w:val="000000"/>
                <w:sz w:val="18"/>
                <w:szCs w:val="18"/>
                <w:lang w:eastAsia="cs-CZ"/>
              </w:rPr>
              <w:t>0,3162</w:t>
            </w:r>
          </w:p>
        </w:tc>
        <w:tc>
          <w:tcPr>
            <w:tcW w:w="1418" w:type="dxa"/>
            <w:tcBorders>
              <w:top w:val="nil"/>
              <w:left w:val="nil"/>
              <w:bottom w:val="single" w:sz="4" w:space="0" w:color="auto"/>
              <w:right w:val="single" w:sz="4" w:space="0" w:color="auto"/>
            </w:tcBorders>
            <w:shd w:val="clear" w:color="auto" w:fill="auto"/>
            <w:noWrap/>
            <w:vAlign w:val="center"/>
            <w:hideMark/>
          </w:tcPr>
          <w:p w14:paraId="0D409F5E" w14:textId="77777777" w:rsidR="00C162B0" w:rsidRPr="00C162B0" w:rsidRDefault="00C162B0" w:rsidP="00C162B0">
            <w:pPr>
              <w:spacing w:after="0" w:line="240" w:lineRule="auto"/>
              <w:jc w:val="center"/>
              <w:rPr>
                <w:rFonts w:ascii="Calibri Light" w:eastAsia="Times New Roman" w:hAnsi="Calibri Light" w:cs="Calibri Light"/>
                <w:color w:val="000000"/>
                <w:sz w:val="18"/>
                <w:szCs w:val="18"/>
                <w:lang w:eastAsia="cs-CZ"/>
              </w:rPr>
            </w:pPr>
            <w:r w:rsidRPr="00C162B0">
              <w:rPr>
                <w:rFonts w:ascii="Calibri Light" w:eastAsia="Times New Roman" w:hAnsi="Calibri Light" w:cs="Calibri Light"/>
                <w:color w:val="000000"/>
                <w:sz w:val="18"/>
                <w:szCs w:val="18"/>
                <w:lang w:eastAsia="cs-CZ"/>
              </w:rPr>
              <w:t>0</w:t>
            </w:r>
          </w:p>
        </w:tc>
        <w:tc>
          <w:tcPr>
            <w:tcW w:w="1390" w:type="dxa"/>
            <w:tcBorders>
              <w:top w:val="nil"/>
              <w:left w:val="nil"/>
              <w:bottom w:val="single" w:sz="4" w:space="0" w:color="auto"/>
              <w:right w:val="single" w:sz="4" w:space="0" w:color="auto"/>
            </w:tcBorders>
            <w:shd w:val="clear" w:color="auto" w:fill="auto"/>
            <w:noWrap/>
            <w:vAlign w:val="center"/>
            <w:hideMark/>
          </w:tcPr>
          <w:p w14:paraId="032E9B17" w14:textId="77777777" w:rsidR="00C162B0" w:rsidRPr="00C162B0" w:rsidRDefault="00C162B0" w:rsidP="00C162B0">
            <w:pPr>
              <w:spacing w:after="0" w:line="240" w:lineRule="auto"/>
              <w:jc w:val="center"/>
              <w:rPr>
                <w:rFonts w:ascii="Calibri Light" w:eastAsia="Times New Roman" w:hAnsi="Calibri Light" w:cs="Calibri Light"/>
                <w:color w:val="000000"/>
                <w:sz w:val="18"/>
                <w:szCs w:val="18"/>
                <w:lang w:eastAsia="cs-CZ"/>
              </w:rPr>
            </w:pPr>
            <w:r w:rsidRPr="00C162B0">
              <w:rPr>
                <w:rFonts w:ascii="Calibri Light" w:eastAsia="Times New Roman" w:hAnsi="Calibri Light" w:cs="Calibri Light"/>
                <w:color w:val="000000"/>
                <w:sz w:val="18"/>
                <w:szCs w:val="18"/>
                <w:lang w:eastAsia="cs-CZ"/>
              </w:rPr>
              <w:t>NE</w:t>
            </w:r>
          </w:p>
        </w:tc>
        <w:tc>
          <w:tcPr>
            <w:tcW w:w="1390" w:type="dxa"/>
            <w:tcBorders>
              <w:top w:val="nil"/>
              <w:left w:val="nil"/>
              <w:bottom w:val="single" w:sz="4" w:space="0" w:color="auto"/>
              <w:right w:val="single" w:sz="4" w:space="0" w:color="auto"/>
            </w:tcBorders>
            <w:shd w:val="clear" w:color="auto" w:fill="auto"/>
            <w:noWrap/>
            <w:vAlign w:val="center"/>
            <w:hideMark/>
          </w:tcPr>
          <w:p w14:paraId="2E006ED7" w14:textId="77777777" w:rsidR="00C162B0" w:rsidRPr="00C162B0" w:rsidRDefault="00C162B0" w:rsidP="00C162B0">
            <w:pPr>
              <w:spacing w:after="0" w:line="240" w:lineRule="auto"/>
              <w:jc w:val="center"/>
              <w:rPr>
                <w:rFonts w:ascii="Calibri Light" w:eastAsia="Times New Roman" w:hAnsi="Calibri Light" w:cs="Calibri Light"/>
                <w:color w:val="000000"/>
                <w:sz w:val="18"/>
                <w:szCs w:val="18"/>
                <w:lang w:eastAsia="cs-CZ"/>
              </w:rPr>
            </w:pPr>
            <w:r w:rsidRPr="00C162B0">
              <w:rPr>
                <w:rFonts w:ascii="Calibri Light" w:eastAsia="Times New Roman" w:hAnsi="Calibri Light" w:cs="Calibri Light"/>
                <w:color w:val="000000"/>
                <w:sz w:val="18"/>
                <w:szCs w:val="18"/>
                <w:lang w:eastAsia="cs-CZ"/>
              </w:rPr>
              <w:t>NE</w:t>
            </w:r>
          </w:p>
        </w:tc>
        <w:tc>
          <w:tcPr>
            <w:tcW w:w="1390" w:type="dxa"/>
            <w:tcBorders>
              <w:top w:val="nil"/>
              <w:left w:val="nil"/>
              <w:bottom w:val="single" w:sz="4" w:space="0" w:color="auto"/>
              <w:right w:val="single" w:sz="4" w:space="0" w:color="auto"/>
            </w:tcBorders>
            <w:shd w:val="clear" w:color="auto" w:fill="auto"/>
            <w:noWrap/>
            <w:vAlign w:val="center"/>
            <w:hideMark/>
          </w:tcPr>
          <w:p w14:paraId="61A8EB66" w14:textId="77777777" w:rsidR="00C162B0" w:rsidRPr="00C162B0" w:rsidRDefault="00C162B0" w:rsidP="00C162B0">
            <w:pPr>
              <w:spacing w:after="0" w:line="240" w:lineRule="auto"/>
              <w:jc w:val="center"/>
              <w:rPr>
                <w:rFonts w:ascii="Calibri Light" w:eastAsia="Times New Roman" w:hAnsi="Calibri Light" w:cs="Calibri Light"/>
                <w:color w:val="000000"/>
                <w:sz w:val="18"/>
                <w:szCs w:val="18"/>
                <w:lang w:eastAsia="cs-CZ"/>
              </w:rPr>
            </w:pPr>
            <w:r w:rsidRPr="00C162B0">
              <w:rPr>
                <w:rFonts w:ascii="Calibri Light" w:eastAsia="Times New Roman" w:hAnsi="Calibri Light" w:cs="Calibri Light"/>
                <w:color w:val="000000"/>
                <w:sz w:val="18"/>
                <w:szCs w:val="18"/>
                <w:lang w:eastAsia="cs-CZ"/>
              </w:rPr>
              <w:t>NE</w:t>
            </w:r>
          </w:p>
        </w:tc>
        <w:tc>
          <w:tcPr>
            <w:tcW w:w="1390" w:type="dxa"/>
            <w:tcBorders>
              <w:top w:val="nil"/>
              <w:left w:val="nil"/>
              <w:bottom w:val="single" w:sz="4" w:space="0" w:color="auto"/>
              <w:right w:val="single" w:sz="4" w:space="0" w:color="auto"/>
            </w:tcBorders>
            <w:shd w:val="clear" w:color="auto" w:fill="auto"/>
            <w:noWrap/>
            <w:vAlign w:val="center"/>
            <w:hideMark/>
          </w:tcPr>
          <w:p w14:paraId="285B88DD" w14:textId="77777777" w:rsidR="00C162B0" w:rsidRPr="00C162B0" w:rsidRDefault="00C162B0" w:rsidP="00C162B0">
            <w:pPr>
              <w:spacing w:after="0" w:line="240" w:lineRule="auto"/>
              <w:jc w:val="center"/>
              <w:rPr>
                <w:rFonts w:ascii="Calibri Light" w:eastAsia="Times New Roman" w:hAnsi="Calibri Light" w:cs="Calibri Light"/>
                <w:color w:val="000000"/>
                <w:sz w:val="18"/>
                <w:szCs w:val="18"/>
                <w:lang w:eastAsia="cs-CZ"/>
              </w:rPr>
            </w:pPr>
            <w:r w:rsidRPr="00C162B0">
              <w:rPr>
                <w:rFonts w:ascii="Calibri Light" w:eastAsia="Times New Roman" w:hAnsi="Calibri Light" w:cs="Calibri Light"/>
                <w:color w:val="000000"/>
                <w:sz w:val="18"/>
                <w:szCs w:val="18"/>
                <w:lang w:eastAsia="cs-CZ"/>
              </w:rPr>
              <w:t>NE</w:t>
            </w:r>
          </w:p>
        </w:tc>
      </w:tr>
      <w:tr w:rsidR="00C162B0" w:rsidRPr="006A42C9" w14:paraId="77425F63" w14:textId="77777777" w:rsidTr="006A42C9">
        <w:trPr>
          <w:trHeight w:val="300"/>
          <w:jc w:val="center"/>
        </w:trPr>
        <w:tc>
          <w:tcPr>
            <w:tcW w:w="1980"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07031283" w14:textId="08A382DF" w:rsidR="00C162B0" w:rsidRPr="006A42C9" w:rsidRDefault="00EE2EBF" w:rsidP="00C162B0">
            <w:pPr>
              <w:spacing w:after="0" w:line="240" w:lineRule="auto"/>
              <w:jc w:val="center"/>
              <w:rPr>
                <w:rFonts w:ascii="Calibri Light" w:eastAsia="Times New Roman" w:hAnsi="Calibri Light" w:cs="Calibri Light"/>
                <w:b/>
                <w:bCs/>
                <w:color w:val="000000"/>
                <w:sz w:val="20"/>
                <w:szCs w:val="20"/>
                <w:lang w:eastAsia="cs-CZ"/>
              </w:rPr>
            </w:pPr>
            <w:r w:rsidRPr="006A42C9">
              <w:rPr>
                <w:rFonts w:ascii="Calibri Light" w:eastAsia="Times New Roman" w:hAnsi="Calibri Light" w:cs="Calibri Light"/>
                <w:b/>
                <w:bCs/>
                <w:color w:val="000000"/>
                <w:sz w:val="20"/>
                <w:szCs w:val="20"/>
                <w:lang w:eastAsia="cs-CZ"/>
              </w:rPr>
              <w:t>C</w:t>
            </w:r>
            <w:r w:rsidR="00C162B0" w:rsidRPr="006A42C9">
              <w:rPr>
                <w:rFonts w:ascii="Calibri Light" w:eastAsia="Times New Roman" w:hAnsi="Calibri Light" w:cs="Calibri Light"/>
                <w:b/>
                <w:bCs/>
                <w:color w:val="000000"/>
                <w:sz w:val="20"/>
                <w:szCs w:val="20"/>
                <w:lang w:eastAsia="cs-CZ"/>
              </w:rPr>
              <w:t>elkem</w:t>
            </w:r>
            <w:r w:rsidRPr="006A42C9">
              <w:rPr>
                <w:rFonts w:ascii="Calibri Light" w:eastAsia="Times New Roman" w:hAnsi="Calibri Light" w:cs="Calibri Light"/>
                <w:b/>
                <w:bCs/>
                <w:color w:val="000000"/>
                <w:sz w:val="20"/>
                <w:szCs w:val="20"/>
                <w:lang w:eastAsia="cs-CZ"/>
              </w:rPr>
              <w:t>**</w:t>
            </w:r>
          </w:p>
        </w:tc>
        <w:tc>
          <w:tcPr>
            <w:tcW w:w="992" w:type="dxa"/>
            <w:tcBorders>
              <w:top w:val="nil"/>
              <w:left w:val="nil"/>
              <w:bottom w:val="single" w:sz="4" w:space="0" w:color="auto"/>
              <w:right w:val="single" w:sz="4" w:space="0" w:color="auto"/>
            </w:tcBorders>
            <w:shd w:val="clear" w:color="auto" w:fill="F2F2F2" w:themeFill="background1" w:themeFillShade="F2"/>
            <w:noWrap/>
            <w:vAlign w:val="center"/>
            <w:hideMark/>
          </w:tcPr>
          <w:p w14:paraId="1BE9CFEF" w14:textId="77777777" w:rsidR="00C162B0" w:rsidRPr="006A42C9" w:rsidRDefault="00C162B0" w:rsidP="00C162B0">
            <w:pPr>
              <w:spacing w:after="0" w:line="240" w:lineRule="auto"/>
              <w:jc w:val="center"/>
              <w:rPr>
                <w:rFonts w:ascii="Calibri Light" w:eastAsia="Times New Roman" w:hAnsi="Calibri Light" w:cs="Calibri Light"/>
                <w:b/>
                <w:bCs/>
                <w:color w:val="000000"/>
                <w:sz w:val="20"/>
                <w:szCs w:val="20"/>
                <w:lang w:eastAsia="cs-CZ"/>
              </w:rPr>
            </w:pPr>
            <w:r w:rsidRPr="006A42C9">
              <w:rPr>
                <w:rFonts w:ascii="Calibri Light" w:eastAsia="Times New Roman" w:hAnsi="Calibri Light" w:cs="Calibri Light"/>
                <w:b/>
                <w:bCs/>
                <w:color w:val="000000"/>
                <w:sz w:val="20"/>
                <w:szCs w:val="20"/>
                <w:lang w:eastAsia="cs-CZ"/>
              </w:rPr>
              <w:t>8,6344</w:t>
            </w:r>
          </w:p>
        </w:tc>
        <w:tc>
          <w:tcPr>
            <w:tcW w:w="907" w:type="dxa"/>
            <w:tcBorders>
              <w:top w:val="nil"/>
              <w:left w:val="nil"/>
              <w:bottom w:val="single" w:sz="4" w:space="0" w:color="auto"/>
              <w:right w:val="single" w:sz="4" w:space="0" w:color="auto"/>
            </w:tcBorders>
            <w:shd w:val="clear" w:color="auto" w:fill="F2F2F2" w:themeFill="background1" w:themeFillShade="F2"/>
            <w:noWrap/>
            <w:vAlign w:val="center"/>
            <w:hideMark/>
          </w:tcPr>
          <w:p w14:paraId="73DABAF8" w14:textId="77777777" w:rsidR="00C162B0" w:rsidRPr="006A42C9" w:rsidRDefault="00C162B0" w:rsidP="00C162B0">
            <w:pPr>
              <w:spacing w:after="0" w:line="240" w:lineRule="auto"/>
              <w:jc w:val="center"/>
              <w:rPr>
                <w:rFonts w:ascii="Calibri Light" w:eastAsia="Times New Roman" w:hAnsi="Calibri Light" w:cs="Calibri Light"/>
                <w:b/>
                <w:bCs/>
                <w:color w:val="000000"/>
                <w:sz w:val="20"/>
                <w:szCs w:val="20"/>
                <w:lang w:eastAsia="cs-CZ"/>
              </w:rPr>
            </w:pPr>
            <w:r w:rsidRPr="006A42C9">
              <w:rPr>
                <w:rFonts w:ascii="Calibri Light" w:eastAsia="Times New Roman" w:hAnsi="Calibri Light" w:cs="Calibri Light"/>
                <w:b/>
                <w:bCs/>
                <w:color w:val="000000"/>
                <w:sz w:val="20"/>
                <w:szCs w:val="20"/>
                <w:lang w:eastAsia="cs-CZ"/>
              </w:rPr>
              <w:t>3,4401</w:t>
            </w:r>
          </w:p>
        </w:tc>
        <w:tc>
          <w:tcPr>
            <w:tcW w:w="907" w:type="dxa"/>
            <w:tcBorders>
              <w:top w:val="nil"/>
              <w:left w:val="nil"/>
              <w:bottom w:val="single" w:sz="4" w:space="0" w:color="auto"/>
              <w:right w:val="single" w:sz="4" w:space="0" w:color="auto"/>
            </w:tcBorders>
            <w:shd w:val="clear" w:color="auto" w:fill="F2F2F2" w:themeFill="background1" w:themeFillShade="F2"/>
            <w:noWrap/>
            <w:vAlign w:val="center"/>
            <w:hideMark/>
          </w:tcPr>
          <w:p w14:paraId="2943B04F" w14:textId="77777777" w:rsidR="00C162B0" w:rsidRPr="006A42C9" w:rsidRDefault="00C162B0" w:rsidP="00C162B0">
            <w:pPr>
              <w:spacing w:after="0" w:line="240" w:lineRule="auto"/>
              <w:jc w:val="center"/>
              <w:rPr>
                <w:rFonts w:ascii="Calibri Light" w:eastAsia="Times New Roman" w:hAnsi="Calibri Light" w:cs="Calibri Light"/>
                <w:b/>
                <w:bCs/>
                <w:color w:val="000000"/>
                <w:sz w:val="20"/>
                <w:szCs w:val="20"/>
                <w:lang w:eastAsia="cs-CZ"/>
              </w:rPr>
            </w:pPr>
            <w:r w:rsidRPr="006A42C9">
              <w:rPr>
                <w:rFonts w:ascii="Calibri Light" w:eastAsia="Times New Roman" w:hAnsi="Calibri Light" w:cs="Calibri Light"/>
                <w:b/>
                <w:bCs/>
                <w:color w:val="000000"/>
                <w:sz w:val="20"/>
                <w:szCs w:val="20"/>
                <w:lang w:eastAsia="cs-CZ"/>
              </w:rPr>
              <w:t>0,1412</w:t>
            </w:r>
          </w:p>
        </w:tc>
        <w:tc>
          <w:tcPr>
            <w:tcW w:w="907" w:type="dxa"/>
            <w:tcBorders>
              <w:top w:val="nil"/>
              <w:left w:val="nil"/>
              <w:bottom w:val="single" w:sz="4" w:space="0" w:color="auto"/>
              <w:right w:val="single" w:sz="4" w:space="0" w:color="auto"/>
            </w:tcBorders>
            <w:shd w:val="clear" w:color="auto" w:fill="F2F2F2" w:themeFill="background1" w:themeFillShade="F2"/>
            <w:noWrap/>
            <w:vAlign w:val="center"/>
            <w:hideMark/>
          </w:tcPr>
          <w:p w14:paraId="24CF960D" w14:textId="77777777" w:rsidR="00C162B0" w:rsidRPr="006A42C9" w:rsidRDefault="00C162B0" w:rsidP="00C162B0">
            <w:pPr>
              <w:spacing w:after="0" w:line="240" w:lineRule="auto"/>
              <w:jc w:val="center"/>
              <w:rPr>
                <w:rFonts w:ascii="Calibri Light" w:eastAsia="Times New Roman" w:hAnsi="Calibri Light" w:cs="Calibri Light"/>
                <w:b/>
                <w:bCs/>
                <w:color w:val="000000"/>
                <w:sz w:val="20"/>
                <w:szCs w:val="20"/>
                <w:lang w:eastAsia="cs-CZ"/>
              </w:rPr>
            </w:pPr>
            <w:r w:rsidRPr="006A42C9">
              <w:rPr>
                <w:rFonts w:ascii="Calibri Light" w:eastAsia="Times New Roman" w:hAnsi="Calibri Light" w:cs="Calibri Light"/>
                <w:b/>
                <w:bCs/>
                <w:color w:val="000000"/>
                <w:sz w:val="20"/>
                <w:szCs w:val="20"/>
                <w:lang w:eastAsia="cs-CZ"/>
              </w:rPr>
              <w:t>0,9103</w:t>
            </w:r>
          </w:p>
        </w:tc>
        <w:tc>
          <w:tcPr>
            <w:tcW w:w="907" w:type="dxa"/>
            <w:tcBorders>
              <w:top w:val="nil"/>
              <w:left w:val="nil"/>
              <w:bottom w:val="single" w:sz="4" w:space="0" w:color="auto"/>
              <w:right w:val="single" w:sz="4" w:space="0" w:color="auto"/>
            </w:tcBorders>
            <w:shd w:val="clear" w:color="auto" w:fill="F2F2F2" w:themeFill="background1" w:themeFillShade="F2"/>
            <w:noWrap/>
            <w:vAlign w:val="center"/>
            <w:hideMark/>
          </w:tcPr>
          <w:p w14:paraId="4ABC31E9" w14:textId="77777777" w:rsidR="00C162B0" w:rsidRPr="006A42C9" w:rsidRDefault="00C162B0" w:rsidP="00C162B0">
            <w:pPr>
              <w:spacing w:after="0" w:line="240" w:lineRule="auto"/>
              <w:jc w:val="center"/>
              <w:rPr>
                <w:rFonts w:ascii="Calibri Light" w:eastAsia="Times New Roman" w:hAnsi="Calibri Light" w:cs="Calibri Light"/>
                <w:b/>
                <w:bCs/>
                <w:color w:val="000000"/>
                <w:sz w:val="20"/>
                <w:szCs w:val="20"/>
                <w:lang w:eastAsia="cs-CZ"/>
              </w:rPr>
            </w:pPr>
            <w:r w:rsidRPr="006A42C9">
              <w:rPr>
                <w:rFonts w:ascii="Calibri Light" w:eastAsia="Times New Roman" w:hAnsi="Calibri Light" w:cs="Calibri Light"/>
                <w:b/>
                <w:bCs/>
                <w:color w:val="000000"/>
                <w:sz w:val="20"/>
                <w:szCs w:val="20"/>
                <w:lang w:eastAsia="cs-CZ"/>
              </w:rPr>
              <w:t>3,8266</w:t>
            </w:r>
          </w:p>
        </w:tc>
        <w:tc>
          <w:tcPr>
            <w:tcW w:w="908" w:type="dxa"/>
            <w:tcBorders>
              <w:top w:val="nil"/>
              <w:left w:val="nil"/>
              <w:bottom w:val="single" w:sz="4" w:space="0" w:color="auto"/>
              <w:right w:val="single" w:sz="4" w:space="0" w:color="auto"/>
            </w:tcBorders>
            <w:shd w:val="clear" w:color="auto" w:fill="F2F2F2" w:themeFill="background1" w:themeFillShade="F2"/>
            <w:noWrap/>
            <w:vAlign w:val="center"/>
            <w:hideMark/>
          </w:tcPr>
          <w:p w14:paraId="30D39289" w14:textId="77777777" w:rsidR="00C162B0" w:rsidRPr="006A42C9" w:rsidRDefault="00C162B0" w:rsidP="00C162B0">
            <w:pPr>
              <w:spacing w:after="0" w:line="240" w:lineRule="auto"/>
              <w:jc w:val="center"/>
              <w:rPr>
                <w:rFonts w:ascii="Calibri Light" w:eastAsia="Times New Roman" w:hAnsi="Calibri Light" w:cs="Calibri Light"/>
                <w:b/>
                <w:bCs/>
                <w:color w:val="000000"/>
                <w:sz w:val="20"/>
                <w:szCs w:val="20"/>
                <w:lang w:eastAsia="cs-CZ"/>
              </w:rPr>
            </w:pPr>
            <w:r w:rsidRPr="006A42C9">
              <w:rPr>
                <w:rFonts w:ascii="Calibri Light" w:eastAsia="Times New Roman" w:hAnsi="Calibri Light" w:cs="Calibri Light"/>
                <w:b/>
                <w:bCs/>
                <w:color w:val="000000"/>
                <w:sz w:val="20"/>
                <w:szCs w:val="20"/>
                <w:lang w:eastAsia="cs-CZ"/>
              </w:rPr>
              <w:t>0,3162</w:t>
            </w:r>
          </w:p>
        </w:tc>
        <w:tc>
          <w:tcPr>
            <w:tcW w:w="1418" w:type="dxa"/>
            <w:tcBorders>
              <w:top w:val="nil"/>
              <w:left w:val="nil"/>
              <w:bottom w:val="single" w:sz="4" w:space="0" w:color="auto"/>
              <w:right w:val="single" w:sz="4" w:space="0" w:color="auto"/>
            </w:tcBorders>
            <w:shd w:val="clear" w:color="auto" w:fill="F2F2F2" w:themeFill="background1" w:themeFillShade="F2"/>
            <w:noWrap/>
            <w:vAlign w:val="center"/>
            <w:hideMark/>
          </w:tcPr>
          <w:p w14:paraId="3FA951E9" w14:textId="77777777" w:rsidR="00C162B0" w:rsidRPr="006A42C9" w:rsidRDefault="00C162B0" w:rsidP="00C162B0">
            <w:pPr>
              <w:spacing w:after="0" w:line="240" w:lineRule="auto"/>
              <w:jc w:val="center"/>
              <w:rPr>
                <w:rFonts w:ascii="Calibri Light" w:eastAsia="Times New Roman" w:hAnsi="Calibri Light" w:cs="Calibri Light"/>
                <w:b/>
                <w:bCs/>
                <w:color w:val="000000"/>
                <w:sz w:val="20"/>
                <w:szCs w:val="20"/>
                <w:lang w:eastAsia="cs-CZ"/>
              </w:rPr>
            </w:pPr>
            <w:r w:rsidRPr="006A42C9">
              <w:rPr>
                <w:rFonts w:ascii="Calibri Light" w:eastAsia="Times New Roman" w:hAnsi="Calibri Light" w:cs="Calibri Light"/>
                <w:b/>
                <w:bCs/>
                <w:color w:val="000000"/>
                <w:sz w:val="20"/>
                <w:szCs w:val="20"/>
                <w:lang w:eastAsia="cs-CZ"/>
              </w:rPr>
              <w:t>0</w:t>
            </w:r>
          </w:p>
        </w:tc>
        <w:tc>
          <w:tcPr>
            <w:tcW w:w="1390" w:type="dxa"/>
            <w:tcBorders>
              <w:top w:val="nil"/>
              <w:left w:val="nil"/>
              <w:bottom w:val="single" w:sz="4" w:space="0" w:color="auto"/>
              <w:right w:val="single" w:sz="4" w:space="0" w:color="auto"/>
            </w:tcBorders>
            <w:shd w:val="clear" w:color="auto" w:fill="F2F2F2" w:themeFill="background1" w:themeFillShade="F2"/>
            <w:noWrap/>
            <w:vAlign w:val="center"/>
            <w:hideMark/>
          </w:tcPr>
          <w:p w14:paraId="5DB81DB3" w14:textId="77777777" w:rsidR="00C162B0" w:rsidRPr="006A42C9" w:rsidRDefault="00C162B0" w:rsidP="00C162B0">
            <w:pPr>
              <w:spacing w:after="0" w:line="240" w:lineRule="auto"/>
              <w:jc w:val="center"/>
              <w:rPr>
                <w:rFonts w:ascii="Calibri Light" w:eastAsia="Times New Roman" w:hAnsi="Calibri Light" w:cs="Calibri Light"/>
                <w:b/>
                <w:bCs/>
                <w:color w:val="000000"/>
                <w:sz w:val="20"/>
                <w:szCs w:val="20"/>
                <w:lang w:eastAsia="cs-CZ"/>
              </w:rPr>
            </w:pPr>
            <w:r w:rsidRPr="006A42C9">
              <w:rPr>
                <w:rFonts w:ascii="Calibri Light" w:eastAsia="Times New Roman" w:hAnsi="Calibri Light" w:cs="Calibri Light"/>
                <w:b/>
                <w:bCs/>
                <w:color w:val="000000"/>
                <w:sz w:val="20"/>
                <w:szCs w:val="20"/>
                <w:lang w:eastAsia="cs-CZ"/>
              </w:rPr>
              <w:t>-</w:t>
            </w:r>
          </w:p>
        </w:tc>
        <w:tc>
          <w:tcPr>
            <w:tcW w:w="1390" w:type="dxa"/>
            <w:tcBorders>
              <w:top w:val="nil"/>
              <w:left w:val="nil"/>
              <w:bottom w:val="single" w:sz="4" w:space="0" w:color="auto"/>
              <w:right w:val="single" w:sz="4" w:space="0" w:color="auto"/>
            </w:tcBorders>
            <w:shd w:val="clear" w:color="auto" w:fill="F2F2F2" w:themeFill="background1" w:themeFillShade="F2"/>
            <w:noWrap/>
            <w:vAlign w:val="center"/>
            <w:hideMark/>
          </w:tcPr>
          <w:p w14:paraId="7B5855DC" w14:textId="77777777" w:rsidR="00C162B0" w:rsidRPr="006A42C9" w:rsidRDefault="00C162B0" w:rsidP="00C162B0">
            <w:pPr>
              <w:spacing w:after="0" w:line="240" w:lineRule="auto"/>
              <w:jc w:val="center"/>
              <w:rPr>
                <w:rFonts w:ascii="Calibri Light" w:eastAsia="Times New Roman" w:hAnsi="Calibri Light" w:cs="Calibri Light"/>
                <w:b/>
                <w:bCs/>
                <w:color w:val="000000"/>
                <w:sz w:val="20"/>
                <w:szCs w:val="20"/>
                <w:lang w:eastAsia="cs-CZ"/>
              </w:rPr>
            </w:pPr>
            <w:r w:rsidRPr="006A42C9">
              <w:rPr>
                <w:rFonts w:ascii="Calibri Light" w:eastAsia="Times New Roman" w:hAnsi="Calibri Light" w:cs="Calibri Light"/>
                <w:b/>
                <w:bCs/>
                <w:color w:val="000000"/>
                <w:sz w:val="20"/>
                <w:szCs w:val="20"/>
                <w:lang w:eastAsia="cs-CZ"/>
              </w:rPr>
              <w:t>-</w:t>
            </w:r>
          </w:p>
        </w:tc>
        <w:tc>
          <w:tcPr>
            <w:tcW w:w="1390" w:type="dxa"/>
            <w:tcBorders>
              <w:top w:val="nil"/>
              <w:left w:val="nil"/>
              <w:bottom w:val="single" w:sz="4" w:space="0" w:color="auto"/>
              <w:right w:val="single" w:sz="4" w:space="0" w:color="auto"/>
            </w:tcBorders>
            <w:shd w:val="clear" w:color="auto" w:fill="F2F2F2" w:themeFill="background1" w:themeFillShade="F2"/>
            <w:noWrap/>
            <w:vAlign w:val="center"/>
            <w:hideMark/>
          </w:tcPr>
          <w:p w14:paraId="06E2C01A" w14:textId="77777777" w:rsidR="00C162B0" w:rsidRPr="006A42C9" w:rsidRDefault="00C162B0" w:rsidP="00C162B0">
            <w:pPr>
              <w:spacing w:after="0" w:line="240" w:lineRule="auto"/>
              <w:jc w:val="center"/>
              <w:rPr>
                <w:rFonts w:ascii="Calibri Light" w:eastAsia="Times New Roman" w:hAnsi="Calibri Light" w:cs="Calibri Light"/>
                <w:b/>
                <w:bCs/>
                <w:color w:val="000000"/>
                <w:sz w:val="20"/>
                <w:szCs w:val="20"/>
                <w:lang w:eastAsia="cs-CZ"/>
              </w:rPr>
            </w:pPr>
            <w:r w:rsidRPr="006A42C9">
              <w:rPr>
                <w:rFonts w:ascii="Calibri Light" w:eastAsia="Times New Roman" w:hAnsi="Calibri Light" w:cs="Calibri Light"/>
                <w:b/>
                <w:bCs/>
                <w:color w:val="000000"/>
                <w:sz w:val="20"/>
                <w:szCs w:val="20"/>
                <w:lang w:eastAsia="cs-CZ"/>
              </w:rPr>
              <w:t>-</w:t>
            </w:r>
          </w:p>
        </w:tc>
        <w:tc>
          <w:tcPr>
            <w:tcW w:w="1390" w:type="dxa"/>
            <w:tcBorders>
              <w:top w:val="nil"/>
              <w:left w:val="nil"/>
              <w:bottom w:val="single" w:sz="4" w:space="0" w:color="auto"/>
              <w:right w:val="single" w:sz="4" w:space="0" w:color="auto"/>
            </w:tcBorders>
            <w:shd w:val="clear" w:color="auto" w:fill="F2F2F2" w:themeFill="background1" w:themeFillShade="F2"/>
            <w:noWrap/>
            <w:vAlign w:val="center"/>
            <w:hideMark/>
          </w:tcPr>
          <w:p w14:paraId="43F05D91" w14:textId="77777777" w:rsidR="00C162B0" w:rsidRPr="006A42C9" w:rsidRDefault="00C162B0" w:rsidP="00C162B0">
            <w:pPr>
              <w:spacing w:after="0" w:line="240" w:lineRule="auto"/>
              <w:jc w:val="center"/>
              <w:rPr>
                <w:rFonts w:ascii="Calibri Light" w:eastAsia="Times New Roman" w:hAnsi="Calibri Light" w:cs="Calibri Light"/>
                <w:b/>
                <w:bCs/>
                <w:color w:val="000000"/>
                <w:sz w:val="20"/>
                <w:szCs w:val="20"/>
                <w:lang w:eastAsia="cs-CZ"/>
              </w:rPr>
            </w:pPr>
            <w:r w:rsidRPr="006A42C9">
              <w:rPr>
                <w:rFonts w:ascii="Calibri Light" w:eastAsia="Times New Roman" w:hAnsi="Calibri Light" w:cs="Calibri Light"/>
                <w:b/>
                <w:bCs/>
                <w:color w:val="000000"/>
                <w:sz w:val="20"/>
                <w:szCs w:val="20"/>
                <w:lang w:eastAsia="cs-CZ"/>
              </w:rPr>
              <w:t>-</w:t>
            </w:r>
          </w:p>
        </w:tc>
      </w:tr>
    </w:tbl>
    <w:p w14:paraId="1D7AD83E" w14:textId="3132A492" w:rsidR="004321A6" w:rsidRPr="006070EA" w:rsidRDefault="004321A6" w:rsidP="004321A6">
      <w:pPr>
        <w:pStyle w:val="Anadpiskurzva"/>
        <w:rPr>
          <w:rFonts w:asciiTheme="majorHAnsi" w:eastAsia="Calibri" w:hAnsiTheme="majorHAnsi" w:cstheme="majorHAnsi"/>
        </w:rPr>
      </w:pPr>
      <w:r w:rsidRPr="006070EA">
        <w:rPr>
          <w:rFonts w:asciiTheme="majorHAnsi" w:eastAsia="Calibri" w:hAnsiTheme="majorHAnsi" w:cstheme="majorHAnsi"/>
        </w:rPr>
        <w:t xml:space="preserve">* </w:t>
      </w:r>
      <w:r w:rsidR="0085631A" w:rsidRPr="006070EA">
        <w:rPr>
          <w:rFonts w:asciiTheme="majorHAnsi" w:eastAsia="Calibri" w:hAnsiTheme="majorHAnsi" w:cstheme="majorHAnsi"/>
        </w:rPr>
        <w:t xml:space="preserve">koridor </w:t>
      </w:r>
      <w:r w:rsidR="00300530" w:rsidRPr="006070EA">
        <w:rPr>
          <w:rFonts w:asciiTheme="majorHAnsi" w:eastAsia="Calibri" w:hAnsiTheme="majorHAnsi" w:cstheme="majorHAnsi"/>
        </w:rPr>
        <w:t>CNU.</w:t>
      </w:r>
      <w:r w:rsidR="0085631A" w:rsidRPr="006070EA">
        <w:rPr>
          <w:rFonts w:asciiTheme="majorHAnsi" w:eastAsia="Calibri" w:hAnsiTheme="majorHAnsi" w:cstheme="majorHAnsi"/>
        </w:rPr>
        <w:t xml:space="preserve">KD1 zahrnuje 3 varianty trasování přeložky silnice III/3317, </w:t>
      </w:r>
      <w:r w:rsidR="00C162B0">
        <w:rPr>
          <w:rFonts w:asciiTheme="majorHAnsi" w:eastAsia="Calibri" w:hAnsiTheme="majorHAnsi" w:cstheme="majorHAnsi"/>
        </w:rPr>
        <w:t xml:space="preserve">související s </w:t>
      </w:r>
      <w:r w:rsidR="0085631A" w:rsidRPr="006070EA">
        <w:rPr>
          <w:rFonts w:asciiTheme="majorHAnsi" w:eastAsia="Calibri" w:hAnsiTheme="majorHAnsi" w:cstheme="majorHAnsi"/>
        </w:rPr>
        <w:t xml:space="preserve">modernizací železniční trati </w:t>
      </w:r>
      <w:r w:rsidR="00C162B0">
        <w:rPr>
          <w:rFonts w:asciiTheme="majorHAnsi" w:eastAsia="Calibri" w:hAnsiTheme="majorHAnsi" w:cstheme="majorHAnsi"/>
        </w:rPr>
        <w:t>v koridoru CNZ.D322</w:t>
      </w:r>
      <w:r w:rsidR="0085631A" w:rsidRPr="006070EA">
        <w:rPr>
          <w:rFonts w:asciiTheme="majorHAnsi" w:eastAsia="Calibri" w:hAnsiTheme="majorHAnsi" w:cstheme="majorHAnsi"/>
        </w:rPr>
        <w:t>; údaje v tabulce výše uvádí možný zábor ZPF v závislosti na výsledné variantě trasování přeložky silnice, přičemž výsledný zábor ZPF bude realizován pouze v jedné z těchto variant</w:t>
      </w:r>
    </w:p>
    <w:p w14:paraId="2CE37D9E" w14:textId="03E04DB4" w:rsidR="0085631A" w:rsidRPr="00EF7B4B" w:rsidRDefault="0085631A" w:rsidP="004321A6">
      <w:pPr>
        <w:pStyle w:val="Anadpiskurzva"/>
        <w:rPr>
          <w:rFonts w:asciiTheme="majorHAnsi" w:eastAsia="Calibri" w:hAnsiTheme="majorHAnsi" w:cstheme="majorHAnsi"/>
        </w:rPr>
      </w:pPr>
      <w:r w:rsidRPr="006070EA">
        <w:rPr>
          <w:rFonts w:asciiTheme="majorHAnsi" w:eastAsia="Calibri" w:hAnsiTheme="majorHAnsi" w:cstheme="majorHAnsi"/>
        </w:rPr>
        <w:t xml:space="preserve">** reálný celkový zábor ZPF v důsledku vymezení koridorů bude nižší, zejména s ohledem na výslednou zvolenou variantu přeložky silnice III/3317 v koridoru </w:t>
      </w:r>
      <w:r w:rsidR="00300530" w:rsidRPr="006070EA">
        <w:rPr>
          <w:rFonts w:asciiTheme="majorHAnsi" w:eastAsia="Calibri" w:hAnsiTheme="majorHAnsi" w:cstheme="majorHAnsi"/>
        </w:rPr>
        <w:t>CNU.</w:t>
      </w:r>
      <w:r w:rsidRPr="006070EA">
        <w:rPr>
          <w:rFonts w:asciiTheme="majorHAnsi" w:eastAsia="Calibri" w:hAnsiTheme="majorHAnsi" w:cstheme="majorHAnsi"/>
        </w:rPr>
        <w:t>KD1</w:t>
      </w:r>
    </w:p>
    <w:p w14:paraId="41C62ED5" w14:textId="77777777" w:rsidR="00AC3D3F" w:rsidRDefault="00AC3D3F" w:rsidP="00AC3D3F">
      <w:pPr>
        <w:spacing w:after="0" w:line="240" w:lineRule="auto"/>
        <w:rPr>
          <w:rFonts w:asciiTheme="majorHAnsi" w:hAnsiTheme="majorHAnsi" w:cstheme="majorHAnsi"/>
          <w:color w:val="FF0000"/>
        </w:rPr>
      </w:pPr>
    </w:p>
    <w:p w14:paraId="65802C84" w14:textId="77777777" w:rsidR="00AC3D3F" w:rsidRDefault="00AC3D3F" w:rsidP="00AC3D3F">
      <w:pPr>
        <w:spacing w:after="0" w:line="240" w:lineRule="auto"/>
        <w:rPr>
          <w:rFonts w:asciiTheme="majorHAnsi" w:hAnsiTheme="majorHAnsi" w:cstheme="majorHAnsi"/>
          <w:color w:val="FF0000"/>
        </w:rPr>
      </w:pPr>
    </w:p>
    <w:p w14:paraId="754C37EE" w14:textId="77777777" w:rsidR="00AC3D3F" w:rsidRDefault="00AC3D3F" w:rsidP="00AC3D3F">
      <w:pPr>
        <w:spacing w:after="0" w:line="240" w:lineRule="auto"/>
        <w:rPr>
          <w:rFonts w:asciiTheme="majorHAnsi" w:hAnsiTheme="majorHAnsi" w:cstheme="majorHAnsi"/>
          <w:color w:val="FF0000"/>
        </w:rPr>
      </w:pPr>
    </w:p>
    <w:p w14:paraId="1B430AE4" w14:textId="77777777" w:rsidR="00AC3D3F" w:rsidRDefault="00AC3D3F" w:rsidP="00AC3D3F">
      <w:pPr>
        <w:spacing w:after="0" w:line="240" w:lineRule="auto"/>
        <w:rPr>
          <w:rFonts w:asciiTheme="majorHAnsi" w:hAnsiTheme="majorHAnsi" w:cstheme="majorHAnsi"/>
          <w:color w:val="FF0000"/>
        </w:rPr>
      </w:pPr>
    </w:p>
    <w:p w14:paraId="4F008083" w14:textId="77777777" w:rsidR="00AC3D3F" w:rsidRDefault="00AC3D3F" w:rsidP="00AC3D3F">
      <w:pPr>
        <w:spacing w:after="0" w:line="240" w:lineRule="auto"/>
        <w:rPr>
          <w:rFonts w:asciiTheme="majorHAnsi" w:hAnsiTheme="majorHAnsi" w:cstheme="majorHAnsi"/>
          <w:color w:val="FF0000"/>
        </w:rPr>
      </w:pPr>
    </w:p>
    <w:p w14:paraId="242DF5B0" w14:textId="77777777" w:rsidR="00AC3D3F" w:rsidRDefault="00AC3D3F" w:rsidP="00AC3D3F">
      <w:pPr>
        <w:spacing w:after="0" w:line="240" w:lineRule="auto"/>
        <w:rPr>
          <w:rFonts w:asciiTheme="majorHAnsi" w:hAnsiTheme="majorHAnsi" w:cstheme="majorHAnsi"/>
          <w:color w:val="FF0000"/>
        </w:rPr>
        <w:sectPr w:rsidR="00AC3D3F" w:rsidSect="00EC0BC6">
          <w:headerReference w:type="default" r:id="rId68"/>
          <w:footerReference w:type="default" r:id="rId69"/>
          <w:pgSz w:w="16838" w:h="11906" w:orient="landscape"/>
          <w:pgMar w:top="1418" w:right="851" w:bottom="1418" w:left="851" w:header="709" w:footer="431" w:gutter="0"/>
          <w:cols w:space="708"/>
          <w:docGrid w:linePitch="360"/>
        </w:sectPr>
      </w:pPr>
    </w:p>
    <w:p w14:paraId="712841D7" w14:textId="65AE2C3A" w:rsidR="00AC3D3F" w:rsidRPr="00AC3D3F" w:rsidRDefault="00AC3D3F" w:rsidP="00AC3D3F">
      <w:pPr>
        <w:pBdr>
          <w:top w:val="single" w:sz="8" w:space="1" w:color="auto"/>
          <w:left w:val="single" w:sz="8" w:space="4" w:color="auto"/>
          <w:bottom w:val="single" w:sz="8" w:space="1" w:color="auto"/>
          <w:right w:val="single" w:sz="8" w:space="4" w:color="auto"/>
        </w:pBdr>
        <w:shd w:val="clear" w:color="auto" w:fill="F2F2F2" w:themeFill="background1" w:themeFillShade="F2"/>
        <w:spacing w:after="200" w:line="240" w:lineRule="auto"/>
        <w:jc w:val="both"/>
        <w:outlineLvl w:val="0"/>
        <w:rPr>
          <w:rFonts w:asciiTheme="majorHAnsi" w:hAnsiTheme="majorHAnsi" w:cstheme="majorHAnsi"/>
          <w:b/>
          <w:sz w:val="24"/>
          <w:szCs w:val="28"/>
        </w:rPr>
      </w:pPr>
      <w:bookmarkStart w:id="500" w:name="_Toc189583525"/>
      <w:bookmarkStart w:id="501" w:name="_Toc204678251"/>
      <w:r w:rsidRPr="00AC3D3F">
        <w:rPr>
          <w:rFonts w:asciiTheme="majorHAnsi" w:hAnsiTheme="majorHAnsi" w:cstheme="majorHAnsi"/>
          <w:b/>
          <w:sz w:val="24"/>
          <w:szCs w:val="28"/>
        </w:rPr>
        <w:lastRenderedPageBreak/>
        <w:t xml:space="preserve">PŘÍLOHA Č. </w:t>
      </w:r>
      <w:r>
        <w:rPr>
          <w:rFonts w:asciiTheme="majorHAnsi" w:hAnsiTheme="majorHAnsi" w:cstheme="majorHAnsi"/>
          <w:b/>
          <w:sz w:val="24"/>
          <w:szCs w:val="28"/>
        </w:rPr>
        <w:t>3</w:t>
      </w:r>
      <w:r w:rsidRPr="00AC3D3F">
        <w:rPr>
          <w:rFonts w:asciiTheme="majorHAnsi" w:hAnsiTheme="majorHAnsi" w:cstheme="majorHAnsi"/>
          <w:b/>
          <w:sz w:val="24"/>
          <w:szCs w:val="28"/>
        </w:rPr>
        <w:t>: POSOUZENÍ SOULADU ÚZEMNÍHO PLÁNU S JEDNOTNÝM STANDARDEM (PROTOKOL ETL)</w:t>
      </w:r>
      <w:bookmarkEnd w:id="500"/>
      <w:bookmarkEnd w:id="501"/>
    </w:p>
    <w:p w14:paraId="21DA85DA"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IMPORT ÚZEMNÍHO PLÁNU OBCE 537331 spuštěn v 2025-07-29 15:18:02 </w:t>
      </w:r>
    </w:p>
    <w:p w14:paraId="574DB823"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w:t>
      </w:r>
    </w:p>
    <w:p w14:paraId="5B9DFC8B" w14:textId="77777777" w:rsidR="00DE14BC" w:rsidRPr="00DE14BC" w:rsidRDefault="00DE14BC" w:rsidP="00DE14BC">
      <w:pPr>
        <w:spacing w:after="0" w:line="240" w:lineRule="auto"/>
        <w:rPr>
          <w:rFonts w:ascii="Calibri" w:hAnsi="Calibri" w:cs="Calibri"/>
        </w:rPr>
      </w:pPr>
    </w:p>
    <w:p w14:paraId="56EE3491"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Načtení reseneuzemi_p.shp </w:t>
      </w:r>
    </w:p>
    <w:p w14:paraId="0B6370E0" w14:textId="77777777" w:rsidR="00DE14BC" w:rsidRPr="00DE14BC" w:rsidRDefault="00DE14BC" w:rsidP="00DE14BC">
      <w:pPr>
        <w:spacing w:after="0" w:line="240" w:lineRule="auto"/>
        <w:rPr>
          <w:rFonts w:ascii="Calibri" w:hAnsi="Calibri" w:cs="Calibri"/>
        </w:rPr>
      </w:pPr>
    </w:p>
    <w:p w14:paraId="00EDFED2"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Tabulka ReseneUzemi úspěšně načtena </w:t>
      </w:r>
    </w:p>
    <w:p w14:paraId="45556FAB"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Počet prvků v tabulce ReseneUzemi : 1 </w:t>
      </w:r>
    </w:p>
    <w:p w14:paraId="79A9C17E"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Zkontrolováno: Tabulka ReseneUzemi neobsahuje nulové geometrie </w:t>
      </w:r>
    </w:p>
    <w:p w14:paraId="00710A4B" w14:textId="77777777" w:rsidR="00DE14BC" w:rsidRPr="00DE14BC" w:rsidRDefault="00DE14BC" w:rsidP="00DE14BC">
      <w:pPr>
        <w:spacing w:after="0" w:line="240" w:lineRule="auto"/>
        <w:rPr>
          <w:rFonts w:ascii="Calibri" w:hAnsi="Calibri" w:cs="Calibri"/>
        </w:rPr>
      </w:pPr>
    </w:p>
    <w:p w14:paraId="0BA49B1E" w14:textId="77777777" w:rsidR="00DE14BC" w:rsidRPr="00DE14BC" w:rsidRDefault="00DE14BC" w:rsidP="00DE14BC">
      <w:pPr>
        <w:spacing w:after="0" w:line="240" w:lineRule="auto"/>
        <w:rPr>
          <w:rFonts w:ascii="Calibri" w:hAnsi="Calibri" w:cs="Calibri"/>
        </w:rPr>
      </w:pPr>
    </w:p>
    <w:p w14:paraId="44DF8665"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Varování: Neexistuje soubor uzemiprvkyrp_p.shp </w:t>
      </w:r>
    </w:p>
    <w:p w14:paraId="4E33B462" w14:textId="77777777" w:rsidR="00DE14BC" w:rsidRPr="00DE14BC" w:rsidRDefault="00DE14BC" w:rsidP="00DE14BC">
      <w:pPr>
        <w:spacing w:after="0" w:line="240" w:lineRule="auto"/>
        <w:rPr>
          <w:rFonts w:ascii="Calibri" w:hAnsi="Calibri" w:cs="Calibri"/>
        </w:rPr>
      </w:pPr>
    </w:p>
    <w:p w14:paraId="309BF41C" w14:textId="77777777" w:rsidR="00DE14BC" w:rsidRPr="00DE14BC" w:rsidRDefault="00DE14BC" w:rsidP="00DE14BC">
      <w:pPr>
        <w:spacing w:after="0" w:line="240" w:lineRule="auto"/>
        <w:rPr>
          <w:rFonts w:ascii="Calibri" w:hAnsi="Calibri" w:cs="Calibri"/>
        </w:rPr>
      </w:pPr>
    </w:p>
    <w:p w14:paraId="69F0AE36"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Načtení plochyrzv_p.shp </w:t>
      </w:r>
    </w:p>
    <w:p w14:paraId="515837DD" w14:textId="77777777" w:rsidR="00DE14BC" w:rsidRPr="00DE14BC" w:rsidRDefault="00DE14BC" w:rsidP="00DE14BC">
      <w:pPr>
        <w:spacing w:after="0" w:line="240" w:lineRule="auto"/>
        <w:rPr>
          <w:rFonts w:ascii="Calibri" w:hAnsi="Calibri" w:cs="Calibri"/>
        </w:rPr>
      </w:pPr>
    </w:p>
    <w:p w14:paraId="406408DB"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Tabulka PlochyRZV úspěšně načtena </w:t>
      </w:r>
    </w:p>
    <w:p w14:paraId="58B47ECB"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Počet prvků v tabulce PlochyRZV : 434 </w:t>
      </w:r>
    </w:p>
    <w:p w14:paraId="1F71054B"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Zkontrolováno: Tabulka PlochyRZV neobsahuje nulové geometrie </w:t>
      </w:r>
    </w:p>
    <w:p w14:paraId="4DE4D607" w14:textId="77777777" w:rsidR="00DE14BC" w:rsidRPr="00DE14BC" w:rsidRDefault="00DE14BC" w:rsidP="00DE14BC">
      <w:pPr>
        <w:spacing w:after="0" w:line="240" w:lineRule="auto"/>
        <w:rPr>
          <w:rFonts w:ascii="Calibri" w:hAnsi="Calibri" w:cs="Calibri"/>
        </w:rPr>
      </w:pPr>
    </w:p>
    <w:p w14:paraId="5EF3A4D4" w14:textId="77777777" w:rsidR="00DE14BC" w:rsidRPr="00DE14BC" w:rsidRDefault="00DE14BC" w:rsidP="00DE14BC">
      <w:pPr>
        <w:spacing w:after="0" w:line="240" w:lineRule="auto"/>
        <w:rPr>
          <w:rFonts w:ascii="Calibri" w:hAnsi="Calibri" w:cs="Calibri"/>
        </w:rPr>
      </w:pPr>
    </w:p>
    <w:p w14:paraId="4407547F"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Načtení zastaveneuzemi_p.shp </w:t>
      </w:r>
    </w:p>
    <w:p w14:paraId="68417329" w14:textId="77777777" w:rsidR="00DE14BC" w:rsidRPr="00DE14BC" w:rsidRDefault="00DE14BC" w:rsidP="00DE14BC">
      <w:pPr>
        <w:spacing w:after="0" w:line="240" w:lineRule="auto"/>
        <w:rPr>
          <w:rFonts w:ascii="Calibri" w:hAnsi="Calibri" w:cs="Calibri"/>
        </w:rPr>
      </w:pPr>
    </w:p>
    <w:p w14:paraId="31EBE2BB"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Tabulka ZastaveneUzemi úspěšně načtena </w:t>
      </w:r>
    </w:p>
    <w:p w14:paraId="4165FCEB"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Počet prvků v tabulce ZastaveneUzemi : 26 </w:t>
      </w:r>
    </w:p>
    <w:p w14:paraId="00A4AD2D"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Zkontrolováno: Tabulka ZastaveneUzemi neobsahuje nulové geometrie </w:t>
      </w:r>
    </w:p>
    <w:p w14:paraId="489436BE" w14:textId="77777777" w:rsidR="00DE14BC" w:rsidRPr="00DE14BC" w:rsidRDefault="00DE14BC" w:rsidP="00DE14BC">
      <w:pPr>
        <w:spacing w:after="0" w:line="240" w:lineRule="auto"/>
        <w:rPr>
          <w:rFonts w:ascii="Calibri" w:hAnsi="Calibri" w:cs="Calibri"/>
        </w:rPr>
      </w:pPr>
    </w:p>
    <w:p w14:paraId="7904F4FB" w14:textId="77777777" w:rsidR="00DE14BC" w:rsidRPr="00DE14BC" w:rsidRDefault="00DE14BC" w:rsidP="00DE14BC">
      <w:pPr>
        <w:spacing w:after="0" w:line="240" w:lineRule="auto"/>
        <w:rPr>
          <w:rFonts w:ascii="Calibri" w:hAnsi="Calibri" w:cs="Calibri"/>
        </w:rPr>
      </w:pPr>
    </w:p>
    <w:p w14:paraId="4E37444F"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Načtení uzemnirezervy_p.shp </w:t>
      </w:r>
    </w:p>
    <w:p w14:paraId="39445FBE" w14:textId="77777777" w:rsidR="00DE14BC" w:rsidRPr="00DE14BC" w:rsidRDefault="00DE14BC" w:rsidP="00DE14BC">
      <w:pPr>
        <w:spacing w:after="0" w:line="240" w:lineRule="auto"/>
        <w:rPr>
          <w:rFonts w:ascii="Calibri" w:hAnsi="Calibri" w:cs="Calibri"/>
        </w:rPr>
      </w:pPr>
    </w:p>
    <w:p w14:paraId="0F19DC16"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Tabulka UzemniRezervy úspěšně načtena </w:t>
      </w:r>
    </w:p>
    <w:p w14:paraId="6E1CE638"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Počet prvků v tabulce UzemniRezervy : 1  </w:t>
      </w:r>
    </w:p>
    <w:p w14:paraId="65B8F551"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Zkontrolováno: Tabulka UzemniRezervy neobsahuje nulové geometrie </w:t>
      </w:r>
    </w:p>
    <w:p w14:paraId="03A811C0" w14:textId="77777777" w:rsidR="00DE14BC" w:rsidRPr="00DE14BC" w:rsidRDefault="00DE14BC" w:rsidP="00DE14BC">
      <w:pPr>
        <w:spacing w:after="0" w:line="240" w:lineRule="auto"/>
        <w:rPr>
          <w:rFonts w:ascii="Calibri" w:hAnsi="Calibri" w:cs="Calibri"/>
        </w:rPr>
      </w:pPr>
    </w:p>
    <w:p w14:paraId="61BDA6C0" w14:textId="77777777" w:rsidR="00DE14BC" w:rsidRPr="00DE14BC" w:rsidRDefault="00DE14BC" w:rsidP="00DE14BC">
      <w:pPr>
        <w:spacing w:after="0" w:line="240" w:lineRule="auto"/>
        <w:rPr>
          <w:rFonts w:ascii="Calibri" w:hAnsi="Calibri" w:cs="Calibri"/>
        </w:rPr>
      </w:pPr>
    </w:p>
    <w:p w14:paraId="43B2EFD6"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Načtení koridoryp_p.shp </w:t>
      </w:r>
    </w:p>
    <w:p w14:paraId="42A7C7A6" w14:textId="77777777" w:rsidR="00DE14BC" w:rsidRPr="00DE14BC" w:rsidRDefault="00DE14BC" w:rsidP="00DE14BC">
      <w:pPr>
        <w:spacing w:after="0" w:line="240" w:lineRule="auto"/>
        <w:rPr>
          <w:rFonts w:ascii="Calibri" w:hAnsi="Calibri" w:cs="Calibri"/>
        </w:rPr>
      </w:pPr>
    </w:p>
    <w:p w14:paraId="39A2FC27"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Tabulka KoridoryP úspěšně načtena </w:t>
      </w:r>
    </w:p>
    <w:p w14:paraId="3CB03DA2" w14:textId="77777777" w:rsidR="00DE14BC" w:rsidRPr="00DE14BC" w:rsidRDefault="00DE14BC" w:rsidP="00DE14BC">
      <w:pPr>
        <w:spacing w:after="0" w:line="240" w:lineRule="auto"/>
        <w:rPr>
          <w:rFonts w:ascii="Calibri" w:hAnsi="Calibri" w:cs="Calibri"/>
        </w:rPr>
      </w:pPr>
    </w:p>
    <w:p w14:paraId="5039450B"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Varování: Tabulka KoridoryP je prázdná </w:t>
      </w:r>
    </w:p>
    <w:p w14:paraId="401AA4FE"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Zkontrolováno: Tabulka KoridoryP neobsahuje nulové geometrie </w:t>
      </w:r>
    </w:p>
    <w:p w14:paraId="593870A0" w14:textId="77777777" w:rsidR="00DE14BC" w:rsidRPr="00DE14BC" w:rsidRDefault="00DE14BC" w:rsidP="00DE14BC">
      <w:pPr>
        <w:spacing w:after="0" w:line="240" w:lineRule="auto"/>
        <w:rPr>
          <w:rFonts w:ascii="Calibri" w:hAnsi="Calibri" w:cs="Calibri"/>
        </w:rPr>
      </w:pPr>
    </w:p>
    <w:p w14:paraId="6545877C" w14:textId="77777777" w:rsidR="00DE14BC" w:rsidRPr="00DE14BC" w:rsidRDefault="00DE14BC" w:rsidP="00DE14BC">
      <w:pPr>
        <w:spacing w:after="0" w:line="240" w:lineRule="auto"/>
        <w:rPr>
          <w:rFonts w:ascii="Calibri" w:hAnsi="Calibri" w:cs="Calibri"/>
        </w:rPr>
      </w:pPr>
    </w:p>
    <w:p w14:paraId="376B8653"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Načtení koridoryn_p.shp </w:t>
      </w:r>
    </w:p>
    <w:p w14:paraId="330CF5AB" w14:textId="77777777" w:rsidR="00DE14BC" w:rsidRPr="00DE14BC" w:rsidRDefault="00DE14BC" w:rsidP="00DE14BC">
      <w:pPr>
        <w:spacing w:after="0" w:line="240" w:lineRule="auto"/>
        <w:rPr>
          <w:rFonts w:ascii="Calibri" w:hAnsi="Calibri" w:cs="Calibri"/>
        </w:rPr>
      </w:pPr>
    </w:p>
    <w:p w14:paraId="133980F5"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Tabulka KoridoryN úspěšně načtena </w:t>
      </w:r>
    </w:p>
    <w:p w14:paraId="2014F6B2"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Počet prvků v tabulce KoridoryN : 7  </w:t>
      </w:r>
    </w:p>
    <w:p w14:paraId="5F48CD46"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Zkontrolováno: Tabulka KoridoryN neobsahuje nulové geometrie </w:t>
      </w:r>
    </w:p>
    <w:p w14:paraId="06F7E2A1" w14:textId="77777777" w:rsidR="00DE14BC" w:rsidRPr="00DE14BC" w:rsidRDefault="00DE14BC" w:rsidP="00DE14BC">
      <w:pPr>
        <w:spacing w:after="0" w:line="240" w:lineRule="auto"/>
        <w:rPr>
          <w:rFonts w:ascii="Calibri" w:hAnsi="Calibri" w:cs="Calibri"/>
        </w:rPr>
      </w:pPr>
    </w:p>
    <w:p w14:paraId="6EBDF90D" w14:textId="77777777" w:rsidR="00DE14BC" w:rsidRPr="00DE14BC" w:rsidRDefault="00DE14BC" w:rsidP="00DE14BC">
      <w:pPr>
        <w:spacing w:after="0" w:line="240" w:lineRule="auto"/>
        <w:rPr>
          <w:rFonts w:ascii="Calibri" w:hAnsi="Calibri" w:cs="Calibri"/>
        </w:rPr>
      </w:pPr>
    </w:p>
    <w:p w14:paraId="09085B44"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Načtení plochyzmen_p.shp </w:t>
      </w:r>
    </w:p>
    <w:p w14:paraId="20A1F6C7" w14:textId="77777777" w:rsidR="00DE14BC" w:rsidRPr="00DE14BC" w:rsidRDefault="00DE14BC" w:rsidP="00DE14BC">
      <w:pPr>
        <w:spacing w:after="0" w:line="240" w:lineRule="auto"/>
        <w:rPr>
          <w:rFonts w:ascii="Calibri" w:hAnsi="Calibri" w:cs="Calibri"/>
        </w:rPr>
      </w:pPr>
    </w:p>
    <w:p w14:paraId="0084F72E"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Tabulka PlochyZmen úspěšně načtena </w:t>
      </w:r>
    </w:p>
    <w:p w14:paraId="080B4CBF"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Počet prvků v tabulce PlochyZmen : 26 </w:t>
      </w:r>
    </w:p>
    <w:p w14:paraId="348BF53C"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Zkontrolováno: Tabulka PlochyZmen neobsahuje nulové geometrie </w:t>
      </w:r>
    </w:p>
    <w:p w14:paraId="784BC676" w14:textId="77777777" w:rsidR="00DE14BC" w:rsidRPr="00DE14BC" w:rsidRDefault="00DE14BC" w:rsidP="00DE14BC">
      <w:pPr>
        <w:spacing w:after="0" w:line="240" w:lineRule="auto"/>
        <w:rPr>
          <w:rFonts w:ascii="Calibri" w:hAnsi="Calibri" w:cs="Calibri"/>
        </w:rPr>
      </w:pPr>
    </w:p>
    <w:p w14:paraId="0E09A640" w14:textId="77777777" w:rsidR="00DE14BC" w:rsidRPr="00DE14BC" w:rsidRDefault="00DE14BC" w:rsidP="00DE14BC">
      <w:pPr>
        <w:spacing w:after="0" w:line="240" w:lineRule="auto"/>
        <w:rPr>
          <w:rFonts w:ascii="Calibri" w:hAnsi="Calibri" w:cs="Calibri"/>
        </w:rPr>
      </w:pPr>
    </w:p>
    <w:p w14:paraId="233BAD68"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Načtení plochypodm_p.shp </w:t>
      </w:r>
    </w:p>
    <w:p w14:paraId="4378458C" w14:textId="77777777" w:rsidR="00DE14BC" w:rsidRPr="00DE14BC" w:rsidRDefault="00DE14BC" w:rsidP="00DE14BC">
      <w:pPr>
        <w:spacing w:after="0" w:line="240" w:lineRule="auto"/>
        <w:rPr>
          <w:rFonts w:ascii="Calibri" w:hAnsi="Calibri" w:cs="Calibri"/>
        </w:rPr>
      </w:pPr>
    </w:p>
    <w:p w14:paraId="7810F2BC"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Tabulka PlochyPodm úspěšně načtena </w:t>
      </w:r>
    </w:p>
    <w:p w14:paraId="3D3CFF32"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Počet prvků v tabulce PlochyPodm : 4  </w:t>
      </w:r>
    </w:p>
    <w:p w14:paraId="68170664"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Zkontrolováno: Tabulka PlochyPodm neobsahuje nulové geometrie </w:t>
      </w:r>
    </w:p>
    <w:p w14:paraId="565D1360" w14:textId="77777777" w:rsidR="00DE14BC" w:rsidRPr="00DE14BC" w:rsidRDefault="00DE14BC" w:rsidP="00DE14BC">
      <w:pPr>
        <w:spacing w:after="0" w:line="240" w:lineRule="auto"/>
        <w:rPr>
          <w:rFonts w:ascii="Calibri" w:hAnsi="Calibri" w:cs="Calibri"/>
        </w:rPr>
      </w:pPr>
    </w:p>
    <w:p w14:paraId="4BBD3D0A" w14:textId="77777777" w:rsidR="00DE14BC" w:rsidRPr="00DE14BC" w:rsidRDefault="00DE14BC" w:rsidP="00DE14BC">
      <w:pPr>
        <w:spacing w:after="0" w:line="240" w:lineRule="auto"/>
        <w:rPr>
          <w:rFonts w:ascii="Calibri" w:hAnsi="Calibri" w:cs="Calibri"/>
        </w:rPr>
      </w:pPr>
    </w:p>
    <w:p w14:paraId="35DB8971"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Načtení vpsvpoas_p.shp </w:t>
      </w:r>
    </w:p>
    <w:p w14:paraId="4234819A" w14:textId="77777777" w:rsidR="00DE14BC" w:rsidRPr="00DE14BC" w:rsidRDefault="00DE14BC" w:rsidP="00DE14BC">
      <w:pPr>
        <w:spacing w:after="0" w:line="240" w:lineRule="auto"/>
        <w:rPr>
          <w:rFonts w:ascii="Calibri" w:hAnsi="Calibri" w:cs="Calibri"/>
        </w:rPr>
      </w:pPr>
    </w:p>
    <w:p w14:paraId="735CCAB5"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Tabulka VpsVpoAs úspěšně načtena </w:t>
      </w:r>
    </w:p>
    <w:p w14:paraId="49D972D2"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Počet prvků v tabulce VpsVpoAs : 16  </w:t>
      </w:r>
    </w:p>
    <w:p w14:paraId="3616BFE0"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Zkontrolováno: Tabulka VpsVpoAs neobsahuje nulové geometrie </w:t>
      </w:r>
    </w:p>
    <w:p w14:paraId="21CBC932" w14:textId="77777777" w:rsidR="00DE14BC" w:rsidRPr="00DE14BC" w:rsidRDefault="00DE14BC" w:rsidP="00DE14BC">
      <w:pPr>
        <w:spacing w:after="0" w:line="240" w:lineRule="auto"/>
        <w:rPr>
          <w:rFonts w:ascii="Calibri" w:hAnsi="Calibri" w:cs="Calibri"/>
        </w:rPr>
      </w:pPr>
    </w:p>
    <w:p w14:paraId="21F24E52" w14:textId="77777777" w:rsidR="00DE14BC" w:rsidRPr="00DE14BC" w:rsidRDefault="00DE14BC" w:rsidP="00DE14BC">
      <w:pPr>
        <w:spacing w:after="0" w:line="240" w:lineRule="auto"/>
        <w:rPr>
          <w:rFonts w:ascii="Calibri" w:hAnsi="Calibri" w:cs="Calibri"/>
        </w:rPr>
      </w:pPr>
    </w:p>
    <w:p w14:paraId="67B35A62"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Načtení vpsvpoas_l.shp </w:t>
      </w:r>
    </w:p>
    <w:p w14:paraId="669F3D16" w14:textId="77777777" w:rsidR="00DE14BC" w:rsidRPr="00DE14BC" w:rsidRDefault="00DE14BC" w:rsidP="00DE14BC">
      <w:pPr>
        <w:spacing w:after="0" w:line="240" w:lineRule="auto"/>
        <w:rPr>
          <w:rFonts w:ascii="Calibri" w:hAnsi="Calibri" w:cs="Calibri"/>
        </w:rPr>
      </w:pPr>
    </w:p>
    <w:p w14:paraId="05F76CE2"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Tabulka VpsVpoAs úspěšně načtena </w:t>
      </w:r>
    </w:p>
    <w:p w14:paraId="0018BF32"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Varování: Tabulka VpsVpoAs (linie) je prázdná </w:t>
      </w:r>
    </w:p>
    <w:p w14:paraId="506B9144"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Zkontrolováno: Tabulka VpsVpoAs (linie) neobsahuje nulové geometrie </w:t>
      </w:r>
    </w:p>
    <w:p w14:paraId="49B0CF12" w14:textId="77777777" w:rsidR="00DE14BC" w:rsidRPr="00DE14BC" w:rsidRDefault="00DE14BC" w:rsidP="00DE14BC">
      <w:pPr>
        <w:spacing w:after="0" w:line="240" w:lineRule="auto"/>
        <w:rPr>
          <w:rFonts w:ascii="Calibri" w:hAnsi="Calibri" w:cs="Calibri"/>
        </w:rPr>
      </w:pPr>
    </w:p>
    <w:p w14:paraId="1F04C633" w14:textId="77777777" w:rsidR="00DE14BC" w:rsidRPr="00DE14BC" w:rsidRDefault="00DE14BC" w:rsidP="00DE14BC">
      <w:pPr>
        <w:spacing w:after="0" w:line="240" w:lineRule="auto"/>
        <w:rPr>
          <w:rFonts w:ascii="Calibri" w:hAnsi="Calibri" w:cs="Calibri"/>
        </w:rPr>
      </w:pPr>
    </w:p>
    <w:p w14:paraId="15345225"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Načtení uses_p.shp </w:t>
      </w:r>
    </w:p>
    <w:p w14:paraId="13401116" w14:textId="77777777" w:rsidR="00DE14BC" w:rsidRPr="00DE14BC" w:rsidRDefault="00DE14BC" w:rsidP="00DE14BC">
      <w:pPr>
        <w:spacing w:after="0" w:line="240" w:lineRule="auto"/>
        <w:rPr>
          <w:rFonts w:ascii="Calibri" w:hAnsi="Calibri" w:cs="Calibri"/>
        </w:rPr>
      </w:pPr>
    </w:p>
    <w:p w14:paraId="1BDC42F3"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Tabulka USES úspěšně načtena </w:t>
      </w:r>
    </w:p>
    <w:p w14:paraId="6C012277"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Počet prvků v tabulce USES : 13  </w:t>
      </w:r>
    </w:p>
    <w:p w14:paraId="0294264C"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Zkontrolováno: Tabulka USES neobsahuje nulové geometrie </w:t>
      </w:r>
    </w:p>
    <w:p w14:paraId="088DD6DA" w14:textId="77777777" w:rsidR="00DE14BC" w:rsidRPr="00DE14BC" w:rsidRDefault="00DE14BC" w:rsidP="00DE14BC">
      <w:pPr>
        <w:spacing w:after="0" w:line="240" w:lineRule="auto"/>
        <w:rPr>
          <w:rFonts w:ascii="Calibri" w:hAnsi="Calibri" w:cs="Calibri"/>
        </w:rPr>
      </w:pPr>
    </w:p>
    <w:p w14:paraId="4478273D" w14:textId="77777777" w:rsidR="00DE14BC" w:rsidRPr="00DE14BC" w:rsidRDefault="00DE14BC" w:rsidP="00DE14BC">
      <w:pPr>
        <w:spacing w:after="0" w:line="240" w:lineRule="auto"/>
        <w:rPr>
          <w:rFonts w:ascii="Calibri" w:hAnsi="Calibri" w:cs="Calibri"/>
        </w:rPr>
      </w:pPr>
    </w:p>
    <w:p w14:paraId="508628EA"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Načtení systemsidelnizelene_p.shp </w:t>
      </w:r>
    </w:p>
    <w:p w14:paraId="45DC7ACA" w14:textId="77777777" w:rsidR="00DE14BC" w:rsidRPr="00DE14BC" w:rsidRDefault="00DE14BC" w:rsidP="00DE14BC">
      <w:pPr>
        <w:spacing w:after="0" w:line="240" w:lineRule="auto"/>
        <w:rPr>
          <w:rFonts w:ascii="Calibri" w:hAnsi="Calibri" w:cs="Calibri"/>
        </w:rPr>
      </w:pPr>
    </w:p>
    <w:p w14:paraId="365F72CC"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Tabulka SystemSidelniZelene úspěšně načtena </w:t>
      </w:r>
    </w:p>
    <w:p w14:paraId="06C3C6AB" w14:textId="77777777" w:rsidR="00DE14BC" w:rsidRPr="00DE14BC" w:rsidRDefault="00DE14BC" w:rsidP="00DE14BC">
      <w:pPr>
        <w:spacing w:after="0" w:line="240" w:lineRule="auto"/>
        <w:rPr>
          <w:rFonts w:ascii="Calibri" w:hAnsi="Calibri" w:cs="Calibri"/>
        </w:rPr>
      </w:pPr>
    </w:p>
    <w:p w14:paraId="1FA93755"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Varování: Tabulka SystemSidelniZelene je prázdná </w:t>
      </w:r>
    </w:p>
    <w:p w14:paraId="39BC8DF9"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Zkontrolováno: Tabulka SystemSidelniZelene neobsahuje nulové geometrie </w:t>
      </w:r>
    </w:p>
    <w:p w14:paraId="119F57FC" w14:textId="77777777" w:rsidR="00DE14BC" w:rsidRPr="00DE14BC" w:rsidRDefault="00DE14BC" w:rsidP="00DE14BC">
      <w:pPr>
        <w:spacing w:after="0" w:line="240" w:lineRule="auto"/>
        <w:rPr>
          <w:rFonts w:ascii="Calibri" w:hAnsi="Calibri" w:cs="Calibri"/>
        </w:rPr>
      </w:pPr>
    </w:p>
    <w:p w14:paraId="28FF1FD0" w14:textId="77777777" w:rsidR="00DE14BC" w:rsidRPr="00DE14BC" w:rsidRDefault="00DE14BC" w:rsidP="00DE14BC">
      <w:pPr>
        <w:spacing w:after="0" w:line="240" w:lineRule="auto"/>
        <w:rPr>
          <w:rFonts w:ascii="Calibri" w:hAnsi="Calibri" w:cs="Calibri"/>
        </w:rPr>
      </w:pPr>
    </w:p>
    <w:p w14:paraId="5E742A0E"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Načtení systemverprostr_p.shp </w:t>
      </w:r>
    </w:p>
    <w:p w14:paraId="297E3D78" w14:textId="77777777" w:rsidR="00DE14BC" w:rsidRPr="00DE14BC" w:rsidRDefault="00DE14BC" w:rsidP="00DE14BC">
      <w:pPr>
        <w:spacing w:after="0" w:line="240" w:lineRule="auto"/>
        <w:rPr>
          <w:rFonts w:ascii="Calibri" w:hAnsi="Calibri" w:cs="Calibri"/>
        </w:rPr>
      </w:pPr>
    </w:p>
    <w:p w14:paraId="6B08EB06"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Tabulka SystemVerProstr úspěšně načtena </w:t>
      </w:r>
    </w:p>
    <w:p w14:paraId="502D3B7E" w14:textId="77777777" w:rsidR="00DE14BC" w:rsidRPr="00DE14BC" w:rsidRDefault="00DE14BC" w:rsidP="00DE14BC">
      <w:pPr>
        <w:spacing w:after="0" w:line="240" w:lineRule="auto"/>
        <w:rPr>
          <w:rFonts w:ascii="Calibri" w:hAnsi="Calibri" w:cs="Calibri"/>
        </w:rPr>
      </w:pPr>
    </w:p>
    <w:p w14:paraId="7250236B"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Varování: Tabulka SystemVerProstr je prázdná </w:t>
      </w:r>
    </w:p>
    <w:p w14:paraId="076BA720"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Zkontrolováno: Tabulka SystemVerProstr neobsahuje nulové geometrie </w:t>
      </w:r>
    </w:p>
    <w:p w14:paraId="47F735CA" w14:textId="77777777" w:rsidR="00DE14BC" w:rsidRPr="00DE14BC" w:rsidRDefault="00DE14BC" w:rsidP="00DE14BC">
      <w:pPr>
        <w:spacing w:after="0" w:line="240" w:lineRule="auto"/>
        <w:rPr>
          <w:rFonts w:ascii="Calibri" w:hAnsi="Calibri" w:cs="Calibri"/>
        </w:rPr>
      </w:pPr>
    </w:p>
    <w:p w14:paraId="71D764F1"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   KONTROLY   ---------------------------- </w:t>
      </w:r>
    </w:p>
    <w:p w14:paraId="6F48543B" w14:textId="77777777" w:rsidR="00DE14BC" w:rsidRPr="00DE14BC" w:rsidRDefault="00DE14BC" w:rsidP="00DE14BC">
      <w:pPr>
        <w:spacing w:after="0" w:line="240" w:lineRule="auto"/>
        <w:rPr>
          <w:rFonts w:ascii="Calibri" w:hAnsi="Calibri" w:cs="Calibri"/>
        </w:rPr>
      </w:pPr>
      <w:r w:rsidRPr="00DE14BC">
        <w:rPr>
          <w:rFonts w:ascii="Calibri" w:hAnsi="Calibri" w:cs="Calibri"/>
        </w:rPr>
        <w:lastRenderedPageBreak/>
        <w:t xml:space="preserve"> </w:t>
      </w:r>
    </w:p>
    <w:p w14:paraId="44D43DD1" w14:textId="77777777" w:rsidR="00DE14BC" w:rsidRPr="00DE14BC" w:rsidRDefault="00DE14BC" w:rsidP="00DE14BC">
      <w:pPr>
        <w:spacing w:after="0" w:line="240" w:lineRule="auto"/>
        <w:rPr>
          <w:rFonts w:ascii="Calibri" w:hAnsi="Calibri" w:cs="Calibri"/>
        </w:rPr>
      </w:pPr>
    </w:p>
    <w:p w14:paraId="1D544170"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   KONTROLA - ReseneUzemi  (plochy)  ---------- </w:t>
      </w:r>
    </w:p>
    <w:p w14:paraId="445F163E"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w:t>
      </w:r>
    </w:p>
    <w:p w14:paraId="0EE516FA" w14:textId="77777777" w:rsidR="00DE14BC" w:rsidRPr="00DE14BC" w:rsidRDefault="00DE14BC" w:rsidP="00DE14BC">
      <w:pPr>
        <w:spacing w:after="0" w:line="240" w:lineRule="auto"/>
        <w:rPr>
          <w:rFonts w:ascii="Calibri" w:hAnsi="Calibri" w:cs="Calibri"/>
        </w:rPr>
      </w:pPr>
    </w:p>
    <w:p w14:paraId="05AF2F1E"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ReseneUzemi neexistují nevalidní geometrie </w:t>
      </w:r>
    </w:p>
    <w:p w14:paraId="2CAF5184" w14:textId="77777777" w:rsidR="00DE14BC" w:rsidRPr="00DE14BC" w:rsidRDefault="00DE14BC" w:rsidP="00DE14BC">
      <w:pPr>
        <w:spacing w:after="0" w:line="240" w:lineRule="auto"/>
        <w:rPr>
          <w:rFonts w:ascii="Calibri" w:hAnsi="Calibri" w:cs="Calibri"/>
        </w:rPr>
      </w:pPr>
    </w:p>
    <w:p w14:paraId="5CD6F098"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ReseneUzemi neexistují protínající se geometrie </w:t>
      </w:r>
    </w:p>
    <w:p w14:paraId="3CD8E789" w14:textId="77777777" w:rsidR="00DE14BC" w:rsidRPr="00DE14BC" w:rsidRDefault="00DE14BC" w:rsidP="00DE14BC">
      <w:pPr>
        <w:spacing w:after="0" w:line="240" w:lineRule="auto"/>
        <w:rPr>
          <w:rFonts w:ascii="Calibri" w:hAnsi="Calibri" w:cs="Calibri"/>
        </w:rPr>
      </w:pPr>
    </w:p>
    <w:p w14:paraId="68375752"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ReseneUzemi v atributu Obec_Kod jsou pouze povolené hodnoty </w:t>
      </w:r>
    </w:p>
    <w:p w14:paraId="2E1DDBDA" w14:textId="77777777" w:rsidR="00DE14BC" w:rsidRPr="00DE14BC" w:rsidRDefault="00DE14BC" w:rsidP="00DE14BC">
      <w:pPr>
        <w:spacing w:after="0" w:line="240" w:lineRule="auto"/>
        <w:rPr>
          <w:rFonts w:ascii="Calibri" w:hAnsi="Calibri" w:cs="Calibri"/>
        </w:rPr>
      </w:pPr>
    </w:p>
    <w:p w14:paraId="4A8805B9"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ReseneUzemi neexistují geometrie v nesouladu s hranicí obce v RÚIAN. </w:t>
      </w:r>
    </w:p>
    <w:p w14:paraId="5F5067A4" w14:textId="77777777" w:rsidR="00DE14BC" w:rsidRPr="00DE14BC" w:rsidRDefault="00DE14BC" w:rsidP="00DE14BC">
      <w:pPr>
        <w:spacing w:after="0" w:line="240" w:lineRule="auto"/>
        <w:rPr>
          <w:rFonts w:ascii="Calibri" w:hAnsi="Calibri" w:cs="Calibri"/>
        </w:rPr>
      </w:pPr>
    </w:p>
    <w:p w14:paraId="2AA4EBD3"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ReseneUzemi má geometrie správnou velikost </w:t>
      </w:r>
    </w:p>
    <w:p w14:paraId="13F7D10D" w14:textId="77777777" w:rsidR="00DE14BC" w:rsidRPr="00DE14BC" w:rsidRDefault="00DE14BC" w:rsidP="00DE14BC">
      <w:pPr>
        <w:spacing w:after="0" w:line="240" w:lineRule="auto"/>
        <w:rPr>
          <w:rFonts w:ascii="Calibri" w:hAnsi="Calibri" w:cs="Calibri"/>
        </w:rPr>
      </w:pPr>
    </w:p>
    <w:p w14:paraId="251B9992" w14:textId="77777777" w:rsidR="00DE14BC" w:rsidRPr="00DE14BC" w:rsidRDefault="00DE14BC" w:rsidP="00DE14BC">
      <w:pPr>
        <w:spacing w:after="0" w:line="240" w:lineRule="auto"/>
        <w:rPr>
          <w:rFonts w:ascii="Calibri" w:hAnsi="Calibri" w:cs="Calibri"/>
        </w:rPr>
      </w:pPr>
      <w:r w:rsidRPr="00DE14BC">
        <w:rPr>
          <w:rFonts w:ascii="Calibri" w:hAnsi="Calibri" w:cs="Calibri"/>
        </w:rPr>
        <w:t>Status: OK</w:t>
      </w:r>
    </w:p>
    <w:p w14:paraId="2EDF3235" w14:textId="77777777" w:rsidR="00DE14BC" w:rsidRPr="00DE14BC" w:rsidRDefault="00DE14BC" w:rsidP="00DE14BC">
      <w:pPr>
        <w:spacing w:after="0" w:line="240" w:lineRule="auto"/>
        <w:rPr>
          <w:rFonts w:ascii="Calibri" w:hAnsi="Calibri" w:cs="Calibri"/>
        </w:rPr>
      </w:pPr>
    </w:p>
    <w:p w14:paraId="4395EFA0"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   KONTROLA - PlochyRZV  (plochy)  ---------- </w:t>
      </w:r>
    </w:p>
    <w:p w14:paraId="6A1694D4"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w:t>
      </w:r>
    </w:p>
    <w:p w14:paraId="7F5882B2" w14:textId="77777777" w:rsidR="00DE14BC" w:rsidRPr="00DE14BC" w:rsidRDefault="00DE14BC" w:rsidP="00DE14BC">
      <w:pPr>
        <w:spacing w:after="0" w:line="240" w:lineRule="auto"/>
        <w:rPr>
          <w:rFonts w:ascii="Calibri" w:hAnsi="Calibri" w:cs="Calibri"/>
        </w:rPr>
      </w:pPr>
    </w:p>
    <w:p w14:paraId="019AE645"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PlochyRZV neexistují nevalidní geometrie </w:t>
      </w:r>
    </w:p>
    <w:p w14:paraId="2E80A56E" w14:textId="77777777" w:rsidR="00DE14BC" w:rsidRPr="00DE14BC" w:rsidRDefault="00DE14BC" w:rsidP="00DE14BC">
      <w:pPr>
        <w:spacing w:after="0" w:line="240" w:lineRule="auto"/>
        <w:rPr>
          <w:rFonts w:ascii="Calibri" w:hAnsi="Calibri" w:cs="Calibri"/>
        </w:rPr>
      </w:pPr>
    </w:p>
    <w:p w14:paraId="185747EE"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PlochyRZV neexistují protínající se geometrie </w:t>
      </w:r>
    </w:p>
    <w:p w14:paraId="676F21B4" w14:textId="77777777" w:rsidR="00DE14BC" w:rsidRPr="00DE14BC" w:rsidRDefault="00DE14BC" w:rsidP="00DE14BC">
      <w:pPr>
        <w:spacing w:after="0" w:line="240" w:lineRule="auto"/>
        <w:rPr>
          <w:rFonts w:ascii="Calibri" w:hAnsi="Calibri" w:cs="Calibri"/>
        </w:rPr>
      </w:pPr>
    </w:p>
    <w:p w14:paraId="2D6CED57"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PlochyRZV neexistují geometrie přesahující mimo řešené území </w:t>
      </w:r>
    </w:p>
    <w:p w14:paraId="46D9F6D3" w14:textId="77777777" w:rsidR="00DE14BC" w:rsidRPr="00DE14BC" w:rsidRDefault="00DE14BC" w:rsidP="00DE14BC">
      <w:pPr>
        <w:spacing w:after="0" w:line="240" w:lineRule="auto"/>
        <w:rPr>
          <w:rFonts w:ascii="Calibri" w:hAnsi="Calibri" w:cs="Calibri"/>
        </w:rPr>
      </w:pPr>
    </w:p>
    <w:p w14:paraId="32DEDCC9"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PlochyRZV v atributu CasH jsou pouze povolené hodnoty </w:t>
      </w:r>
    </w:p>
    <w:p w14:paraId="2AC8E695" w14:textId="77777777" w:rsidR="00DE14BC" w:rsidRPr="00DE14BC" w:rsidRDefault="00DE14BC" w:rsidP="00DE14BC">
      <w:pPr>
        <w:spacing w:after="0" w:line="240" w:lineRule="auto"/>
        <w:rPr>
          <w:rFonts w:ascii="Calibri" w:hAnsi="Calibri" w:cs="Calibri"/>
        </w:rPr>
      </w:pPr>
    </w:p>
    <w:p w14:paraId="7842BA9E"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PlochyRZV v atributu Typ jsou pouze povolené hodnoty </w:t>
      </w:r>
    </w:p>
    <w:p w14:paraId="32FE2D18" w14:textId="77777777" w:rsidR="00DE14BC" w:rsidRPr="00DE14BC" w:rsidRDefault="00DE14BC" w:rsidP="00DE14BC">
      <w:pPr>
        <w:spacing w:after="0" w:line="240" w:lineRule="auto"/>
        <w:rPr>
          <w:rFonts w:ascii="Calibri" w:hAnsi="Calibri" w:cs="Calibri"/>
        </w:rPr>
      </w:pPr>
    </w:p>
    <w:p w14:paraId="5C14C88F"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PlochyRZV v atributu  Index jsou pouze povolené hodnoty </w:t>
      </w:r>
    </w:p>
    <w:p w14:paraId="245F03CC" w14:textId="77777777" w:rsidR="00DE14BC" w:rsidRPr="00DE14BC" w:rsidRDefault="00DE14BC" w:rsidP="00DE14BC">
      <w:pPr>
        <w:spacing w:after="0" w:line="240" w:lineRule="auto"/>
        <w:rPr>
          <w:rFonts w:ascii="Calibri" w:hAnsi="Calibri" w:cs="Calibri"/>
        </w:rPr>
      </w:pPr>
    </w:p>
    <w:p w14:paraId="6C216786" w14:textId="77777777" w:rsidR="00DE14BC" w:rsidRPr="00DE14BC" w:rsidRDefault="00DE14BC" w:rsidP="00DE14BC">
      <w:pPr>
        <w:spacing w:after="0" w:line="240" w:lineRule="auto"/>
        <w:rPr>
          <w:rFonts w:ascii="Calibri" w:hAnsi="Calibri" w:cs="Calibri"/>
        </w:rPr>
      </w:pPr>
      <w:r w:rsidRPr="00DE14BC">
        <w:rPr>
          <w:rFonts w:ascii="Calibri" w:hAnsi="Calibri" w:cs="Calibri"/>
        </w:rPr>
        <w:t>Status: OK</w:t>
      </w:r>
    </w:p>
    <w:p w14:paraId="588D6548" w14:textId="77777777" w:rsidR="00DE14BC" w:rsidRPr="00DE14BC" w:rsidRDefault="00DE14BC" w:rsidP="00DE14BC">
      <w:pPr>
        <w:spacing w:after="0" w:line="240" w:lineRule="auto"/>
        <w:rPr>
          <w:rFonts w:ascii="Calibri" w:hAnsi="Calibri" w:cs="Calibri"/>
        </w:rPr>
      </w:pPr>
    </w:p>
    <w:p w14:paraId="437360AF"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   KONTROLA - ZastaveneUzemi  (plochy)  ---------- </w:t>
      </w:r>
    </w:p>
    <w:p w14:paraId="3C50F822"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w:t>
      </w:r>
    </w:p>
    <w:p w14:paraId="094C1309" w14:textId="77777777" w:rsidR="00DE14BC" w:rsidRPr="00DE14BC" w:rsidRDefault="00DE14BC" w:rsidP="00DE14BC">
      <w:pPr>
        <w:spacing w:after="0" w:line="240" w:lineRule="auto"/>
        <w:rPr>
          <w:rFonts w:ascii="Calibri" w:hAnsi="Calibri" w:cs="Calibri"/>
        </w:rPr>
      </w:pPr>
    </w:p>
    <w:p w14:paraId="4682FC36"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ZastaveneUzemi neexistují nevalidní geometrie </w:t>
      </w:r>
    </w:p>
    <w:p w14:paraId="2A128972" w14:textId="77777777" w:rsidR="00DE14BC" w:rsidRPr="00DE14BC" w:rsidRDefault="00DE14BC" w:rsidP="00DE14BC">
      <w:pPr>
        <w:spacing w:after="0" w:line="240" w:lineRule="auto"/>
        <w:rPr>
          <w:rFonts w:ascii="Calibri" w:hAnsi="Calibri" w:cs="Calibri"/>
        </w:rPr>
      </w:pPr>
    </w:p>
    <w:p w14:paraId="242FAE7C"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ZastaveneUzemi neexistují protínající se geometrie </w:t>
      </w:r>
    </w:p>
    <w:p w14:paraId="54459D3E" w14:textId="77777777" w:rsidR="00DE14BC" w:rsidRPr="00DE14BC" w:rsidRDefault="00DE14BC" w:rsidP="00DE14BC">
      <w:pPr>
        <w:spacing w:after="0" w:line="240" w:lineRule="auto"/>
        <w:rPr>
          <w:rFonts w:ascii="Calibri" w:hAnsi="Calibri" w:cs="Calibri"/>
        </w:rPr>
      </w:pPr>
    </w:p>
    <w:p w14:paraId="0DAE3755"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ZastaveneUzemi neexistují malé díry mezi prvky </w:t>
      </w:r>
    </w:p>
    <w:p w14:paraId="6F8D6941" w14:textId="77777777" w:rsidR="00DE14BC" w:rsidRPr="00DE14BC" w:rsidRDefault="00DE14BC" w:rsidP="00DE14BC">
      <w:pPr>
        <w:spacing w:after="0" w:line="240" w:lineRule="auto"/>
        <w:rPr>
          <w:rFonts w:ascii="Calibri" w:hAnsi="Calibri" w:cs="Calibri"/>
        </w:rPr>
      </w:pPr>
    </w:p>
    <w:p w14:paraId="1F0BD75B"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ZastaveneUzemi neexistují geometrie přesahující mimo řešené území </w:t>
      </w:r>
    </w:p>
    <w:p w14:paraId="24517189" w14:textId="77777777" w:rsidR="00DE14BC" w:rsidRPr="00DE14BC" w:rsidRDefault="00DE14BC" w:rsidP="00DE14BC">
      <w:pPr>
        <w:spacing w:after="0" w:line="240" w:lineRule="auto"/>
        <w:rPr>
          <w:rFonts w:ascii="Calibri" w:hAnsi="Calibri" w:cs="Calibri"/>
        </w:rPr>
      </w:pPr>
    </w:p>
    <w:p w14:paraId="637D6671"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ZastaveneUzemi v atributu Obec_Kod jsou pouze povolené hodnoty </w:t>
      </w:r>
    </w:p>
    <w:p w14:paraId="5CCFD670" w14:textId="77777777" w:rsidR="00DE14BC" w:rsidRPr="00DE14BC" w:rsidRDefault="00DE14BC" w:rsidP="00DE14BC">
      <w:pPr>
        <w:spacing w:after="0" w:line="240" w:lineRule="auto"/>
        <w:rPr>
          <w:rFonts w:ascii="Calibri" w:hAnsi="Calibri" w:cs="Calibri"/>
        </w:rPr>
      </w:pPr>
    </w:p>
    <w:p w14:paraId="2C627B47" w14:textId="77777777" w:rsidR="00DE14BC" w:rsidRPr="00DE14BC" w:rsidRDefault="00DE14BC" w:rsidP="00DE14BC">
      <w:pPr>
        <w:spacing w:after="0" w:line="240" w:lineRule="auto"/>
        <w:rPr>
          <w:rFonts w:ascii="Calibri" w:hAnsi="Calibri" w:cs="Calibri"/>
        </w:rPr>
      </w:pPr>
      <w:r w:rsidRPr="00DE14BC">
        <w:rPr>
          <w:rFonts w:ascii="Calibri" w:hAnsi="Calibri" w:cs="Calibri"/>
        </w:rPr>
        <w:t>Status: OK</w:t>
      </w:r>
    </w:p>
    <w:p w14:paraId="59201E8B" w14:textId="77777777" w:rsidR="00DE14BC" w:rsidRPr="00DE14BC" w:rsidRDefault="00DE14BC" w:rsidP="00DE14BC">
      <w:pPr>
        <w:spacing w:after="0" w:line="240" w:lineRule="auto"/>
        <w:rPr>
          <w:rFonts w:ascii="Calibri" w:hAnsi="Calibri" w:cs="Calibri"/>
        </w:rPr>
      </w:pPr>
    </w:p>
    <w:p w14:paraId="4040ACD6"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   KONTROLA - UzemniRezervy  (plochy)  ---------- </w:t>
      </w:r>
    </w:p>
    <w:p w14:paraId="0C336EA1"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w:t>
      </w:r>
    </w:p>
    <w:p w14:paraId="2C27C4A5" w14:textId="77777777" w:rsidR="00DE14BC" w:rsidRPr="00DE14BC" w:rsidRDefault="00DE14BC" w:rsidP="00DE14BC">
      <w:pPr>
        <w:spacing w:after="0" w:line="240" w:lineRule="auto"/>
        <w:rPr>
          <w:rFonts w:ascii="Calibri" w:hAnsi="Calibri" w:cs="Calibri"/>
        </w:rPr>
      </w:pPr>
    </w:p>
    <w:p w14:paraId="0CAFC397" w14:textId="77777777" w:rsidR="00DE14BC" w:rsidRPr="00DE14BC" w:rsidRDefault="00DE14BC" w:rsidP="00DE14BC">
      <w:pPr>
        <w:spacing w:after="0" w:line="240" w:lineRule="auto"/>
        <w:rPr>
          <w:rFonts w:ascii="Calibri" w:hAnsi="Calibri" w:cs="Calibri"/>
        </w:rPr>
      </w:pPr>
      <w:r w:rsidRPr="00DE14BC">
        <w:rPr>
          <w:rFonts w:ascii="Calibri" w:hAnsi="Calibri" w:cs="Calibri"/>
        </w:rPr>
        <w:lastRenderedPageBreak/>
        <w:t xml:space="preserve">Zkontrolováno: V tabulce UzemniRezervy neexistují nevalidní geometrie </w:t>
      </w:r>
    </w:p>
    <w:p w14:paraId="4DEF1C92" w14:textId="77777777" w:rsidR="00DE14BC" w:rsidRPr="00DE14BC" w:rsidRDefault="00DE14BC" w:rsidP="00DE14BC">
      <w:pPr>
        <w:spacing w:after="0" w:line="240" w:lineRule="auto"/>
        <w:rPr>
          <w:rFonts w:ascii="Calibri" w:hAnsi="Calibri" w:cs="Calibri"/>
        </w:rPr>
      </w:pPr>
    </w:p>
    <w:p w14:paraId="6927E707"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UzemniRezervy neexistují geometrie přesahující mimo řešené území </w:t>
      </w:r>
    </w:p>
    <w:p w14:paraId="3AD6D727" w14:textId="77777777" w:rsidR="00DE14BC" w:rsidRPr="00DE14BC" w:rsidRDefault="00DE14BC" w:rsidP="00DE14BC">
      <w:pPr>
        <w:spacing w:after="0" w:line="240" w:lineRule="auto"/>
        <w:rPr>
          <w:rFonts w:ascii="Calibri" w:hAnsi="Calibri" w:cs="Calibri"/>
        </w:rPr>
      </w:pPr>
    </w:p>
    <w:p w14:paraId="5F08C450"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UzemniRezervy v atributu Id jsou pouze povolené hodnoty </w:t>
      </w:r>
    </w:p>
    <w:p w14:paraId="6E602666" w14:textId="77777777" w:rsidR="00DE14BC" w:rsidRPr="00DE14BC" w:rsidRDefault="00DE14BC" w:rsidP="00DE14BC">
      <w:pPr>
        <w:spacing w:after="0" w:line="240" w:lineRule="auto"/>
        <w:rPr>
          <w:rFonts w:ascii="Calibri" w:hAnsi="Calibri" w:cs="Calibri"/>
        </w:rPr>
      </w:pPr>
    </w:p>
    <w:p w14:paraId="79AE0220"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UzemniRezervy v atributu Typ jsou pouze povolené hodnoty </w:t>
      </w:r>
    </w:p>
    <w:p w14:paraId="23947532" w14:textId="77777777" w:rsidR="00DE14BC" w:rsidRPr="00DE14BC" w:rsidRDefault="00DE14BC" w:rsidP="00DE14BC">
      <w:pPr>
        <w:spacing w:after="0" w:line="240" w:lineRule="auto"/>
        <w:rPr>
          <w:rFonts w:ascii="Calibri" w:hAnsi="Calibri" w:cs="Calibri"/>
        </w:rPr>
      </w:pPr>
    </w:p>
    <w:p w14:paraId="1160C47A" w14:textId="77777777" w:rsidR="00DE14BC" w:rsidRPr="00DE14BC" w:rsidRDefault="00DE14BC" w:rsidP="00DE14BC">
      <w:pPr>
        <w:spacing w:after="0" w:line="240" w:lineRule="auto"/>
        <w:rPr>
          <w:rFonts w:ascii="Calibri" w:hAnsi="Calibri" w:cs="Calibri"/>
        </w:rPr>
      </w:pPr>
      <w:r w:rsidRPr="00DE14BC">
        <w:rPr>
          <w:rFonts w:ascii="Calibri" w:hAnsi="Calibri" w:cs="Calibri"/>
        </w:rPr>
        <w:t>Status: OK</w:t>
      </w:r>
    </w:p>
    <w:p w14:paraId="485E3078" w14:textId="77777777" w:rsidR="00DE14BC" w:rsidRPr="00DE14BC" w:rsidRDefault="00DE14BC" w:rsidP="00DE14BC">
      <w:pPr>
        <w:spacing w:after="0" w:line="240" w:lineRule="auto"/>
        <w:rPr>
          <w:rFonts w:ascii="Calibri" w:hAnsi="Calibri" w:cs="Calibri"/>
        </w:rPr>
      </w:pPr>
    </w:p>
    <w:p w14:paraId="6076559E"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   KONTROLA - KoridoryP  (plochy)  ---------- </w:t>
      </w:r>
    </w:p>
    <w:p w14:paraId="36BF6910"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w:t>
      </w:r>
    </w:p>
    <w:p w14:paraId="682E5C68" w14:textId="77777777" w:rsidR="00DE14BC" w:rsidRPr="00DE14BC" w:rsidRDefault="00DE14BC" w:rsidP="00DE14BC">
      <w:pPr>
        <w:spacing w:after="0" w:line="240" w:lineRule="auto"/>
        <w:rPr>
          <w:rFonts w:ascii="Calibri" w:hAnsi="Calibri" w:cs="Calibri"/>
        </w:rPr>
      </w:pPr>
    </w:p>
    <w:p w14:paraId="559BFA91"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KoridoryP neexistují nevalidní geometrie </w:t>
      </w:r>
    </w:p>
    <w:p w14:paraId="5BE85F05" w14:textId="77777777" w:rsidR="00DE14BC" w:rsidRPr="00DE14BC" w:rsidRDefault="00DE14BC" w:rsidP="00DE14BC">
      <w:pPr>
        <w:spacing w:after="0" w:line="240" w:lineRule="auto"/>
        <w:rPr>
          <w:rFonts w:ascii="Calibri" w:hAnsi="Calibri" w:cs="Calibri"/>
        </w:rPr>
      </w:pPr>
    </w:p>
    <w:p w14:paraId="7C92348E"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KoridoryP neexistují duplicity </w:t>
      </w:r>
    </w:p>
    <w:p w14:paraId="0FF72174" w14:textId="77777777" w:rsidR="00DE14BC" w:rsidRPr="00DE14BC" w:rsidRDefault="00DE14BC" w:rsidP="00DE14BC">
      <w:pPr>
        <w:spacing w:after="0" w:line="240" w:lineRule="auto"/>
        <w:rPr>
          <w:rFonts w:ascii="Calibri" w:hAnsi="Calibri" w:cs="Calibri"/>
        </w:rPr>
      </w:pPr>
    </w:p>
    <w:p w14:paraId="16CB07FB"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KoridoryP neexistují geometrie přesahující mimo řešené území </w:t>
      </w:r>
    </w:p>
    <w:p w14:paraId="05FDDB70" w14:textId="77777777" w:rsidR="00DE14BC" w:rsidRPr="00DE14BC" w:rsidRDefault="00DE14BC" w:rsidP="00DE14BC">
      <w:pPr>
        <w:spacing w:after="0" w:line="240" w:lineRule="auto"/>
        <w:rPr>
          <w:rFonts w:ascii="Calibri" w:hAnsi="Calibri" w:cs="Calibri"/>
        </w:rPr>
      </w:pPr>
    </w:p>
    <w:p w14:paraId="76D81474"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KoridoryP v atributu Id jsou pouze povolené hodnoty </w:t>
      </w:r>
    </w:p>
    <w:p w14:paraId="5A958BE4" w14:textId="77777777" w:rsidR="00DE14BC" w:rsidRPr="00DE14BC" w:rsidRDefault="00DE14BC" w:rsidP="00DE14BC">
      <w:pPr>
        <w:spacing w:after="0" w:line="240" w:lineRule="auto"/>
        <w:rPr>
          <w:rFonts w:ascii="Calibri" w:hAnsi="Calibri" w:cs="Calibri"/>
        </w:rPr>
      </w:pPr>
    </w:p>
    <w:p w14:paraId="36249D72" w14:textId="77777777" w:rsidR="00DE14BC" w:rsidRPr="00DE14BC" w:rsidRDefault="00DE14BC" w:rsidP="00DE14BC">
      <w:pPr>
        <w:spacing w:after="0" w:line="240" w:lineRule="auto"/>
        <w:rPr>
          <w:rFonts w:ascii="Calibri" w:hAnsi="Calibri" w:cs="Calibri"/>
        </w:rPr>
      </w:pPr>
      <w:r w:rsidRPr="00DE14BC">
        <w:rPr>
          <w:rFonts w:ascii="Calibri" w:hAnsi="Calibri" w:cs="Calibri"/>
        </w:rPr>
        <w:t>Status: OK</w:t>
      </w:r>
    </w:p>
    <w:p w14:paraId="35B8DC4E" w14:textId="77777777" w:rsidR="00DE14BC" w:rsidRPr="00DE14BC" w:rsidRDefault="00DE14BC" w:rsidP="00DE14BC">
      <w:pPr>
        <w:spacing w:after="0" w:line="240" w:lineRule="auto"/>
        <w:rPr>
          <w:rFonts w:ascii="Calibri" w:hAnsi="Calibri" w:cs="Calibri"/>
        </w:rPr>
      </w:pPr>
    </w:p>
    <w:p w14:paraId="0FE87787"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   KONTROLA - KoridoryN  (plochy)  ---------- </w:t>
      </w:r>
    </w:p>
    <w:p w14:paraId="643E2BB1"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w:t>
      </w:r>
    </w:p>
    <w:p w14:paraId="401F013D" w14:textId="77777777" w:rsidR="00DE14BC" w:rsidRPr="00DE14BC" w:rsidRDefault="00DE14BC" w:rsidP="00DE14BC">
      <w:pPr>
        <w:spacing w:after="0" w:line="240" w:lineRule="auto"/>
        <w:rPr>
          <w:rFonts w:ascii="Calibri" w:hAnsi="Calibri" w:cs="Calibri"/>
        </w:rPr>
      </w:pPr>
    </w:p>
    <w:p w14:paraId="007F5622"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KoridoryN neexistují nevalidní geometrie </w:t>
      </w:r>
    </w:p>
    <w:p w14:paraId="30180914" w14:textId="77777777" w:rsidR="00DE14BC" w:rsidRPr="00DE14BC" w:rsidRDefault="00DE14BC" w:rsidP="00DE14BC">
      <w:pPr>
        <w:spacing w:after="0" w:line="240" w:lineRule="auto"/>
        <w:rPr>
          <w:rFonts w:ascii="Calibri" w:hAnsi="Calibri" w:cs="Calibri"/>
        </w:rPr>
      </w:pPr>
    </w:p>
    <w:p w14:paraId="25211CFC"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KoridoryN neexistují duplicity </w:t>
      </w:r>
    </w:p>
    <w:p w14:paraId="0261B0ED" w14:textId="77777777" w:rsidR="00DE14BC" w:rsidRPr="00DE14BC" w:rsidRDefault="00DE14BC" w:rsidP="00DE14BC">
      <w:pPr>
        <w:spacing w:after="0" w:line="240" w:lineRule="auto"/>
        <w:rPr>
          <w:rFonts w:ascii="Calibri" w:hAnsi="Calibri" w:cs="Calibri"/>
        </w:rPr>
      </w:pPr>
    </w:p>
    <w:p w14:paraId="78CD26DC"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KoridoryN neexistují geometrie přesahující mimo řešené území </w:t>
      </w:r>
    </w:p>
    <w:p w14:paraId="7158B54D" w14:textId="77777777" w:rsidR="00DE14BC" w:rsidRPr="00DE14BC" w:rsidRDefault="00DE14BC" w:rsidP="00DE14BC">
      <w:pPr>
        <w:spacing w:after="0" w:line="240" w:lineRule="auto"/>
        <w:rPr>
          <w:rFonts w:ascii="Calibri" w:hAnsi="Calibri" w:cs="Calibri"/>
        </w:rPr>
      </w:pPr>
    </w:p>
    <w:p w14:paraId="73304F5E"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KoridoryN v atributu Id jsou pouze povolené hodnoty </w:t>
      </w:r>
    </w:p>
    <w:p w14:paraId="1F61C7DB" w14:textId="77777777" w:rsidR="00DE14BC" w:rsidRPr="00DE14BC" w:rsidRDefault="00DE14BC" w:rsidP="00DE14BC">
      <w:pPr>
        <w:spacing w:after="0" w:line="240" w:lineRule="auto"/>
        <w:rPr>
          <w:rFonts w:ascii="Calibri" w:hAnsi="Calibri" w:cs="Calibri"/>
        </w:rPr>
      </w:pPr>
    </w:p>
    <w:p w14:paraId="053CD608" w14:textId="77777777" w:rsidR="00DE14BC" w:rsidRPr="00DE14BC" w:rsidRDefault="00DE14BC" w:rsidP="00DE14BC">
      <w:pPr>
        <w:spacing w:after="0" w:line="240" w:lineRule="auto"/>
        <w:rPr>
          <w:rFonts w:ascii="Calibri" w:hAnsi="Calibri" w:cs="Calibri"/>
        </w:rPr>
      </w:pPr>
      <w:r w:rsidRPr="00DE14BC">
        <w:rPr>
          <w:rFonts w:ascii="Calibri" w:hAnsi="Calibri" w:cs="Calibri"/>
        </w:rPr>
        <w:t>Status: OK</w:t>
      </w:r>
    </w:p>
    <w:p w14:paraId="09EBB099" w14:textId="77777777" w:rsidR="00DE14BC" w:rsidRPr="00DE14BC" w:rsidRDefault="00DE14BC" w:rsidP="00DE14BC">
      <w:pPr>
        <w:spacing w:after="0" w:line="240" w:lineRule="auto"/>
        <w:rPr>
          <w:rFonts w:ascii="Calibri" w:hAnsi="Calibri" w:cs="Calibri"/>
        </w:rPr>
      </w:pPr>
    </w:p>
    <w:p w14:paraId="31E2A032"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   KONTROLA - PlochyZmen  (plochy)  ---------- </w:t>
      </w:r>
    </w:p>
    <w:p w14:paraId="5E2863FF"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w:t>
      </w:r>
    </w:p>
    <w:p w14:paraId="4E911291" w14:textId="77777777" w:rsidR="00DE14BC" w:rsidRPr="00DE14BC" w:rsidRDefault="00DE14BC" w:rsidP="00DE14BC">
      <w:pPr>
        <w:spacing w:after="0" w:line="240" w:lineRule="auto"/>
        <w:rPr>
          <w:rFonts w:ascii="Calibri" w:hAnsi="Calibri" w:cs="Calibri"/>
        </w:rPr>
      </w:pPr>
    </w:p>
    <w:p w14:paraId="2E8211DA"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PlochyZmen neexistují nevalidní geometrie </w:t>
      </w:r>
    </w:p>
    <w:p w14:paraId="4EF3B57B" w14:textId="77777777" w:rsidR="00DE14BC" w:rsidRPr="00DE14BC" w:rsidRDefault="00DE14BC" w:rsidP="00DE14BC">
      <w:pPr>
        <w:spacing w:after="0" w:line="240" w:lineRule="auto"/>
        <w:rPr>
          <w:rFonts w:ascii="Calibri" w:hAnsi="Calibri" w:cs="Calibri"/>
        </w:rPr>
      </w:pPr>
    </w:p>
    <w:p w14:paraId="76860EFD"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PlochyZmen neexistují protínající se geometrie </w:t>
      </w:r>
    </w:p>
    <w:p w14:paraId="0FFA01EA" w14:textId="77777777" w:rsidR="00DE14BC" w:rsidRPr="00DE14BC" w:rsidRDefault="00DE14BC" w:rsidP="00DE14BC">
      <w:pPr>
        <w:spacing w:after="0" w:line="240" w:lineRule="auto"/>
        <w:rPr>
          <w:rFonts w:ascii="Calibri" w:hAnsi="Calibri" w:cs="Calibri"/>
        </w:rPr>
      </w:pPr>
    </w:p>
    <w:p w14:paraId="0528272F"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PlochyZmen neexistují malé díry mezi prvky </w:t>
      </w:r>
    </w:p>
    <w:p w14:paraId="7073D9E3" w14:textId="77777777" w:rsidR="00DE14BC" w:rsidRPr="00DE14BC" w:rsidRDefault="00DE14BC" w:rsidP="00DE14BC">
      <w:pPr>
        <w:spacing w:after="0" w:line="240" w:lineRule="auto"/>
        <w:rPr>
          <w:rFonts w:ascii="Calibri" w:hAnsi="Calibri" w:cs="Calibri"/>
        </w:rPr>
      </w:pPr>
    </w:p>
    <w:p w14:paraId="277AD2ED"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PlochyZmen neexistují geometrie přesahující mimo řešené území </w:t>
      </w:r>
    </w:p>
    <w:p w14:paraId="2DFA9282" w14:textId="77777777" w:rsidR="00DE14BC" w:rsidRPr="00DE14BC" w:rsidRDefault="00DE14BC" w:rsidP="00DE14BC">
      <w:pPr>
        <w:spacing w:after="0" w:line="240" w:lineRule="auto"/>
        <w:rPr>
          <w:rFonts w:ascii="Calibri" w:hAnsi="Calibri" w:cs="Calibri"/>
        </w:rPr>
      </w:pPr>
    </w:p>
    <w:p w14:paraId="00D358DA"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PlochyZmen v atributu Id jsou pouze povolené hodnoty </w:t>
      </w:r>
    </w:p>
    <w:p w14:paraId="47044B95" w14:textId="77777777" w:rsidR="00DE14BC" w:rsidRPr="00DE14BC" w:rsidRDefault="00DE14BC" w:rsidP="00DE14BC">
      <w:pPr>
        <w:spacing w:after="0" w:line="240" w:lineRule="auto"/>
        <w:rPr>
          <w:rFonts w:ascii="Calibri" w:hAnsi="Calibri" w:cs="Calibri"/>
        </w:rPr>
      </w:pPr>
    </w:p>
    <w:p w14:paraId="0AD4694D"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PlochyZmen v atributu Etapizace jsou pouze povolené hodnoty </w:t>
      </w:r>
    </w:p>
    <w:p w14:paraId="11D86992" w14:textId="77777777" w:rsidR="00DE14BC" w:rsidRPr="00DE14BC" w:rsidRDefault="00DE14BC" w:rsidP="00DE14BC">
      <w:pPr>
        <w:spacing w:after="0" w:line="240" w:lineRule="auto"/>
        <w:rPr>
          <w:rFonts w:ascii="Calibri" w:hAnsi="Calibri" w:cs="Calibri"/>
        </w:rPr>
      </w:pPr>
    </w:p>
    <w:p w14:paraId="3656BB2A" w14:textId="77777777" w:rsidR="00DE14BC" w:rsidRPr="00DE14BC" w:rsidRDefault="00DE14BC" w:rsidP="00DE14BC">
      <w:pPr>
        <w:spacing w:after="0" w:line="240" w:lineRule="auto"/>
        <w:rPr>
          <w:rFonts w:ascii="Calibri" w:hAnsi="Calibri" w:cs="Calibri"/>
        </w:rPr>
      </w:pPr>
      <w:r w:rsidRPr="00DE14BC">
        <w:rPr>
          <w:rFonts w:ascii="Calibri" w:hAnsi="Calibri" w:cs="Calibri"/>
        </w:rPr>
        <w:lastRenderedPageBreak/>
        <w:t xml:space="preserve">Zkontrolováno: V tabulce PlochyZmen všechny plochy (P), které mají ležet v zastavěném území, v něm leží  </w:t>
      </w:r>
    </w:p>
    <w:p w14:paraId="38570BC8" w14:textId="77777777" w:rsidR="00DE14BC" w:rsidRPr="00DE14BC" w:rsidRDefault="00DE14BC" w:rsidP="00DE14BC">
      <w:pPr>
        <w:spacing w:after="0" w:line="240" w:lineRule="auto"/>
        <w:rPr>
          <w:rFonts w:ascii="Calibri" w:hAnsi="Calibri" w:cs="Calibri"/>
        </w:rPr>
      </w:pPr>
    </w:p>
    <w:p w14:paraId="7E6BC31B"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PlochyZmen všechny plochy, které mají ležet mimo zastavěné území, mimo něj leží </w:t>
      </w:r>
    </w:p>
    <w:p w14:paraId="0728DFA5" w14:textId="77777777" w:rsidR="00DE14BC" w:rsidRPr="00DE14BC" w:rsidRDefault="00DE14BC" w:rsidP="00DE14BC">
      <w:pPr>
        <w:spacing w:after="0" w:line="240" w:lineRule="auto"/>
        <w:rPr>
          <w:rFonts w:ascii="Calibri" w:hAnsi="Calibri" w:cs="Calibri"/>
        </w:rPr>
      </w:pPr>
    </w:p>
    <w:p w14:paraId="461861BB" w14:textId="77777777" w:rsidR="00DE14BC" w:rsidRPr="00DE14BC" w:rsidRDefault="00DE14BC" w:rsidP="00DE14BC">
      <w:pPr>
        <w:spacing w:after="0" w:line="240" w:lineRule="auto"/>
        <w:rPr>
          <w:rFonts w:ascii="Calibri" w:hAnsi="Calibri" w:cs="Calibri"/>
        </w:rPr>
      </w:pPr>
      <w:r w:rsidRPr="00DE14BC">
        <w:rPr>
          <w:rFonts w:ascii="Calibri" w:hAnsi="Calibri" w:cs="Calibri"/>
        </w:rPr>
        <w:t>Status: OK</w:t>
      </w:r>
    </w:p>
    <w:p w14:paraId="306A23E4" w14:textId="77777777" w:rsidR="00DE14BC" w:rsidRPr="00DE14BC" w:rsidRDefault="00DE14BC" w:rsidP="00DE14BC">
      <w:pPr>
        <w:spacing w:after="0" w:line="240" w:lineRule="auto"/>
        <w:rPr>
          <w:rFonts w:ascii="Calibri" w:hAnsi="Calibri" w:cs="Calibri"/>
        </w:rPr>
      </w:pPr>
    </w:p>
    <w:p w14:paraId="72EFBD50"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   KONTROLA - PlochyPodm  (plochy)  ---------- </w:t>
      </w:r>
    </w:p>
    <w:p w14:paraId="723E9DF2"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w:t>
      </w:r>
    </w:p>
    <w:p w14:paraId="673E3EBA" w14:textId="77777777" w:rsidR="00DE14BC" w:rsidRPr="00DE14BC" w:rsidRDefault="00DE14BC" w:rsidP="00DE14BC">
      <w:pPr>
        <w:spacing w:after="0" w:line="240" w:lineRule="auto"/>
        <w:rPr>
          <w:rFonts w:ascii="Calibri" w:hAnsi="Calibri" w:cs="Calibri"/>
        </w:rPr>
      </w:pPr>
    </w:p>
    <w:p w14:paraId="59F96279"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PlochyPodm neexistují nevalidní geometrie </w:t>
      </w:r>
    </w:p>
    <w:p w14:paraId="4F43B44B" w14:textId="77777777" w:rsidR="00DE14BC" w:rsidRPr="00DE14BC" w:rsidRDefault="00DE14BC" w:rsidP="00DE14BC">
      <w:pPr>
        <w:spacing w:after="0" w:line="240" w:lineRule="auto"/>
        <w:rPr>
          <w:rFonts w:ascii="Calibri" w:hAnsi="Calibri" w:cs="Calibri"/>
        </w:rPr>
      </w:pPr>
    </w:p>
    <w:p w14:paraId="73687025"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PlochyPodm neexistují geometrie přesahující mimo řešené území </w:t>
      </w:r>
    </w:p>
    <w:p w14:paraId="08A31F8D" w14:textId="77777777" w:rsidR="00DE14BC" w:rsidRPr="00DE14BC" w:rsidRDefault="00DE14BC" w:rsidP="00DE14BC">
      <w:pPr>
        <w:spacing w:after="0" w:line="240" w:lineRule="auto"/>
        <w:rPr>
          <w:rFonts w:ascii="Calibri" w:hAnsi="Calibri" w:cs="Calibri"/>
        </w:rPr>
      </w:pPr>
    </w:p>
    <w:p w14:paraId="74FE0B1C"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PlochyPodm v atributu Id jsou pouze povolené hodnoty </w:t>
      </w:r>
    </w:p>
    <w:p w14:paraId="50FD156D" w14:textId="77777777" w:rsidR="00DE14BC" w:rsidRPr="00DE14BC" w:rsidRDefault="00DE14BC" w:rsidP="00DE14BC">
      <w:pPr>
        <w:spacing w:after="0" w:line="240" w:lineRule="auto"/>
        <w:rPr>
          <w:rFonts w:ascii="Calibri" w:hAnsi="Calibri" w:cs="Calibri"/>
        </w:rPr>
      </w:pPr>
    </w:p>
    <w:p w14:paraId="182BD1F0"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PlochyPodm je pro Id (US|DU) vyplněno Datum </w:t>
      </w:r>
    </w:p>
    <w:p w14:paraId="6421A7C5" w14:textId="77777777" w:rsidR="00DE14BC" w:rsidRPr="00DE14BC" w:rsidRDefault="00DE14BC" w:rsidP="00DE14BC">
      <w:pPr>
        <w:spacing w:after="0" w:line="240" w:lineRule="auto"/>
        <w:rPr>
          <w:rFonts w:ascii="Calibri" w:hAnsi="Calibri" w:cs="Calibri"/>
        </w:rPr>
      </w:pPr>
    </w:p>
    <w:p w14:paraId="7A2E2A9F"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PlochyPodm je pro Id (RP|DR) vyplněno Datum </w:t>
      </w:r>
    </w:p>
    <w:p w14:paraId="582611D8" w14:textId="77777777" w:rsidR="00DE14BC" w:rsidRPr="00DE14BC" w:rsidRDefault="00DE14BC" w:rsidP="00DE14BC">
      <w:pPr>
        <w:spacing w:after="0" w:line="240" w:lineRule="auto"/>
        <w:rPr>
          <w:rFonts w:ascii="Calibri" w:hAnsi="Calibri" w:cs="Calibri"/>
        </w:rPr>
      </w:pPr>
    </w:p>
    <w:p w14:paraId="47875D84"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PlochyPodm pro Id = DO není vyplněno Datum </w:t>
      </w:r>
    </w:p>
    <w:p w14:paraId="2F1B66D3" w14:textId="77777777" w:rsidR="00DE14BC" w:rsidRPr="00DE14BC" w:rsidRDefault="00DE14BC" w:rsidP="00DE14BC">
      <w:pPr>
        <w:spacing w:after="0" w:line="240" w:lineRule="auto"/>
        <w:rPr>
          <w:rFonts w:ascii="Calibri" w:hAnsi="Calibri" w:cs="Calibri"/>
        </w:rPr>
      </w:pPr>
    </w:p>
    <w:p w14:paraId="49446646" w14:textId="77777777" w:rsidR="00DE14BC" w:rsidRPr="00DE14BC" w:rsidRDefault="00DE14BC" w:rsidP="00DE14BC">
      <w:pPr>
        <w:spacing w:after="0" w:line="240" w:lineRule="auto"/>
        <w:rPr>
          <w:rFonts w:ascii="Calibri" w:hAnsi="Calibri" w:cs="Calibri"/>
        </w:rPr>
      </w:pPr>
      <w:r w:rsidRPr="00DE14BC">
        <w:rPr>
          <w:rFonts w:ascii="Calibri" w:hAnsi="Calibri" w:cs="Calibri"/>
        </w:rPr>
        <w:t>Status: OK</w:t>
      </w:r>
    </w:p>
    <w:p w14:paraId="6014590E" w14:textId="77777777" w:rsidR="00DE14BC" w:rsidRPr="00DE14BC" w:rsidRDefault="00DE14BC" w:rsidP="00DE14BC">
      <w:pPr>
        <w:spacing w:after="0" w:line="240" w:lineRule="auto"/>
        <w:rPr>
          <w:rFonts w:ascii="Calibri" w:hAnsi="Calibri" w:cs="Calibri"/>
        </w:rPr>
      </w:pPr>
    </w:p>
    <w:p w14:paraId="07A94ED2"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   KONTROLA - VpsVpoAs  (plochy)  ---------- </w:t>
      </w:r>
    </w:p>
    <w:p w14:paraId="054194E0"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w:t>
      </w:r>
    </w:p>
    <w:p w14:paraId="3FF90CE6" w14:textId="77777777" w:rsidR="00DE14BC" w:rsidRPr="00DE14BC" w:rsidRDefault="00DE14BC" w:rsidP="00DE14BC">
      <w:pPr>
        <w:spacing w:after="0" w:line="240" w:lineRule="auto"/>
        <w:rPr>
          <w:rFonts w:ascii="Calibri" w:hAnsi="Calibri" w:cs="Calibri"/>
        </w:rPr>
      </w:pPr>
    </w:p>
    <w:p w14:paraId="50709DE2"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VpsVpoAs neexistují nevalidní geometrie </w:t>
      </w:r>
    </w:p>
    <w:p w14:paraId="0B65C823" w14:textId="77777777" w:rsidR="00DE14BC" w:rsidRPr="00DE14BC" w:rsidRDefault="00DE14BC" w:rsidP="00DE14BC">
      <w:pPr>
        <w:spacing w:after="0" w:line="240" w:lineRule="auto"/>
        <w:rPr>
          <w:rFonts w:ascii="Calibri" w:hAnsi="Calibri" w:cs="Calibri"/>
        </w:rPr>
      </w:pPr>
    </w:p>
    <w:p w14:paraId="5ABBA2CE"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VpsVpoAs neexistují duplicity </w:t>
      </w:r>
    </w:p>
    <w:p w14:paraId="6B61AC99" w14:textId="77777777" w:rsidR="00DE14BC" w:rsidRPr="00DE14BC" w:rsidRDefault="00DE14BC" w:rsidP="00DE14BC">
      <w:pPr>
        <w:spacing w:after="0" w:line="240" w:lineRule="auto"/>
        <w:rPr>
          <w:rFonts w:ascii="Calibri" w:hAnsi="Calibri" w:cs="Calibri"/>
        </w:rPr>
      </w:pPr>
    </w:p>
    <w:p w14:paraId="1D275BC6"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VpsVpoAs neexistují geometrie přesahující mimo řešené území </w:t>
      </w:r>
    </w:p>
    <w:p w14:paraId="09F88DE1" w14:textId="77777777" w:rsidR="00DE14BC" w:rsidRPr="00DE14BC" w:rsidRDefault="00DE14BC" w:rsidP="00DE14BC">
      <w:pPr>
        <w:spacing w:after="0" w:line="240" w:lineRule="auto"/>
        <w:rPr>
          <w:rFonts w:ascii="Calibri" w:hAnsi="Calibri" w:cs="Calibri"/>
        </w:rPr>
      </w:pPr>
    </w:p>
    <w:p w14:paraId="1F67A723"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VpsVpoAs v atributu Id jsou pouze povolené hodnoty </w:t>
      </w:r>
    </w:p>
    <w:p w14:paraId="6683BE9B" w14:textId="77777777" w:rsidR="00DE14BC" w:rsidRPr="00DE14BC" w:rsidRDefault="00DE14BC" w:rsidP="00DE14BC">
      <w:pPr>
        <w:spacing w:after="0" w:line="240" w:lineRule="auto"/>
        <w:rPr>
          <w:rFonts w:ascii="Calibri" w:hAnsi="Calibri" w:cs="Calibri"/>
        </w:rPr>
      </w:pPr>
    </w:p>
    <w:p w14:paraId="673438CB"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VpsVpoAs jsou všechny prvky (VU) v souladu s vrstvou USES </w:t>
      </w:r>
    </w:p>
    <w:p w14:paraId="5973A095" w14:textId="77777777" w:rsidR="00DE14BC" w:rsidRPr="00DE14BC" w:rsidRDefault="00DE14BC" w:rsidP="00DE14BC">
      <w:pPr>
        <w:spacing w:after="0" w:line="240" w:lineRule="auto"/>
        <w:rPr>
          <w:rFonts w:ascii="Calibri" w:hAnsi="Calibri" w:cs="Calibri"/>
        </w:rPr>
      </w:pPr>
    </w:p>
    <w:p w14:paraId="43E44FFE" w14:textId="77777777" w:rsidR="00DE14BC" w:rsidRPr="00DE14BC" w:rsidRDefault="00DE14BC" w:rsidP="00DE14BC">
      <w:pPr>
        <w:spacing w:after="0" w:line="240" w:lineRule="auto"/>
        <w:rPr>
          <w:rFonts w:ascii="Calibri" w:hAnsi="Calibri" w:cs="Calibri"/>
        </w:rPr>
      </w:pPr>
      <w:r w:rsidRPr="00DE14BC">
        <w:rPr>
          <w:rFonts w:ascii="Calibri" w:hAnsi="Calibri" w:cs="Calibri"/>
        </w:rPr>
        <w:t>Status: OK</w:t>
      </w:r>
    </w:p>
    <w:p w14:paraId="28DD9147" w14:textId="77777777" w:rsidR="00DE14BC" w:rsidRPr="00DE14BC" w:rsidRDefault="00DE14BC" w:rsidP="00DE14BC">
      <w:pPr>
        <w:spacing w:after="0" w:line="240" w:lineRule="auto"/>
        <w:rPr>
          <w:rFonts w:ascii="Calibri" w:hAnsi="Calibri" w:cs="Calibri"/>
        </w:rPr>
      </w:pPr>
    </w:p>
    <w:p w14:paraId="571B07A4"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   KONTROLA - VpsVpoAs  (linie)  ---------- </w:t>
      </w:r>
    </w:p>
    <w:p w14:paraId="4300F6EB"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w:t>
      </w:r>
    </w:p>
    <w:p w14:paraId="170D7522" w14:textId="77777777" w:rsidR="00DE14BC" w:rsidRPr="00DE14BC" w:rsidRDefault="00DE14BC" w:rsidP="00DE14BC">
      <w:pPr>
        <w:spacing w:after="0" w:line="240" w:lineRule="auto"/>
        <w:rPr>
          <w:rFonts w:ascii="Calibri" w:hAnsi="Calibri" w:cs="Calibri"/>
        </w:rPr>
      </w:pPr>
    </w:p>
    <w:p w14:paraId="7A535212"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VpsVpoAs neexistují nevalidní geometrie </w:t>
      </w:r>
    </w:p>
    <w:p w14:paraId="698069A2" w14:textId="77777777" w:rsidR="00DE14BC" w:rsidRPr="00DE14BC" w:rsidRDefault="00DE14BC" w:rsidP="00DE14BC">
      <w:pPr>
        <w:spacing w:after="0" w:line="240" w:lineRule="auto"/>
        <w:rPr>
          <w:rFonts w:ascii="Calibri" w:hAnsi="Calibri" w:cs="Calibri"/>
        </w:rPr>
      </w:pPr>
    </w:p>
    <w:p w14:paraId="7E6157AB"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VpsVpoAs neexistují neprosté geometrie </w:t>
      </w:r>
    </w:p>
    <w:p w14:paraId="776D49EE" w14:textId="77777777" w:rsidR="00DE14BC" w:rsidRPr="00DE14BC" w:rsidRDefault="00DE14BC" w:rsidP="00DE14BC">
      <w:pPr>
        <w:spacing w:after="0" w:line="240" w:lineRule="auto"/>
        <w:rPr>
          <w:rFonts w:ascii="Calibri" w:hAnsi="Calibri" w:cs="Calibri"/>
        </w:rPr>
      </w:pPr>
    </w:p>
    <w:p w14:paraId="36BA37C2"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VpsVpoAs neexistují duplicity </w:t>
      </w:r>
    </w:p>
    <w:p w14:paraId="20F9D08A" w14:textId="77777777" w:rsidR="00DE14BC" w:rsidRPr="00DE14BC" w:rsidRDefault="00DE14BC" w:rsidP="00DE14BC">
      <w:pPr>
        <w:spacing w:after="0" w:line="240" w:lineRule="auto"/>
        <w:rPr>
          <w:rFonts w:ascii="Calibri" w:hAnsi="Calibri" w:cs="Calibri"/>
        </w:rPr>
      </w:pPr>
    </w:p>
    <w:p w14:paraId="2AC2076A"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VpsVpoAs neexistují geometrie přesahující mimo řešené území </w:t>
      </w:r>
    </w:p>
    <w:p w14:paraId="70A339B5" w14:textId="77777777" w:rsidR="00DE14BC" w:rsidRPr="00DE14BC" w:rsidRDefault="00DE14BC" w:rsidP="00DE14BC">
      <w:pPr>
        <w:spacing w:after="0" w:line="240" w:lineRule="auto"/>
        <w:rPr>
          <w:rFonts w:ascii="Calibri" w:hAnsi="Calibri" w:cs="Calibri"/>
        </w:rPr>
      </w:pPr>
    </w:p>
    <w:p w14:paraId="40E9CA8B"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VpsVpoAs v atributu Id jsou pouze povolené hodnoty </w:t>
      </w:r>
    </w:p>
    <w:p w14:paraId="640BFEA6" w14:textId="77777777" w:rsidR="00DE14BC" w:rsidRPr="00DE14BC" w:rsidRDefault="00DE14BC" w:rsidP="00DE14BC">
      <w:pPr>
        <w:spacing w:after="0" w:line="240" w:lineRule="auto"/>
        <w:rPr>
          <w:rFonts w:ascii="Calibri" w:hAnsi="Calibri" w:cs="Calibri"/>
        </w:rPr>
      </w:pPr>
    </w:p>
    <w:p w14:paraId="3B352370"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VpsVpoAs jsou všechny prvky (VU) v souladu s vrstvou USES </w:t>
      </w:r>
    </w:p>
    <w:p w14:paraId="009D4034" w14:textId="77777777" w:rsidR="00DE14BC" w:rsidRPr="00DE14BC" w:rsidRDefault="00DE14BC" w:rsidP="00DE14BC">
      <w:pPr>
        <w:spacing w:after="0" w:line="240" w:lineRule="auto"/>
        <w:rPr>
          <w:rFonts w:ascii="Calibri" w:hAnsi="Calibri" w:cs="Calibri"/>
        </w:rPr>
      </w:pPr>
    </w:p>
    <w:p w14:paraId="2BB4CD6E" w14:textId="77777777" w:rsidR="00DE14BC" w:rsidRPr="00DE14BC" w:rsidRDefault="00DE14BC" w:rsidP="00DE14BC">
      <w:pPr>
        <w:spacing w:after="0" w:line="240" w:lineRule="auto"/>
        <w:rPr>
          <w:rFonts w:ascii="Calibri" w:hAnsi="Calibri" w:cs="Calibri"/>
        </w:rPr>
      </w:pPr>
      <w:r w:rsidRPr="00DE14BC">
        <w:rPr>
          <w:rFonts w:ascii="Calibri" w:hAnsi="Calibri" w:cs="Calibri"/>
        </w:rPr>
        <w:t>Status: OK</w:t>
      </w:r>
    </w:p>
    <w:p w14:paraId="5239B3D3" w14:textId="77777777" w:rsidR="00DE14BC" w:rsidRPr="00DE14BC" w:rsidRDefault="00DE14BC" w:rsidP="00DE14BC">
      <w:pPr>
        <w:spacing w:after="0" w:line="240" w:lineRule="auto"/>
        <w:rPr>
          <w:rFonts w:ascii="Calibri" w:hAnsi="Calibri" w:cs="Calibri"/>
        </w:rPr>
      </w:pPr>
    </w:p>
    <w:p w14:paraId="0AB49A35"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   KONTROLA - USES  (plochy)  ---------- </w:t>
      </w:r>
    </w:p>
    <w:p w14:paraId="4D8C984D"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w:t>
      </w:r>
    </w:p>
    <w:p w14:paraId="25BBB2E4" w14:textId="77777777" w:rsidR="00DE14BC" w:rsidRPr="00DE14BC" w:rsidRDefault="00DE14BC" w:rsidP="00DE14BC">
      <w:pPr>
        <w:spacing w:after="0" w:line="240" w:lineRule="auto"/>
        <w:rPr>
          <w:rFonts w:ascii="Calibri" w:hAnsi="Calibri" w:cs="Calibri"/>
        </w:rPr>
      </w:pPr>
    </w:p>
    <w:p w14:paraId="2CCAA467"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USES neexistují nevalidní geometrie </w:t>
      </w:r>
    </w:p>
    <w:p w14:paraId="7511D982" w14:textId="77777777" w:rsidR="00DE14BC" w:rsidRPr="00DE14BC" w:rsidRDefault="00DE14BC" w:rsidP="00DE14BC">
      <w:pPr>
        <w:spacing w:after="0" w:line="240" w:lineRule="auto"/>
        <w:rPr>
          <w:rFonts w:ascii="Calibri" w:hAnsi="Calibri" w:cs="Calibri"/>
        </w:rPr>
      </w:pPr>
    </w:p>
    <w:p w14:paraId="48D2451D"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USES neexistují protínající se geometrie </w:t>
      </w:r>
    </w:p>
    <w:p w14:paraId="45B25129" w14:textId="77777777" w:rsidR="00DE14BC" w:rsidRPr="00DE14BC" w:rsidRDefault="00DE14BC" w:rsidP="00DE14BC">
      <w:pPr>
        <w:spacing w:after="0" w:line="240" w:lineRule="auto"/>
        <w:rPr>
          <w:rFonts w:ascii="Calibri" w:hAnsi="Calibri" w:cs="Calibri"/>
        </w:rPr>
      </w:pPr>
    </w:p>
    <w:p w14:paraId="64E073C0"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USES neexistují malé díry mezi prvky </w:t>
      </w:r>
    </w:p>
    <w:p w14:paraId="11C56F22" w14:textId="77777777" w:rsidR="00DE14BC" w:rsidRPr="00DE14BC" w:rsidRDefault="00DE14BC" w:rsidP="00DE14BC">
      <w:pPr>
        <w:spacing w:after="0" w:line="240" w:lineRule="auto"/>
        <w:rPr>
          <w:rFonts w:ascii="Calibri" w:hAnsi="Calibri" w:cs="Calibri"/>
        </w:rPr>
      </w:pPr>
    </w:p>
    <w:p w14:paraId="5E4531C8"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USES neexistují geometrie přesahující mimo řešené území </w:t>
      </w:r>
    </w:p>
    <w:p w14:paraId="1F93BBF8" w14:textId="77777777" w:rsidR="00DE14BC" w:rsidRPr="00DE14BC" w:rsidRDefault="00DE14BC" w:rsidP="00DE14BC">
      <w:pPr>
        <w:spacing w:after="0" w:line="240" w:lineRule="auto"/>
        <w:rPr>
          <w:rFonts w:ascii="Calibri" w:hAnsi="Calibri" w:cs="Calibri"/>
        </w:rPr>
      </w:pPr>
    </w:p>
    <w:p w14:paraId="019EEBAB"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USES v atributu CasH jsou pouze povolené hodnoty </w:t>
      </w:r>
    </w:p>
    <w:p w14:paraId="48C3B90A" w14:textId="77777777" w:rsidR="00DE14BC" w:rsidRPr="00DE14BC" w:rsidRDefault="00DE14BC" w:rsidP="00DE14BC">
      <w:pPr>
        <w:spacing w:after="0" w:line="240" w:lineRule="auto"/>
        <w:rPr>
          <w:rFonts w:ascii="Calibri" w:hAnsi="Calibri" w:cs="Calibri"/>
        </w:rPr>
      </w:pPr>
    </w:p>
    <w:p w14:paraId="179E9E23"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USES v atributu  Typ jsou pouze povolené hodnoty </w:t>
      </w:r>
    </w:p>
    <w:p w14:paraId="3B255A10" w14:textId="77777777" w:rsidR="00DE14BC" w:rsidRPr="00DE14BC" w:rsidRDefault="00DE14BC" w:rsidP="00DE14BC">
      <w:pPr>
        <w:spacing w:after="0" w:line="240" w:lineRule="auto"/>
        <w:rPr>
          <w:rFonts w:ascii="Calibri" w:hAnsi="Calibri" w:cs="Calibri"/>
        </w:rPr>
      </w:pPr>
    </w:p>
    <w:p w14:paraId="22FCFE3E"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USES v atributu  Oznaceni jsou pouze povolené hodnoty </w:t>
      </w:r>
    </w:p>
    <w:p w14:paraId="5EB24F9D" w14:textId="77777777" w:rsidR="00DE14BC" w:rsidRPr="00DE14BC" w:rsidRDefault="00DE14BC" w:rsidP="00DE14BC">
      <w:pPr>
        <w:spacing w:after="0" w:line="240" w:lineRule="auto"/>
        <w:rPr>
          <w:rFonts w:ascii="Calibri" w:hAnsi="Calibri" w:cs="Calibri"/>
        </w:rPr>
      </w:pPr>
    </w:p>
    <w:p w14:paraId="79A511A0"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USES jsou v souladu atributy Typ a Oznaceni </w:t>
      </w:r>
    </w:p>
    <w:p w14:paraId="4CA20DED" w14:textId="77777777" w:rsidR="00DE14BC" w:rsidRPr="00DE14BC" w:rsidRDefault="00DE14BC" w:rsidP="00DE14BC">
      <w:pPr>
        <w:spacing w:after="0" w:line="240" w:lineRule="auto"/>
        <w:rPr>
          <w:rFonts w:ascii="Calibri" w:hAnsi="Calibri" w:cs="Calibri"/>
        </w:rPr>
      </w:pPr>
    </w:p>
    <w:p w14:paraId="7FFD1F06" w14:textId="77777777" w:rsidR="00DE14BC" w:rsidRPr="00DE14BC" w:rsidRDefault="00DE14BC" w:rsidP="00DE14BC">
      <w:pPr>
        <w:spacing w:after="0" w:line="240" w:lineRule="auto"/>
        <w:rPr>
          <w:rFonts w:ascii="Calibri" w:hAnsi="Calibri" w:cs="Calibri"/>
        </w:rPr>
      </w:pPr>
      <w:r w:rsidRPr="00DE14BC">
        <w:rPr>
          <w:rFonts w:ascii="Calibri" w:hAnsi="Calibri" w:cs="Calibri"/>
        </w:rPr>
        <w:t>Status: OK</w:t>
      </w:r>
    </w:p>
    <w:p w14:paraId="2C9C38E5" w14:textId="77777777" w:rsidR="00DE14BC" w:rsidRPr="00DE14BC" w:rsidRDefault="00DE14BC" w:rsidP="00DE14BC">
      <w:pPr>
        <w:spacing w:after="0" w:line="240" w:lineRule="auto"/>
        <w:rPr>
          <w:rFonts w:ascii="Calibri" w:hAnsi="Calibri" w:cs="Calibri"/>
        </w:rPr>
      </w:pPr>
    </w:p>
    <w:p w14:paraId="003F6BA8"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   KONTROLA - SystemSidelniZelene  (plochy)  ---------- </w:t>
      </w:r>
    </w:p>
    <w:p w14:paraId="1C11C3EE"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w:t>
      </w:r>
    </w:p>
    <w:p w14:paraId="70964844" w14:textId="77777777" w:rsidR="00DE14BC" w:rsidRPr="00DE14BC" w:rsidRDefault="00DE14BC" w:rsidP="00DE14BC">
      <w:pPr>
        <w:spacing w:after="0" w:line="240" w:lineRule="auto"/>
        <w:rPr>
          <w:rFonts w:ascii="Calibri" w:hAnsi="Calibri" w:cs="Calibri"/>
        </w:rPr>
      </w:pPr>
    </w:p>
    <w:p w14:paraId="505F59E1"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SystemSidelniZelene neexistují nevalidní geometrie </w:t>
      </w:r>
    </w:p>
    <w:p w14:paraId="7507EC45" w14:textId="77777777" w:rsidR="00DE14BC" w:rsidRPr="00DE14BC" w:rsidRDefault="00DE14BC" w:rsidP="00DE14BC">
      <w:pPr>
        <w:spacing w:after="0" w:line="240" w:lineRule="auto"/>
        <w:rPr>
          <w:rFonts w:ascii="Calibri" w:hAnsi="Calibri" w:cs="Calibri"/>
        </w:rPr>
      </w:pPr>
    </w:p>
    <w:p w14:paraId="4C00039C"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SystemSidelniZelene neexistují protínající se geometrie </w:t>
      </w:r>
    </w:p>
    <w:p w14:paraId="37974AEB" w14:textId="77777777" w:rsidR="00DE14BC" w:rsidRPr="00DE14BC" w:rsidRDefault="00DE14BC" w:rsidP="00DE14BC">
      <w:pPr>
        <w:spacing w:after="0" w:line="240" w:lineRule="auto"/>
        <w:rPr>
          <w:rFonts w:ascii="Calibri" w:hAnsi="Calibri" w:cs="Calibri"/>
        </w:rPr>
      </w:pPr>
    </w:p>
    <w:p w14:paraId="4221EBA4"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SystemSidelniZelene neexistují malé díry mezi prvky </w:t>
      </w:r>
    </w:p>
    <w:p w14:paraId="2A59DD5A" w14:textId="77777777" w:rsidR="00DE14BC" w:rsidRPr="00DE14BC" w:rsidRDefault="00DE14BC" w:rsidP="00DE14BC">
      <w:pPr>
        <w:spacing w:after="0" w:line="240" w:lineRule="auto"/>
        <w:rPr>
          <w:rFonts w:ascii="Calibri" w:hAnsi="Calibri" w:cs="Calibri"/>
        </w:rPr>
      </w:pPr>
    </w:p>
    <w:p w14:paraId="548D9950"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SystemSidelniZelene neexistují geometrie přesahující mimo řešené území </w:t>
      </w:r>
    </w:p>
    <w:p w14:paraId="573F872D" w14:textId="77777777" w:rsidR="00DE14BC" w:rsidRPr="00DE14BC" w:rsidRDefault="00DE14BC" w:rsidP="00DE14BC">
      <w:pPr>
        <w:spacing w:after="0" w:line="240" w:lineRule="auto"/>
        <w:rPr>
          <w:rFonts w:ascii="Calibri" w:hAnsi="Calibri" w:cs="Calibri"/>
        </w:rPr>
      </w:pPr>
    </w:p>
    <w:p w14:paraId="3B319F84"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SystemSidelniZelene v atributu Obec_Kod jsou pouze povolené hodnoty </w:t>
      </w:r>
    </w:p>
    <w:p w14:paraId="79C16071" w14:textId="77777777" w:rsidR="00DE14BC" w:rsidRPr="00DE14BC" w:rsidRDefault="00DE14BC" w:rsidP="00DE14BC">
      <w:pPr>
        <w:spacing w:after="0" w:line="240" w:lineRule="auto"/>
        <w:rPr>
          <w:rFonts w:ascii="Calibri" w:hAnsi="Calibri" w:cs="Calibri"/>
        </w:rPr>
      </w:pPr>
    </w:p>
    <w:p w14:paraId="0A9DD8EC" w14:textId="77777777" w:rsidR="00DE14BC" w:rsidRPr="00DE14BC" w:rsidRDefault="00DE14BC" w:rsidP="00DE14BC">
      <w:pPr>
        <w:spacing w:after="0" w:line="240" w:lineRule="auto"/>
        <w:rPr>
          <w:rFonts w:ascii="Calibri" w:hAnsi="Calibri" w:cs="Calibri"/>
        </w:rPr>
      </w:pPr>
      <w:r w:rsidRPr="00DE14BC">
        <w:rPr>
          <w:rFonts w:ascii="Calibri" w:hAnsi="Calibri" w:cs="Calibri"/>
        </w:rPr>
        <w:t>Status: OK</w:t>
      </w:r>
    </w:p>
    <w:p w14:paraId="6497919A" w14:textId="77777777" w:rsidR="00DE14BC" w:rsidRPr="00DE14BC" w:rsidRDefault="00DE14BC" w:rsidP="00DE14BC">
      <w:pPr>
        <w:spacing w:after="0" w:line="240" w:lineRule="auto"/>
        <w:rPr>
          <w:rFonts w:ascii="Calibri" w:hAnsi="Calibri" w:cs="Calibri"/>
        </w:rPr>
      </w:pPr>
    </w:p>
    <w:p w14:paraId="25B99FCE"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   KONTROLA - SystemVerProstr  (plochy)  ---------- </w:t>
      </w:r>
    </w:p>
    <w:p w14:paraId="5D347A06"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w:t>
      </w:r>
    </w:p>
    <w:p w14:paraId="413A305D" w14:textId="77777777" w:rsidR="00DE14BC" w:rsidRPr="00DE14BC" w:rsidRDefault="00DE14BC" w:rsidP="00DE14BC">
      <w:pPr>
        <w:spacing w:after="0" w:line="240" w:lineRule="auto"/>
        <w:rPr>
          <w:rFonts w:ascii="Calibri" w:hAnsi="Calibri" w:cs="Calibri"/>
        </w:rPr>
      </w:pPr>
    </w:p>
    <w:p w14:paraId="705E471C"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SystemVerProstr neexistují nevalidní geometrie </w:t>
      </w:r>
    </w:p>
    <w:p w14:paraId="6BDAE984" w14:textId="77777777" w:rsidR="00DE14BC" w:rsidRPr="00DE14BC" w:rsidRDefault="00DE14BC" w:rsidP="00DE14BC">
      <w:pPr>
        <w:spacing w:after="0" w:line="240" w:lineRule="auto"/>
        <w:rPr>
          <w:rFonts w:ascii="Calibri" w:hAnsi="Calibri" w:cs="Calibri"/>
        </w:rPr>
      </w:pPr>
    </w:p>
    <w:p w14:paraId="483D5FF8"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SystemVerProstr neexistují protínající se geometrie </w:t>
      </w:r>
    </w:p>
    <w:p w14:paraId="75978009" w14:textId="77777777" w:rsidR="00DE14BC" w:rsidRPr="00DE14BC" w:rsidRDefault="00DE14BC" w:rsidP="00DE14BC">
      <w:pPr>
        <w:spacing w:after="0" w:line="240" w:lineRule="auto"/>
        <w:rPr>
          <w:rFonts w:ascii="Calibri" w:hAnsi="Calibri" w:cs="Calibri"/>
        </w:rPr>
      </w:pPr>
    </w:p>
    <w:p w14:paraId="5017DC65"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SystemVerProstr neexistují malé díry mezi prvky </w:t>
      </w:r>
    </w:p>
    <w:p w14:paraId="3E6EE3BC" w14:textId="77777777" w:rsidR="00DE14BC" w:rsidRPr="00DE14BC" w:rsidRDefault="00DE14BC" w:rsidP="00DE14BC">
      <w:pPr>
        <w:spacing w:after="0" w:line="240" w:lineRule="auto"/>
        <w:rPr>
          <w:rFonts w:ascii="Calibri" w:hAnsi="Calibri" w:cs="Calibri"/>
        </w:rPr>
      </w:pPr>
    </w:p>
    <w:p w14:paraId="3F23835B"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SystemVerProstr neexistují geometrie přesahující mimo řešené území </w:t>
      </w:r>
    </w:p>
    <w:p w14:paraId="50730EA7" w14:textId="77777777" w:rsidR="00DE14BC" w:rsidRPr="00DE14BC" w:rsidRDefault="00DE14BC" w:rsidP="00DE14BC">
      <w:pPr>
        <w:spacing w:after="0" w:line="240" w:lineRule="auto"/>
        <w:rPr>
          <w:rFonts w:ascii="Calibri" w:hAnsi="Calibri" w:cs="Calibri"/>
        </w:rPr>
      </w:pPr>
    </w:p>
    <w:p w14:paraId="6905F947" w14:textId="77777777" w:rsidR="00DE14BC" w:rsidRPr="00DE14BC" w:rsidRDefault="00DE14BC" w:rsidP="00DE14BC">
      <w:pPr>
        <w:spacing w:after="0" w:line="240" w:lineRule="auto"/>
        <w:rPr>
          <w:rFonts w:ascii="Calibri" w:hAnsi="Calibri" w:cs="Calibri"/>
        </w:rPr>
      </w:pPr>
      <w:r w:rsidRPr="00DE14BC">
        <w:rPr>
          <w:rFonts w:ascii="Calibri" w:hAnsi="Calibri" w:cs="Calibri"/>
        </w:rPr>
        <w:lastRenderedPageBreak/>
        <w:t xml:space="preserve">Zkontrolováno: V tabulce SystemVerProstr v atributu Obec_Kod jsou pouze povolené hodnoty </w:t>
      </w:r>
    </w:p>
    <w:p w14:paraId="2539061E" w14:textId="77777777" w:rsidR="00DE14BC" w:rsidRPr="00DE14BC" w:rsidRDefault="00DE14BC" w:rsidP="00DE14BC">
      <w:pPr>
        <w:spacing w:after="0" w:line="240" w:lineRule="auto"/>
        <w:rPr>
          <w:rFonts w:ascii="Calibri" w:hAnsi="Calibri" w:cs="Calibri"/>
        </w:rPr>
      </w:pPr>
    </w:p>
    <w:p w14:paraId="17AC60E7" w14:textId="77777777" w:rsidR="00DE14BC" w:rsidRPr="00DE14BC" w:rsidRDefault="00DE14BC" w:rsidP="00DE14BC">
      <w:pPr>
        <w:spacing w:after="0" w:line="240" w:lineRule="auto"/>
        <w:rPr>
          <w:rFonts w:ascii="Calibri" w:hAnsi="Calibri" w:cs="Calibri"/>
        </w:rPr>
      </w:pPr>
      <w:r w:rsidRPr="00DE14BC">
        <w:rPr>
          <w:rFonts w:ascii="Calibri" w:hAnsi="Calibri" w:cs="Calibri"/>
        </w:rPr>
        <w:t>Status: OK</w:t>
      </w:r>
    </w:p>
    <w:p w14:paraId="4B0E33A4" w14:textId="77777777" w:rsidR="00DE14BC" w:rsidRPr="00DE14BC" w:rsidRDefault="00DE14BC" w:rsidP="00DE14BC">
      <w:pPr>
        <w:spacing w:after="0" w:line="240" w:lineRule="auto"/>
        <w:rPr>
          <w:rFonts w:ascii="Calibri" w:hAnsi="Calibri" w:cs="Calibri"/>
        </w:rPr>
      </w:pPr>
    </w:p>
    <w:p w14:paraId="7ADFFD7B"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  KONTROLY VZTAHŮ MEZI VRSTVAMI  ------------------ </w:t>
      </w:r>
    </w:p>
    <w:p w14:paraId="7E0C4EE4"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w:t>
      </w:r>
    </w:p>
    <w:p w14:paraId="393B80BB" w14:textId="77777777" w:rsidR="00DE14BC" w:rsidRPr="00DE14BC" w:rsidRDefault="00DE14BC" w:rsidP="00DE14BC">
      <w:pPr>
        <w:spacing w:after="0" w:line="240" w:lineRule="auto"/>
        <w:rPr>
          <w:rFonts w:ascii="Calibri" w:hAnsi="Calibri" w:cs="Calibri"/>
        </w:rPr>
      </w:pPr>
    </w:p>
    <w:p w14:paraId="3AC6622C"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Neexistují protínající se geometrie mezi tabulkami PlochyRZV_p a KoridoryP_p </w:t>
      </w:r>
    </w:p>
    <w:p w14:paraId="67B0FC76" w14:textId="77777777" w:rsidR="00DE14BC" w:rsidRPr="00DE14BC" w:rsidRDefault="00DE14BC" w:rsidP="00DE14BC">
      <w:pPr>
        <w:spacing w:after="0" w:line="240" w:lineRule="auto"/>
        <w:rPr>
          <w:rFonts w:ascii="Calibri" w:hAnsi="Calibri" w:cs="Calibri"/>
        </w:rPr>
      </w:pPr>
    </w:p>
    <w:p w14:paraId="0BD229D7"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Neexistují díry mezi prvky PlochyRZV_p a KoridoryP_p </w:t>
      </w:r>
    </w:p>
    <w:p w14:paraId="189BD0F5" w14:textId="77777777" w:rsidR="00DE14BC" w:rsidRPr="00DE14BC" w:rsidRDefault="00DE14BC" w:rsidP="00DE14BC">
      <w:pPr>
        <w:spacing w:after="0" w:line="240" w:lineRule="auto"/>
        <w:rPr>
          <w:rFonts w:ascii="Calibri" w:hAnsi="Calibri" w:cs="Calibri"/>
        </w:rPr>
      </w:pPr>
    </w:p>
    <w:p w14:paraId="2CAC1528"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Řešené území a kombinace vrstev PlochyRZV_p a KoridoryP_p jsou v souladu </w:t>
      </w:r>
    </w:p>
    <w:p w14:paraId="60B46450" w14:textId="77777777" w:rsidR="00DE14BC" w:rsidRPr="00DE14BC" w:rsidRDefault="00DE14BC" w:rsidP="00DE14BC">
      <w:pPr>
        <w:spacing w:after="0" w:line="240" w:lineRule="auto"/>
        <w:rPr>
          <w:rFonts w:ascii="Calibri" w:hAnsi="Calibri" w:cs="Calibri"/>
        </w:rPr>
      </w:pPr>
    </w:p>
    <w:p w14:paraId="03794787" w14:textId="77777777" w:rsidR="00DE14BC" w:rsidRPr="00DE14BC" w:rsidRDefault="00DE14BC" w:rsidP="00DE14BC">
      <w:pPr>
        <w:spacing w:after="0" w:line="240" w:lineRule="auto"/>
        <w:rPr>
          <w:rFonts w:ascii="Calibri" w:hAnsi="Calibri" w:cs="Calibri"/>
        </w:rPr>
      </w:pPr>
      <w:r w:rsidRPr="00DE14BC">
        <w:rPr>
          <w:rFonts w:ascii="Calibri" w:hAnsi="Calibri" w:cs="Calibri"/>
        </w:rPr>
        <w:t>Status: OK</w:t>
      </w:r>
    </w:p>
    <w:p w14:paraId="5EB9C030" w14:textId="77777777" w:rsidR="00DE14BC" w:rsidRPr="00DE14BC" w:rsidRDefault="00DE14BC" w:rsidP="00DE14BC">
      <w:pPr>
        <w:spacing w:after="0" w:line="240" w:lineRule="auto"/>
        <w:rPr>
          <w:rFonts w:ascii="Calibri" w:hAnsi="Calibri" w:cs="Calibri"/>
        </w:rPr>
      </w:pPr>
    </w:p>
    <w:p w14:paraId="170EC97B"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   KONTROLA NESTANDARDIZOVANÝCH VRSTEV ----------------- </w:t>
      </w:r>
    </w:p>
    <w:p w14:paraId="2D543792"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w:t>
      </w:r>
    </w:p>
    <w:p w14:paraId="12E4A53F" w14:textId="77777777" w:rsidR="00DE14BC" w:rsidRPr="00DE14BC" w:rsidRDefault="00DE14BC" w:rsidP="00DE14BC">
      <w:pPr>
        <w:spacing w:after="0" w:line="240" w:lineRule="auto"/>
        <w:rPr>
          <w:rFonts w:ascii="Calibri" w:hAnsi="Calibri" w:cs="Calibri"/>
        </w:rPr>
      </w:pPr>
      <w:r w:rsidRPr="00DE14BC">
        <w:rPr>
          <w:rFonts w:ascii="Calibri" w:hAnsi="Calibri" w:cs="Calibri"/>
        </w:rPr>
        <w:t>OK: nalezen nestandartní soubor x_navrh_l.shp</w:t>
      </w:r>
    </w:p>
    <w:p w14:paraId="68A4271E" w14:textId="77777777" w:rsidR="00DE14BC" w:rsidRPr="00DE14BC" w:rsidRDefault="00DE14BC" w:rsidP="00DE14BC">
      <w:pPr>
        <w:spacing w:after="0" w:line="240" w:lineRule="auto"/>
        <w:rPr>
          <w:rFonts w:ascii="Calibri" w:hAnsi="Calibri" w:cs="Calibri"/>
        </w:rPr>
      </w:pPr>
      <w:r w:rsidRPr="00DE14BC">
        <w:rPr>
          <w:rFonts w:ascii="Calibri" w:hAnsi="Calibri" w:cs="Calibri"/>
        </w:rPr>
        <w:t>OK: Nalezen soubor s metadaty k vrstvě x_navrh_l.shp.xml</w:t>
      </w:r>
    </w:p>
    <w:p w14:paraId="7C7DA3CE" w14:textId="77777777" w:rsidR="00DE14BC" w:rsidRPr="00DE14BC" w:rsidRDefault="00DE14BC" w:rsidP="00DE14BC">
      <w:pPr>
        <w:spacing w:after="0" w:line="240" w:lineRule="auto"/>
        <w:rPr>
          <w:rFonts w:ascii="Calibri" w:hAnsi="Calibri" w:cs="Calibri"/>
        </w:rPr>
      </w:pPr>
      <w:r w:rsidRPr="00DE14BC">
        <w:rPr>
          <w:rFonts w:ascii="Calibri" w:hAnsi="Calibri" w:cs="Calibri"/>
        </w:rPr>
        <w:t>OK: Zpracovávám soubor x_navrh_l.shp</w:t>
      </w:r>
    </w:p>
    <w:p w14:paraId="7B0203FA" w14:textId="77777777" w:rsidR="00DE14BC" w:rsidRPr="00DE14BC" w:rsidRDefault="00DE14BC" w:rsidP="00DE14BC">
      <w:pPr>
        <w:spacing w:after="0" w:line="240" w:lineRule="auto"/>
        <w:rPr>
          <w:rFonts w:ascii="Calibri" w:hAnsi="Calibri" w:cs="Calibri"/>
        </w:rPr>
      </w:pPr>
    </w:p>
    <w:p w14:paraId="175F8EA0"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  KONTROLA RASTRŮ --------------------------- </w:t>
      </w:r>
    </w:p>
    <w:p w14:paraId="47EF4CE4"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w:t>
      </w:r>
    </w:p>
    <w:p w14:paraId="4265AC95" w14:textId="77777777" w:rsidR="00DE14BC" w:rsidRPr="00DE14BC" w:rsidRDefault="00DE14BC" w:rsidP="00DE14BC">
      <w:pPr>
        <w:spacing w:after="0" w:line="240" w:lineRule="auto"/>
        <w:rPr>
          <w:rFonts w:ascii="Calibri" w:hAnsi="Calibri" w:cs="Calibri"/>
        </w:rPr>
      </w:pPr>
    </w:p>
    <w:p w14:paraId="519A9D3B" w14:textId="77777777" w:rsidR="00DE14BC" w:rsidRPr="00DE14BC" w:rsidRDefault="00DE14BC" w:rsidP="00DE14BC">
      <w:pPr>
        <w:spacing w:after="0" w:line="240" w:lineRule="auto"/>
        <w:rPr>
          <w:rFonts w:ascii="Calibri" w:hAnsi="Calibri" w:cs="Calibri"/>
        </w:rPr>
      </w:pPr>
      <w:r w:rsidRPr="00DE14BC">
        <w:rPr>
          <w:rFonts w:ascii="Calibri" w:hAnsi="Calibri" w:cs="Calibri"/>
        </w:rPr>
        <w:t>-------------------------- Kontrola textů --------------------------</w:t>
      </w:r>
    </w:p>
    <w:p w14:paraId="338EB6C1" w14:textId="77777777" w:rsidR="00DE14BC" w:rsidRPr="00DE14BC" w:rsidRDefault="00DE14BC" w:rsidP="00DE14BC">
      <w:pPr>
        <w:spacing w:after="0" w:line="240" w:lineRule="auto"/>
        <w:rPr>
          <w:rFonts w:ascii="Calibri" w:hAnsi="Calibri" w:cs="Calibri"/>
        </w:rPr>
      </w:pPr>
    </w:p>
    <w:p w14:paraId="0505C72F" w14:textId="77777777" w:rsidR="00DE14BC" w:rsidRPr="00DE14BC" w:rsidRDefault="00DE14BC" w:rsidP="00DE14BC">
      <w:pPr>
        <w:spacing w:after="0" w:line="240" w:lineRule="auto"/>
        <w:rPr>
          <w:rFonts w:ascii="Calibri" w:hAnsi="Calibri" w:cs="Calibri"/>
        </w:rPr>
      </w:pPr>
      <w:r w:rsidRPr="00DE14BC">
        <w:rPr>
          <w:rFonts w:ascii="Calibri" w:hAnsi="Calibri" w:cs="Calibri"/>
        </w:rPr>
        <w:t>----------------------- Kontrola vykresy.xml -----------------------</w:t>
      </w:r>
    </w:p>
    <w:p w14:paraId="49B70AF9" w14:textId="77777777" w:rsidR="00DE14BC" w:rsidRPr="00DE14BC" w:rsidRDefault="00DE14BC" w:rsidP="00DE14BC">
      <w:pPr>
        <w:spacing w:after="0" w:line="240" w:lineRule="auto"/>
        <w:rPr>
          <w:rFonts w:ascii="Calibri" w:hAnsi="Calibri" w:cs="Calibri"/>
        </w:rPr>
      </w:pPr>
      <w:r w:rsidRPr="00DE14BC">
        <w:rPr>
          <w:rFonts w:ascii="Calibri" w:hAnsi="Calibri" w:cs="Calibri"/>
        </w:rPr>
        <w:t>Zkontrolováno: Soubor vykresy.xml je validní a v souladu s požadavky viz.  https://etl-up-new.uur.cz/etl-v2/help.</w:t>
      </w:r>
    </w:p>
    <w:p w14:paraId="0E2CD571" w14:textId="77777777" w:rsidR="00DE14BC" w:rsidRPr="00DE14BC" w:rsidRDefault="00DE14BC" w:rsidP="00DE14BC">
      <w:pPr>
        <w:spacing w:after="0" w:line="240" w:lineRule="auto"/>
        <w:rPr>
          <w:rFonts w:ascii="Calibri" w:hAnsi="Calibri" w:cs="Calibri"/>
        </w:rPr>
      </w:pPr>
    </w:p>
    <w:p w14:paraId="69050180" w14:textId="77777777" w:rsidR="00DE14BC" w:rsidRPr="00DE14BC" w:rsidRDefault="00DE14BC" w:rsidP="00DE14BC">
      <w:pPr>
        <w:spacing w:after="0" w:line="240" w:lineRule="auto"/>
        <w:rPr>
          <w:rFonts w:ascii="Calibri" w:hAnsi="Calibri" w:cs="Calibri"/>
        </w:rPr>
      </w:pPr>
      <w:r w:rsidRPr="00DE14BC">
        <w:rPr>
          <w:rFonts w:ascii="Calibri" w:hAnsi="Calibri" w:cs="Calibri"/>
        </w:rPr>
        <w:t>------------------------- Kontrola souborů -------------------------</w:t>
      </w:r>
    </w:p>
    <w:p w14:paraId="00178736" w14:textId="77777777" w:rsidR="00DE14BC" w:rsidRPr="00DE14BC" w:rsidRDefault="00DE14BC" w:rsidP="00DE14BC">
      <w:pPr>
        <w:spacing w:after="0" w:line="240" w:lineRule="auto"/>
        <w:rPr>
          <w:rFonts w:ascii="Calibri" w:hAnsi="Calibri" w:cs="Calibri"/>
        </w:rPr>
      </w:pPr>
      <w:r w:rsidRPr="00DE14BC">
        <w:rPr>
          <w:rFonts w:ascii="Calibri" w:hAnsi="Calibri" w:cs="Calibri"/>
        </w:rPr>
        <w:t>Zkontrolováno: výkres 537331_1_ZCU.png uvedený v seznamu vykresy.xml je mezi předanými výkresy.</w:t>
      </w:r>
    </w:p>
    <w:p w14:paraId="21AAD1D3" w14:textId="77777777" w:rsidR="00DE14BC" w:rsidRPr="00DE14BC" w:rsidRDefault="00DE14BC" w:rsidP="00DE14BC">
      <w:pPr>
        <w:spacing w:after="0" w:line="240" w:lineRule="auto"/>
        <w:rPr>
          <w:rFonts w:ascii="Calibri" w:hAnsi="Calibri" w:cs="Calibri"/>
        </w:rPr>
      </w:pPr>
      <w:r w:rsidRPr="00DE14BC">
        <w:rPr>
          <w:rFonts w:ascii="Calibri" w:hAnsi="Calibri" w:cs="Calibri"/>
        </w:rPr>
        <w:t>Zkontrolováno: výkres 537331_2_HLV.png uvedený v seznamu vykresy.xml je mezi předanými výkresy.</w:t>
      </w:r>
    </w:p>
    <w:p w14:paraId="31404FC4" w14:textId="77777777" w:rsidR="00DE14BC" w:rsidRPr="00DE14BC" w:rsidRDefault="00DE14BC" w:rsidP="00DE14BC">
      <w:pPr>
        <w:spacing w:after="0" w:line="240" w:lineRule="auto"/>
        <w:rPr>
          <w:rFonts w:ascii="Calibri" w:hAnsi="Calibri" w:cs="Calibri"/>
        </w:rPr>
      </w:pPr>
      <w:r w:rsidRPr="00DE14BC">
        <w:rPr>
          <w:rFonts w:ascii="Calibri" w:hAnsi="Calibri" w:cs="Calibri"/>
        </w:rPr>
        <w:t>Zkontrolováno: výkres 537331_3_VPS.png uvedený v seznamu vykresy.xml je mezi předanými výkresy.</w:t>
      </w:r>
    </w:p>
    <w:p w14:paraId="0B40D797" w14:textId="77777777" w:rsidR="00DE14BC" w:rsidRPr="00DE14BC" w:rsidRDefault="00DE14BC" w:rsidP="00DE14BC">
      <w:pPr>
        <w:spacing w:after="0" w:line="240" w:lineRule="auto"/>
        <w:rPr>
          <w:rFonts w:ascii="Calibri" w:hAnsi="Calibri" w:cs="Calibri"/>
        </w:rPr>
      </w:pPr>
      <w:r w:rsidRPr="00DE14BC">
        <w:rPr>
          <w:rFonts w:ascii="Calibri" w:hAnsi="Calibri" w:cs="Calibri"/>
        </w:rPr>
        <w:t>Zkontrolováno: výkres 537331_4_KOV.png uvedený v seznamu vykresy.xml je mezi předanými výkresy.</w:t>
      </w:r>
    </w:p>
    <w:p w14:paraId="519B76F9" w14:textId="77777777" w:rsidR="00DE14BC" w:rsidRPr="00DE14BC" w:rsidRDefault="00DE14BC" w:rsidP="00DE14BC">
      <w:pPr>
        <w:spacing w:after="0" w:line="240" w:lineRule="auto"/>
        <w:rPr>
          <w:rFonts w:ascii="Calibri" w:hAnsi="Calibri" w:cs="Calibri"/>
        </w:rPr>
      </w:pPr>
      <w:r w:rsidRPr="00DE14BC">
        <w:rPr>
          <w:rFonts w:ascii="Calibri" w:hAnsi="Calibri" w:cs="Calibri"/>
        </w:rPr>
        <w:t>Zkontrolováno: výkres 537331_5_SV.png uvedený v seznamu vykresy.xml je mezi předanými výkresy.</w:t>
      </w:r>
    </w:p>
    <w:p w14:paraId="5430145C" w14:textId="77777777" w:rsidR="00DE14BC" w:rsidRPr="00DE14BC" w:rsidRDefault="00DE14BC" w:rsidP="00DE14BC">
      <w:pPr>
        <w:spacing w:after="0" w:line="240" w:lineRule="auto"/>
        <w:rPr>
          <w:rFonts w:ascii="Calibri" w:hAnsi="Calibri" w:cs="Calibri"/>
        </w:rPr>
      </w:pPr>
      <w:r w:rsidRPr="00DE14BC">
        <w:rPr>
          <w:rFonts w:ascii="Calibri" w:hAnsi="Calibri" w:cs="Calibri"/>
        </w:rPr>
        <w:t>Zkontrolováno: výkres 537331_6_ZPF.png uvedený v seznamu vykresy.xml je mezi předanými výkresy.</w:t>
      </w:r>
    </w:p>
    <w:p w14:paraId="5389E875" w14:textId="77777777" w:rsidR="00DE14BC" w:rsidRPr="00DE14BC" w:rsidRDefault="00DE14BC" w:rsidP="00DE14BC">
      <w:pPr>
        <w:spacing w:after="0" w:line="240" w:lineRule="auto"/>
        <w:rPr>
          <w:rFonts w:ascii="Calibri" w:hAnsi="Calibri" w:cs="Calibri"/>
        </w:rPr>
      </w:pPr>
    </w:p>
    <w:p w14:paraId="6CA7C4F1" w14:textId="77777777" w:rsidR="00DE14BC" w:rsidRPr="00DE14BC" w:rsidRDefault="00DE14BC" w:rsidP="00DE14BC">
      <w:pPr>
        <w:spacing w:after="0" w:line="240" w:lineRule="auto"/>
        <w:rPr>
          <w:rFonts w:ascii="Calibri" w:hAnsi="Calibri" w:cs="Calibri"/>
        </w:rPr>
      </w:pPr>
      <w:r w:rsidRPr="00DE14BC">
        <w:rPr>
          <w:rFonts w:ascii="Calibri" w:hAnsi="Calibri" w:cs="Calibri"/>
        </w:rPr>
        <w:t>--------------------------- Kontrola pdf ---------------------------</w:t>
      </w:r>
    </w:p>
    <w:p w14:paraId="7B3B35BA" w14:textId="77777777" w:rsidR="00DE14BC" w:rsidRPr="00DE14BC" w:rsidRDefault="00DE14BC" w:rsidP="00DE14BC">
      <w:pPr>
        <w:spacing w:after="0" w:line="240" w:lineRule="auto"/>
        <w:rPr>
          <w:rFonts w:ascii="Calibri" w:hAnsi="Calibri" w:cs="Calibri"/>
        </w:rPr>
      </w:pPr>
      <w:r w:rsidRPr="00DE14BC">
        <w:rPr>
          <w:rFonts w:ascii="Calibri" w:hAnsi="Calibri" w:cs="Calibri"/>
        </w:rPr>
        <w:t>Zkontrolováno: 537331_1_ZCU.pdf je validní PDF/A</w:t>
      </w:r>
    </w:p>
    <w:p w14:paraId="29891B3B" w14:textId="77777777" w:rsidR="00DE14BC" w:rsidRPr="00DE14BC" w:rsidRDefault="00DE14BC" w:rsidP="00DE14BC">
      <w:pPr>
        <w:spacing w:after="0" w:line="240" w:lineRule="auto"/>
        <w:rPr>
          <w:rFonts w:ascii="Calibri" w:hAnsi="Calibri" w:cs="Calibri"/>
        </w:rPr>
      </w:pPr>
      <w:r w:rsidRPr="00DE14BC">
        <w:rPr>
          <w:rFonts w:ascii="Calibri" w:hAnsi="Calibri" w:cs="Calibri"/>
        </w:rPr>
        <w:t>Zkontrolováno: 537331_2_HLV.pdf je validní PDF/A</w:t>
      </w:r>
    </w:p>
    <w:p w14:paraId="0BE66740" w14:textId="77777777" w:rsidR="00DE14BC" w:rsidRPr="00DE14BC" w:rsidRDefault="00DE14BC" w:rsidP="00DE14BC">
      <w:pPr>
        <w:spacing w:after="0" w:line="240" w:lineRule="auto"/>
        <w:rPr>
          <w:rFonts w:ascii="Calibri" w:hAnsi="Calibri" w:cs="Calibri"/>
        </w:rPr>
      </w:pPr>
      <w:r w:rsidRPr="00DE14BC">
        <w:rPr>
          <w:rFonts w:ascii="Calibri" w:hAnsi="Calibri" w:cs="Calibri"/>
        </w:rPr>
        <w:t>Zkontrolováno: 537331_3_VPS.pdf je validní PDF/A</w:t>
      </w:r>
    </w:p>
    <w:p w14:paraId="2113BA4C" w14:textId="77777777" w:rsidR="00DE14BC" w:rsidRPr="00DE14BC" w:rsidRDefault="00DE14BC" w:rsidP="00DE14BC">
      <w:pPr>
        <w:spacing w:after="0" w:line="240" w:lineRule="auto"/>
        <w:rPr>
          <w:rFonts w:ascii="Calibri" w:hAnsi="Calibri" w:cs="Calibri"/>
        </w:rPr>
      </w:pPr>
      <w:r w:rsidRPr="00DE14BC">
        <w:rPr>
          <w:rFonts w:ascii="Calibri" w:hAnsi="Calibri" w:cs="Calibri"/>
        </w:rPr>
        <w:t>Zkontrolováno: 537331_4_KOV.pdf je validní PDF/A</w:t>
      </w:r>
    </w:p>
    <w:p w14:paraId="0CDECA5B" w14:textId="77777777" w:rsidR="00DE14BC" w:rsidRPr="00DE14BC" w:rsidRDefault="00DE14BC" w:rsidP="00DE14BC">
      <w:pPr>
        <w:spacing w:after="0" w:line="240" w:lineRule="auto"/>
        <w:rPr>
          <w:rFonts w:ascii="Calibri" w:hAnsi="Calibri" w:cs="Calibri"/>
        </w:rPr>
      </w:pPr>
      <w:r w:rsidRPr="00DE14BC">
        <w:rPr>
          <w:rFonts w:ascii="Calibri" w:hAnsi="Calibri" w:cs="Calibri"/>
        </w:rPr>
        <w:t>Zkontrolováno: 537331_5_SV.pdf je validní PDF/A</w:t>
      </w:r>
    </w:p>
    <w:p w14:paraId="5A05C93E" w14:textId="77777777" w:rsidR="00DE14BC" w:rsidRPr="00DE14BC" w:rsidRDefault="00DE14BC" w:rsidP="00DE14BC">
      <w:pPr>
        <w:spacing w:after="0" w:line="240" w:lineRule="auto"/>
        <w:rPr>
          <w:rFonts w:ascii="Calibri" w:hAnsi="Calibri" w:cs="Calibri"/>
        </w:rPr>
      </w:pPr>
      <w:r w:rsidRPr="00DE14BC">
        <w:rPr>
          <w:rFonts w:ascii="Calibri" w:hAnsi="Calibri" w:cs="Calibri"/>
        </w:rPr>
        <w:t>Zkontrolováno: 537331_6_ZPF.pdf je validní PDF/A</w:t>
      </w:r>
    </w:p>
    <w:p w14:paraId="2B06349A" w14:textId="77777777" w:rsidR="00DE14BC" w:rsidRPr="00DE14BC" w:rsidRDefault="00DE14BC" w:rsidP="00DE14BC">
      <w:pPr>
        <w:spacing w:after="0" w:line="240" w:lineRule="auto"/>
        <w:rPr>
          <w:rFonts w:ascii="Calibri" w:hAnsi="Calibri" w:cs="Calibri"/>
        </w:rPr>
      </w:pPr>
    </w:p>
    <w:p w14:paraId="281CD30F" w14:textId="77777777" w:rsidR="00DE14BC" w:rsidRPr="00DE14BC" w:rsidRDefault="00DE14BC" w:rsidP="00DE14BC">
      <w:pPr>
        <w:spacing w:after="0" w:line="240" w:lineRule="auto"/>
        <w:rPr>
          <w:rFonts w:ascii="Calibri" w:hAnsi="Calibri" w:cs="Calibri"/>
        </w:rPr>
      </w:pPr>
      <w:r w:rsidRPr="00DE14BC">
        <w:rPr>
          <w:rFonts w:ascii="Calibri" w:hAnsi="Calibri" w:cs="Calibri"/>
        </w:rPr>
        <w:t>------------------ Kontrola prostorové reference -------------------</w:t>
      </w:r>
    </w:p>
    <w:p w14:paraId="74D9BB7D" w14:textId="77777777" w:rsidR="00DE14BC" w:rsidRPr="00DE14BC" w:rsidRDefault="00DE14BC" w:rsidP="00DE14BC">
      <w:pPr>
        <w:spacing w:after="0" w:line="240" w:lineRule="auto"/>
        <w:rPr>
          <w:rFonts w:ascii="Calibri" w:hAnsi="Calibri" w:cs="Calibri"/>
        </w:rPr>
      </w:pPr>
    </w:p>
    <w:p w14:paraId="5FFAB0D4" w14:textId="77777777" w:rsidR="00DE14BC" w:rsidRPr="00DE14BC" w:rsidRDefault="00DE14BC" w:rsidP="00DE14BC">
      <w:pPr>
        <w:spacing w:after="0" w:line="240" w:lineRule="auto"/>
        <w:rPr>
          <w:rFonts w:ascii="Calibri" w:hAnsi="Calibri" w:cs="Calibri"/>
        </w:rPr>
      </w:pPr>
      <w:r w:rsidRPr="00DE14BC">
        <w:rPr>
          <w:rFonts w:ascii="Calibri" w:hAnsi="Calibri" w:cs="Calibri"/>
        </w:rPr>
        <w:t>------------------------- Kontrola metadat -------------------------</w:t>
      </w:r>
    </w:p>
    <w:p w14:paraId="2F5EB020" w14:textId="77777777" w:rsidR="00DE14BC" w:rsidRPr="00DE14BC" w:rsidRDefault="00DE14BC" w:rsidP="00DE14BC">
      <w:pPr>
        <w:spacing w:after="0" w:line="240" w:lineRule="auto"/>
        <w:rPr>
          <w:rFonts w:ascii="Calibri" w:hAnsi="Calibri" w:cs="Calibri"/>
        </w:rPr>
      </w:pPr>
      <w:r w:rsidRPr="00DE14BC">
        <w:rPr>
          <w:rFonts w:ascii="Calibri" w:hAnsi="Calibri" w:cs="Calibri"/>
        </w:rPr>
        <w:t>Zkontrolováno: Všechny výkresy jsou opatřeny popisem ve vykresy.xml</w:t>
      </w:r>
    </w:p>
    <w:p w14:paraId="5E977FCF" w14:textId="77777777" w:rsidR="00DE14BC" w:rsidRPr="00DE14BC" w:rsidRDefault="00DE14BC" w:rsidP="00DE14BC">
      <w:pPr>
        <w:spacing w:after="0" w:line="240" w:lineRule="auto"/>
        <w:rPr>
          <w:rFonts w:ascii="Calibri" w:hAnsi="Calibri" w:cs="Calibri"/>
        </w:rPr>
      </w:pPr>
    </w:p>
    <w:p w14:paraId="750F0D46" w14:textId="77777777" w:rsidR="00DE14BC" w:rsidRPr="00DE14BC" w:rsidRDefault="00DE14BC" w:rsidP="00DE14BC">
      <w:pPr>
        <w:spacing w:after="0" w:line="240" w:lineRule="auto"/>
        <w:rPr>
          <w:rFonts w:ascii="Calibri" w:hAnsi="Calibri" w:cs="Calibri"/>
        </w:rPr>
      </w:pPr>
      <w:r w:rsidRPr="00DE14BC">
        <w:rPr>
          <w:rFonts w:ascii="Calibri" w:hAnsi="Calibri" w:cs="Calibri"/>
        </w:rPr>
        <w:t>------------------------ Kontrola rozlišení ------------------------</w:t>
      </w:r>
    </w:p>
    <w:p w14:paraId="5D7D37E8" w14:textId="77777777" w:rsidR="00DE14BC" w:rsidRPr="00DE14BC" w:rsidRDefault="00DE14BC" w:rsidP="00DE14BC">
      <w:pPr>
        <w:spacing w:after="0" w:line="240" w:lineRule="auto"/>
        <w:rPr>
          <w:rFonts w:ascii="Calibri" w:hAnsi="Calibri" w:cs="Calibri"/>
        </w:rPr>
      </w:pPr>
      <w:r w:rsidRPr="00DE14BC">
        <w:rPr>
          <w:rFonts w:ascii="Calibri" w:hAnsi="Calibri" w:cs="Calibri"/>
        </w:rPr>
        <w:t>Zkontrolováno: soubor 537331_1_ZCU.png má rozlišení 299.89</w:t>
      </w:r>
    </w:p>
    <w:p w14:paraId="27D69454" w14:textId="77777777" w:rsidR="00DE14BC" w:rsidRPr="00DE14BC" w:rsidRDefault="00DE14BC" w:rsidP="00DE14BC">
      <w:pPr>
        <w:spacing w:after="0" w:line="240" w:lineRule="auto"/>
        <w:rPr>
          <w:rFonts w:ascii="Calibri" w:hAnsi="Calibri" w:cs="Calibri"/>
        </w:rPr>
      </w:pPr>
      <w:r w:rsidRPr="00DE14BC">
        <w:rPr>
          <w:rFonts w:ascii="Calibri" w:hAnsi="Calibri" w:cs="Calibri"/>
        </w:rPr>
        <w:t>Zkontrolováno: soubor 537331_2_HLV.png má rozlišení 299.95</w:t>
      </w:r>
    </w:p>
    <w:p w14:paraId="6E051435" w14:textId="77777777" w:rsidR="00DE14BC" w:rsidRPr="00DE14BC" w:rsidRDefault="00DE14BC" w:rsidP="00DE14BC">
      <w:pPr>
        <w:spacing w:after="0" w:line="240" w:lineRule="auto"/>
        <w:rPr>
          <w:rFonts w:ascii="Calibri" w:hAnsi="Calibri" w:cs="Calibri"/>
        </w:rPr>
      </w:pPr>
      <w:r w:rsidRPr="00DE14BC">
        <w:rPr>
          <w:rFonts w:ascii="Calibri" w:hAnsi="Calibri" w:cs="Calibri"/>
        </w:rPr>
        <w:t>Zkontrolováno: soubor 537331_3_VPS.png má rozlišení 300.04</w:t>
      </w:r>
    </w:p>
    <w:p w14:paraId="53E53036" w14:textId="77777777" w:rsidR="00DE14BC" w:rsidRPr="00DE14BC" w:rsidRDefault="00DE14BC" w:rsidP="00DE14BC">
      <w:pPr>
        <w:spacing w:after="0" w:line="240" w:lineRule="auto"/>
        <w:rPr>
          <w:rFonts w:ascii="Calibri" w:hAnsi="Calibri" w:cs="Calibri"/>
        </w:rPr>
      </w:pPr>
      <w:r w:rsidRPr="00DE14BC">
        <w:rPr>
          <w:rFonts w:ascii="Calibri" w:hAnsi="Calibri" w:cs="Calibri"/>
        </w:rPr>
        <w:t>Zkontrolováno: soubor 537331_4_KOV.png má rozlišení 300.07</w:t>
      </w:r>
    </w:p>
    <w:p w14:paraId="1A77644E" w14:textId="77777777" w:rsidR="00DE14BC" w:rsidRPr="00DE14BC" w:rsidRDefault="00DE14BC" w:rsidP="00DE14BC">
      <w:pPr>
        <w:spacing w:after="0" w:line="240" w:lineRule="auto"/>
        <w:rPr>
          <w:rFonts w:ascii="Calibri" w:hAnsi="Calibri" w:cs="Calibri"/>
        </w:rPr>
      </w:pPr>
      <w:r w:rsidRPr="00DE14BC">
        <w:rPr>
          <w:rFonts w:ascii="Calibri" w:hAnsi="Calibri" w:cs="Calibri"/>
        </w:rPr>
        <w:t>Zkontrolováno: soubor 537331_5_SV.png má rozlišení 297.07</w:t>
      </w:r>
    </w:p>
    <w:p w14:paraId="714FD242" w14:textId="77777777" w:rsidR="00DE14BC" w:rsidRPr="00DE14BC" w:rsidRDefault="00DE14BC" w:rsidP="00DE14BC">
      <w:pPr>
        <w:spacing w:after="0" w:line="240" w:lineRule="auto"/>
        <w:rPr>
          <w:rFonts w:ascii="Calibri" w:hAnsi="Calibri" w:cs="Calibri"/>
        </w:rPr>
      </w:pPr>
      <w:r w:rsidRPr="00DE14BC">
        <w:rPr>
          <w:rFonts w:ascii="Calibri" w:hAnsi="Calibri" w:cs="Calibri"/>
        </w:rPr>
        <w:t>Zkontrolováno: soubor 537331_6_ZPF.png má rozlišení 299.93</w:t>
      </w:r>
    </w:p>
    <w:p w14:paraId="1E422A96" w14:textId="77777777" w:rsidR="00DE14BC" w:rsidRPr="00DE14BC" w:rsidRDefault="00DE14BC" w:rsidP="00DE14BC">
      <w:pPr>
        <w:spacing w:after="0" w:line="240" w:lineRule="auto"/>
        <w:rPr>
          <w:rFonts w:ascii="Calibri" w:hAnsi="Calibri" w:cs="Calibri"/>
        </w:rPr>
      </w:pPr>
    </w:p>
    <w:p w14:paraId="6B6872AA" w14:textId="77777777" w:rsidR="00DE14BC" w:rsidRPr="00DE14BC" w:rsidRDefault="00DE14BC" w:rsidP="00DE14BC">
      <w:pPr>
        <w:spacing w:after="0" w:line="240" w:lineRule="auto"/>
        <w:rPr>
          <w:rFonts w:ascii="Calibri" w:hAnsi="Calibri" w:cs="Calibri"/>
        </w:rPr>
      </w:pPr>
      <w:r w:rsidRPr="00DE14BC">
        <w:rPr>
          <w:rFonts w:ascii="Calibri" w:hAnsi="Calibri" w:cs="Calibri"/>
        </w:rPr>
        <w:t>--------------------- Kontrola barevné hloubky ---------------------</w:t>
      </w:r>
    </w:p>
    <w:p w14:paraId="2103CA1D" w14:textId="77777777" w:rsidR="00DE14BC" w:rsidRPr="00DE14BC" w:rsidRDefault="00DE14BC" w:rsidP="00DE14BC">
      <w:pPr>
        <w:spacing w:after="0" w:line="240" w:lineRule="auto"/>
        <w:rPr>
          <w:rFonts w:ascii="Calibri" w:hAnsi="Calibri" w:cs="Calibri"/>
        </w:rPr>
      </w:pPr>
      <w:r w:rsidRPr="00DE14BC">
        <w:rPr>
          <w:rFonts w:ascii="Calibri" w:hAnsi="Calibri" w:cs="Calibri"/>
        </w:rPr>
        <w:t>Zkontrolováno: soubor 537331_1_ZCU.png má bitovou hloubku 24 bitu</w:t>
      </w:r>
    </w:p>
    <w:p w14:paraId="296D72CF" w14:textId="77777777" w:rsidR="00DE14BC" w:rsidRPr="00DE14BC" w:rsidRDefault="00DE14BC" w:rsidP="00DE14BC">
      <w:pPr>
        <w:spacing w:after="0" w:line="240" w:lineRule="auto"/>
        <w:rPr>
          <w:rFonts w:ascii="Calibri" w:hAnsi="Calibri" w:cs="Calibri"/>
        </w:rPr>
      </w:pPr>
      <w:r w:rsidRPr="00DE14BC">
        <w:rPr>
          <w:rFonts w:ascii="Calibri" w:hAnsi="Calibri" w:cs="Calibri"/>
        </w:rPr>
        <w:t>Zkontrolováno: soubor 537331_2_HLV.png má bitovou hloubku 24 bitu</w:t>
      </w:r>
    </w:p>
    <w:p w14:paraId="66DA327C" w14:textId="77777777" w:rsidR="00DE14BC" w:rsidRPr="00DE14BC" w:rsidRDefault="00DE14BC" w:rsidP="00DE14BC">
      <w:pPr>
        <w:spacing w:after="0" w:line="240" w:lineRule="auto"/>
        <w:rPr>
          <w:rFonts w:ascii="Calibri" w:hAnsi="Calibri" w:cs="Calibri"/>
        </w:rPr>
      </w:pPr>
      <w:r w:rsidRPr="00DE14BC">
        <w:rPr>
          <w:rFonts w:ascii="Calibri" w:hAnsi="Calibri" w:cs="Calibri"/>
        </w:rPr>
        <w:t>Zkontrolováno: soubor 537331_3_VPS.png má bitovou hloubku 24 bitu</w:t>
      </w:r>
    </w:p>
    <w:p w14:paraId="5BCF9D3B" w14:textId="77777777" w:rsidR="00DE14BC" w:rsidRPr="00DE14BC" w:rsidRDefault="00DE14BC" w:rsidP="00DE14BC">
      <w:pPr>
        <w:spacing w:after="0" w:line="240" w:lineRule="auto"/>
        <w:rPr>
          <w:rFonts w:ascii="Calibri" w:hAnsi="Calibri" w:cs="Calibri"/>
        </w:rPr>
      </w:pPr>
      <w:r w:rsidRPr="00DE14BC">
        <w:rPr>
          <w:rFonts w:ascii="Calibri" w:hAnsi="Calibri" w:cs="Calibri"/>
        </w:rPr>
        <w:t>Zkontrolováno: soubor 537331_4_KOV.png má bitovou hloubku 24 bitu</w:t>
      </w:r>
    </w:p>
    <w:p w14:paraId="46CFC6A3" w14:textId="77777777" w:rsidR="00DE14BC" w:rsidRPr="00DE14BC" w:rsidRDefault="00DE14BC" w:rsidP="00DE14BC">
      <w:pPr>
        <w:spacing w:after="0" w:line="240" w:lineRule="auto"/>
        <w:rPr>
          <w:rFonts w:ascii="Calibri" w:hAnsi="Calibri" w:cs="Calibri"/>
        </w:rPr>
      </w:pPr>
      <w:r w:rsidRPr="00DE14BC">
        <w:rPr>
          <w:rFonts w:ascii="Calibri" w:hAnsi="Calibri" w:cs="Calibri"/>
        </w:rPr>
        <w:t>Zkontrolováno: soubor 537331_5_SV.png má bitovou hloubku 24 bitu</w:t>
      </w:r>
    </w:p>
    <w:p w14:paraId="2C042BC4" w14:textId="77777777" w:rsidR="00DE14BC" w:rsidRPr="00DE14BC" w:rsidRDefault="00DE14BC" w:rsidP="00DE14BC">
      <w:pPr>
        <w:spacing w:after="0" w:line="240" w:lineRule="auto"/>
        <w:rPr>
          <w:rFonts w:ascii="Calibri" w:hAnsi="Calibri" w:cs="Calibri"/>
        </w:rPr>
      </w:pPr>
      <w:r w:rsidRPr="00DE14BC">
        <w:rPr>
          <w:rFonts w:ascii="Calibri" w:hAnsi="Calibri" w:cs="Calibri"/>
        </w:rPr>
        <w:t>Zkontrolováno: soubor 537331_6_ZPF.png má bitovou hloubku 24 bitu</w:t>
      </w:r>
    </w:p>
    <w:p w14:paraId="370FBBCC" w14:textId="77777777" w:rsidR="00DE14BC" w:rsidRPr="00DE14BC" w:rsidRDefault="00DE14BC" w:rsidP="00DE14BC">
      <w:pPr>
        <w:spacing w:after="0" w:line="240" w:lineRule="auto"/>
        <w:rPr>
          <w:rFonts w:ascii="Calibri" w:hAnsi="Calibri" w:cs="Calibri"/>
        </w:rPr>
      </w:pPr>
    </w:p>
    <w:p w14:paraId="71A4406C" w14:textId="77777777" w:rsidR="00DE14BC" w:rsidRPr="00DE14BC" w:rsidRDefault="00DE14BC" w:rsidP="00DE14BC">
      <w:pPr>
        <w:spacing w:after="0" w:line="240" w:lineRule="auto"/>
        <w:rPr>
          <w:rFonts w:ascii="Calibri" w:hAnsi="Calibri" w:cs="Calibri"/>
        </w:rPr>
      </w:pPr>
      <w:r w:rsidRPr="00DE14BC">
        <w:rPr>
          <w:rFonts w:ascii="Calibri" w:hAnsi="Calibri" w:cs="Calibri"/>
        </w:rPr>
        <w:t>------------------------ Kontrola umístění -------------------------</w:t>
      </w:r>
    </w:p>
    <w:p w14:paraId="45485BBB" w14:textId="77777777" w:rsidR="00DE14BC" w:rsidRPr="00DE14BC" w:rsidRDefault="00DE14BC" w:rsidP="00DE14BC">
      <w:pPr>
        <w:spacing w:after="0" w:line="240" w:lineRule="auto"/>
        <w:rPr>
          <w:rFonts w:ascii="Calibri" w:hAnsi="Calibri" w:cs="Calibri"/>
        </w:rPr>
      </w:pPr>
      <w:r w:rsidRPr="00DE14BC">
        <w:rPr>
          <w:rFonts w:ascii="Calibri" w:hAnsi="Calibri" w:cs="Calibri"/>
        </w:rPr>
        <w:t>Zkontrolováno: Výkres 537331_1_ZCU.png je osazený v rámci řešeného území.</w:t>
      </w:r>
    </w:p>
    <w:p w14:paraId="03F3EF60" w14:textId="77777777" w:rsidR="00DE14BC" w:rsidRPr="00DE14BC" w:rsidRDefault="00DE14BC" w:rsidP="00DE14BC">
      <w:pPr>
        <w:spacing w:after="0" w:line="240" w:lineRule="auto"/>
        <w:rPr>
          <w:rFonts w:ascii="Calibri" w:hAnsi="Calibri" w:cs="Calibri"/>
        </w:rPr>
      </w:pPr>
      <w:r w:rsidRPr="00DE14BC">
        <w:rPr>
          <w:rFonts w:ascii="Calibri" w:hAnsi="Calibri" w:cs="Calibri"/>
        </w:rPr>
        <w:t>Zkontrolováno: Výkres 537331_2_HLV.png je osazený v rámci řešeného území.</w:t>
      </w:r>
    </w:p>
    <w:p w14:paraId="4032F291" w14:textId="77777777" w:rsidR="00DE14BC" w:rsidRPr="00DE14BC" w:rsidRDefault="00DE14BC" w:rsidP="00DE14BC">
      <w:pPr>
        <w:spacing w:after="0" w:line="240" w:lineRule="auto"/>
        <w:rPr>
          <w:rFonts w:ascii="Calibri" w:hAnsi="Calibri" w:cs="Calibri"/>
        </w:rPr>
      </w:pPr>
      <w:r w:rsidRPr="00DE14BC">
        <w:rPr>
          <w:rFonts w:ascii="Calibri" w:hAnsi="Calibri" w:cs="Calibri"/>
        </w:rPr>
        <w:t>Zkontrolováno: Výkres 537331_3_VPS.png je osazený v rámci řešeného území.</w:t>
      </w:r>
    </w:p>
    <w:p w14:paraId="7D908375" w14:textId="77777777" w:rsidR="00DE14BC" w:rsidRPr="00DE14BC" w:rsidRDefault="00DE14BC" w:rsidP="00DE14BC">
      <w:pPr>
        <w:spacing w:after="0" w:line="240" w:lineRule="auto"/>
        <w:rPr>
          <w:rFonts w:ascii="Calibri" w:hAnsi="Calibri" w:cs="Calibri"/>
        </w:rPr>
      </w:pPr>
      <w:r w:rsidRPr="00DE14BC">
        <w:rPr>
          <w:rFonts w:ascii="Calibri" w:hAnsi="Calibri" w:cs="Calibri"/>
        </w:rPr>
        <w:t>Zkontrolováno: Výkres 537331_4_KOV.png je osazený v rámci řešeného území.</w:t>
      </w:r>
    </w:p>
    <w:p w14:paraId="2C101717" w14:textId="77777777" w:rsidR="00DE14BC" w:rsidRPr="00DE14BC" w:rsidRDefault="00DE14BC" w:rsidP="00DE14BC">
      <w:pPr>
        <w:spacing w:after="0" w:line="240" w:lineRule="auto"/>
        <w:rPr>
          <w:rFonts w:ascii="Calibri" w:hAnsi="Calibri" w:cs="Calibri"/>
        </w:rPr>
      </w:pPr>
      <w:r w:rsidRPr="00DE14BC">
        <w:rPr>
          <w:rFonts w:ascii="Calibri" w:hAnsi="Calibri" w:cs="Calibri"/>
        </w:rPr>
        <w:t>Zkontrolováno: Výkres 537331_5_SV.png je osazený v rámci řešeného území.</w:t>
      </w:r>
    </w:p>
    <w:p w14:paraId="0052A34D" w14:textId="77777777" w:rsidR="00DE14BC" w:rsidRPr="00DE14BC" w:rsidRDefault="00DE14BC" w:rsidP="00DE14BC">
      <w:pPr>
        <w:spacing w:after="0" w:line="240" w:lineRule="auto"/>
        <w:rPr>
          <w:rFonts w:ascii="Calibri" w:hAnsi="Calibri" w:cs="Calibri"/>
        </w:rPr>
      </w:pPr>
      <w:r w:rsidRPr="00DE14BC">
        <w:rPr>
          <w:rFonts w:ascii="Calibri" w:hAnsi="Calibri" w:cs="Calibri"/>
        </w:rPr>
        <w:t>Zkontrolováno: Výkres 537331_6_ZPF.png je osazený v rámci řešeného území.</w:t>
      </w:r>
    </w:p>
    <w:p w14:paraId="7D4F818F" w14:textId="77777777" w:rsidR="00DE14BC" w:rsidRPr="00DE14BC" w:rsidRDefault="00DE14BC" w:rsidP="00DE14BC">
      <w:pPr>
        <w:spacing w:after="0" w:line="240" w:lineRule="auto"/>
        <w:rPr>
          <w:rFonts w:ascii="Calibri" w:hAnsi="Calibri" w:cs="Calibri"/>
        </w:rPr>
      </w:pPr>
    </w:p>
    <w:p w14:paraId="6E2A3AD1"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  KONTROLA TEXTŮ  --------------------------- </w:t>
      </w:r>
    </w:p>
    <w:p w14:paraId="651F537E"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w:t>
      </w:r>
    </w:p>
    <w:p w14:paraId="7DD2F471" w14:textId="77777777" w:rsidR="00DE14BC" w:rsidRPr="00DE14BC" w:rsidRDefault="00DE14BC" w:rsidP="00DE14BC">
      <w:pPr>
        <w:spacing w:after="0" w:line="240" w:lineRule="auto"/>
        <w:rPr>
          <w:rFonts w:ascii="Calibri" w:hAnsi="Calibri" w:cs="Calibri"/>
        </w:rPr>
      </w:pPr>
      <w:r w:rsidRPr="00DE14BC">
        <w:rPr>
          <w:rFonts w:ascii="Calibri" w:hAnsi="Calibri" w:cs="Calibri"/>
        </w:rPr>
        <w:t>OK 537331_oduvodneni.pdf je ve formátu pdf/a</w:t>
      </w:r>
    </w:p>
    <w:p w14:paraId="20F893EE" w14:textId="77777777" w:rsidR="00DE14BC" w:rsidRPr="00DE14BC" w:rsidRDefault="00DE14BC" w:rsidP="00DE14BC">
      <w:pPr>
        <w:spacing w:after="0" w:line="240" w:lineRule="auto"/>
        <w:rPr>
          <w:rFonts w:ascii="Calibri" w:hAnsi="Calibri" w:cs="Calibri"/>
        </w:rPr>
      </w:pPr>
      <w:r w:rsidRPr="00DE14BC">
        <w:rPr>
          <w:rFonts w:ascii="Calibri" w:hAnsi="Calibri" w:cs="Calibri"/>
        </w:rPr>
        <w:t>OK 537331_text.pdf je ve formátu pdf/a</w:t>
      </w:r>
    </w:p>
    <w:p w14:paraId="7B4FD51E" w14:textId="77777777" w:rsidR="00DE14BC" w:rsidRPr="00DE14BC" w:rsidRDefault="00DE14BC" w:rsidP="00DE14BC">
      <w:pPr>
        <w:spacing w:after="0" w:line="240" w:lineRule="auto"/>
        <w:rPr>
          <w:rFonts w:ascii="Calibri" w:hAnsi="Calibri" w:cs="Calibri"/>
        </w:rPr>
      </w:pPr>
    </w:p>
    <w:p w14:paraId="40AFE0ED" w14:textId="77777777" w:rsidR="00DE14BC" w:rsidRPr="00DE14BC" w:rsidRDefault="00DE14BC" w:rsidP="00DE14BC">
      <w:pPr>
        <w:spacing w:after="0" w:line="240" w:lineRule="auto"/>
        <w:rPr>
          <w:rFonts w:ascii="Calibri" w:hAnsi="Calibri" w:cs="Calibri"/>
        </w:rPr>
      </w:pPr>
      <w:r w:rsidRPr="00DE14BC">
        <w:rPr>
          <w:rFonts w:ascii="Calibri" w:hAnsi="Calibri" w:cs="Calibri"/>
        </w:rPr>
        <w:t>Status: OK</w:t>
      </w:r>
    </w:p>
    <w:p w14:paraId="3654B5D8" w14:textId="77777777" w:rsidR="00DE14BC" w:rsidRPr="00DE14BC" w:rsidRDefault="00DE14BC" w:rsidP="00DE14BC">
      <w:pPr>
        <w:spacing w:after="0" w:line="240" w:lineRule="auto"/>
        <w:rPr>
          <w:rFonts w:ascii="Calibri" w:hAnsi="Calibri" w:cs="Calibri"/>
        </w:rPr>
      </w:pPr>
    </w:p>
    <w:p w14:paraId="6AD0FFD3"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 </w:t>
      </w:r>
    </w:p>
    <w:p w14:paraId="6EF3321E"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w:t>
      </w:r>
    </w:p>
    <w:p w14:paraId="02D69B78" w14:textId="77777777" w:rsidR="00DE14BC" w:rsidRPr="00DE14BC" w:rsidRDefault="00DE14BC" w:rsidP="00DE14BC">
      <w:pPr>
        <w:spacing w:after="0" w:line="240" w:lineRule="auto"/>
        <w:rPr>
          <w:rFonts w:ascii="Calibri" w:hAnsi="Calibri" w:cs="Calibri"/>
        </w:rPr>
      </w:pPr>
    </w:p>
    <w:p w14:paraId="7E16F3BA" w14:textId="77777777" w:rsidR="00DE14BC" w:rsidRPr="00DE14BC" w:rsidRDefault="00DE14BC" w:rsidP="00DE14BC">
      <w:pPr>
        <w:spacing w:after="0" w:line="240" w:lineRule="auto"/>
        <w:rPr>
          <w:rFonts w:ascii="Calibri" w:hAnsi="Calibri" w:cs="Calibri"/>
        </w:rPr>
      </w:pPr>
      <w:r w:rsidRPr="00DE14BC">
        <w:rPr>
          <w:rFonts w:ascii="Calibri" w:hAnsi="Calibri" w:cs="Calibri"/>
        </w:rPr>
        <w:t>Finální shp vytvořeny a zazipovány.</w:t>
      </w:r>
    </w:p>
    <w:p w14:paraId="51911C0F" w14:textId="77777777" w:rsidR="00DE14BC" w:rsidRPr="00DE14BC" w:rsidRDefault="00DE14BC" w:rsidP="00DE14BC">
      <w:pPr>
        <w:spacing w:after="0" w:line="240" w:lineRule="auto"/>
        <w:rPr>
          <w:rFonts w:ascii="Calibri" w:hAnsi="Calibri" w:cs="Calibri"/>
        </w:rPr>
      </w:pPr>
    </w:p>
    <w:p w14:paraId="46EE552C"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  KONEC IMPORTU  ------------------------------ </w:t>
      </w:r>
    </w:p>
    <w:p w14:paraId="40465E23"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w:t>
      </w:r>
    </w:p>
    <w:p w14:paraId="669646CB"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IMPORT ÚZEMNÍHO PLÁNU OBCE 537331 ukončen v 2025-07-29 15:18:59 </w:t>
      </w:r>
    </w:p>
    <w:p w14:paraId="2E26D109"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w:t>
      </w:r>
    </w:p>
    <w:p w14:paraId="222E0057" w14:textId="77777777" w:rsidR="00DE14BC" w:rsidRPr="00DE14BC" w:rsidRDefault="00DE14BC" w:rsidP="00DE14BC">
      <w:pPr>
        <w:spacing w:after="0" w:line="240" w:lineRule="auto"/>
        <w:rPr>
          <w:rFonts w:ascii="Calibri" w:hAnsi="Calibri" w:cs="Calibri"/>
        </w:rPr>
      </w:pPr>
    </w:p>
    <w:p w14:paraId="2F07B183" w14:textId="59CFDAAD" w:rsidR="00AC3D3F" w:rsidRPr="00DE14BC" w:rsidRDefault="00DE14BC" w:rsidP="00DE14BC">
      <w:pPr>
        <w:spacing w:after="0" w:line="240" w:lineRule="auto"/>
        <w:rPr>
          <w:rFonts w:ascii="Calibri" w:hAnsi="Calibri" w:cs="Calibri"/>
        </w:rPr>
      </w:pPr>
      <w:r w:rsidRPr="00DE14BC">
        <w:rPr>
          <w:rFonts w:ascii="Calibri" w:hAnsi="Calibri" w:cs="Calibri"/>
        </w:rPr>
        <w:t>Status: Varování</w:t>
      </w:r>
    </w:p>
    <w:sectPr w:rsidR="00AC3D3F" w:rsidRPr="00DE14BC" w:rsidSect="00AC3D3F">
      <w:headerReference w:type="default" r:id="rId70"/>
      <w:footerReference w:type="default" r:id="rId71"/>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F8ACF8" w14:textId="77777777" w:rsidR="00383669" w:rsidRDefault="00383669" w:rsidP="00002556">
      <w:pPr>
        <w:spacing w:after="0" w:line="240" w:lineRule="auto"/>
      </w:pPr>
      <w:r>
        <w:separator/>
      </w:r>
    </w:p>
  </w:endnote>
  <w:endnote w:type="continuationSeparator" w:id="0">
    <w:p w14:paraId="1DC44B22" w14:textId="77777777" w:rsidR="00383669" w:rsidRDefault="00383669" w:rsidP="0000255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Verdana">
    <w:panose1 w:val="020B0604030504040204"/>
    <w:charset w:val="EE"/>
    <w:family w:val="swiss"/>
    <w:pitch w:val="variable"/>
    <w:sig w:usb0="A00006FF" w:usb1="4000205B" w:usb2="0000001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EE"/>
    <w:family w:val="swiss"/>
    <w:pitch w:val="variable"/>
    <w:sig w:usb0="E1002EFF" w:usb1="C000605B" w:usb2="00000029" w:usb3="00000000" w:csb0="000101FF" w:csb1="00000000"/>
  </w:font>
  <w:font w:name="Cambria Math">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205BBF" w14:textId="77777777" w:rsidR="00B158F2" w:rsidRPr="00666349" w:rsidRDefault="00B158F2" w:rsidP="00F346BD">
    <w:pPr>
      <w:pStyle w:val="Zpat"/>
      <w:pBdr>
        <w:top w:val="single" w:sz="4" w:space="1" w:color="auto"/>
      </w:pBdr>
      <w:rPr>
        <w:i/>
        <w:color w:val="808080" w:themeColor="background1" w:themeShade="80"/>
        <w:sz w:val="18"/>
        <w:szCs w:val="18"/>
      </w:rPr>
    </w:pPr>
    <w:r w:rsidRPr="00666349">
      <w:rPr>
        <w:b/>
        <w:color w:val="808080" w:themeColor="background1" w:themeShade="80"/>
        <w:spacing w:val="30"/>
        <w:sz w:val="18"/>
        <w:szCs w:val="18"/>
      </w:rPr>
      <w:t>ŽALUDA</w:t>
    </w:r>
    <w:r w:rsidRPr="00666349">
      <w:rPr>
        <w:color w:val="808080" w:themeColor="background1" w:themeShade="80"/>
        <w:sz w:val="18"/>
        <w:szCs w:val="18"/>
      </w:rPr>
      <w:t>, projektová kancelář</w:t>
    </w:r>
    <w:r w:rsidRPr="00666349">
      <w:rPr>
        <w:i/>
        <w:color w:val="808080" w:themeColor="background1" w:themeShade="80"/>
        <w:sz w:val="18"/>
        <w:szCs w:val="18"/>
      </w:rPr>
      <w:tab/>
    </w:r>
    <w:r w:rsidRPr="00666349">
      <w:rPr>
        <w:i/>
        <w:color w:val="808080" w:themeColor="background1" w:themeShade="80"/>
        <w:sz w:val="18"/>
        <w:szCs w:val="18"/>
      </w:rPr>
      <w:tab/>
    </w:r>
    <w:sdt>
      <w:sdtPr>
        <w:rPr>
          <w:i/>
          <w:color w:val="808080" w:themeColor="background1" w:themeShade="80"/>
          <w:sz w:val="18"/>
          <w:szCs w:val="18"/>
        </w:rPr>
        <w:id w:val="95250035"/>
        <w:docPartObj>
          <w:docPartGallery w:val="Page Numbers (Bottom of Page)"/>
          <w:docPartUnique/>
        </w:docPartObj>
      </w:sdtPr>
      <w:sdtContent>
        <w:r w:rsidRPr="00666349">
          <w:rPr>
            <w:sz w:val="18"/>
            <w:szCs w:val="18"/>
          </w:rPr>
          <w:fldChar w:fldCharType="begin"/>
        </w:r>
        <w:r w:rsidRPr="00666349">
          <w:rPr>
            <w:sz w:val="18"/>
            <w:szCs w:val="18"/>
          </w:rPr>
          <w:instrText>PAGE   \* MERGEFORMAT</w:instrText>
        </w:r>
        <w:r w:rsidRPr="00666349">
          <w:rPr>
            <w:sz w:val="18"/>
            <w:szCs w:val="18"/>
          </w:rPr>
          <w:fldChar w:fldCharType="separate"/>
        </w:r>
        <w:r w:rsidRPr="00666349">
          <w:rPr>
            <w:noProof/>
            <w:sz w:val="18"/>
            <w:szCs w:val="18"/>
          </w:rPr>
          <w:t>120</w:t>
        </w:r>
        <w:r w:rsidRPr="00666349">
          <w:rPr>
            <w:sz w:val="18"/>
            <w:szCs w:val="18"/>
          </w:rPr>
          <w:fldChar w:fldCharType="end"/>
        </w:r>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CA4C5E" w14:textId="77777777" w:rsidR="00B158F2" w:rsidRPr="00EB0B68" w:rsidRDefault="00B158F2" w:rsidP="009B4B44">
    <w:pPr>
      <w:pStyle w:val="Zpat"/>
      <w:pBdr>
        <w:top w:val="single" w:sz="4" w:space="1" w:color="auto"/>
      </w:pBdr>
      <w:tabs>
        <w:tab w:val="clear" w:pos="9072"/>
        <w:tab w:val="right" w:pos="15168"/>
      </w:tabs>
      <w:rPr>
        <w:i/>
        <w:color w:val="808080" w:themeColor="background1" w:themeShade="80"/>
        <w:sz w:val="20"/>
      </w:rPr>
    </w:pPr>
    <w:r w:rsidRPr="005847DD">
      <w:rPr>
        <w:b/>
        <w:color w:val="808080" w:themeColor="background1" w:themeShade="80"/>
        <w:spacing w:val="30"/>
        <w:sz w:val="18"/>
      </w:rPr>
      <w:t>ŽALUDA</w:t>
    </w:r>
    <w:r w:rsidRPr="005847DD">
      <w:rPr>
        <w:color w:val="808080" w:themeColor="background1" w:themeShade="80"/>
        <w:sz w:val="18"/>
      </w:rPr>
      <w:t>, projektová kancelář</w:t>
    </w:r>
    <w:r w:rsidRPr="005847DD">
      <w:rPr>
        <w:i/>
        <w:color w:val="808080" w:themeColor="background1" w:themeShade="80"/>
        <w:sz w:val="20"/>
      </w:rPr>
      <w:tab/>
    </w:r>
    <w:r w:rsidRPr="005847DD">
      <w:rPr>
        <w:i/>
        <w:color w:val="808080" w:themeColor="background1" w:themeShade="80"/>
        <w:sz w:val="20"/>
      </w:rPr>
      <w:tab/>
    </w:r>
    <w:sdt>
      <w:sdtPr>
        <w:rPr>
          <w:i/>
          <w:color w:val="808080" w:themeColor="background1" w:themeShade="80"/>
          <w:sz w:val="20"/>
        </w:rPr>
        <w:id w:val="95250036"/>
        <w:docPartObj>
          <w:docPartGallery w:val="Page Numbers (Bottom of Page)"/>
          <w:docPartUnique/>
        </w:docPartObj>
      </w:sdtPr>
      <w:sdtContent>
        <w:r w:rsidRPr="005847DD">
          <w:rPr>
            <w:sz w:val="20"/>
          </w:rPr>
          <w:fldChar w:fldCharType="begin"/>
        </w:r>
        <w:r w:rsidRPr="005847DD">
          <w:rPr>
            <w:sz w:val="20"/>
          </w:rPr>
          <w:instrText>PAGE   \* MERGEFORMAT</w:instrText>
        </w:r>
        <w:r w:rsidRPr="005847DD">
          <w:rPr>
            <w:sz w:val="20"/>
          </w:rPr>
          <w:fldChar w:fldCharType="separate"/>
        </w:r>
        <w:r>
          <w:rPr>
            <w:noProof/>
            <w:sz w:val="20"/>
          </w:rPr>
          <w:t>130</w:t>
        </w:r>
        <w:r w:rsidRPr="005847DD">
          <w:rPr>
            <w:sz w:val="20"/>
          </w:rPr>
          <w:fldChar w:fldCharType="end"/>
        </w:r>
      </w:sdtContent>
    </w:sdt>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629414" w14:textId="77777777" w:rsidR="00AC3D3F" w:rsidRPr="00EB0B68" w:rsidRDefault="00AC3D3F" w:rsidP="009B4B44">
    <w:pPr>
      <w:pStyle w:val="Zpat"/>
      <w:pBdr>
        <w:top w:val="single" w:sz="4" w:space="1" w:color="auto"/>
      </w:pBdr>
      <w:tabs>
        <w:tab w:val="clear" w:pos="9072"/>
        <w:tab w:val="right" w:pos="15168"/>
      </w:tabs>
      <w:rPr>
        <w:i/>
        <w:color w:val="808080" w:themeColor="background1" w:themeShade="80"/>
        <w:sz w:val="20"/>
      </w:rPr>
    </w:pPr>
    <w:r w:rsidRPr="005847DD">
      <w:rPr>
        <w:b/>
        <w:color w:val="808080" w:themeColor="background1" w:themeShade="80"/>
        <w:spacing w:val="30"/>
        <w:sz w:val="18"/>
      </w:rPr>
      <w:t>ŽALUDA</w:t>
    </w:r>
    <w:r w:rsidRPr="005847DD">
      <w:rPr>
        <w:color w:val="808080" w:themeColor="background1" w:themeShade="80"/>
        <w:sz w:val="18"/>
      </w:rPr>
      <w:t>, projektová kancelář</w:t>
    </w:r>
    <w:r w:rsidRPr="005847DD">
      <w:rPr>
        <w:i/>
        <w:color w:val="808080" w:themeColor="background1" w:themeShade="80"/>
        <w:sz w:val="20"/>
      </w:rPr>
      <w:tab/>
    </w:r>
    <w:r w:rsidRPr="005847DD">
      <w:rPr>
        <w:i/>
        <w:color w:val="808080" w:themeColor="background1" w:themeShade="80"/>
        <w:sz w:val="20"/>
      </w:rPr>
      <w:tab/>
    </w:r>
    <w:sdt>
      <w:sdtPr>
        <w:rPr>
          <w:i/>
          <w:color w:val="808080" w:themeColor="background1" w:themeShade="80"/>
          <w:sz w:val="20"/>
        </w:rPr>
        <w:id w:val="-1105644650"/>
        <w:docPartObj>
          <w:docPartGallery w:val="Page Numbers (Bottom of Page)"/>
          <w:docPartUnique/>
        </w:docPartObj>
      </w:sdtPr>
      <w:sdtContent>
        <w:r w:rsidRPr="005847DD">
          <w:rPr>
            <w:sz w:val="20"/>
          </w:rPr>
          <w:fldChar w:fldCharType="begin"/>
        </w:r>
        <w:r w:rsidRPr="005847DD">
          <w:rPr>
            <w:sz w:val="20"/>
          </w:rPr>
          <w:instrText>PAGE   \* MERGEFORMAT</w:instrText>
        </w:r>
        <w:r w:rsidRPr="005847DD">
          <w:rPr>
            <w:sz w:val="20"/>
          </w:rPr>
          <w:fldChar w:fldCharType="separate"/>
        </w:r>
        <w:r>
          <w:rPr>
            <w:noProof/>
            <w:sz w:val="20"/>
          </w:rPr>
          <w:t>130</w:t>
        </w:r>
        <w:r w:rsidRPr="005847DD">
          <w:rPr>
            <w:sz w:val="20"/>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DE33067" w14:textId="77777777" w:rsidR="00383669" w:rsidRDefault="00383669" w:rsidP="00002556">
      <w:pPr>
        <w:spacing w:after="0" w:line="240" w:lineRule="auto"/>
      </w:pPr>
      <w:r>
        <w:separator/>
      </w:r>
    </w:p>
  </w:footnote>
  <w:footnote w:type="continuationSeparator" w:id="0">
    <w:p w14:paraId="11362488" w14:textId="77777777" w:rsidR="00383669" w:rsidRDefault="00383669" w:rsidP="0000255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771D5D" w14:textId="64596E11" w:rsidR="00B158F2" w:rsidRPr="00734352" w:rsidRDefault="00734352" w:rsidP="00734352">
    <w:pPr>
      <w:pStyle w:val="Zhlav"/>
      <w:pBdr>
        <w:bottom w:val="single" w:sz="8" w:space="1" w:color="auto"/>
      </w:pBdr>
      <w:tabs>
        <w:tab w:val="clear" w:pos="4536"/>
      </w:tabs>
      <w:rPr>
        <w:rFonts w:asciiTheme="majorHAnsi" w:hAnsiTheme="majorHAnsi" w:cstheme="majorHAnsi"/>
        <w:i/>
        <w:sz w:val="18"/>
      </w:rPr>
    </w:pPr>
    <w:r>
      <w:rPr>
        <w:rFonts w:asciiTheme="majorHAnsi" w:hAnsiTheme="majorHAnsi" w:cstheme="majorHAnsi"/>
        <w:i/>
        <w:sz w:val="18"/>
      </w:rPr>
      <w:t>Odůvodnění ú</w:t>
    </w:r>
    <w:r w:rsidRPr="00482116">
      <w:rPr>
        <w:rFonts w:asciiTheme="majorHAnsi" w:hAnsiTheme="majorHAnsi" w:cstheme="majorHAnsi"/>
        <w:i/>
        <w:sz w:val="18"/>
      </w:rPr>
      <w:t>zemní</w:t>
    </w:r>
    <w:r>
      <w:rPr>
        <w:rFonts w:asciiTheme="majorHAnsi" w:hAnsiTheme="majorHAnsi" w:cstheme="majorHAnsi"/>
        <w:i/>
        <w:sz w:val="18"/>
      </w:rPr>
      <w:t>ho</w:t>
    </w:r>
    <w:r w:rsidRPr="00482116">
      <w:rPr>
        <w:rFonts w:asciiTheme="majorHAnsi" w:hAnsiTheme="majorHAnsi" w:cstheme="majorHAnsi"/>
        <w:i/>
        <w:sz w:val="18"/>
      </w:rPr>
      <w:t xml:space="preserve"> plán</w:t>
    </w:r>
    <w:r>
      <w:rPr>
        <w:rFonts w:asciiTheme="majorHAnsi" w:hAnsiTheme="majorHAnsi" w:cstheme="majorHAnsi"/>
        <w:i/>
        <w:sz w:val="18"/>
      </w:rPr>
      <w:t>u</w:t>
    </w:r>
    <w:r w:rsidRPr="00482116">
      <w:rPr>
        <w:rFonts w:asciiTheme="majorHAnsi" w:hAnsiTheme="majorHAnsi" w:cstheme="majorHAnsi"/>
        <w:i/>
        <w:sz w:val="18"/>
      </w:rPr>
      <w:t xml:space="preserve"> </w:t>
    </w:r>
    <w:r>
      <w:rPr>
        <w:rFonts w:asciiTheme="majorHAnsi" w:hAnsiTheme="majorHAnsi" w:cstheme="majorHAnsi"/>
        <w:i/>
        <w:sz w:val="18"/>
      </w:rPr>
      <w:t>Kostomlaty nad Labem</w:t>
    </w:r>
    <w:r w:rsidRPr="00482116">
      <w:rPr>
        <w:rFonts w:asciiTheme="majorHAnsi" w:hAnsiTheme="majorHAnsi" w:cstheme="majorHAnsi"/>
        <w:i/>
        <w:sz w:val="18"/>
      </w:rPr>
      <w:t xml:space="preserve"> </w:t>
    </w:r>
    <w:r>
      <w:rPr>
        <w:rFonts w:asciiTheme="majorHAnsi" w:hAnsiTheme="majorHAnsi" w:cstheme="majorHAnsi"/>
        <w:i/>
        <w:sz w:val="18"/>
      </w:rPr>
      <w:tab/>
    </w:r>
    <w:r w:rsidRPr="00482116">
      <w:rPr>
        <w:rFonts w:asciiTheme="majorHAnsi" w:hAnsiTheme="majorHAnsi" w:cstheme="majorHAnsi"/>
        <w:i/>
        <w:sz w:val="18"/>
      </w:rPr>
      <w:t>textová část</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3F4949" w14:textId="4587674A" w:rsidR="00937B2D" w:rsidRPr="00734352" w:rsidRDefault="00937B2D" w:rsidP="00937B2D">
    <w:pPr>
      <w:pStyle w:val="Zhlav"/>
      <w:pBdr>
        <w:bottom w:val="single" w:sz="8" w:space="1" w:color="auto"/>
      </w:pBdr>
      <w:tabs>
        <w:tab w:val="clear" w:pos="4536"/>
      </w:tabs>
      <w:rPr>
        <w:rFonts w:asciiTheme="majorHAnsi" w:hAnsiTheme="majorHAnsi" w:cstheme="majorHAnsi"/>
        <w:i/>
        <w:sz w:val="18"/>
      </w:rPr>
    </w:pPr>
    <w:r>
      <w:rPr>
        <w:rFonts w:asciiTheme="majorHAnsi" w:hAnsiTheme="majorHAnsi" w:cstheme="majorHAnsi"/>
        <w:i/>
        <w:sz w:val="18"/>
      </w:rPr>
      <w:t>Odůvodnění ú</w:t>
    </w:r>
    <w:r w:rsidRPr="00482116">
      <w:rPr>
        <w:rFonts w:asciiTheme="majorHAnsi" w:hAnsiTheme="majorHAnsi" w:cstheme="majorHAnsi"/>
        <w:i/>
        <w:sz w:val="18"/>
      </w:rPr>
      <w:t>zemní</w:t>
    </w:r>
    <w:r>
      <w:rPr>
        <w:rFonts w:asciiTheme="majorHAnsi" w:hAnsiTheme="majorHAnsi" w:cstheme="majorHAnsi"/>
        <w:i/>
        <w:sz w:val="18"/>
      </w:rPr>
      <w:t>ho</w:t>
    </w:r>
    <w:r w:rsidRPr="00482116">
      <w:rPr>
        <w:rFonts w:asciiTheme="majorHAnsi" w:hAnsiTheme="majorHAnsi" w:cstheme="majorHAnsi"/>
        <w:i/>
        <w:sz w:val="18"/>
      </w:rPr>
      <w:t xml:space="preserve"> plán</w:t>
    </w:r>
    <w:r>
      <w:rPr>
        <w:rFonts w:asciiTheme="majorHAnsi" w:hAnsiTheme="majorHAnsi" w:cstheme="majorHAnsi"/>
        <w:i/>
        <w:sz w:val="18"/>
      </w:rPr>
      <w:t>u</w:t>
    </w:r>
    <w:r w:rsidRPr="00482116">
      <w:rPr>
        <w:rFonts w:asciiTheme="majorHAnsi" w:hAnsiTheme="majorHAnsi" w:cstheme="majorHAnsi"/>
        <w:i/>
        <w:sz w:val="18"/>
      </w:rPr>
      <w:t xml:space="preserve"> </w:t>
    </w:r>
    <w:r>
      <w:rPr>
        <w:rFonts w:asciiTheme="majorHAnsi" w:hAnsiTheme="majorHAnsi" w:cstheme="majorHAnsi"/>
        <w:i/>
        <w:sz w:val="18"/>
      </w:rPr>
      <w:t>Kostomlaty nad Labem</w:t>
    </w:r>
    <w:r w:rsidRPr="00482116">
      <w:rPr>
        <w:rFonts w:asciiTheme="majorHAnsi" w:hAnsiTheme="majorHAnsi" w:cstheme="majorHAnsi"/>
        <w:i/>
        <w:sz w:val="18"/>
      </w:rPr>
      <w:t xml:space="preserve"> </w:t>
    </w:r>
    <w:r>
      <w:rPr>
        <w:rFonts w:asciiTheme="majorHAnsi" w:hAnsiTheme="majorHAnsi" w:cstheme="majorHAnsi"/>
        <w:i/>
        <w:sz w:val="18"/>
      </w:rPr>
      <w:tab/>
    </w:r>
    <w:r w:rsidRPr="00482116">
      <w:rPr>
        <w:rFonts w:asciiTheme="majorHAnsi" w:hAnsiTheme="majorHAnsi" w:cstheme="majorHAnsi"/>
        <w:i/>
        <w:sz w:val="18"/>
      </w:rPr>
      <w:t>textová část</w:t>
    </w:r>
  </w:p>
  <w:p w14:paraId="6B4B6F65" w14:textId="553102A5" w:rsidR="00B158F2" w:rsidRPr="00937B2D" w:rsidRDefault="00B158F2" w:rsidP="00937B2D">
    <w:pPr>
      <w:pStyle w:val="Zhlav"/>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D1AD3F" w14:textId="4FB909A1" w:rsidR="00B158F2" w:rsidRPr="00A76411" w:rsidRDefault="00B158F2" w:rsidP="0009152E">
    <w:pPr>
      <w:pStyle w:val="Zhlav"/>
      <w:pBdr>
        <w:bottom w:val="single" w:sz="8" w:space="1" w:color="auto"/>
      </w:pBdr>
      <w:tabs>
        <w:tab w:val="clear" w:pos="4536"/>
        <w:tab w:val="clear" w:pos="9072"/>
        <w:tab w:val="right" w:pos="15136"/>
      </w:tabs>
      <w:rPr>
        <w:rFonts w:asciiTheme="majorHAnsi" w:hAnsiTheme="majorHAnsi" w:cstheme="majorHAnsi"/>
        <w:i/>
        <w:sz w:val="18"/>
        <w:szCs w:val="20"/>
      </w:rPr>
    </w:pPr>
    <w:r w:rsidRPr="00A76411">
      <w:rPr>
        <w:rFonts w:asciiTheme="majorHAnsi" w:hAnsiTheme="majorHAnsi" w:cstheme="majorHAnsi"/>
        <w:i/>
        <w:sz w:val="18"/>
        <w:szCs w:val="20"/>
      </w:rPr>
      <w:t xml:space="preserve">Odůvodnění územního plánu </w:t>
    </w:r>
    <w:r w:rsidR="007B2588" w:rsidRPr="00A76411">
      <w:rPr>
        <w:rFonts w:asciiTheme="majorHAnsi" w:hAnsiTheme="majorHAnsi" w:cstheme="majorHAnsi"/>
        <w:i/>
        <w:sz w:val="18"/>
        <w:szCs w:val="20"/>
      </w:rPr>
      <w:t>Kostomlaty nad Labem</w:t>
    </w:r>
    <w:r w:rsidRPr="00A76411">
      <w:rPr>
        <w:rFonts w:asciiTheme="majorHAnsi" w:hAnsiTheme="majorHAnsi" w:cstheme="majorHAnsi"/>
        <w:i/>
        <w:sz w:val="18"/>
        <w:szCs w:val="20"/>
      </w:rPr>
      <w:tab/>
      <w:t xml:space="preserve">textová část: Příloha č. 2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499A52" w14:textId="7DD5EACB" w:rsidR="00AC3D3F" w:rsidRPr="00A76411" w:rsidRDefault="00AC3D3F" w:rsidP="0009152E">
    <w:pPr>
      <w:pStyle w:val="Zhlav"/>
      <w:pBdr>
        <w:bottom w:val="single" w:sz="8" w:space="1" w:color="auto"/>
      </w:pBdr>
      <w:tabs>
        <w:tab w:val="clear" w:pos="4536"/>
        <w:tab w:val="clear" w:pos="9072"/>
        <w:tab w:val="right" w:pos="15136"/>
      </w:tabs>
      <w:rPr>
        <w:rFonts w:asciiTheme="majorHAnsi" w:hAnsiTheme="majorHAnsi" w:cstheme="majorHAnsi"/>
        <w:i/>
        <w:sz w:val="18"/>
        <w:szCs w:val="20"/>
      </w:rPr>
    </w:pPr>
    <w:r w:rsidRPr="00A76411">
      <w:rPr>
        <w:rFonts w:asciiTheme="majorHAnsi" w:hAnsiTheme="majorHAnsi" w:cstheme="majorHAnsi"/>
        <w:i/>
        <w:sz w:val="18"/>
        <w:szCs w:val="20"/>
      </w:rPr>
      <w:t>Odůvodnění územního plánu Kostomlaty nad Labem</w:t>
    </w:r>
    <w:r w:rsidRPr="00A76411">
      <w:rPr>
        <w:rFonts w:asciiTheme="majorHAnsi" w:hAnsiTheme="majorHAnsi" w:cstheme="majorHAnsi"/>
        <w:i/>
        <w:sz w:val="18"/>
        <w:szCs w:val="20"/>
      </w:rPr>
      <w:tab/>
      <w:t xml:space="preserve">textová část: Příloha č. </w:t>
    </w:r>
    <w:r>
      <w:rPr>
        <w:rFonts w:asciiTheme="majorHAnsi" w:hAnsiTheme="majorHAnsi" w:cstheme="majorHAnsi"/>
        <w:i/>
        <w:sz w:val="18"/>
        <w:szCs w:val="20"/>
      </w:rPr>
      <w:t>3</w:t>
    </w:r>
    <w:r w:rsidRPr="00A76411">
      <w:rPr>
        <w:rFonts w:asciiTheme="majorHAnsi" w:hAnsiTheme="majorHAnsi" w:cstheme="majorHAnsi"/>
        <w:i/>
        <w:sz w:val="18"/>
        <w:szCs w:val="20"/>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8"/>
    <w:multiLevelType w:val="singleLevel"/>
    <w:tmpl w:val="00000008"/>
    <w:name w:val="WW8Num9"/>
    <w:lvl w:ilvl="0">
      <w:start w:val="1"/>
      <w:numFmt w:val="bullet"/>
      <w:lvlText w:val="o"/>
      <w:lvlJc w:val="left"/>
      <w:pPr>
        <w:tabs>
          <w:tab w:val="num" w:pos="0"/>
        </w:tabs>
        <w:ind w:left="720" w:hanging="360"/>
      </w:pPr>
      <w:rPr>
        <w:rFonts w:ascii="Courier New" w:hAnsi="Courier New" w:cs="Symbol" w:hint="default"/>
        <w:color w:val="auto"/>
      </w:rPr>
    </w:lvl>
  </w:abstractNum>
  <w:abstractNum w:abstractNumId="1" w15:restartNumberingAfterBreak="0">
    <w:nsid w:val="0000000D"/>
    <w:multiLevelType w:val="singleLevel"/>
    <w:tmpl w:val="0000000D"/>
    <w:name w:val="WW8Num15"/>
    <w:lvl w:ilvl="0">
      <w:start w:val="1"/>
      <w:numFmt w:val="bullet"/>
      <w:lvlText w:val="o"/>
      <w:lvlJc w:val="left"/>
      <w:pPr>
        <w:tabs>
          <w:tab w:val="num" w:pos="510"/>
        </w:tabs>
        <w:ind w:left="510" w:hanging="510"/>
      </w:pPr>
      <w:rPr>
        <w:rFonts w:ascii="Courier New" w:hAnsi="Courier New"/>
        <w:b/>
      </w:rPr>
    </w:lvl>
  </w:abstractNum>
  <w:abstractNum w:abstractNumId="2" w15:restartNumberingAfterBreak="0">
    <w:nsid w:val="0000000F"/>
    <w:multiLevelType w:val="multilevel"/>
    <w:tmpl w:val="0000000F"/>
    <w:name w:val="WW8Num17"/>
    <w:lvl w:ilvl="0">
      <w:start w:val="1"/>
      <w:numFmt w:val="bullet"/>
      <w:lvlText w:val=""/>
      <w:lvlJc w:val="left"/>
      <w:pPr>
        <w:tabs>
          <w:tab w:val="num" w:pos="720"/>
        </w:tabs>
        <w:ind w:left="720" w:hanging="360"/>
      </w:pPr>
      <w:rPr>
        <w:rFonts w:ascii="Symbol" w:hAnsi="Symbol" w:cs="Arial"/>
        <w:color w:val="C5000B"/>
        <w:sz w:val="24"/>
        <w:szCs w:val="24"/>
      </w:rPr>
    </w:lvl>
    <w:lvl w:ilvl="1">
      <w:start w:val="1"/>
      <w:numFmt w:val="lowerLetter"/>
      <w:lvlText w:val="%2."/>
      <w:lvlJc w:val="left"/>
      <w:pPr>
        <w:tabs>
          <w:tab w:val="num" w:pos="1440"/>
        </w:tabs>
        <w:ind w:left="1440" w:hanging="360"/>
      </w:pPr>
      <w:rPr>
        <w:rFonts w:ascii="Courier New" w:hAnsi="Courier New" w:cs="Courier New"/>
      </w:rPr>
    </w:lvl>
    <w:lvl w:ilvl="2">
      <w:start w:val="1"/>
      <w:numFmt w:val="lowerLetter"/>
      <w:lvlText w:val="%3)"/>
      <w:lvlJc w:val="left"/>
      <w:pPr>
        <w:tabs>
          <w:tab w:val="num" w:pos="2340"/>
        </w:tabs>
        <w:ind w:left="2340" w:hanging="360"/>
      </w:pPr>
      <w:rPr>
        <w:rFonts w:ascii="Times New Roman" w:hAnsi="Times New Roman" w:cs="Wingdings"/>
      </w:rPr>
    </w:lvl>
    <w:lvl w:ilvl="3">
      <w:start w:val="3"/>
      <w:numFmt w:val="bullet"/>
      <w:lvlText w:val="-"/>
      <w:lvlJc w:val="left"/>
      <w:pPr>
        <w:tabs>
          <w:tab w:val="num" w:pos="0"/>
        </w:tabs>
        <w:ind w:left="2880" w:hanging="360"/>
      </w:pPr>
      <w:rPr>
        <w:rFonts w:ascii="Times New Roman" w:hAnsi="Times New Roman" w:cs="Symbol"/>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 w15:restartNumberingAfterBreak="0">
    <w:nsid w:val="05F409B0"/>
    <w:multiLevelType w:val="multilevel"/>
    <w:tmpl w:val="B6DA5082"/>
    <w:lvl w:ilvl="0">
      <w:start w:val="10"/>
      <w:numFmt w:val="decimal"/>
      <w:lvlText w:val="%1"/>
      <w:lvlJc w:val="left"/>
      <w:pPr>
        <w:ind w:left="567" w:hanging="567"/>
      </w:pPr>
      <w:rPr>
        <w:rFonts w:hint="default"/>
      </w:rPr>
    </w:lvl>
    <w:lvl w:ilvl="1">
      <w:start w:val="1"/>
      <w:numFmt w:val="decimal"/>
      <w:lvlText w:val="10.%2"/>
      <w:lvlJc w:val="left"/>
      <w:pPr>
        <w:ind w:left="567" w:hanging="567"/>
      </w:pPr>
      <w:rPr>
        <w:rFonts w:hint="default"/>
      </w:rPr>
    </w:lvl>
    <w:lvl w:ilvl="2">
      <w:start w:val="1"/>
      <w:numFmt w:val="decimal"/>
      <w:isLgl/>
      <w:lvlText w:val="%1.%2.%3"/>
      <w:lvlJc w:val="left"/>
      <w:pPr>
        <w:ind w:left="567" w:hanging="567"/>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4" w15:restartNumberingAfterBreak="0">
    <w:nsid w:val="087528DE"/>
    <w:multiLevelType w:val="multilevel"/>
    <w:tmpl w:val="76F40550"/>
    <w:styleLink w:val="StylP1"/>
    <w:lvl w:ilvl="0">
      <w:start w:val="1"/>
      <w:numFmt w:val="decimal"/>
      <w:lvlText w:val="%1"/>
      <w:lvlJc w:val="left"/>
      <w:pPr>
        <w:ind w:left="432" w:hanging="432"/>
      </w:pPr>
      <w:rPr>
        <w:rFonts w:hint="default"/>
      </w:rPr>
    </w:lvl>
    <w:lvl w:ilvl="1">
      <w:start w:val="1"/>
      <w:numFmt w:val="decimal"/>
      <w:lvlText w:val="%1. %2"/>
      <w:lvlJc w:val="left"/>
      <w:pPr>
        <w:ind w:left="714" w:hanging="714"/>
      </w:pPr>
      <w:rPr>
        <w:rFonts w:hint="default"/>
      </w:rPr>
    </w:lvl>
    <w:lvl w:ilvl="2">
      <w:start w:val="1"/>
      <w:numFmt w:val="decimal"/>
      <w:lvlText w:val="%1. %2. %3"/>
      <w:lvlJc w:val="left"/>
      <w:pPr>
        <w:ind w:left="714" w:hanging="714"/>
      </w:pPr>
      <w:rPr>
        <w:rFonts w:hint="default"/>
      </w:rPr>
    </w:lvl>
    <w:lvl w:ilvl="3">
      <w:start w:val="1"/>
      <w:numFmt w:val="decimal"/>
      <w:lvlText w:val="%1. %2. %3. %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 w15:restartNumberingAfterBreak="0">
    <w:nsid w:val="0AAB74EA"/>
    <w:multiLevelType w:val="hybridMultilevel"/>
    <w:tmpl w:val="038693CE"/>
    <w:lvl w:ilvl="0" w:tplc="04050001">
      <w:numFmt w:val="bullet"/>
      <w:lvlText w:val="-"/>
      <w:lvlJc w:val="left"/>
      <w:pPr>
        <w:ind w:left="1429" w:hanging="360"/>
      </w:pPr>
    </w:lvl>
    <w:lvl w:ilvl="1" w:tplc="04050003">
      <w:start w:val="1"/>
      <w:numFmt w:val="bullet"/>
      <w:lvlText w:val="o"/>
      <w:lvlJc w:val="left"/>
      <w:pPr>
        <w:ind w:left="2149" w:hanging="360"/>
      </w:pPr>
      <w:rPr>
        <w:rFonts w:ascii="Courier New" w:hAnsi="Courier New" w:cs="Courier New" w:hint="default"/>
      </w:rPr>
    </w:lvl>
    <w:lvl w:ilvl="2" w:tplc="04050005">
      <w:start w:val="1"/>
      <w:numFmt w:val="bullet"/>
      <w:lvlText w:val=""/>
      <w:lvlJc w:val="left"/>
      <w:pPr>
        <w:ind w:left="2869" w:hanging="360"/>
      </w:pPr>
      <w:rPr>
        <w:rFonts w:ascii="Wingdings" w:hAnsi="Wingdings" w:hint="default"/>
      </w:rPr>
    </w:lvl>
    <w:lvl w:ilvl="3" w:tplc="04050001">
      <w:start w:val="1"/>
      <w:numFmt w:val="bullet"/>
      <w:lvlText w:val=""/>
      <w:lvlJc w:val="left"/>
      <w:pPr>
        <w:ind w:left="3589" w:hanging="360"/>
      </w:pPr>
      <w:rPr>
        <w:rFonts w:ascii="Symbol" w:hAnsi="Symbol" w:hint="default"/>
      </w:rPr>
    </w:lvl>
    <w:lvl w:ilvl="4" w:tplc="04050003">
      <w:start w:val="1"/>
      <w:numFmt w:val="bullet"/>
      <w:lvlText w:val="o"/>
      <w:lvlJc w:val="left"/>
      <w:pPr>
        <w:ind w:left="4309" w:hanging="360"/>
      </w:pPr>
      <w:rPr>
        <w:rFonts w:ascii="Courier New" w:hAnsi="Courier New" w:cs="Courier New" w:hint="default"/>
      </w:rPr>
    </w:lvl>
    <w:lvl w:ilvl="5" w:tplc="04050005">
      <w:start w:val="1"/>
      <w:numFmt w:val="bullet"/>
      <w:lvlText w:val=""/>
      <w:lvlJc w:val="left"/>
      <w:pPr>
        <w:ind w:left="5029" w:hanging="360"/>
      </w:pPr>
      <w:rPr>
        <w:rFonts w:ascii="Wingdings" w:hAnsi="Wingdings" w:hint="default"/>
      </w:rPr>
    </w:lvl>
    <w:lvl w:ilvl="6" w:tplc="04050001">
      <w:start w:val="1"/>
      <w:numFmt w:val="bullet"/>
      <w:lvlText w:val=""/>
      <w:lvlJc w:val="left"/>
      <w:pPr>
        <w:ind w:left="5749" w:hanging="360"/>
      </w:pPr>
      <w:rPr>
        <w:rFonts w:ascii="Symbol" w:hAnsi="Symbol" w:hint="default"/>
      </w:rPr>
    </w:lvl>
    <w:lvl w:ilvl="7" w:tplc="04050003">
      <w:start w:val="1"/>
      <w:numFmt w:val="bullet"/>
      <w:lvlText w:val="o"/>
      <w:lvlJc w:val="left"/>
      <w:pPr>
        <w:ind w:left="6469" w:hanging="360"/>
      </w:pPr>
      <w:rPr>
        <w:rFonts w:ascii="Courier New" w:hAnsi="Courier New" w:cs="Courier New" w:hint="default"/>
      </w:rPr>
    </w:lvl>
    <w:lvl w:ilvl="8" w:tplc="04050005">
      <w:start w:val="1"/>
      <w:numFmt w:val="bullet"/>
      <w:lvlText w:val=""/>
      <w:lvlJc w:val="left"/>
      <w:pPr>
        <w:ind w:left="7189" w:hanging="360"/>
      </w:pPr>
      <w:rPr>
        <w:rFonts w:ascii="Wingdings" w:hAnsi="Wingdings" w:hint="default"/>
      </w:rPr>
    </w:lvl>
  </w:abstractNum>
  <w:abstractNum w:abstractNumId="6" w15:restartNumberingAfterBreak="0">
    <w:nsid w:val="0C3C1344"/>
    <w:multiLevelType w:val="multilevel"/>
    <w:tmpl w:val="30F47174"/>
    <w:lvl w:ilvl="0">
      <w:start w:val="5"/>
      <w:numFmt w:val="decimal"/>
      <w:lvlText w:val="%1"/>
      <w:lvlJc w:val="left"/>
      <w:pPr>
        <w:ind w:left="567" w:hanging="567"/>
      </w:pPr>
      <w:rPr>
        <w:rFonts w:hint="default"/>
      </w:rPr>
    </w:lvl>
    <w:lvl w:ilvl="1">
      <w:start w:val="1"/>
      <w:numFmt w:val="decimal"/>
      <w:lvlText w:val="2.%2"/>
      <w:lvlJc w:val="left"/>
      <w:pPr>
        <w:ind w:left="567" w:hanging="567"/>
      </w:pPr>
      <w:rPr>
        <w:rFonts w:hint="default"/>
      </w:rPr>
    </w:lvl>
    <w:lvl w:ilvl="2">
      <w:start w:val="1"/>
      <w:numFmt w:val="decimal"/>
      <w:isLgl/>
      <w:lvlText w:val="%1.%2.%3"/>
      <w:lvlJc w:val="left"/>
      <w:pPr>
        <w:ind w:left="567" w:hanging="567"/>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7" w15:restartNumberingAfterBreak="0">
    <w:nsid w:val="0C58445B"/>
    <w:multiLevelType w:val="hybridMultilevel"/>
    <w:tmpl w:val="BB0A09F0"/>
    <w:lvl w:ilvl="0" w:tplc="8D8A669C">
      <w:start w:val="1"/>
      <w:numFmt w:val="decimal"/>
      <w:pStyle w:val="podminkye"/>
      <w:lvlText w:val="e%1"/>
      <w:lvlJc w:val="left"/>
      <w:pPr>
        <w:ind w:left="1134" w:hanging="414"/>
      </w:pPr>
      <w:rPr>
        <w:rFonts w:ascii="Calibri" w:hAnsi="Calibri" w:hint="default"/>
        <w:b/>
        <w:i w: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15:restartNumberingAfterBreak="0">
    <w:nsid w:val="0E895F1F"/>
    <w:multiLevelType w:val="hybridMultilevel"/>
    <w:tmpl w:val="0F4E8CA6"/>
    <w:lvl w:ilvl="0" w:tplc="04050001">
      <w:start w:val="1"/>
      <w:numFmt w:val="bullet"/>
      <w:lvlText w:val=""/>
      <w:lvlJc w:val="left"/>
      <w:pPr>
        <w:ind w:left="1069" w:hanging="360"/>
      </w:pPr>
      <w:rPr>
        <w:rFonts w:ascii="Symbol" w:hAnsi="Symbol" w:hint="default"/>
      </w:rPr>
    </w:lvl>
    <w:lvl w:ilvl="1" w:tplc="04050003">
      <w:start w:val="1"/>
      <w:numFmt w:val="bullet"/>
      <w:lvlText w:val="o"/>
      <w:lvlJc w:val="left"/>
      <w:pPr>
        <w:ind w:left="1789" w:hanging="360"/>
      </w:pPr>
      <w:rPr>
        <w:rFonts w:ascii="Courier New" w:hAnsi="Courier New" w:cs="Courier New" w:hint="default"/>
      </w:rPr>
    </w:lvl>
    <w:lvl w:ilvl="2" w:tplc="04050005" w:tentative="1">
      <w:start w:val="1"/>
      <w:numFmt w:val="bullet"/>
      <w:lvlText w:val=""/>
      <w:lvlJc w:val="left"/>
      <w:pPr>
        <w:ind w:left="2509" w:hanging="360"/>
      </w:pPr>
      <w:rPr>
        <w:rFonts w:ascii="Wingdings" w:hAnsi="Wingdings" w:hint="default"/>
      </w:rPr>
    </w:lvl>
    <w:lvl w:ilvl="3" w:tplc="04050001" w:tentative="1">
      <w:start w:val="1"/>
      <w:numFmt w:val="bullet"/>
      <w:lvlText w:val=""/>
      <w:lvlJc w:val="left"/>
      <w:pPr>
        <w:ind w:left="3229" w:hanging="360"/>
      </w:pPr>
      <w:rPr>
        <w:rFonts w:ascii="Symbol" w:hAnsi="Symbol" w:hint="default"/>
      </w:rPr>
    </w:lvl>
    <w:lvl w:ilvl="4" w:tplc="04050003" w:tentative="1">
      <w:start w:val="1"/>
      <w:numFmt w:val="bullet"/>
      <w:lvlText w:val="o"/>
      <w:lvlJc w:val="left"/>
      <w:pPr>
        <w:ind w:left="3949" w:hanging="360"/>
      </w:pPr>
      <w:rPr>
        <w:rFonts w:ascii="Courier New" w:hAnsi="Courier New" w:cs="Courier New" w:hint="default"/>
      </w:rPr>
    </w:lvl>
    <w:lvl w:ilvl="5" w:tplc="04050005" w:tentative="1">
      <w:start w:val="1"/>
      <w:numFmt w:val="bullet"/>
      <w:lvlText w:val=""/>
      <w:lvlJc w:val="left"/>
      <w:pPr>
        <w:ind w:left="4669" w:hanging="360"/>
      </w:pPr>
      <w:rPr>
        <w:rFonts w:ascii="Wingdings" w:hAnsi="Wingdings" w:hint="default"/>
      </w:rPr>
    </w:lvl>
    <w:lvl w:ilvl="6" w:tplc="04050001" w:tentative="1">
      <w:start w:val="1"/>
      <w:numFmt w:val="bullet"/>
      <w:lvlText w:val=""/>
      <w:lvlJc w:val="left"/>
      <w:pPr>
        <w:ind w:left="5389" w:hanging="360"/>
      </w:pPr>
      <w:rPr>
        <w:rFonts w:ascii="Symbol" w:hAnsi="Symbol" w:hint="default"/>
      </w:rPr>
    </w:lvl>
    <w:lvl w:ilvl="7" w:tplc="04050003" w:tentative="1">
      <w:start w:val="1"/>
      <w:numFmt w:val="bullet"/>
      <w:lvlText w:val="o"/>
      <w:lvlJc w:val="left"/>
      <w:pPr>
        <w:ind w:left="6109" w:hanging="360"/>
      </w:pPr>
      <w:rPr>
        <w:rFonts w:ascii="Courier New" w:hAnsi="Courier New" w:cs="Courier New" w:hint="default"/>
      </w:rPr>
    </w:lvl>
    <w:lvl w:ilvl="8" w:tplc="04050005" w:tentative="1">
      <w:start w:val="1"/>
      <w:numFmt w:val="bullet"/>
      <w:lvlText w:val=""/>
      <w:lvlJc w:val="left"/>
      <w:pPr>
        <w:ind w:left="6829" w:hanging="360"/>
      </w:pPr>
      <w:rPr>
        <w:rFonts w:ascii="Wingdings" w:hAnsi="Wingdings" w:hint="default"/>
      </w:rPr>
    </w:lvl>
  </w:abstractNum>
  <w:abstractNum w:abstractNumId="9" w15:restartNumberingAfterBreak="0">
    <w:nsid w:val="0EA74BB1"/>
    <w:multiLevelType w:val="hybridMultilevel"/>
    <w:tmpl w:val="5B541B70"/>
    <w:lvl w:ilvl="0" w:tplc="A04888D8">
      <w:start w:val="1"/>
      <w:numFmt w:val="upperLetter"/>
      <w:lvlText w:val="%1."/>
      <w:lvlJc w:val="left"/>
      <w:pPr>
        <w:ind w:left="2880" w:hanging="360"/>
      </w:pPr>
      <w:rPr>
        <w:rFonts w:hint="default"/>
      </w:rPr>
    </w:lvl>
    <w:lvl w:ilvl="1" w:tplc="04050019" w:tentative="1">
      <w:start w:val="1"/>
      <w:numFmt w:val="lowerLetter"/>
      <w:lvlText w:val="%2."/>
      <w:lvlJc w:val="left"/>
      <w:pPr>
        <w:ind w:left="3600" w:hanging="360"/>
      </w:pPr>
    </w:lvl>
    <w:lvl w:ilvl="2" w:tplc="0405001B" w:tentative="1">
      <w:start w:val="1"/>
      <w:numFmt w:val="lowerRoman"/>
      <w:lvlText w:val="%3."/>
      <w:lvlJc w:val="right"/>
      <w:pPr>
        <w:ind w:left="4320" w:hanging="180"/>
      </w:pPr>
    </w:lvl>
    <w:lvl w:ilvl="3" w:tplc="0405000F" w:tentative="1">
      <w:start w:val="1"/>
      <w:numFmt w:val="decimal"/>
      <w:lvlText w:val="%4."/>
      <w:lvlJc w:val="left"/>
      <w:pPr>
        <w:ind w:left="5040" w:hanging="360"/>
      </w:pPr>
    </w:lvl>
    <w:lvl w:ilvl="4" w:tplc="04050019" w:tentative="1">
      <w:start w:val="1"/>
      <w:numFmt w:val="lowerLetter"/>
      <w:lvlText w:val="%5."/>
      <w:lvlJc w:val="left"/>
      <w:pPr>
        <w:ind w:left="5760" w:hanging="360"/>
      </w:pPr>
    </w:lvl>
    <w:lvl w:ilvl="5" w:tplc="0405001B" w:tentative="1">
      <w:start w:val="1"/>
      <w:numFmt w:val="lowerRoman"/>
      <w:lvlText w:val="%6."/>
      <w:lvlJc w:val="right"/>
      <w:pPr>
        <w:ind w:left="6480" w:hanging="180"/>
      </w:pPr>
    </w:lvl>
    <w:lvl w:ilvl="6" w:tplc="0405000F" w:tentative="1">
      <w:start w:val="1"/>
      <w:numFmt w:val="decimal"/>
      <w:lvlText w:val="%7."/>
      <w:lvlJc w:val="left"/>
      <w:pPr>
        <w:ind w:left="7200" w:hanging="360"/>
      </w:pPr>
    </w:lvl>
    <w:lvl w:ilvl="7" w:tplc="04050019" w:tentative="1">
      <w:start w:val="1"/>
      <w:numFmt w:val="lowerLetter"/>
      <w:lvlText w:val="%8."/>
      <w:lvlJc w:val="left"/>
      <w:pPr>
        <w:ind w:left="7920" w:hanging="360"/>
      </w:pPr>
    </w:lvl>
    <w:lvl w:ilvl="8" w:tplc="0405001B" w:tentative="1">
      <w:start w:val="1"/>
      <w:numFmt w:val="lowerRoman"/>
      <w:lvlText w:val="%9."/>
      <w:lvlJc w:val="right"/>
      <w:pPr>
        <w:ind w:left="8640" w:hanging="180"/>
      </w:pPr>
    </w:lvl>
  </w:abstractNum>
  <w:abstractNum w:abstractNumId="10" w15:restartNumberingAfterBreak="0">
    <w:nsid w:val="143146F2"/>
    <w:multiLevelType w:val="hybridMultilevel"/>
    <w:tmpl w:val="25FA2DAA"/>
    <w:lvl w:ilvl="0" w:tplc="410E1EA0">
      <w:start w:val="1"/>
      <w:numFmt w:val="lowerLetter"/>
      <w:pStyle w:val="vrokpododstavec"/>
      <w:lvlText w:val="%1"/>
      <w:lvlJc w:val="left"/>
      <w:pPr>
        <w:ind w:left="1146" w:hanging="360"/>
      </w:pPr>
      <w:rPr>
        <w:rFonts w:cs="Times New Roman" w:hint="default"/>
        <w:b/>
        <w:bCs w:val="0"/>
        <w:i w:val="0"/>
        <w:iCs w:val="0"/>
        <w:caps w:val="0"/>
        <w:smallCaps w:val="0"/>
        <w:strike w:val="0"/>
        <w:dstrike w:val="0"/>
        <w:noProof w:val="0"/>
        <w:vanish w:val="0"/>
        <w:color w:val="auto"/>
        <w:spacing w:val="0"/>
        <w:kern w:val="0"/>
        <w:position w:val="0"/>
        <w:u w:val="none"/>
        <w:effect w:val="none"/>
        <w:vertAlign w:val="baseline"/>
        <w:em w:val="none"/>
      </w:rPr>
    </w:lvl>
    <w:lvl w:ilvl="1" w:tplc="04050019">
      <w:start w:val="1"/>
      <w:numFmt w:val="lowerLetter"/>
      <w:lvlText w:val="%2."/>
      <w:lvlJc w:val="left"/>
      <w:pPr>
        <w:ind w:left="1866" w:hanging="360"/>
      </w:pPr>
    </w:lvl>
    <w:lvl w:ilvl="2" w:tplc="0405001B">
      <w:start w:val="1"/>
      <w:numFmt w:val="lowerRoman"/>
      <w:lvlText w:val="%3."/>
      <w:lvlJc w:val="right"/>
      <w:pPr>
        <w:ind w:left="2586" w:hanging="180"/>
      </w:pPr>
    </w:lvl>
    <w:lvl w:ilvl="3" w:tplc="0405000F" w:tentative="1">
      <w:start w:val="1"/>
      <w:numFmt w:val="decimal"/>
      <w:lvlText w:val="%4."/>
      <w:lvlJc w:val="left"/>
      <w:pPr>
        <w:ind w:left="3306" w:hanging="360"/>
      </w:pPr>
    </w:lvl>
    <w:lvl w:ilvl="4" w:tplc="04050019" w:tentative="1">
      <w:start w:val="1"/>
      <w:numFmt w:val="lowerLetter"/>
      <w:lvlText w:val="%5."/>
      <w:lvlJc w:val="left"/>
      <w:pPr>
        <w:ind w:left="4026" w:hanging="360"/>
      </w:pPr>
    </w:lvl>
    <w:lvl w:ilvl="5" w:tplc="0405001B" w:tentative="1">
      <w:start w:val="1"/>
      <w:numFmt w:val="lowerRoman"/>
      <w:lvlText w:val="%6."/>
      <w:lvlJc w:val="right"/>
      <w:pPr>
        <w:ind w:left="4746" w:hanging="180"/>
      </w:pPr>
    </w:lvl>
    <w:lvl w:ilvl="6" w:tplc="0405000F" w:tentative="1">
      <w:start w:val="1"/>
      <w:numFmt w:val="decimal"/>
      <w:lvlText w:val="%7."/>
      <w:lvlJc w:val="left"/>
      <w:pPr>
        <w:ind w:left="5466" w:hanging="360"/>
      </w:pPr>
    </w:lvl>
    <w:lvl w:ilvl="7" w:tplc="04050019" w:tentative="1">
      <w:start w:val="1"/>
      <w:numFmt w:val="lowerLetter"/>
      <w:lvlText w:val="%8."/>
      <w:lvlJc w:val="left"/>
      <w:pPr>
        <w:ind w:left="6186" w:hanging="360"/>
      </w:pPr>
    </w:lvl>
    <w:lvl w:ilvl="8" w:tplc="0405001B" w:tentative="1">
      <w:start w:val="1"/>
      <w:numFmt w:val="lowerRoman"/>
      <w:lvlText w:val="%9."/>
      <w:lvlJc w:val="right"/>
      <w:pPr>
        <w:ind w:left="6906" w:hanging="180"/>
      </w:pPr>
    </w:lvl>
  </w:abstractNum>
  <w:abstractNum w:abstractNumId="11" w15:restartNumberingAfterBreak="0">
    <w:nsid w:val="15F80600"/>
    <w:multiLevelType w:val="hybridMultilevel"/>
    <w:tmpl w:val="2EEECEA0"/>
    <w:lvl w:ilvl="0" w:tplc="AF283464">
      <w:start w:val="1"/>
      <w:numFmt w:val="bullet"/>
      <w:lvlText w:val="-"/>
      <w:lvlJc w:val="left"/>
      <w:pPr>
        <w:ind w:left="1069" w:hanging="360"/>
      </w:pPr>
      <w:rPr>
        <w:rFonts w:ascii="Calibri Light" w:eastAsiaTheme="minorHAnsi" w:hAnsi="Calibri Light" w:cs="Calibri Light" w:hint="default"/>
      </w:rPr>
    </w:lvl>
    <w:lvl w:ilvl="1" w:tplc="04050003">
      <w:start w:val="1"/>
      <w:numFmt w:val="bullet"/>
      <w:lvlText w:val="o"/>
      <w:lvlJc w:val="left"/>
      <w:pPr>
        <w:ind w:left="1789" w:hanging="360"/>
      </w:pPr>
      <w:rPr>
        <w:rFonts w:ascii="Courier New" w:hAnsi="Courier New" w:cs="Courier New" w:hint="default"/>
      </w:rPr>
    </w:lvl>
    <w:lvl w:ilvl="2" w:tplc="04050005" w:tentative="1">
      <w:start w:val="1"/>
      <w:numFmt w:val="bullet"/>
      <w:lvlText w:val=""/>
      <w:lvlJc w:val="left"/>
      <w:pPr>
        <w:ind w:left="2509" w:hanging="360"/>
      </w:pPr>
      <w:rPr>
        <w:rFonts w:ascii="Wingdings" w:hAnsi="Wingdings" w:hint="default"/>
      </w:rPr>
    </w:lvl>
    <w:lvl w:ilvl="3" w:tplc="04050001" w:tentative="1">
      <w:start w:val="1"/>
      <w:numFmt w:val="bullet"/>
      <w:lvlText w:val=""/>
      <w:lvlJc w:val="left"/>
      <w:pPr>
        <w:ind w:left="3229" w:hanging="360"/>
      </w:pPr>
      <w:rPr>
        <w:rFonts w:ascii="Symbol" w:hAnsi="Symbol" w:hint="default"/>
      </w:rPr>
    </w:lvl>
    <w:lvl w:ilvl="4" w:tplc="04050003" w:tentative="1">
      <w:start w:val="1"/>
      <w:numFmt w:val="bullet"/>
      <w:lvlText w:val="o"/>
      <w:lvlJc w:val="left"/>
      <w:pPr>
        <w:ind w:left="3949" w:hanging="360"/>
      </w:pPr>
      <w:rPr>
        <w:rFonts w:ascii="Courier New" w:hAnsi="Courier New" w:cs="Courier New" w:hint="default"/>
      </w:rPr>
    </w:lvl>
    <w:lvl w:ilvl="5" w:tplc="04050005" w:tentative="1">
      <w:start w:val="1"/>
      <w:numFmt w:val="bullet"/>
      <w:lvlText w:val=""/>
      <w:lvlJc w:val="left"/>
      <w:pPr>
        <w:ind w:left="4669" w:hanging="360"/>
      </w:pPr>
      <w:rPr>
        <w:rFonts w:ascii="Wingdings" w:hAnsi="Wingdings" w:hint="default"/>
      </w:rPr>
    </w:lvl>
    <w:lvl w:ilvl="6" w:tplc="04050001" w:tentative="1">
      <w:start w:val="1"/>
      <w:numFmt w:val="bullet"/>
      <w:lvlText w:val=""/>
      <w:lvlJc w:val="left"/>
      <w:pPr>
        <w:ind w:left="5389" w:hanging="360"/>
      </w:pPr>
      <w:rPr>
        <w:rFonts w:ascii="Symbol" w:hAnsi="Symbol" w:hint="default"/>
      </w:rPr>
    </w:lvl>
    <w:lvl w:ilvl="7" w:tplc="04050003" w:tentative="1">
      <w:start w:val="1"/>
      <w:numFmt w:val="bullet"/>
      <w:lvlText w:val="o"/>
      <w:lvlJc w:val="left"/>
      <w:pPr>
        <w:ind w:left="6109" w:hanging="360"/>
      </w:pPr>
      <w:rPr>
        <w:rFonts w:ascii="Courier New" w:hAnsi="Courier New" w:cs="Courier New" w:hint="default"/>
      </w:rPr>
    </w:lvl>
    <w:lvl w:ilvl="8" w:tplc="04050005" w:tentative="1">
      <w:start w:val="1"/>
      <w:numFmt w:val="bullet"/>
      <w:lvlText w:val=""/>
      <w:lvlJc w:val="left"/>
      <w:pPr>
        <w:ind w:left="6829" w:hanging="360"/>
      </w:pPr>
      <w:rPr>
        <w:rFonts w:ascii="Wingdings" w:hAnsi="Wingdings" w:hint="default"/>
      </w:rPr>
    </w:lvl>
  </w:abstractNum>
  <w:abstractNum w:abstractNumId="12" w15:restartNumberingAfterBreak="0">
    <w:nsid w:val="16642CE7"/>
    <w:multiLevelType w:val="hybridMultilevel"/>
    <w:tmpl w:val="09A2112C"/>
    <w:lvl w:ilvl="0" w:tplc="3B7EA920">
      <w:start w:val="1"/>
      <w:numFmt w:val="decimal"/>
      <w:pStyle w:val="podminkyd"/>
      <w:lvlText w:val="d%1"/>
      <w:lvlJc w:val="left"/>
      <w:pPr>
        <w:ind w:left="1134" w:hanging="414"/>
      </w:pPr>
      <w:rPr>
        <w:rFonts w:ascii="Calibri" w:hAnsi="Calibri" w:hint="default"/>
        <w:b/>
        <w:i w: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3" w15:restartNumberingAfterBreak="0">
    <w:nsid w:val="17D325C8"/>
    <w:multiLevelType w:val="multilevel"/>
    <w:tmpl w:val="67AA5DBA"/>
    <w:lvl w:ilvl="0">
      <w:start w:val="10"/>
      <w:numFmt w:val="decimal"/>
      <w:lvlText w:val="%1"/>
      <w:lvlJc w:val="left"/>
      <w:pPr>
        <w:ind w:left="567" w:hanging="567"/>
      </w:pPr>
      <w:rPr>
        <w:rFonts w:hint="default"/>
      </w:rPr>
    </w:lvl>
    <w:lvl w:ilvl="1">
      <w:start w:val="1"/>
      <w:numFmt w:val="decimal"/>
      <w:lvlText w:val="11.%2"/>
      <w:lvlJc w:val="left"/>
      <w:pPr>
        <w:ind w:left="567" w:hanging="567"/>
      </w:pPr>
      <w:rPr>
        <w:rFonts w:hint="default"/>
      </w:rPr>
    </w:lvl>
    <w:lvl w:ilvl="2">
      <w:start w:val="1"/>
      <w:numFmt w:val="decimal"/>
      <w:isLgl/>
      <w:lvlText w:val="11.%2.%3"/>
      <w:lvlJc w:val="left"/>
      <w:pPr>
        <w:ind w:left="567" w:hanging="567"/>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4" w15:restartNumberingAfterBreak="0">
    <w:nsid w:val="1AB12585"/>
    <w:multiLevelType w:val="hybridMultilevel"/>
    <w:tmpl w:val="4182A274"/>
    <w:lvl w:ilvl="0" w:tplc="E7984C68">
      <w:start w:val="4"/>
      <w:numFmt w:val="decimal"/>
      <w:lvlText w:val="(%1)"/>
      <w:lvlJc w:val="left"/>
      <w:pPr>
        <w:ind w:left="720" w:hanging="360"/>
      </w:pPr>
      <w:rPr>
        <w:rFonts w:hint="default"/>
        <w:i w:val="0"/>
      </w:rPr>
    </w:lvl>
    <w:lvl w:ilvl="1" w:tplc="491C3330">
      <w:start w:val="1"/>
      <w:numFmt w:val="lowerLetter"/>
      <w:lvlText w:val="%2)"/>
      <w:lvlJc w:val="left"/>
      <w:pPr>
        <w:ind w:left="1785" w:hanging="705"/>
      </w:pPr>
      <w:rPr>
        <w:rFonts w:hint="default"/>
      </w:rPr>
    </w:lvl>
    <w:lvl w:ilvl="2" w:tplc="A59E2FC2">
      <w:start w:val="1"/>
      <w:numFmt w:val="decimal"/>
      <w:lvlText w:val="%3."/>
      <w:lvlJc w:val="left"/>
      <w:pPr>
        <w:ind w:left="2340" w:hanging="360"/>
      </w:pPr>
      <w:rPr>
        <w:rFonts w:hint="default"/>
      </w:r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5" w15:restartNumberingAfterBreak="0">
    <w:nsid w:val="1AF25CF2"/>
    <w:multiLevelType w:val="hybridMultilevel"/>
    <w:tmpl w:val="8162224A"/>
    <w:lvl w:ilvl="0" w:tplc="04050011">
      <w:start w:val="1"/>
      <w:numFmt w:val="decimal"/>
      <w:lvlText w:val="%1)"/>
      <w:lvlJc w:val="left"/>
      <w:pPr>
        <w:ind w:left="360" w:hanging="360"/>
      </w:pPr>
      <w:rPr>
        <w:rFonts w:hint="default"/>
      </w:r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16" w15:restartNumberingAfterBreak="0">
    <w:nsid w:val="1BB06A48"/>
    <w:multiLevelType w:val="hybridMultilevel"/>
    <w:tmpl w:val="12A0E282"/>
    <w:lvl w:ilvl="0" w:tplc="4640973C">
      <w:numFmt w:val="bullet"/>
      <w:lvlText w:val="-"/>
      <w:lvlJc w:val="left"/>
      <w:pPr>
        <w:ind w:left="1429" w:hanging="360"/>
      </w:pPr>
      <w:rPr>
        <w:rFonts w:ascii="Calibri" w:eastAsia="Times New Roman" w:hAnsi="Calibri" w:cs="Arial" w:hint="default"/>
      </w:rPr>
    </w:lvl>
    <w:lvl w:ilvl="1" w:tplc="04050003">
      <w:start w:val="1"/>
      <w:numFmt w:val="bullet"/>
      <w:lvlText w:val="o"/>
      <w:lvlJc w:val="left"/>
      <w:pPr>
        <w:ind w:left="2149" w:hanging="360"/>
      </w:pPr>
      <w:rPr>
        <w:rFonts w:ascii="Courier New" w:hAnsi="Courier New" w:cs="Courier New" w:hint="default"/>
      </w:rPr>
    </w:lvl>
    <w:lvl w:ilvl="2" w:tplc="04050005" w:tentative="1">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17" w15:restartNumberingAfterBreak="0">
    <w:nsid w:val="20146154"/>
    <w:multiLevelType w:val="hybridMultilevel"/>
    <w:tmpl w:val="D97E4838"/>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8" w15:restartNumberingAfterBreak="0">
    <w:nsid w:val="20CB32C9"/>
    <w:multiLevelType w:val="hybridMultilevel"/>
    <w:tmpl w:val="84D8E8DC"/>
    <w:lvl w:ilvl="0" w:tplc="801C2376">
      <w:start w:val="1"/>
      <w:numFmt w:val="lowerLetter"/>
      <w:lvlText w:val="%1)"/>
      <w:lvlJc w:val="left"/>
      <w:pPr>
        <w:ind w:left="720" w:hanging="360"/>
      </w:pPr>
      <w:rPr>
        <w:rFonts w:hint="default"/>
        <w:i w:val="0"/>
      </w:rPr>
    </w:lvl>
    <w:lvl w:ilvl="1" w:tplc="E36EA670">
      <w:start w:val="1"/>
      <w:numFmt w:val="lowerLetter"/>
      <w:lvlText w:val="%2."/>
      <w:lvlJc w:val="left"/>
      <w:pPr>
        <w:ind w:left="1440" w:hanging="360"/>
      </w:pPr>
      <w:rPr>
        <w:i w:val="0"/>
      </w:r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9" w15:restartNumberingAfterBreak="0">
    <w:nsid w:val="22EE4ECA"/>
    <w:multiLevelType w:val="hybridMultilevel"/>
    <w:tmpl w:val="569C39E2"/>
    <w:lvl w:ilvl="0" w:tplc="8F984644">
      <w:start w:val="1"/>
      <w:numFmt w:val="decimal"/>
      <w:lvlText w:val="(%1)"/>
      <w:lvlJc w:val="left"/>
      <w:pPr>
        <w:ind w:left="567" w:hanging="567"/>
      </w:pPr>
      <w:rPr>
        <w:rFonts w:hint="default"/>
        <w:b/>
        <w:sz w:val="20"/>
        <w:szCs w:val="20"/>
      </w:r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0" w15:restartNumberingAfterBreak="0">
    <w:nsid w:val="288533C9"/>
    <w:multiLevelType w:val="hybridMultilevel"/>
    <w:tmpl w:val="BC9C3D20"/>
    <w:lvl w:ilvl="0" w:tplc="F14A3174">
      <w:start w:val="4"/>
      <w:numFmt w:val="bullet"/>
      <w:lvlText w:val="-"/>
      <w:lvlJc w:val="left"/>
      <w:pPr>
        <w:ind w:left="1429" w:hanging="360"/>
      </w:pPr>
      <w:rPr>
        <w:rFonts w:ascii="Arial" w:eastAsia="Times New Roman" w:hAnsi="Arial" w:cs="Arial" w:hint="default"/>
        <w:b w:val="0"/>
        <w:i w:val="0"/>
      </w:rPr>
    </w:lvl>
    <w:lvl w:ilvl="1" w:tplc="04050003" w:tentative="1">
      <w:start w:val="1"/>
      <w:numFmt w:val="bullet"/>
      <w:lvlText w:val="o"/>
      <w:lvlJc w:val="left"/>
      <w:pPr>
        <w:ind w:left="2149" w:hanging="360"/>
      </w:pPr>
      <w:rPr>
        <w:rFonts w:ascii="Courier New" w:hAnsi="Courier New" w:cs="Courier New" w:hint="default"/>
      </w:rPr>
    </w:lvl>
    <w:lvl w:ilvl="2" w:tplc="04050005" w:tentative="1">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21" w15:restartNumberingAfterBreak="0">
    <w:nsid w:val="29914EF0"/>
    <w:multiLevelType w:val="hybridMultilevel"/>
    <w:tmpl w:val="2194800C"/>
    <w:lvl w:ilvl="0" w:tplc="FF4EDA38">
      <w:start w:val="2"/>
      <w:numFmt w:val="upperRoman"/>
      <w:lvlText w:val="%1."/>
      <w:lvlJc w:val="left"/>
      <w:pPr>
        <w:ind w:left="1080" w:hanging="72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2" w15:restartNumberingAfterBreak="0">
    <w:nsid w:val="2A7466C9"/>
    <w:multiLevelType w:val="hybridMultilevel"/>
    <w:tmpl w:val="6A5CAE04"/>
    <w:lvl w:ilvl="0" w:tplc="0405000F">
      <w:start w:val="1"/>
      <w:numFmt w:val="decimal"/>
      <w:lvlText w:val="%1."/>
      <w:lvlJc w:val="left"/>
      <w:pPr>
        <w:ind w:left="360" w:hanging="360"/>
      </w:pPr>
      <w:rPr>
        <w:rFonts w:hint="default"/>
      </w:r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23" w15:restartNumberingAfterBreak="0">
    <w:nsid w:val="2FB3133A"/>
    <w:multiLevelType w:val="hybridMultilevel"/>
    <w:tmpl w:val="A6905710"/>
    <w:lvl w:ilvl="0" w:tplc="4640973C">
      <w:numFmt w:val="bullet"/>
      <w:lvlText w:val="-"/>
      <w:lvlJc w:val="left"/>
      <w:pPr>
        <w:ind w:left="720" w:hanging="360"/>
      </w:pPr>
      <w:rPr>
        <w:rFonts w:ascii="Calibri" w:eastAsia="Times New Roman" w:hAnsi="Calibri"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15:restartNumberingAfterBreak="0">
    <w:nsid w:val="304A3129"/>
    <w:multiLevelType w:val="hybridMultilevel"/>
    <w:tmpl w:val="6F522078"/>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25" w15:restartNumberingAfterBreak="0">
    <w:nsid w:val="324655F5"/>
    <w:multiLevelType w:val="multilevel"/>
    <w:tmpl w:val="D06424AC"/>
    <w:lvl w:ilvl="0">
      <w:start w:val="9"/>
      <w:numFmt w:val="decimal"/>
      <w:lvlText w:val="%1"/>
      <w:lvlJc w:val="left"/>
      <w:pPr>
        <w:ind w:left="567" w:hanging="567"/>
      </w:pPr>
      <w:rPr>
        <w:rFonts w:hint="default"/>
      </w:rPr>
    </w:lvl>
    <w:lvl w:ilvl="1">
      <w:start w:val="1"/>
      <w:numFmt w:val="decimal"/>
      <w:lvlText w:val="12.%2"/>
      <w:lvlJc w:val="left"/>
      <w:pPr>
        <w:ind w:left="567" w:hanging="567"/>
      </w:pPr>
      <w:rPr>
        <w:rFonts w:hint="default"/>
      </w:rPr>
    </w:lvl>
    <w:lvl w:ilvl="2">
      <w:start w:val="1"/>
      <w:numFmt w:val="decimal"/>
      <w:isLgl/>
      <w:lvlText w:val="12.%2.%3"/>
      <w:lvlJc w:val="left"/>
      <w:pPr>
        <w:ind w:left="567" w:hanging="567"/>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6" w15:restartNumberingAfterBreak="0">
    <w:nsid w:val="35E67F8F"/>
    <w:multiLevelType w:val="hybridMultilevel"/>
    <w:tmpl w:val="C7708996"/>
    <w:lvl w:ilvl="0" w:tplc="F14A3174">
      <w:start w:val="4"/>
      <w:numFmt w:val="bullet"/>
      <w:lvlText w:val="-"/>
      <w:lvlJc w:val="left"/>
      <w:pPr>
        <w:ind w:left="1429" w:hanging="360"/>
      </w:pPr>
      <w:rPr>
        <w:rFonts w:ascii="Arial" w:eastAsia="Times New Roman" w:hAnsi="Arial" w:cs="Arial" w:hint="default"/>
        <w:b w:val="0"/>
        <w:i w:val="0"/>
      </w:rPr>
    </w:lvl>
    <w:lvl w:ilvl="1" w:tplc="04050003" w:tentative="1">
      <w:start w:val="1"/>
      <w:numFmt w:val="bullet"/>
      <w:lvlText w:val="o"/>
      <w:lvlJc w:val="left"/>
      <w:pPr>
        <w:ind w:left="2149" w:hanging="360"/>
      </w:pPr>
      <w:rPr>
        <w:rFonts w:ascii="Courier New" w:hAnsi="Courier New" w:cs="Courier New" w:hint="default"/>
      </w:rPr>
    </w:lvl>
    <w:lvl w:ilvl="2" w:tplc="04050005" w:tentative="1">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27" w15:restartNumberingAfterBreak="0">
    <w:nsid w:val="3B5B61CE"/>
    <w:multiLevelType w:val="hybridMultilevel"/>
    <w:tmpl w:val="561CD708"/>
    <w:lvl w:ilvl="0" w:tplc="5ED6A97A">
      <w:start w:val="1"/>
      <w:numFmt w:val="upperRoman"/>
      <w:lvlText w:val="%1."/>
      <w:lvlJc w:val="left"/>
      <w:pPr>
        <w:ind w:left="1080" w:hanging="72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8" w15:restartNumberingAfterBreak="0">
    <w:nsid w:val="3D215A79"/>
    <w:multiLevelType w:val="hybridMultilevel"/>
    <w:tmpl w:val="1BD28FBC"/>
    <w:lvl w:ilvl="0" w:tplc="04050001">
      <w:start w:val="1"/>
      <w:numFmt w:val="bullet"/>
      <w:lvlText w:val=""/>
      <w:lvlJc w:val="left"/>
      <w:pPr>
        <w:ind w:left="1429" w:hanging="360"/>
      </w:pPr>
      <w:rPr>
        <w:rFonts w:ascii="Symbol" w:hAnsi="Symbol" w:hint="default"/>
      </w:rPr>
    </w:lvl>
    <w:lvl w:ilvl="1" w:tplc="04050003" w:tentative="1">
      <w:start w:val="1"/>
      <w:numFmt w:val="bullet"/>
      <w:lvlText w:val="o"/>
      <w:lvlJc w:val="left"/>
      <w:pPr>
        <w:ind w:left="2149" w:hanging="360"/>
      </w:pPr>
      <w:rPr>
        <w:rFonts w:ascii="Courier New" w:hAnsi="Courier New" w:cs="Courier New" w:hint="default"/>
      </w:rPr>
    </w:lvl>
    <w:lvl w:ilvl="2" w:tplc="04050005" w:tentative="1">
      <w:start w:val="1"/>
      <w:numFmt w:val="bullet"/>
      <w:lvlText w:val=""/>
      <w:lvlJc w:val="left"/>
      <w:pPr>
        <w:ind w:left="2869" w:hanging="360"/>
      </w:pPr>
      <w:rPr>
        <w:rFonts w:ascii="Wingdings" w:hAnsi="Wingdings" w:hint="default"/>
      </w:rPr>
    </w:lvl>
    <w:lvl w:ilvl="3" w:tplc="0405000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29" w15:restartNumberingAfterBreak="0">
    <w:nsid w:val="3F6A7997"/>
    <w:multiLevelType w:val="multilevel"/>
    <w:tmpl w:val="BFEA0DEE"/>
    <w:lvl w:ilvl="0">
      <w:start w:val="1"/>
      <w:numFmt w:val="decimal"/>
      <w:pStyle w:val="Styl4"/>
      <w:lvlText w:val="(%1)"/>
      <w:lvlJc w:val="left"/>
      <w:pPr>
        <w:ind w:left="714" w:hanging="714"/>
      </w:pPr>
      <w:rPr>
        <w:rFonts w:ascii="Calibri" w:hAnsi="Calibri" w:hint="default"/>
        <w:b/>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0" w15:restartNumberingAfterBreak="0">
    <w:nsid w:val="4022089A"/>
    <w:multiLevelType w:val="hybridMultilevel"/>
    <w:tmpl w:val="CA5A614C"/>
    <w:lvl w:ilvl="0" w:tplc="DD84B1F8">
      <w:start w:val="1"/>
      <w:numFmt w:val="bullet"/>
      <w:lvlText w:val="-"/>
      <w:lvlJc w:val="left"/>
      <w:pPr>
        <w:ind w:left="720" w:hanging="360"/>
      </w:pPr>
      <w:rPr>
        <w:rFonts w:ascii="Verdana" w:hAnsi="Verdana" w:hint="default"/>
      </w:rPr>
    </w:lvl>
    <w:lvl w:ilvl="1" w:tplc="04050003">
      <w:start w:val="1"/>
      <w:numFmt w:val="bullet"/>
      <w:lvlText w:val="o"/>
      <w:lvlJc w:val="left"/>
      <w:pPr>
        <w:ind w:left="1440" w:hanging="360"/>
      </w:pPr>
      <w:rPr>
        <w:rFonts w:ascii="Courier New" w:hAnsi="Courier New" w:cs="Courier New" w:hint="default"/>
      </w:rPr>
    </w:lvl>
    <w:lvl w:ilvl="2" w:tplc="F91A21C6">
      <w:numFmt w:val="bullet"/>
      <w:lvlText w:val="•"/>
      <w:lvlJc w:val="left"/>
      <w:pPr>
        <w:ind w:left="2160" w:hanging="360"/>
      </w:pPr>
      <w:rPr>
        <w:rFonts w:ascii="Calibri Light" w:eastAsiaTheme="minorHAnsi" w:hAnsi="Calibri Light" w:cs="Calibri Light" w:hint="default"/>
      </w:rPr>
    </w:lvl>
    <w:lvl w:ilvl="3" w:tplc="0405000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1" w15:restartNumberingAfterBreak="0">
    <w:nsid w:val="406E786F"/>
    <w:multiLevelType w:val="hybridMultilevel"/>
    <w:tmpl w:val="ED486072"/>
    <w:lvl w:ilvl="0" w:tplc="04050001">
      <w:start w:val="1"/>
      <w:numFmt w:val="bullet"/>
      <w:lvlText w:val=""/>
      <w:lvlJc w:val="left"/>
      <w:pPr>
        <w:ind w:left="1429" w:hanging="360"/>
      </w:pPr>
      <w:rPr>
        <w:rFonts w:ascii="Symbol" w:hAnsi="Symbol" w:hint="default"/>
      </w:rPr>
    </w:lvl>
    <w:lvl w:ilvl="1" w:tplc="04050003" w:tentative="1">
      <w:start w:val="1"/>
      <w:numFmt w:val="bullet"/>
      <w:lvlText w:val="o"/>
      <w:lvlJc w:val="left"/>
      <w:pPr>
        <w:ind w:left="2149" w:hanging="360"/>
      </w:pPr>
      <w:rPr>
        <w:rFonts w:ascii="Courier New" w:hAnsi="Courier New" w:cs="Courier New" w:hint="default"/>
      </w:rPr>
    </w:lvl>
    <w:lvl w:ilvl="2" w:tplc="04050005" w:tentative="1">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32" w15:restartNumberingAfterBreak="0">
    <w:nsid w:val="484E2B34"/>
    <w:multiLevelType w:val="multilevel"/>
    <w:tmpl w:val="566CE9F8"/>
    <w:lvl w:ilvl="0">
      <w:start w:val="1"/>
      <w:numFmt w:val="decimal"/>
      <w:lvlText w:val="%1"/>
      <w:lvlJc w:val="left"/>
      <w:pPr>
        <w:ind w:left="567" w:hanging="567"/>
      </w:pPr>
      <w:rPr>
        <w:rFonts w:hint="default"/>
      </w:rPr>
    </w:lvl>
    <w:lvl w:ilvl="1">
      <w:start w:val="2"/>
      <w:numFmt w:val="decimal"/>
      <w:isLgl/>
      <w:lvlText w:val="%1.%2"/>
      <w:lvlJc w:val="left"/>
      <w:pPr>
        <w:ind w:left="567" w:hanging="567"/>
      </w:pPr>
      <w:rPr>
        <w:rFonts w:hint="default"/>
      </w:rPr>
    </w:lvl>
    <w:lvl w:ilvl="2">
      <w:start w:val="1"/>
      <w:numFmt w:val="decimal"/>
      <w:isLgl/>
      <w:lvlText w:val="%1.%2.%3"/>
      <w:lvlJc w:val="left"/>
      <w:pPr>
        <w:ind w:left="567" w:hanging="567"/>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33" w15:restartNumberingAfterBreak="0">
    <w:nsid w:val="48EF34C8"/>
    <w:multiLevelType w:val="hybridMultilevel"/>
    <w:tmpl w:val="A8D6B8C2"/>
    <w:lvl w:ilvl="0" w:tplc="D6504334">
      <w:start w:val="1"/>
      <w:numFmt w:val="bullet"/>
      <w:lvlText w:val="-"/>
      <w:lvlJc w:val="left"/>
      <w:pPr>
        <w:ind w:left="1440" w:hanging="360"/>
      </w:pPr>
      <w:rPr>
        <w:rFonts w:ascii="Calibri" w:eastAsiaTheme="minorHAnsi" w:hAnsi="Calibri" w:cs="Calibri"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34" w15:restartNumberingAfterBreak="0">
    <w:nsid w:val="49906F38"/>
    <w:multiLevelType w:val="hybridMultilevel"/>
    <w:tmpl w:val="04C66D32"/>
    <w:lvl w:ilvl="0" w:tplc="84788104">
      <w:numFmt w:val="bullet"/>
      <w:lvlText w:val="-"/>
      <w:lvlJc w:val="left"/>
      <w:pPr>
        <w:ind w:left="1429" w:hanging="360"/>
      </w:pPr>
      <w:rPr>
        <w:rFonts w:ascii="Arial" w:eastAsia="SimSun" w:hAnsi="Arial" w:cs="Arial" w:hint="default"/>
      </w:rPr>
    </w:lvl>
    <w:lvl w:ilvl="1" w:tplc="04050003" w:tentative="1">
      <w:start w:val="1"/>
      <w:numFmt w:val="bullet"/>
      <w:lvlText w:val="o"/>
      <w:lvlJc w:val="left"/>
      <w:pPr>
        <w:ind w:left="2149" w:hanging="360"/>
      </w:pPr>
      <w:rPr>
        <w:rFonts w:ascii="Courier New" w:hAnsi="Courier New" w:cs="Courier New" w:hint="default"/>
      </w:rPr>
    </w:lvl>
    <w:lvl w:ilvl="2" w:tplc="04050005" w:tentative="1">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35" w15:restartNumberingAfterBreak="0">
    <w:nsid w:val="4CF805CB"/>
    <w:multiLevelType w:val="hybridMultilevel"/>
    <w:tmpl w:val="31F84B38"/>
    <w:lvl w:ilvl="0" w:tplc="5F469808">
      <w:numFmt w:val="bullet"/>
      <w:lvlText w:val="-"/>
      <w:lvlJc w:val="left"/>
      <w:pPr>
        <w:ind w:left="720" w:hanging="360"/>
      </w:pPr>
      <w:rPr>
        <w:rFonts w:ascii="Calibri" w:eastAsiaTheme="minorHAnsi" w:hAnsi="Calibri" w:cs="Calibri"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6" w15:restartNumberingAfterBreak="0">
    <w:nsid w:val="4D1C78D9"/>
    <w:multiLevelType w:val="hybridMultilevel"/>
    <w:tmpl w:val="EC644516"/>
    <w:lvl w:ilvl="0" w:tplc="99BC41FA">
      <w:start w:val="1"/>
      <w:numFmt w:val="lowerLetter"/>
      <w:lvlText w:val="%1"/>
      <w:lvlJc w:val="left"/>
      <w:pPr>
        <w:ind w:left="851" w:hanging="284"/>
      </w:pPr>
      <w:rPr>
        <w:rFonts w:hint="default"/>
        <w:b/>
      </w:rPr>
    </w:lvl>
    <w:lvl w:ilvl="1" w:tplc="CFB02016">
      <w:start w:val="1"/>
      <w:numFmt w:val="lowerRoman"/>
      <w:lvlText w:val="%2."/>
      <w:lvlJc w:val="right"/>
      <w:pPr>
        <w:ind w:left="1440" w:hanging="360"/>
      </w:pPr>
      <w:rPr>
        <w:b w:val="0"/>
      </w:r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7" w15:restartNumberingAfterBreak="0">
    <w:nsid w:val="552E108E"/>
    <w:multiLevelType w:val="hybridMultilevel"/>
    <w:tmpl w:val="249E03CA"/>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8" w15:restartNumberingAfterBreak="0">
    <w:nsid w:val="580053A5"/>
    <w:multiLevelType w:val="hybridMultilevel"/>
    <w:tmpl w:val="5E4639AC"/>
    <w:lvl w:ilvl="0" w:tplc="04050001">
      <w:numFmt w:val="bullet"/>
      <w:lvlText w:val="-"/>
      <w:lvlJc w:val="left"/>
      <w:pPr>
        <w:ind w:left="720" w:hanging="360"/>
      </w:p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39" w15:restartNumberingAfterBreak="0">
    <w:nsid w:val="5934713D"/>
    <w:multiLevelType w:val="hybridMultilevel"/>
    <w:tmpl w:val="027A7346"/>
    <w:lvl w:ilvl="0" w:tplc="04050017">
      <w:start w:val="1"/>
      <w:numFmt w:val="lowerLetter"/>
      <w:lvlText w:val="%1)"/>
      <w:lvlJc w:val="left"/>
      <w:pPr>
        <w:ind w:left="1069" w:hanging="360"/>
      </w:pPr>
      <w:rPr>
        <w:rFonts w:hint="default"/>
        <w:b w:val="0"/>
        <w:i w:val="0"/>
      </w:rPr>
    </w:lvl>
    <w:lvl w:ilvl="1" w:tplc="04050003">
      <w:start w:val="1"/>
      <w:numFmt w:val="bullet"/>
      <w:lvlText w:val="o"/>
      <w:lvlJc w:val="left"/>
      <w:pPr>
        <w:ind w:left="2007" w:hanging="360"/>
      </w:pPr>
      <w:rPr>
        <w:rFonts w:ascii="Courier New" w:hAnsi="Courier New" w:cs="Courier New" w:hint="default"/>
      </w:rPr>
    </w:lvl>
    <w:lvl w:ilvl="2" w:tplc="9A72964C">
      <w:start w:val="1"/>
      <w:numFmt w:val="decimal"/>
      <w:lvlText w:val="%3."/>
      <w:lvlJc w:val="left"/>
      <w:pPr>
        <w:ind w:left="2907" w:hanging="360"/>
      </w:pPr>
      <w:rPr>
        <w:rFonts w:hint="default"/>
        <w:i w:val="0"/>
      </w:rPr>
    </w:lvl>
    <w:lvl w:ilvl="3" w:tplc="0405000F">
      <w:start w:val="1"/>
      <w:numFmt w:val="decimal"/>
      <w:lvlText w:val="%4."/>
      <w:lvlJc w:val="left"/>
      <w:pPr>
        <w:ind w:left="3447" w:hanging="360"/>
      </w:pPr>
    </w:lvl>
    <w:lvl w:ilvl="4" w:tplc="04050019">
      <w:start w:val="1"/>
      <w:numFmt w:val="lowerLetter"/>
      <w:lvlText w:val="%5."/>
      <w:lvlJc w:val="left"/>
      <w:pPr>
        <w:ind w:left="4167" w:hanging="360"/>
      </w:pPr>
    </w:lvl>
    <w:lvl w:ilvl="5" w:tplc="0405001B">
      <w:start w:val="1"/>
      <w:numFmt w:val="lowerRoman"/>
      <w:lvlText w:val="%6."/>
      <w:lvlJc w:val="right"/>
      <w:pPr>
        <w:ind w:left="4887" w:hanging="180"/>
      </w:pPr>
    </w:lvl>
    <w:lvl w:ilvl="6" w:tplc="0405000F">
      <w:start w:val="1"/>
      <w:numFmt w:val="decimal"/>
      <w:lvlText w:val="%7."/>
      <w:lvlJc w:val="left"/>
      <w:pPr>
        <w:ind w:left="5607" w:hanging="360"/>
      </w:pPr>
    </w:lvl>
    <w:lvl w:ilvl="7" w:tplc="04050019" w:tentative="1">
      <w:start w:val="1"/>
      <w:numFmt w:val="lowerLetter"/>
      <w:lvlText w:val="%8."/>
      <w:lvlJc w:val="left"/>
      <w:pPr>
        <w:ind w:left="6327" w:hanging="360"/>
      </w:pPr>
    </w:lvl>
    <w:lvl w:ilvl="8" w:tplc="0405001B" w:tentative="1">
      <w:start w:val="1"/>
      <w:numFmt w:val="lowerRoman"/>
      <w:lvlText w:val="%9."/>
      <w:lvlJc w:val="right"/>
      <w:pPr>
        <w:ind w:left="7047" w:hanging="180"/>
      </w:pPr>
    </w:lvl>
  </w:abstractNum>
  <w:abstractNum w:abstractNumId="40" w15:restartNumberingAfterBreak="0">
    <w:nsid w:val="5C877D36"/>
    <w:multiLevelType w:val="hybridMultilevel"/>
    <w:tmpl w:val="40EADC12"/>
    <w:lvl w:ilvl="0" w:tplc="4712073A">
      <w:start w:val="1"/>
      <w:numFmt w:val="decimal"/>
      <w:pStyle w:val="podminkyb"/>
      <w:lvlText w:val="b%1"/>
      <w:lvlJc w:val="left"/>
      <w:pPr>
        <w:ind w:left="1134" w:hanging="414"/>
      </w:pPr>
      <w:rPr>
        <w:rFonts w:ascii="Calibri" w:hAnsi="Calibri" w:hint="default"/>
        <w:b/>
        <w:i w: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1" w15:restartNumberingAfterBreak="0">
    <w:nsid w:val="618B59C3"/>
    <w:multiLevelType w:val="hybridMultilevel"/>
    <w:tmpl w:val="2ACAECCA"/>
    <w:lvl w:ilvl="0" w:tplc="04050011">
      <w:start w:val="1"/>
      <w:numFmt w:val="decimal"/>
      <w:lvlText w:val="%1)"/>
      <w:lvlJc w:val="left"/>
      <w:pPr>
        <w:ind w:left="360" w:hanging="360"/>
      </w:pPr>
      <w:rPr>
        <w:rFonts w:hint="default"/>
      </w:r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42" w15:restartNumberingAfterBreak="0">
    <w:nsid w:val="64794E37"/>
    <w:multiLevelType w:val="hybridMultilevel"/>
    <w:tmpl w:val="3B0C8B12"/>
    <w:lvl w:ilvl="0" w:tplc="F14A3174">
      <w:start w:val="4"/>
      <w:numFmt w:val="bullet"/>
      <w:lvlText w:val="-"/>
      <w:lvlJc w:val="left"/>
      <w:pPr>
        <w:ind w:left="1069" w:hanging="360"/>
      </w:pPr>
      <w:rPr>
        <w:rFonts w:ascii="Arial" w:eastAsia="Times New Roman" w:hAnsi="Arial" w:cs="Arial" w:hint="default"/>
        <w:b w:val="0"/>
        <w:i w:val="0"/>
      </w:rPr>
    </w:lvl>
    <w:lvl w:ilvl="1" w:tplc="04050003">
      <w:start w:val="1"/>
      <w:numFmt w:val="bullet"/>
      <w:lvlText w:val="o"/>
      <w:lvlJc w:val="left"/>
      <w:pPr>
        <w:ind w:left="2007" w:hanging="360"/>
      </w:pPr>
      <w:rPr>
        <w:rFonts w:ascii="Courier New" w:hAnsi="Courier New" w:cs="Courier New" w:hint="default"/>
      </w:rPr>
    </w:lvl>
    <w:lvl w:ilvl="2" w:tplc="9A72964C">
      <w:start w:val="1"/>
      <w:numFmt w:val="decimal"/>
      <w:lvlText w:val="%3."/>
      <w:lvlJc w:val="left"/>
      <w:pPr>
        <w:ind w:left="2907" w:hanging="360"/>
      </w:pPr>
      <w:rPr>
        <w:rFonts w:hint="default"/>
        <w:i w:val="0"/>
      </w:rPr>
    </w:lvl>
    <w:lvl w:ilvl="3" w:tplc="0405000F">
      <w:start w:val="1"/>
      <w:numFmt w:val="decimal"/>
      <w:lvlText w:val="%4."/>
      <w:lvlJc w:val="left"/>
      <w:pPr>
        <w:ind w:left="3447" w:hanging="360"/>
      </w:pPr>
    </w:lvl>
    <w:lvl w:ilvl="4" w:tplc="04050019">
      <w:start w:val="1"/>
      <w:numFmt w:val="lowerLetter"/>
      <w:lvlText w:val="%5."/>
      <w:lvlJc w:val="left"/>
      <w:pPr>
        <w:ind w:left="4167" w:hanging="360"/>
      </w:pPr>
    </w:lvl>
    <w:lvl w:ilvl="5" w:tplc="0405001B">
      <w:start w:val="1"/>
      <w:numFmt w:val="lowerRoman"/>
      <w:lvlText w:val="%6."/>
      <w:lvlJc w:val="right"/>
      <w:pPr>
        <w:ind w:left="4887" w:hanging="180"/>
      </w:pPr>
    </w:lvl>
    <w:lvl w:ilvl="6" w:tplc="0405000F">
      <w:start w:val="1"/>
      <w:numFmt w:val="decimal"/>
      <w:lvlText w:val="%7."/>
      <w:lvlJc w:val="left"/>
      <w:pPr>
        <w:ind w:left="5607" w:hanging="360"/>
      </w:pPr>
    </w:lvl>
    <w:lvl w:ilvl="7" w:tplc="04050019" w:tentative="1">
      <w:start w:val="1"/>
      <w:numFmt w:val="lowerLetter"/>
      <w:lvlText w:val="%8."/>
      <w:lvlJc w:val="left"/>
      <w:pPr>
        <w:ind w:left="6327" w:hanging="360"/>
      </w:pPr>
    </w:lvl>
    <w:lvl w:ilvl="8" w:tplc="0405001B" w:tentative="1">
      <w:start w:val="1"/>
      <w:numFmt w:val="lowerRoman"/>
      <w:lvlText w:val="%9."/>
      <w:lvlJc w:val="right"/>
      <w:pPr>
        <w:ind w:left="7047" w:hanging="180"/>
      </w:pPr>
    </w:lvl>
  </w:abstractNum>
  <w:abstractNum w:abstractNumId="43" w15:restartNumberingAfterBreak="0">
    <w:nsid w:val="65E53C3B"/>
    <w:multiLevelType w:val="multilevel"/>
    <w:tmpl w:val="CD3AC296"/>
    <w:lvl w:ilvl="0">
      <w:start w:val="5"/>
      <w:numFmt w:val="decimal"/>
      <w:lvlText w:val="%1"/>
      <w:lvlJc w:val="left"/>
      <w:pPr>
        <w:ind w:left="567" w:hanging="567"/>
      </w:pPr>
      <w:rPr>
        <w:rFonts w:hint="default"/>
      </w:rPr>
    </w:lvl>
    <w:lvl w:ilvl="1">
      <w:start w:val="1"/>
      <w:numFmt w:val="decimal"/>
      <w:lvlText w:val="5.%2"/>
      <w:lvlJc w:val="left"/>
      <w:pPr>
        <w:ind w:left="567" w:hanging="567"/>
      </w:pPr>
      <w:rPr>
        <w:rFonts w:hint="default"/>
      </w:rPr>
    </w:lvl>
    <w:lvl w:ilvl="2">
      <w:start w:val="1"/>
      <w:numFmt w:val="decimal"/>
      <w:isLgl/>
      <w:lvlText w:val="%1.%2.%3"/>
      <w:lvlJc w:val="left"/>
      <w:pPr>
        <w:ind w:left="567" w:hanging="567"/>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44" w15:restartNumberingAfterBreak="0">
    <w:nsid w:val="6D040D63"/>
    <w:multiLevelType w:val="hybridMultilevel"/>
    <w:tmpl w:val="A6DCBFE0"/>
    <w:lvl w:ilvl="0" w:tplc="A866DE48">
      <w:start w:val="1"/>
      <w:numFmt w:val="upperLetter"/>
      <w:pStyle w:val="nazvyvyuziti"/>
      <w:lvlText w:val="[%1]"/>
      <w:lvlJc w:val="left"/>
      <w:pPr>
        <w:ind w:left="709" w:hanging="425"/>
      </w:pPr>
      <w:rPr>
        <w:rFonts w:ascii="Calibri" w:hAnsi="Calibri" w:hint="default"/>
        <w:b/>
        <w:i w: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5" w15:restartNumberingAfterBreak="0">
    <w:nsid w:val="6E0623C6"/>
    <w:multiLevelType w:val="hybridMultilevel"/>
    <w:tmpl w:val="43AEE182"/>
    <w:lvl w:ilvl="0" w:tplc="04050001">
      <w:numFmt w:val="bullet"/>
      <w:lvlText w:val="-"/>
      <w:lvlJc w:val="left"/>
      <w:pPr>
        <w:ind w:left="1429" w:hanging="360"/>
      </w:pPr>
      <w:rPr>
        <w:rFonts w:ascii="Arial" w:eastAsia="SimSun" w:hAnsi="Arial" w:cs="Arial" w:hint="default"/>
      </w:rPr>
    </w:lvl>
    <w:lvl w:ilvl="1" w:tplc="04050003">
      <w:start w:val="1"/>
      <w:numFmt w:val="bullet"/>
      <w:lvlText w:val="o"/>
      <w:lvlJc w:val="left"/>
      <w:pPr>
        <w:ind w:left="2149" w:hanging="360"/>
      </w:pPr>
      <w:rPr>
        <w:rFonts w:ascii="Courier New" w:hAnsi="Courier New" w:cs="Courier New" w:hint="default"/>
      </w:rPr>
    </w:lvl>
    <w:lvl w:ilvl="2" w:tplc="04050005">
      <w:start w:val="1"/>
      <w:numFmt w:val="bullet"/>
      <w:lvlText w:val=""/>
      <w:lvlJc w:val="left"/>
      <w:pPr>
        <w:ind w:left="2869" w:hanging="360"/>
      </w:pPr>
      <w:rPr>
        <w:rFonts w:ascii="Wingdings" w:hAnsi="Wingdings" w:hint="default"/>
      </w:rPr>
    </w:lvl>
    <w:lvl w:ilvl="3" w:tplc="04050001">
      <w:start w:val="1"/>
      <w:numFmt w:val="bullet"/>
      <w:lvlText w:val=""/>
      <w:lvlJc w:val="left"/>
      <w:pPr>
        <w:ind w:left="3589" w:hanging="360"/>
      </w:pPr>
      <w:rPr>
        <w:rFonts w:ascii="Symbol" w:hAnsi="Symbol" w:hint="default"/>
      </w:rPr>
    </w:lvl>
    <w:lvl w:ilvl="4" w:tplc="04050003">
      <w:start w:val="1"/>
      <w:numFmt w:val="bullet"/>
      <w:lvlText w:val="o"/>
      <w:lvlJc w:val="left"/>
      <w:pPr>
        <w:ind w:left="4309" w:hanging="360"/>
      </w:pPr>
      <w:rPr>
        <w:rFonts w:ascii="Courier New" w:hAnsi="Courier New" w:cs="Courier New" w:hint="default"/>
      </w:rPr>
    </w:lvl>
    <w:lvl w:ilvl="5" w:tplc="04050005">
      <w:start w:val="1"/>
      <w:numFmt w:val="bullet"/>
      <w:lvlText w:val=""/>
      <w:lvlJc w:val="left"/>
      <w:pPr>
        <w:ind w:left="5029" w:hanging="360"/>
      </w:pPr>
      <w:rPr>
        <w:rFonts w:ascii="Wingdings" w:hAnsi="Wingdings" w:hint="default"/>
      </w:rPr>
    </w:lvl>
    <w:lvl w:ilvl="6" w:tplc="04050001">
      <w:start w:val="1"/>
      <w:numFmt w:val="bullet"/>
      <w:lvlText w:val=""/>
      <w:lvlJc w:val="left"/>
      <w:pPr>
        <w:ind w:left="5749" w:hanging="360"/>
      </w:pPr>
      <w:rPr>
        <w:rFonts w:ascii="Symbol" w:hAnsi="Symbol" w:hint="default"/>
      </w:rPr>
    </w:lvl>
    <w:lvl w:ilvl="7" w:tplc="04050003">
      <w:start w:val="1"/>
      <w:numFmt w:val="bullet"/>
      <w:lvlText w:val="o"/>
      <w:lvlJc w:val="left"/>
      <w:pPr>
        <w:ind w:left="6469" w:hanging="360"/>
      </w:pPr>
      <w:rPr>
        <w:rFonts w:ascii="Courier New" w:hAnsi="Courier New" w:cs="Courier New" w:hint="default"/>
      </w:rPr>
    </w:lvl>
    <w:lvl w:ilvl="8" w:tplc="04050005">
      <w:start w:val="1"/>
      <w:numFmt w:val="bullet"/>
      <w:lvlText w:val=""/>
      <w:lvlJc w:val="left"/>
      <w:pPr>
        <w:ind w:left="7189" w:hanging="360"/>
      </w:pPr>
      <w:rPr>
        <w:rFonts w:ascii="Wingdings" w:hAnsi="Wingdings" w:hint="default"/>
      </w:rPr>
    </w:lvl>
  </w:abstractNum>
  <w:abstractNum w:abstractNumId="46" w15:restartNumberingAfterBreak="0">
    <w:nsid w:val="6F7D5560"/>
    <w:multiLevelType w:val="hybridMultilevel"/>
    <w:tmpl w:val="6E22A2B4"/>
    <w:lvl w:ilvl="0" w:tplc="D60897D0">
      <w:start w:val="1"/>
      <w:numFmt w:val="upperRoman"/>
      <w:lvlText w:val="%1."/>
      <w:lvlJc w:val="left"/>
      <w:pPr>
        <w:ind w:left="1080" w:hanging="72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7" w15:restartNumberingAfterBreak="0">
    <w:nsid w:val="6FB23D1A"/>
    <w:multiLevelType w:val="hybridMultilevel"/>
    <w:tmpl w:val="C34E25BE"/>
    <w:lvl w:ilvl="0" w:tplc="321E144A">
      <w:start w:val="1"/>
      <w:numFmt w:val="decimal"/>
      <w:pStyle w:val="podminkyvyuziti"/>
      <w:lvlText w:val="a%1"/>
      <w:lvlJc w:val="left"/>
      <w:pPr>
        <w:ind w:left="1134" w:hanging="414"/>
      </w:pPr>
      <w:rPr>
        <w:rFonts w:ascii="Calibri" w:hAnsi="Calibri" w:hint="default"/>
        <w:b/>
        <w:i w: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8" w15:restartNumberingAfterBreak="0">
    <w:nsid w:val="707C0E70"/>
    <w:multiLevelType w:val="hybridMultilevel"/>
    <w:tmpl w:val="061C9CE2"/>
    <w:lvl w:ilvl="0" w:tplc="F14A3174">
      <w:start w:val="4"/>
      <w:numFmt w:val="bullet"/>
      <w:lvlText w:val="-"/>
      <w:lvlJc w:val="left"/>
      <w:pPr>
        <w:ind w:left="720" w:hanging="360"/>
      </w:pPr>
      <w:rPr>
        <w:rFonts w:ascii="Arial" w:eastAsia="Times New Roman" w:hAnsi="Arial" w:cs="Arial" w:hint="default"/>
        <w:b w:val="0"/>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9" w15:restartNumberingAfterBreak="0">
    <w:nsid w:val="71A811B2"/>
    <w:multiLevelType w:val="hybridMultilevel"/>
    <w:tmpl w:val="9F00345E"/>
    <w:lvl w:ilvl="0" w:tplc="4D9A9D58">
      <w:start w:val="1"/>
      <w:numFmt w:val="decimal"/>
      <w:lvlText w:val="(%1)"/>
      <w:lvlJc w:val="left"/>
      <w:pPr>
        <w:ind w:left="720" w:hanging="360"/>
      </w:pPr>
      <w:rPr>
        <w:rFonts w:hint="default"/>
        <w:i w: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0" w15:restartNumberingAfterBreak="0">
    <w:nsid w:val="7333345D"/>
    <w:multiLevelType w:val="hybridMultilevel"/>
    <w:tmpl w:val="EDA8C52C"/>
    <w:lvl w:ilvl="0" w:tplc="BA0C1014">
      <w:start w:val="1"/>
      <w:numFmt w:val="decimal"/>
      <w:pStyle w:val="podminkyc"/>
      <w:lvlText w:val="c%1"/>
      <w:lvlJc w:val="left"/>
      <w:pPr>
        <w:ind w:left="1134" w:hanging="414"/>
      </w:pPr>
      <w:rPr>
        <w:rFonts w:ascii="Calibri" w:hAnsi="Calibri" w:hint="default"/>
        <w:b/>
        <w:i w: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1" w15:restartNumberingAfterBreak="0">
    <w:nsid w:val="73D2190F"/>
    <w:multiLevelType w:val="hybridMultilevel"/>
    <w:tmpl w:val="6B7A83FE"/>
    <w:lvl w:ilvl="0" w:tplc="F14A3174">
      <w:start w:val="4"/>
      <w:numFmt w:val="bullet"/>
      <w:lvlText w:val="-"/>
      <w:lvlJc w:val="left"/>
      <w:pPr>
        <w:ind w:left="1069" w:hanging="360"/>
      </w:pPr>
      <w:rPr>
        <w:rFonts w:ascii="Arial" w:eastAsia="Times New Roman" w:hAnsi="Arial" w:cs="Arial" w:hint="default"/>
        <w:b w:val="0"/>
        <w:i w:val="0"/>
      </w:rPr>
    </w:lvl>
    <w:lvl w:ilvl="1" w:tplc="04050003">
      <w:start w:val="1"/>
      <w:numFmt w:val="bullet"/>
      <w:lvlText w:val="o"/>
      <w:lvlJc w:val="left"/>
      <w:pPr>
        <w:ind w:left="2007" w:hanging="360"/>
      </w:pPr>
      <w:rPr>
        <w:rFonts w:ascii="Courier New" w:hAnsi="Courier New" w:cs="Courier New" w:hint="default"/>
      </w:rPr>
    </w:lvl>
    <w:lvl w:ilvl="2" w:tplc="36409C0C">
      <w:start w:val="1"/>
      <w:numFmt w:val="lowerLetter"/>
      <w:lvlText w:val="%3)"/>
      <w:lvlJc w:val="left"/>
      <w:pPr>
        <w:ind w:left="2907" w:hanging="360"/>
      </w:pPr>
    </w:lvl>
    <w:lvl w:ilvl="3" w:tplc="0405000F">
      <w:start w:val="1"/>
      <w:numFmt w:val="decimal"/>
      <w:lvlText w:val="%4."/>
      <w:lvlJc w:val="left"/>
      <w:pPr>
        <w:ind w:left="3447" w:hanging="360"/>
      </w:pPr>
    </w:lvl>
    <w:lvl w:ilvl="4" w:tplc="04050019">
      <w:start w:val="1"/>
      <w:numFmt w:val="lowerLetter"/>
      <w:lvlText w:val="%5."/>
      <w:lvlJc w:val="left"/>
      <w:pPr>
        <w:ind w:left="4167" w:hanging="360"/>
      </w:pPr>
    </w:lvl>
    <w:lvl w:ilvl="5" w:tplc="0405001B">
      <w:start w:val="1"/>
      <w:numFmt w:val="lowerRoman"/>
      <w:lvlText w:val="%6."/>
      <w:lvlJc w:val="right"/>
      <w:pPr>
        <w:ind w:left="4887" w:hanging="180"/>
      </w:pPr>
    </w:lvl>
    <w:lvl w:ilvl="6" w:tplc="0405000F">
      <w:start w:val="1"/>
      <w:numFmt w:val="decimal"/>
      <w:lvlText w:val="%7."/>
      <w:lvlJc w:val="left"/>
      <w:pPr>
        <w:ind w:left="5607" w:hanging="360"/>
      </w:pPr>
    </w:lvl>
    <w:lvl w:ilvl="7" w:tplc="04050019">
      <w:start w:val="1"/>
      <w:numFmt w:val="lowerLetter"/>
      <w:lvlText w:val="%8."/>
      <w:lvlJc w:val="left"/>
      <w:pPr>
        <w:ind w:left="6327" w:hanging="360"/>
      </w:pPr>
    </w:lvl>
    <w:lvl w:ilvl="8" w:tplc="0405001B">
      <w:start w:val="1"/>
      <w:numFmt w:val="lowerRoman"/>
      <w:lvlText w:val="%9."/>
      <w:lvlJc w:val="right"/>
      <w:pPr>
        <w:ind w:left="7047" w:hanging="180"/>
      </w:pPr>
    </w:lvl>
  </w:abstractNum>
  <w:abstractNum w:abstractNumId="52" w15:restartNumberingAfterBreak="0">
    <w:nsid w:val="73E557F0"/>
    <w:multiLevelType w:val="hybridMultilevel"/>
    <w:tmpl w:val="2DC66D48"/>
    <w:lvl w:ilvl="0" w:tplc="0405000F">
      <w:start w:val="1"/>
      <w:numFmt w:val="decimal"/>
      <w:lvlText w:val="%1."/>
      <w:lvlJc w:val="left"/>
      <w:pPr>
        <w:ind w:left="360" w:hanging="360"/>
      </w:pPr>
      <w:rPr>
        <w:rFonts w:hint="default"/>
      </w:r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53" w15:restartNumberingAfterBreak="0">
    <w:nsid w:val="771C47AF"/>
    <w:multiLevelType w:val="hybridMultilevel"/>
    <w:tmpl w:val="B45EE69A"/>
    <w:lvl w:ilvl="0" w:tplc="FFFFFFFF">
      <w:start w:val="1"/>
      <w:numFmt w:val="bullet"/>
      <w:lvlText w:val="-"/>
      <w:lvlJc w:val="left"/>
      <w:pPr>
        <w:ind w:left="720" w:hanging="360"/>
      </w:pPr>
      <w:rPr>
        <w:rFonts w:ascii="Verdana" w:hAnsi="Verdana" w:hint="default"/>
      </w:rPr>
    </w:lvl>
    <w:lvl w:ilvl="1" w:tplc="FFFFFFFF">
      <w:start w:val="1"/>
      <w:numFmt w:val="bullet"/>
      <w:lvlText w:val="o"/>
      <w:lvlJc w:val="left"/>
      <w:pPr>
        <w:ind w:left="1440" w:hanging="360"/>
      </w:pPr>
      <w:rPr>
        <w:rFonts w:ascii="Courier New" w:hAnsi="Courier New" w:cs="Courier New" w:hint="default"/>
      </w:rPr>
    </w:lvl>
    <w:lvl w:ilvl="2" w:tplc="FFFFFFFF">
      <w:numFmt w:val="bullet"/>
      <w:lvlText w:val="•"/>
      <w:lvlJc w:val="left"/>
      <w:pPr>
        <w:ind w:left="2160" w:hanging="360"/>
      </w:pPr>
      <w:rPr>
        <w:rFonts w:ascii="Calibri Light" w:eastAsiaTheme="minorHAnsi" w:hAnsi="Calibri Light" w:cs="Calibri Light" w:hint="default"/>
      </w:rPr>
    </w:lvl>
    <w:lvl w:ilvl="3" w:tplc="04050003">
      <w:start w:val="1"/>
      <w:numFmt w:val="bullet"/>
      <w:lvlText w:val="o"/>
      <w:lvlJc w:val="left"/>
      <w:pPr>
        <w:ind w:left="2880" w:hanging="360"/>
      </w:pPr>
      <w:rPr>
        <w:rFonts w:ascii="Courier New" w:hAnsi="Courier New" w:cs="Courier New"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4" w15:restartNumberingAfterBreak="0">
    <w:nsid w:val="78C02B04"/>
    <w:multiLevelType w:val="hybridMultilevel"/>
    <w:tmpl w:val="EA487986"/>
    <w:lvl w:ilvl="0" w:tplc="04050001">
      <w:numFmt w:val="bullet"/>
      <w:lvlText w:val="-"/>
      <w:lvlJc w:val="left"/>
      <w:pPr>
        <w:ind w:left="720" w:hanging="360"/>
      </w:pPr>
      <w:rPr>
        <w:rFonts w:ascii="Arial" w:eastAsia="SimSun" w:hAnsi="Arial" w:cs="Aria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5" w15:restartNumberingAfterBreak="0">
    <w:nsid w:val="791A2175"/>
    <w:multiLevelType w:val="hybridMultilevel"/>
    <w:tmpl w:val="A3DE18AE"/>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6" w15:restartNumberingAfterBreak="0">
    <w:nsid w:val="7A8358B3"/>
    <w:multiLevelType w:val="hybridMultilevel"/>
    <w:tmpl w:val="B5FAE144"/>
    <w:lvl w:ilvl="0" w:tplc="B4F6EA32">
      <w:start w:val="1"/>
      <w:numFmt w:val="decimal"/>
      <w:pStyle w:val="vrok"/>
      <w:lvlText w:val="(%1)"/>
      <w:lvlJc w:val="left"/>
      <w:pPr>
        <w:ind w:left="644" w:hanging="360"/>
      </w:pPr>
      <w:rPr>
        <w:b/>
        <w:bCs w:val="0"/>
        <w:i w:val="0"/>
        <w:iCs w:val="0"/>
        <w:caps w:val="0"/>
        <w:smallCaps w:val="0"/>
        <w:strike w:val="0"/>
        <w:dstrike w:val="0"/>
        <w:noProof w:val="0"/>
        <w:vanish w:val="0"/>
        <w:color w:val="auto"/>
        <w:spacing w:val="0"/>
        <w:kern w:val="0"/>
        <w:position w:val="0"/>
        <w:u w:val="none"/>
        <w:effect w:val="none"/>
        <w:vertAlign w:val="baseline"/>
        <w:em w:val="none"/>
        <w:specVanish w:val="0"/>
      </w:rPr>
    </w:lvl>
    <w:lvl w:ilvl="1" w:tplc="8D64CCAE">
      <w:start w:val="1"/>
      <w:numFmt w:val="lowerLetter"/>
      <w:lvlText w:val="%2)"/>
      <w:lvlJc w:val="left"/>
      <w:pPr>
        <w:ind w:left="1440" w:hanging="360"/>
      </w:pPr>
      <w:rPr>
        <w:rFonts w:hint="default"/>
      </w:rPr>
    </w:lvl>
    <w:lvl w:ilvl="2" w:tplc="0405001B">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7" w15:restartNumberingAfterBreak="0">
    <w:nsid w:val="7AF84310"/>
    <w:multiLevelType w:val="multilevel"/>
    <w:tmpl w:val="A4A8477C"/>
    <w:lvl w:ilvl="0">
      <w:start w:val="5"/>
      <w:numFmt w:val="decimal"/>
      <w:lvlText w:val="%1"/>
      <w:lvlJc w:val="left"/>
      <w:pPr>
        <w:ind w:left="567" w:hanging="567"/>
      </w:pPr>
      <w:rPr>
        <w:rFonts w:hint="default"/>
      </w:rPr>
    </w:lvl>
    <w:lvl w:ilvl="1">
      <w:start w:val="1"/>
      <w:numFmt w:val="decimal"/>
      <w:lvlText w:val="3.%2"/>
      <w:lvlJc w:val="left"/>
      <w:pPr>
        <w:ind w:left="567" w:hanging="567"/>
      </w:pPr>
      <w:rPr>
        <w:rFonts w:hint="default"/>
      </w:rPr>
    </w:lvl>
    <w:lvl w:ilvl="2">
      <w:start w:val="1"/>
      <w:numFmt w:val="decimal"/>
      <w:isLgl/>
      <w:lvlText w:val="%1.%2.%3"/>
      <w:lvlJc w:val="left"/>
      <w:pPr>
        <w:ind w:left="567" w:hanging="567"/>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58" w15:restartNumberingAfterBreak="0">
    <w:nsid w:val="7B286E6E"/>
    <w:multiLevelType w:val="hybridMultilevel"/>
    <w:tmpl w:val="985C65BE"/>
    <w:lvl w:ilvl="0" w:tplc="04050001">
      <w:start w:val="1"/>
      <w:numFmt w:val="bullet"/>
      <w:lvlText w:val=""/>
      <w:lvlJc w:val="left"/>
      <w:pPr>
        <w:ind w:left="1429" w:hanging="360"/>
      </w:pPr>
      <w:rPr>
        <w:rFonts w:ascii="Symbol" w:hAnsi="Symbol" w:hint="default"/>
      </w:rPr>
    </w:lvl>
    <w:lvl w:ilvl="1" w:tplc="04050003" w:tentative="1">
      <w:start w:val="1"/>
      <w:numFmt w:val="bullet"/>
      <w:lvlText w:val="o"/>
      <w:lvlJc w:val="left"/>
      <w:pPr>
        <w:ind w:left="2149" w:hanging="360"/>
      </w:pPr>
      <w:rPr>
        <w:rFonts w:ascii="Courier New" w:hAnsi="Courier New" w:cs="Courier New" w:hint="default"/>
      </w:rPr>
    </w:lvl>
    <w:lvl w:ilvl="2" w:tplc="04050005" w:tentative="1">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59" w15:restartNumberingAfterBreak="0">
    <w:nsid w:val="7D102AE6"/>
    <w:multiLevelType w:val="hybridMultilevel"/>
    <w:tmpl w:val="CF7A26DE"/>
    <w:lvl w:ilvl="0" w:tplc="84788104">
      <w:start w:val="1"/>
      <w:numFmt w:val="bullet"/>
      <w:lvlText w:val="-"/>
      <w:lvlJc w:val="left"/>
      <w:pPr>
        <w:ind w:left="2289" w:hanging="360"/>
      </w:pPr>
      <w:rPr>
        <w:rFonts w:ascii="Courier New" w:hAnsi="Courier New" w:cs="Times New Roman" w:hint="default"/>
      </w:rPr>
    </w:lvl>
    <w:lvl w:ilvl="1" w:tplc="04050003">
      <w:start w:val="1"/>
      <w:numFmt w:val="bullet"/>
      <w:lvlText w:val="o"/>
      <w:lvlJc w:val="left"/>
      <w:pPr>
        <w:ind w:left="3009" w:hanging="360"/>
      </w:pPr>
      <w:rPr>
        <w:rFonts w:ascii="Courier New" w:hAnsi="Courier New" w:cs="Courier New" w:hint="default"/>
      </w:rPr>
    </w:lvl>
    <w:lvl w:ilvl="2" w:tplc="04050005">
      <w:start w:val="1"/>
      <w:numFmt w:val="bullet"/>
      <w:lvlText w:val=""/>
      <w:lvlJc w:val="left"/>
      <w:pPr>
        <w:ind w:left="3729" w:hanging="360"/>
      </w:pPr>
      <w:rPr>
        <w:rFonts w:ascii="Wingdings" w:hAnsi="Wingdings" w:hint="default"/>
      </w:rPr>
    </w:lvl>
    <w:lvl w:ilvl="3" w:tplc="04050001">
      <w:start w:val="1"/>
      <w:numFmt w:val="bullet"/>
      <w:lvlText w:val=""/>
      <w:lvlJc w:val="left"/>
      <w:pPr>
        <w:ind w:left="4449" w:hanging="360"/>
      </w:pPr>
      <w:rPr>
        <w:rFonts w:ascii="Symbol" w:hAnsi="Symbol" w:hint="default"/>
      </w:rPr>
    </w:lvl>
    <w:lvl w:ilvl="4" w:tplc="04050003">
      <w:start w:val="1"/>
      <w:numFmt w:val="bullet"/>
      <w:lvlText w:val="o"/>
      <w:lvlJc w:val="left"/>
      <w:pPr>
        <w:ind w:left="5169" w:hanging="360"/>
      </w:pPr>
      <w:rPr>
        <w:rFonts w:ascii="Courier New" w:hAnsi="Courier New" w:cs="Courier New" w:hint="default"/>
      </w:rPr>
    </w:lvl>
    <w:lvl w:ilvl="5" w:tplc="04050005">
      <w:start w:val="1"/>
      <w:numFmt w:val="bullet"/>
      <w:lvlText w:val=""/>
      <w:lvlJc w:val="left"/>
      <w:pPr>
        <w:ind w:left="5889" w:hanging="360"/>
      </w:pPr>
      <w:rPr>
        <w:rFonts w:ascii="Wingdings" w:hAnsi="Wingdings" w:hint="default"/>
      </w:rPr>
    </w:lvl>
    <w:lvl w:ilvl="6" w:tplc="04050001">
      <w:start w:val="1"/>
      <w:numFmt w:val="bullet"/>
      <w:lvlText w:val=""/>
      <w:lvlJc w:val="left"/>
      <w:pPr>
        <w:ind w:left="6609" w:hanging="360"/>
      </w:pPr>
      <w:rPr>
        <w:rFonts w:ascii="Symbol" w:hAnsi="Symbol" w:hint="default"/>
      </w:rPr>
    </w:lvl>
    <w:lvl w:ilvl="7" w:tplc="04050003">
      <w:start w:val="1"/>
      <w:numFmt w:val="bullet"/>
      <w:lvlText w:val="o"/>
      <w:lvlJc w:val="left"/>
      <w:pPr>
        <w:ind w:left="7329" w:hanging="360"/>
      </w:pPr>
      <w:rPr>
        <w:rFonts w:ascii="Courier New" w:hAnsi="Courier New" w:cs="Courier New" w:hint="default"/>
      </w:rPr>
    </w:lvl>
    <w:lvl w:ilvl="8" w:tplc="04050005">
      <w:start w:val="1"/>
      <w:numFmt w:val="bullet"/>
      <w:lvlText w:val=""/>
      <w:lvlJc w:val="left"/>
      <w:pPr>
        <w:ind w:left="8049" w:hanging="360"/>
      </w:pPr>
      <w:rPr>
        <w:rFonts w:ascii="Wingdings" w:hAnsi="Wingdings" w:hint="default"/>
      </w:rPr>
    </w:lvl>
  </w:abstractNum>
  <w:num w:numId="1" w16cid:durableId="32118646">
    <w:abstractNumId w:val="32"/>
  </w:num>
  <w:num w:numId="2" w16cid:durableId="1611009041">
    <w:abstractNumId w:val="6"/>
  </w:num>
  <w:num w:numId="3" w16cid:durableId="1347630101">
    <w:abstractNumId w:val="56"/>
  </w:num>
  <w:num w:numId="4" w16cid:durableId="642777973">
    <w:abstractNumId w:val="42"/>
  </w:num>
  <w:num w:numId="5" w16cid:durableId="491599590">
    <w:abstractNumId w:val="49"/>
  </w:num>
  <w:num w:numId="6" w16cid:durableId="45304224">
    <w:abstractNumId w:val="14"/>
  </w:num>
  <w:num w:numId="7" w16cid:durableId="2123568002">
    <w:abstractNumId w:val="18"/>
  </w:num>
  <w:num w:numId="8" w16cid:durableId="1565069666">
    <w:abstractNumId w:val="39"/>
  </w:num>
  <w:num w:numId="9" w16cid:durableId="1769304857">
    <w:abstractNumId w:val="48"/>
  </w:num>
  <w:num w:numId="10" w16cid:durableId="1335377517">
    <w:abstractNumId w:val="10"/>
    <w:lvlOverride w:ilvl="0">
      <w:startOverride w:val="1"/>
    </w:lvlOverride>
  </w:num>
  <w:num w:numId="11" w16cid:durableId="789127537">
    <w:abstractNumId w:val="50"/>
  </w:num>
  <w:num w:numId="12" w16cid:durableId="1482499911">
    <w:abstractNumId w:val="29"/>
  </w:num>
  <w:num w:numId="13" w16cid:durableId="1258634444">
    <w:abstractNumId w:val="44"/>
  </w:num>
  <w:num w:numId="14" w16cid:durableId="860363575">
    <w:abstractNumId w:val="47"/>
  </w:num>
  <w:num w:numId="15" w16cid:durableId="68576019">
    <w:abstractNumId w:val="40"/>
  </w:num>
  <w:num w:numId="16" w16cid:durableId="1563634184">
    <w:abstractNumId w:val="12"/>
  </w:num>
  <w:num w:numId="17" w16cid:durableId="1421176133">
    <w:abstractNumId w:val="7"/>
  </w:num>
  <w:num w:numId="18" w16cid:durableId="1576892750">
    <w:abstractNumId w:val="30"/>
  </w:num>
  <w:num w:numId="19" w16cid:durableId="1298531253">
    <w:abstractNumId w:val="23"/>
  </w:num>
  <w:num w:numId="20" w16cid:durableId="1968705114">
    <w:abstractNumId w:val="57"/>
  </w:num>
  <w:num w:numId="21" w16cid:durableId="2137671790">
    <w:abstractNumId w:val="43"/>
  </w:num>
  <w:num w:numId="22" w16cid:durableId="1205868420">
    <w:abstractNumId w:val="4"/>
  </w:num>
  <w:num w:numId="23" w16cid:durableId="1560895562">
    <w:abstractNumId w:val="8"/>
  </w:num>
  <w:num w:numId="24" w16cid:durableId="1850754602">
    <w:abstractNumId w:val="28"/>
  </w:num>
  <w:num w:numId="25" w16cid:durableId="1830515774">
    <w:abstractNumId w:val="34"/>
  </w:num>
  <w:num w:numId="26" w16cid:durableId="302321378">
    <w:abstractNumId w:val="59"/>
  </w:num>
  <w:num w:numId="27" w16cid:durableId="2034384245">
    <w:abstractNumId w:val="5"/>
  </w:num>
  <w:num w:numId="28" w16cid:durableId="1311834619">
    <w:abstractNumId w:val="45"/>
  </w:num>
  <w:num w:numId="29" w16cid:durableId="1784882390">
    <w:abstractNumId w:val="3"/>
  </w:num>
  <w:num w:numId="30" w16cid:durableId="1481771617">
    <w:abstractNumId w:val="13"/>
  </w:num>
  <w:num w:numId="31" w16cid:durableId="1580823362">
    <w:abstractNumId w:val="25"/>
  </w:num>
  <w:num w:numId="32" w16cid:durableId="1493059630">
    <w:abstractNumId w:val="38"/>
  </w:num>
  <w:num w:numId="33" w16cid:durableId="1479302805">
    <w:abstractNumId w:val="54"/>
  </w:num>
  <w:num w:numId="34" w16cid:durableId="1624530484">
    <w:abstractNumId w:val="17"/>
  </w:num>
  <w:num w:numId="35" w16cid:durableId="1193496947">
    <w:abstractNumId w:val="31"/>
  </w:num>
  <w:num w:numId="36" w16cid:durableId="1471315545">
    <w:abstractNumId w:val="24"/>
  </w:num>
  <w:num w:numId="37" w16cid:durableId="140385209">
    <w:abstractNumId w:val="19"/>
  </w:num>
  <w:num w:numId="38" w16cid:durableId="991106129">
    <w:abstractNumId w:val="51"/>
  </w:num>
  <w:num w:numId="39" w16cid:durableId="489519263">
    <w:abstractNumId w:val="53"/>
  </w:num>
  <w:num w:numId="40" w16cid:durableId="1642927612">
    <w:abstractNumId w:val="36"/>
  </w:num>
  <w:num w:numId="41" w16cid:durableId="1739014532">
    <w:abstractNumId w:val="58"/>
  </w:num>
  <w:num w:numId="42" w16cid:durableId="1559631460">
    <w:abstractNumId w:val="35"/>
  </w:num>
  <w:num w:numId="43" w16cid:durableId="198590250">
    <w:abstractNumId w:val="16"/>
  </w:num>
  <w:num w:numId="44" w16cid:durableId="1727029076">
    <w:abstractNumId w:val="26"/>
  </w:num>
  <w:num w:numId="45" w16cid:durableId="315840032">
    <w:abstractNumId w:val="9"/>
  </w:num>
  <w:num w:numId="46" w16cid:durableId="1257637513">
    <w:abstractNumId w:val="11"/>
  </w:num>
  <w:num w:numId="47" w16cid:durableId="1603605455">
    <w:abstractNumId w:val="20"/>
  </w:num>
  <w:num w:numId="48" w16cid:durableId="357590414">
    <w:abstractNumId w:val="22"/>
  </w:num>
  <w:num w:numId="49" w16cid:durableId="1112358832">
    <w:abstractNumId w:val="52"/>
  </w:num>
  <w:num w:numId="50" w16cid:durableId="131749864">
    <w:abstractNumId w:val="27"/>
  </w:num>
  <w:num w:numId="51" w16cid:durableId="1154101106">
    <w:abstractNumId w:val="33"/>
  </w:num>
  <w:num w:numId="52" w16cid:durableId="820000057">
    <w:abstractNumId w:val="37"/>
  </w:num>
  <w:num w:numId="53" w16cid:durableId="661352817">
    <w:abstractNumId w:val="15"/>
  </w:num>
  <w:num w:numId="54" w16cid:durableId="1800879872">
    <w:abstractNumId w:val="41"/>
  </w:num>
  <w:num w:numId="55" w16cid:durableId="1278368099">
    <w:abstractNumId w:val="21"/>
  </w:num>
  <w:num w:numId="56" w16cid:durableId="1039622830">
    <w:abstractNumId w:val="46"/>
  </w:num>
  <w:num w:numId="57" w16cid:durableId="442653570">
    <w:abstractNumId w:val="55"/>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9"/>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NLK0MDSwMDA2MzYzNDZT0lEKTi0uzszPAykwqwUA0S2RZiwAAAA="/>
  </w:docVars>
  <w:rsids>
    <w:rsidRoot w:val="00AE67DC"/>
    <w:rsid w:val="00000088"/>
    <w:rsid w:val="00000186"/>
    <w:rsid w:val="00000559"/>
    <w:rsid w:val="00000628"/>
    <w:rsid w:val="00000A19"/>
    <w:rsid w:val="0000107A"/>
    <w:rsid w:val="00001240"/>
    <w:rsid w:val="00002556"/>
    <w:rsid w:val="00002E0A"/>
    <w:rsid w:val="00003406"/>
    <w:rsid w:val="000039CA"/>
    <w:rsid w:val="00003A65"/>
    <w:rsid w:val="00003A80"/>
    <w:rsid w:val="00003BBA"/>
    <w:rsid w:val="000043B2"/>
    <w:rsid w:val="00004CA8"/>
    <w:rsid w:val="00004D73"/>
    <w:rsid w:val="0000518E"/>
    <w:rsid w:val="000058EB"/>
    <w:rsid w:val="0000769B"/>
    <w:rsid w:val="000077CD"/>
    <w:rsid w:val="00007852"/>
    <w:rsid w:val="00007ED0"/>
    <w:rsid w:val="00010763"/>
    <w:rsid w:val="00011054"/>
    <w:rsid w:val="000110A4"/>
    <w:rsid w:val="000111C2"/>
    <w:rsid w:val="00011BF0"/>
    <w:rsid w:val="00012B7F"/>
    <w:rsid w:val="00013569"/>
    <w:rsid w:val="00013825"/>
    <w:rsid w:val="00013ED6"/>
    <w:rsid w:val="00013EE3"/>
    <w:rsid w:val="00014525"/>
    <w:rsid w:val="00014A31"/>
    <w:rsid w:val="00015F91"/>
    <w:rsid w:val="000161FD"/>
    <w:rsid w:val="0001683F"/>
    <w:rsid w:val="0001711C"/>
    <w:rsid w:val="000172E3"/>
    <w:rsid w:val="000174E1"/>
    <w:rsid w:val="000229AA"/>
    <w:rsid w:val="00023596"/>
    <w:rsid w:val="000237A6"/>
    <w:rsid w:val="00023B13"/>
    <w:rsid w:val="00024471"/>
    <w:rsid w:val="000255BB"/>
    <w:rsid w:val="00025CA2"/>
    <w:rsid w:val="00026F1F"/>
    <w:rsid w:val="00026FE3"/>
    <w:rsid w:val="00027596"/>
    <w:rsid w:val="0003001F"/>
    <w:rsid w:val="00030361"/>
    <w:rsid w:val="000303CB"/>
    <w:rsid w:val="000306C5"/>
    <w:rsid w:val="0003085D"/>
    <w:rsid w:val="000311FD"/>
    <w:rsid w:val="00031360"/>
    <w:rsid w:val="00031996"/>
    <w:rsid w:val="00031B68"/>
    <w:rsid w:val="0003263F"/>
    <w:rsid w:val="00032A93"/>
    <w:rsid w:val="000337C0"/>
    <w:rsid w:val="00033E23"/>
    <w:rsid w:val="00034362"/>
    <w:rsid w:val="000343FB"/>
    <w:rsid w:val="00034FCE"/>
    <w:rsid w:val="00035CF4"/>
    <w:rsid w:val="0003666B"/>
    <w:rsid w:val="00036909"/>
    <w:rsid w:val="000369A8"/>
    <w:rsid w:val="0003765D"/>
    <w:rsid w:val="000377C9"/>
    <w:rsid w:val="000402CB"/>
    <w:rsid w:val="00040A23"/>
    <w:rsid w:val="00040B6A"/>
    <w:rsid w:val="00041EBB"/>
    <w:rsid w:val="0004205A"/>
    <w:rsid w:val="00042D00"/>
    <w:rsid w:val="000431A8"/>
    <w:rsid w:val="00043B66"/>
    <w:rsid w:val="00043EFD"/>
    <w:rsid w:val="000442F4"/>
    <w:rsid w:val="00044350"/>
    <w:rsid w:val="00044688"/>
    <w:rsid w:val="00045071"/>
    <w:rsid w:val="000453A6"/>
    <w:rsid w:val="00046C92"/>
    <w:rsid w:val="00047D99"/>
    <w:rsid w:val="00047F30"/>
    <w:rsid w:val="00050159"/>
    <w:rsid w:val="000502F4"/>
    <w:rsid w:val="00051453"/>
    <w:rsid w:val="00051F6A"/>
    <w:rsid w:val="0005255A"/>
    <w:rsid w:val="0005549A"/>
    <w:rsid w:val="0005597B"/>
    <w:rsid w:val="0005599F"/>
    <w:rsid w:val="00055DA6"/>
    <w:rsid w:val="00056869"/>
    <w:rsid w:val="000574D8"/>
    <w:rsid w:val="00057849"/>
    <w:rsid w:val="00057FCC"/>
    <w:rsid w:val="00060232"/>
    <w:rsid w:val="00060D8B"/>
    <w:rsid w:val="00061700"/>
    <w:rsid w:val="00062441"/>
    <w:rsid w:val="000630C0"/>
    <w:rsid w:val="000643D2"/>
    <w:rsid w:val="00064720"/>
    <w:rsid w:val="00064D29"/>
    <w:rsid w:val="000657D1"/>
    <w:rsid w:val="00065F7D"/>
    <w:rsid w:val="00066294"/>
    <w:rsid w:val="0006692B"/>
    <w:rsid w:val="000675FC"/>
    <w:rsid w:val="000677CF"/>
    <w:rsid w:val="00067B72"/>
    <w:rsid w:val="00070023"/>
    <w:rsid w:val="000700E0"/>
    <w:rsid w:val="00070F7C"/>
    <w:rsid w:val="00071678"/>
    <w:rsid w:val="00071C0F"/>
    <w:rsid w:val="00071DB9"/>
    <w:rsid w:val="00071E0A"/>
    <w:rsid w:val="0007201D"/>
    <w:rsid w:val="00072215"/>
    <w:rsid w:val="00072AC3"/>
    <w:rsid w:val="00072AD6"/>
    <w:rsid w:val="0007396C"/>
    <w:rsid w:val="00073B57"/>
    <w:rsid w:val="00073C39"/>
    <w:rsid w:val="00073E34"/>
    <w:rsid w:val="00073E6C"/>
    <w:rsid w:val="00076FBB"/>
    <w:rsid w:val="0007706A"/>
    <w:rsid w:val="00080053"/>
    <w:rsid w:val="00081E68"/>
    <w:rsid w:val="00081FEC"/>
    <w:rsid w:val="00082327"/>
    <w:rsid w:val="00082E1E"/>
    <w:rsid w:val="0008396C"/>
    <w:rsid w:val="00083D98"/>
    <w:rsid w:val="00083EAA"/>
    <w:rsid w:val="000840B7"/>
    <w:rsid w:val="0008458E"/>
    <w:rsid w:val="00085035"/>
    <w:rsid w:val="00085FAA"/>
    <w:rsid w:val="00086CF3"/>
    <w:rsid w:val="00087139"/>
    <w:rsid w:val="0008789C"/>
    <w:rsid w:val="00087A91"/>
    <w:rsid w:val="00090571"/>
    <w:rsid w:val="000905AC"/>
    <w:rsid w:val="00090BC5"/>
    <w:rsid w:val="00090BD1"/>
    <w:rsid w:val="0009152E"/>
    <w:rsid w:val="00091789"/>
    <w:rsid w:val="000919A0"/>
    <w:rsid w:val="00092460"/>
    <w:rsid w:val="00092571"/>
    <w:rsid w:val="000930C3"/>
    <w:rsid w:val="00093A23"/>
    <w:rsid w:val="000946B8"/>
    <w:rsid w:val="00095145"/>
    <w:rsid w:val="00096357"/>
    <w:rsid w:val="000A078D"/>
    <w:rsid w:val="000A1430"/>
    <w:rsid w:val="000A1878"/>
    <w:rsid w:val="000A2A98"/>
    <w:rsid w:val="000A3416"/>
    <w:rsid w:val="000A4049"/>
    <w:rsid w:val="000A4813"/>
    <w:rsid w:val="000A5553"/>
    <w:rsid w:val="000A58AD"/>
    <w:rsid w:val="000A5F2F"/>
    <w:rsid w:val="000A636F"/>
    <w:rsid w:val="000A6912"/>
    <w:rsid w:val="000A790B"/>
    <w:rsid w:val="000A7DB9"/>
    <w:rsid w:val="000B01D0"/>
    <w:rsid w:val="000B08B3"/>
    <w:rsid w:val="000B1016"/>
    <w:rsid w:val="000B1853"/>
    <w:rsid w:val="000B2DAF"/>
    <w:rsid w:val="000B40C7"/>
    <w:rsid w:val="000B456F"/>
    <w:rsid w:val="000B4756"/>
    <w:rsid w:val="000B489C"/>
    <w:rsid w:val="000B4CAF"/>
    <w:rsid w:val="000B4E35"/>
    <w:rsid w:val="000B51EE"/>
    <w:rsid w:val="000B600F"/>
    <w:rsid w:val="000B6F18"/>
    <w:rsid w:val="000B6F39"/>
    <w:rsid w:val="000B748A"/>
    <w:rsid w:val="000B74AF"/>
    <w:rsid w:val="000B74E8"/>
    <w:rsid w:val="000B75E2"/>
    <w:rsid w:val="000B77A9"/>
    <w:rsid w:val="000C01C1"/>
    <w:rsid w:val="000C14DE"/>
    <w:rsid w:val="000C182A"/>
    <w:rsid w:val="000C2079"/>
    <w:rsid w:val="000C3D2D"/>
    <w:rsid w:val="000C3E49"/>
    <w:rsid w:val="000C479F"/>
    <w:rsid w:val="000C47D4"/>
    <w:rsid w:val="000C51F9"/>
    <w:rsid w:val="000C5592"/>
    <w:rsid w:val="000C5A24"/>
    <w:rsid w:val="000C5EAC"/>
    <w:rsid w:val="000C5FD9"/>
    <w:rsid w:val="000C72B8"/>
    <w:rsid w:val="000C750E"/>
    <w:rsid w:val="000D15E3"/>
    <w:rsid w:val="000D1AB3"/>
    <w:rsid w:val="000D1DF7"/>
    <w:rsid w:val="000D222D"/>
    <w:rsid w:val="000D245F"/>
    <w:rsid w:val="000D3269"/>
    <w:rsid w:val="000D369F"/>
    <w:rsid w:val="000D4573"/>
    <w:rsid w:val="000D4D63"/>
    <w:rsid w:val="000D5AA5"/>
    <w:rsid w:val="000D5C3C"/>
    <w:rsid w:val="000D5D73"/>
    <w:rsid w:val="000D5D97"/>
    <w:rsid w:val="000D63A8"/>
    <w:rsid w:val="000D749B"/>
    <w:rsid w:val="000D7770"/>
    <w:rsid w:val="000D7E04"/>
    <w:rsid w:val="000E0EDE"/>
    <w:rsid w:val="000E15FE"/>
    <w:rsid w:val="000E182F"/>
    <w:rsid w:val="000E2145"/>
    <w:rsid w:val="000E2721"/>
    <w:rsid w:val="000E278C"/>
    <w:rsid w:val="000E2DC7"/>
    <w:rsid w:val="000E39B4"/>
    <w:rsid w:val="000E43C0"/>
    <w:rsid w:val="000E4C20"/>
    <w:rsid w:val="000E4FB0"/>
    <w:rsid w:val="000E5034"/>
    <w:rsid w:val="000E5381"/>
    <w:rsid w:val="000E5737"/>
    <w:rsid w:val="000E586E"/>
    <w:rsid w:val="000E7F63"/>
    <w:rsid w:val="000F01EB"/>
    <w:rsid w:val="000F059B"/>
    <w:rsid w:val="000F1465"/>
    <w:rsid w:val="000F15B7"/>
    <w:rsid w:val="000F1FB0"/>
    <w:rsid w:val="000F2A4C"/>
    <w:rsid w:val="000F3C9B"/>
    <w:rsid w:val="000F3F61"/>
    <w:rsid w:val="000F6181"/>
    <w:rsid w:val="000F6417"/>
    <w:rsid w:val="000F661B"/>
    <w:rsid w:val="000F6DAE"/>
    <w:rsid w:val="000F77CD"/>
    <w:rsid w:val="00100620"/>
    <w:rsid w:val="00100F70"/>
    <w:rsid w:val="00101173"/>
    <w:rsid w:val="001020FE"/>
    <w:rsid w:val="001027CE"/>
    <w:rsid w:val="00103F6D"/>
    <w:rsid w:val="001041CB"/>
    <w:rsid w:val="001043AA"/>
    <w:rsid w:val="0010443C"/>
    <w:rsid w:val="00104E75"/>
    <w:rsid w:val="00104F68"/>
    <w:rsid w:val="00106C28"/>
    <w:rsid w:val="0010755A"/>
    <w:rsid w:val="0010761D"/>
    <w:rsid w:val="00107713"/>
    <w:rsid w:val="00110A6D"/>
    <w:rsid w:val="00110AAD"/>
    <w:rsid w:val="00111449"/>
    <w:rsid w:val="0011181C"/>
    <w:rsid w:val="00111854"/>
    <w:rsid w:val="00111926"/>
    <w:rsid w:val="00112539"/>
    <w:rsid w:val="001128E7"/>
    <w:rsid w:val="00112B62"/>
    <w:rsid w:val="00112E33"/>
    <w:rsid w:val="00113A47"/>
    <w:rsid w:val="0011448D"/>
    <w:rsid w:val="00115E90"/>
    <w:rsid w:val="00116A8C"/>
    <w:rsid w:val="00116BCD"/>
    <w:rsid w:val="0011740A"/>
    <w:rsid w:val="001201FC"/>
    <w:rsid w:val="00120524"/>
    <w:rsid w:val="0012074D"/>
    <w:rsid w:val="001213BC"/>
    <w:rsid w:val="00121854"/>
    <w:rsid w:val="00122BC1"/>
    <w:rsid w:val="001246DE"/>
    <w:rsid w:val="00125724"/>
    <w:rsid w:val="00126823"/>
    <w:rsid w:val="00126B67"/>
    <w:rsid w:val="00126EDD"/>
    <w:rsid w:val="001270C9"/>
    <w:rsid w:val="00127A03"/>
    <w:rsid w:val="00127B11"/>
    <w:rsid w:val="00130012"/>
    <w:rsid w:val="00130418"/>
    <w:rsid w:val="001306B4"/>
    <w:rsid w:val="001307DD"/>
    <w:rsid w:val="00130DDC"/>
    <w:rsid w:val="00130E86"/>
    <w:rsid w:val="00132ACB"/>
    <w:rsid w:val="00132CA6"/>
    <w:rsid w:val="001334F4"/>
    <w:rsid w:val="0013478F"/>
    <w:rsid w:val="001357DA"/>
    <w:rsid w:val="00136631"/>
    <w:rsid w:val="00136910"/>
    <w:rsid w:val="00136B00"/>
    <w:rsid w:val="00137322"/>
    <w:rsid w:val="001373C1"/>
    <w:rsid w:val="00137C05"/>
    <w:rsid w:val="00140D2A"/>
    <w:rsid w:val="001412C4"/>
    <w:rsid w:val="0014151E"/>
    <w:rsid w:val="00143094"/>
    <w:rsid w:val="001433FB"/>
    <w:rsid w:val="00144F7B"/>
    <w:rsid w:val="00145204"/>
    <w:rsid w:val="00146B8B"/>
    <w:rsid w:val="001470C7"/>
    <w:rsid w:val="0014754E"/>
    <w:rsid w:val="001478EE"/>
    <w:rsid w:val="001479DF"/>
    <w:rsid w:val="00150C3B"/>
    <w:rsid w:val="00150F00"/>
    <w:rsid w:val="00150F10"/>
    <w:rsid w:val="0015167F"/>
    <w:rsid w:val="00151744"/>
    <w:rsid w:val="001519F3"/>
    <w:rsid w:val="00151C12"/>
    <w:rsid w:val="00151CC1"/>
    <w:rsid w:val="00151D90"/>
    <w:rsid w:val="001523B7"/>
    <w:rsid w:val="001524BA"/>
    <w:rsid w:val="00152AB3"/>
    <w:rsid w:val="00152BE1"/>
    <w:rsid w:val="00152F70"/>
    <w:rsid w:val="001540B8"/>
    <w:rsid w:val="00154797"/>
    <w:rsid w:val="00155494"/>
    <w:rsid w:val="001555F9"/>
    <w:rsid w:val="001556DC"/>
    <w:rsid w:val="00155A07"/>
    <w:rsid w:val="00155A28"/>
    <w:rsid w:val="00155D25"/>
    <w:rsid w:val="001561FC"/>
    <w:rsid w:val="00156528"/>
    <w:rsid w:val="00157684"/>
    <w:rsid w:val="00157D68"/>
    <w:rsid w:val="00157EF1"/>
    <w:rsid w:val="00160C0B"/>
    <w:rsid w:val="00160D7E"/>
    <w:rsid w:val="001610B6"/>
    <w:rsid w:val="0016126F"/>
    <w:rsid w:val="00161796"/>
    <w:rsid w:val="00161BA1"/>
    <w:rsid w:val="00163148"/>
    <w:rsid w:val="001651ED"/>
    <w:rsid w:val="00165800"/>
    <w:rsid w:val="00165CAE"/>
    <w:rsid w:val="001673C3"/>
    <w:rsid w:val="001705B5"/>
    <w:rsid w:val="0017066B"/>
    <w:rsid w:val="0017066D"/>
    <w:rsid w:val="001707A6"/>
    <w:rsid w:val="00171363"/>
    <w:rsid w:val="0017183C"/>
    <w:rsid w:val="00171E79"/>
    <w:rsid w:val="00172376"/>
    <w:rsid w:val="001729CD"/>
    <w:rsid w:val="00172CFE"/>
    <w:rsid w:val="00174333"/>
    <w:rsid w:val="0017450C"/>
    <w:rsid w:val="00174D24"/>
    <w:rsid w:val="001756CF"/>
    <w:rsid w:val="001758A7"/>
    <w:rsid w:val="00176BCF"/>
    <w:rsid w:val="00176BE5"/>
    <w:rsid w:val="00177058"/>
    <w:rsid w:val="001772DC"/>
    <w:rsid w:val="001777A7"/>
    <w:rsid w:val="0017792C"/>
    <w:rsid w:val="001803F6"/>
    <w:rsid w:val="00180F75"/>
    <w:rsid w:val="00181331"/>
    <w:rsid w:val="0018170E"/>
    <w:rsid w:val="001846E5"/>
    <w:rsid w:val="001851DE"/>
    <w:rsid w:val="001854C5"/>
    <w:rsid w:val="00185A21"/>
    <w:rsid w:val="001862E9"/>
    <w:rsid w:val="00187371"/>
    <w:rsid w:val="001925D6"/>
    <w:rsid w:val="001926B1"/>
    <w:rsid w:val="00192AEC"/>
    <w:rsid w:val="00192B59"/>
    <w:rsid w:val="001948F2"/>
    <w:rsid w:val="00194965"/>
    <w:rsid w:val="00194A67"/>
    <w:rsid w:val="00194A9D"/>
    <w:rsid w:val="001956DE"/>
    <w:rsid w:val="00195D52"/>
    <w:rsid w:val="0019646D"/>
    <w:rsid w:val="00197159"/>
    <w:rsid w:val="0019779F"/>
    <w:rsid w:val="001979ED"/>
    <w:rsid w:val="001A02D5"/>
    <w:rsid w:val="001A03EB"/>
    <w:rsid w:val="001A0DBB"/>
    <w:rsid w:val="001A2008"/>
    <w:rsid w:val="001A2AAF"/>
    <w:rsid w:val="001A2C55"/>
    <w:rsid w:val="001A2F9C"/>
    <w:rsid w:val="001A3825"/>
    <w:rsid w:val="001A392F"/>
    <w:rsid w:val="001A3DCA"/>
    <w:rsid w:val="001A3F17"/>
    <w:rsid w:val="001A4EDE"/>
    <w:rsid w:val="001A4F8C"/>
    <w:rsid w:val="001A5DB9"/>
    <w:rsid w:val="001A5EB6"/>
    <w:rsid w:val="001A64DE"/>
    <w:rsid w:val="001A6A3C"/>
    <w:rsid w:val="001A6ADA"/>
    <w:rsid w:val="001A73A8"/>
    <w:rsid w:val="001A7566"/>
    <w:rsid w:val="001A7572"/>
    <w:rsid w:val="001A7820"/>
    <w:rsid w:val="001A78C0"/>
    <w:rsid w:val="001B011E"/>
    <w:rsid w:val="001B034E"/>
    <w:rsid w:val="001B0C58"/>
    <w:rsid w:val="001B18DD"/>
    <w:rsid w:val="001B1CF9"/>
    <w:rsid w:val="001B24FB"/>
    <w:rsid w:val="001B28A7"/>
    <w:rsid w:val="001B302C"/>
    <w:rsid w:val="001B34A4"/>
    <w:rsid w:val="001B44B1"/>
    <w:rsid w:val="001B654A"/>
    <w:rsid w:val="001B66E9"/>
    <w:rsid w:val="001B732F"/>
    <w:rsid w:val="001B76A3"/>
    <w:rsid w:val="001B776E"/>
    <w:rsid w:val="001B7B16"/>
    <w:rsid w:val="001C006F"/>
    <w:rsid w:val="001C047E"/>
    <w:rsid w:val="001C110F"/>
    <w:rsid w:val="001C1926"/>
    <w:rsid w:val="001C1BF8"/>
    <w:rsid w:val="001C22C7"/>
    <w:rsid w:val="001C2492"/>
    <w:rsid w:val="001C325E"/>
    <w:rsid w:val="001C36F1"/>
    <w:rsid w:val="001C39EA"/>
    <w:rsid w:val="001C3AC9"/>
    <w:rsid w:val="001C4556"/>
    <w:rsid w:val="001C4701"/>
    <w:rsid w:val="001C4D5C"/>
    <w:rsid w:val="001C572E"/>
    <w:rsid w:val="001C6626"/>
    <w:rsid w:val="001C66D9"/>
    <w:rsid w:val="001C7E4C"/>
    <w:rsid w:val="001D0F4A"/>
    <w:rsid w:val="001D18A9"/>
    <w:rsid w:val="001D2CB9"/>
    <w:rsid w:val="001D2EB7"/>
    <w:rsid w:val="001D4149"/>
    <w:rsid w:val="001D43F9"/>
    <w:rsid w:val="001D44F9"/>
    <w:rsid w:val="001D526E"/>
    <w:rsid w:val="001D610E"/>
    <w:rsid w:val="001D62A8"/>
    <w:rsid w:val="001D6B6B"/>
    <w:rsid w:val="001D6D81"/>
    <w:rsid w:val="001E07D0"/>
    <w:rsid w:val="001E0D6D"/>
    <w:rsid w:val="001E189B"/>
    <w:rsid w:val="001E2A8A"/>
    <w:rsid w:val="001E3D29"/>
    <w:rsid w:val="001E3E89"/>
    <w:rsid w:val="001E41A7"/>
    <w:rsid w:val="001E4F93"/>
    <w:rsid w:val="001E508D"/>
    <w:rsid w:val="001E5555"/>
    <w:rsid w:val="001E5D9E"/>
    <w:rsid w:val="001E6534"/>
    <w:rsid w:val="001F0908"/>
    <w:rsid w:val="001F0A0F"/>
    <w:rsid w:val="001F0C94"/>
    <w:rsid w:val="001F0F30"/>
    <w:rsid w:val="001F2074"/>
    <w:rsid w:val="001F247B"/>
    <w:rsid w:val="001F330B"/>
    <w:rsid w:val="001F4382"/>
    <w:rsid w:val="001F43EE"/>
    <w:rsid w:val="001F4C68"/>
    <w:rsid w:val="001F53F7"/>
    <w:rsid w:val="001F6D13"/>
    <w:rsid w:val="001F6EA1"/>
    <w:rsid w:val="001F6F33"/>
    <w:rsid w:val="001F7C3C"/>
    <w:rsid w:val="001F7EE3"/>
    <w:rsid w:val="002003D2"/>
    <w:rsid w:val="002006B7"/>
    <w:rsid w:val="002015FA"/>
    <w:rsid w:val="00201843"/>
    <w:rsid w:val="002024D0"/>
    <w:rsid w:val="0020342A"/>
    <w:rsid w:val="002034FD"/>
    <w:rsid w:val="0020373B"/>
    <w:rsid w:val="00203AD4"/>
    <w:rsid w:val="00203B55"/>
    <w:rsid w:val="00204B1E"/>
    <w:rsid w:val="0020505A"/>
    <w:rsid w:val="00205410"/>
    <w:rsid w:val="0020558F"/>
    <w:rsid w:val="00205782"/>
    <w:rsid w:val="00205915"/>
    <w:rsid w:val="00205C66"/>
    <w:rsid w:val="00205FD5"/>
    <w:rsid w:val="00206D0F"/>
    <w:rsid w:val="00210111"/>
    <w:rsid w:val="00210178"/>
    <w:rsid w:val="00210276"/>
    <w:rsid w:val="00210786"/>
    <w:rsid w:val="002118C3"/>
    <w:rsid w:val="002118D2"/>
    <w:rsid w:val="00211D04"/>
    <w:rsid w:val="00212F74"/>
    <w:rsid w:val="0021332A"/>
    <w:rsid w:val="002139C8"/>
    <w:rsid w:val="00213A5E"/>
    <w:rsid w:val="00213FD0"/>
    <w:rsid w:val="00214084"/>
    <w:rsid w:val="00214D17"/>
    <w:rsid w:val="00214D98"/>
    <w:rsid w:val="00215246"/>
    <w:rsid w:val="00215872"/>
    <w:rsid w:val="0021590A"/>
    <w:rsid w:val="00215DC0"/>
    <w:rsid w:val="00217020"/>
    <w:rsid w:val="00217D24"/>
    <w:rsid w:val="00217F96"/>
    <w:rsid w:val="0022024B"/>
    <w:rsid w:val="002204E6"/>
    <w:rsid w:val="002208CE"/>
    <w:rsid w:val="00220BC8"/>
    <w:rsid w:val="00220C36"/>
    <w:rsid w:val="00220D92"/>
    <w:rsid w:val="002226FA"/>
    <w:rsid w:val="0022344A"/>
    <w:rsid w:val="002246D2"/>
    <w:rsid w:val="002257A9"/>
    <w:rsid w:val="002257D3"/>
    <w:rsid w:val="00225BD6"/>
    <w:rsid w:val="00225D32"/>
    <w:rsid w:val="002265CC"/>
    <w:rsid w:val="002267C0"/>
    <w:rsid w:val="0022707A"/>
    <w:rsid w:val="00227168"/>
    <w:rsid w:val="00227C15"/>
    <w:rsid w:val="00227D7A"/>
    <w:rsid w:val="00230343"/>
    <w:rsid w:val="002303C1"/>
    <w:rsid w:val="00231504"/>
    <w:rsid w:val="00233131"/>
    <w:rsid w:val="00233487"/>
    <w:rsid w:val="00233BDB"/>
    <w:rsid w:val="0023476C"/>
    <w:rsid w:val="002347CE"/>
    <w:rsid w:val="00234D81"/>
    <w:rsid w:val="00235226"/>
    <w:rsid w:val="00235252"/>
    <w:rsid w:val="00235454"/>
    <w:rsid w:val="00235FC7"/>
    <w:rsid w:val="0023627B"/>
    <w:rsid w:val="0023791D"/>
    <w:rsid w:val="002403E1"/>
    <w:rsid w:val="0024056D"/>
    <w:rsid w:val="002410CB"/>
    <w:rsid w:val="00242079"/>
    <w:rsid w:val="0024246D"/>
    <w:rsid w:val="0024378D"/>
    <w:rsid w:val="00243861"/>
    <w:rsid w:val="00243A02"/>
    <w:rsid w:val="00243F5B"/>
    <w:rsid w:val="00244BC2"/>
    <w:rsid w:val="00244DC9"/>
    <w:rsid w:val="00247760"/>
    <w:rsid w:val="002477F5"/>
    <w:rsid w:val="00250C6D"/>
    <w:rsid w:val="00251072"/>
    <w:rsid w:val="002512B4"/>
    <w:rsid w:val="0025185D"/>
    <w:rsid w:val="00251ABC"/>
    <w:rsid w:val="0025241A"/>
    <w:rsid w:val="00252A8F"/>
    <w:rsid w:val="00252AD2"/>
    <w:rsid w:val="00252D49"/>
    <w:rsid w:val="00252D88"/>
    <w:rsid w:val="0025319B"/>
    <w:rsid w:val="00253345"/>
    <w:rsid w:val="002537BB"/>
    <w:rsid w:val="00253DF5"/>
    <w:rsid w:val="00254718"/>
    <w:rsid w:val="00255E31"/>
    <w:rsid w:val="002562ED"/>
    <w:rsid w:val="00256B06"/>
    <w:rsid w:val="00256F0A"/>
    <w:rsid w:val="0025751A"/>
    <w:rsid w:val="002575D3"/>
    <w:rsid w:val="00257A6D"/>
    <w:rsid w:val="00257A98"/>
    <w:rsid w:val="00257C83"/>
    <w:rsid w:val="00257EE8"/>
    <w:rsid w:val="00260120"/>
    <w:rsid w:val="0026024C"/>
    <w:rsid w:val="002602DB"/>
    <w:rsid w:val="002607D2"/>
    <w:rsid w:val="00260C49"/>
    <w:rsid w:val="00261816"/>
    <w:rsid w:val="002619C0"/>
    <w:rsid w:val="00263081"/>
    <w:rsid w:val="002630C9"/>
    <w:rsid w:val="00263122"/>
    <w:rsid w:val="002637C3"/>
    <w:rsid w:val="00263C24"/>
    <w:rsid w:val="00264BBA"/>
    <w:rsid w:val="00264C0F"/>
    <w:rsid w:val="00265EF4"/>
    <w:rsid w:val="00266F80"/>
    <w:rsid w:val="0026757B"/>
    <w:rsid w:val="00267BAA"/>
    <w:rsid w:val="00267CB8"/>
    <w:rsid w:val="00267CB9"/>
    <w:rsid w:val="00267EC7"/>
    <w:rsid w:val="0027130E"/>
    <w:rsid w:val="00271883"/>
    <w:rsid w:val="00272955"/>
    <w:rsid w:val="00273FB4"/>
    <w:rsid w:val="00275B0A"/>
    <w:rsid w:val="00275D39"/>
    <w:rsid w:val="002761E0"/>
    <w:rsid w:val="0027624A"/>
    <w:rsid w:val="00276588"/>
    <w:rsid w:val="00276B14"/>
    <w:rsid w:val="00276BEA"/>
    <w:rsid w:val="00277E27"/>
    <w:rsid w:val="002801C1"/>
    <w:rsid w:val="00280A4C"/>
    <w:rsid w:val="00281E8E"/>
    <w:rsid w:val="00282505"/>
    <w:rsid w:val="00282607"/>
    <w:rsid w:val="00282D99"/>
    <w:rsid w:val="0028303E"/>
    <w:rsid w:val="00283133"/>
    <w:rsid w:val="0028434D"/>
    <w:rsid w:val="002844AF"/>
    <w:rsid w:val="0028473C"/>
    <w:rsid w:val="00285604"/>
    <w:rsid w:val="00286355"/>
    <w:rsid w:val="00286765"/>
    <w:rsid w:val="00286B24"/>
    <w:rsid w:val="00292234"/>
    <w:rsid w:val="002932D0"/>
    <w:rsid w:val="0029332D"/>
    <w:rsid w:val="0029353F"/>
    <w:rsid w:val="002936EA"/>
    <w:rsid w:val="00293A12"/>
    <w:rsid w:val="00294610"/>
    <w:rsid w:val="002948A8"/>
    <w:rsid w:val="0029507D"/>
    <w:rsid w:val="00295CA5"/>
    <w:rsid w:val="00295FCB"/>
    <w:rsid w:val="0029713A"/>
    <w:rsid w:val="002976F3"/>
    <w:rsid w:val="00297E34"/>
    <w:rsid w:val="002A222D"/>
    <w:rsid w:val="002A22C5"/>
    <w:rsid w:val="002A2337"/>
    <w:rsid w:val="002A262D"/>
    <w:rsid w:val="002A2890"/>
    <w:rsid w:val="002A2B8A"/>
    <w:rsid w:val="002A349E"/>
    <w:rsid w:val="002A3590"/>
    <w:rsid w:val="002A3A6E"/>
    <w:rsid w:val="002A41B0"/>
    <w:rsid w:val="002A42BC"/>
    <w:rsid w:val="002A4801"/>
    <w:rsid w:val="002A4CD0"/>
    <w:rsid w:val="002A58C5"/>
    <w:rsid w:val="002A58E6"/>
    <w:rsid w:val="002A5CA7"/>
    <w:rsid w:val="002A6718"/>
    <w:rsid w:val="002A6BA4"/>
    <w:rsid w:val="002A711F"/>
    <w:rsid w:val="002A7E4F"/>
    <w:rsid w:val="002A7F82"/>
    <w:rsid w:val="002B04FF"/>
    <w:rsid w:val="002B0B9F"/>
    <w:rsid w:val="002B0DE6"/>
    <w:rsid w:val="002B31C1"/>
    <w:rsid w:val="002B326A"/>
    <w:rsid w:val="002B33C0"/>
    <w:rsid w:val="002B478C"/>
    <w:rsid w:val="002B568F"/>
    <w:rsid w:val="002B59DC"/>
    <w:rsid w:val="002B7C96"/>
    <w:rsid w:val="002C1391"/>
    <w:rsid w:val="002C191D"/>
    <w:rsid w:val="002C27F8"/>
    <w:rsid w:val="002C284C"/>
    <w:rsid w:val="002C2AFC"/>
    <w:rsid w:val="002C2EA8"/>
    <w:rsid w:val="002C3284"/>
    <w:rsid w:val="002C3ED4"/>
    <w:rsid w:val="002C432E"/>
    <w:rsid w:val="002C4970"/>
    <w:rsid w:val="002C5452"/>
    <w:rsid w:val="002C56D6"/>
    <w:rsid w:val="002C6F41"/>
    <w:rsid w:val="002D09DA"/>
    <w:rsid w:val="002D0BDA"/>
    <w:rsid w:val="002D0BFB"/>
    <w:rsid w:val="002D127B"/>
    <w:rsid w:val="002D1C17"/>
    <w:rsid w:val="002D1E42"/>
    <w:rsid w:val="002D23A6"/>
    <w:rsid w:val="002D298D"/>
    <w:rsid w:val="002D3707"/>
    <w:rsid w:val="002D4EE8"/>
    <w:rsid w:val="002D592F"/>
    <w:rsid w:val="002D61BA"/>
    <w:rsid w:val="002D63DB"/>
    <w:rsid w:val="002D6B16"/>
    <w:rsid w:val="002D7034"/>
    <w:rsid w:val="002D7503"/>
    <w:rsid w:val="002D7D67"/>
    <w:rsid w:val="002E06D2"/>
    <w:rsid w:val="002E082F"/>
    <w:rsid w:val="002E096F"/>
    <w:rsid w:val="002E0D70"/>
    <w:rsid w:val="002E0E75"/>
    <w:rsid w:val="002E131F"/>
    <w:rsid w:val="002E176C"/>
    <w:rsid w:val="002E1F34"/>
    <w:rsid w:val="002E37B7"/>
    <w:rsid w:val="002E3829"/>
    <w:rsid w:val="002E3F1F"/>
    <w:rsid w:val="002E4B01"/>
    <w:rsid w:val="002E4B08"/>
    <w:rsid w:val="002E5179"/>
    <w:rsid w:val="002E5673"/>
    <w:rsid w:val="002E5F93"/>
    <w:rsid w:val="002E6751"/>
    <w:rsid w:val="002E6B78"/>
    <w:rsid w:val="002E6CFD"/>
    <w:rsid w:val="002E7AA2"/>
    <w:rsid w:val="002F1AE0"/>
    <w:rsid w:val="002F1F80"/>
    <w:rsid w:val="002F2757"/>
    <w:rsid w:val="002F3880"/>
    <w:rsid w:val="002F3CAA"/>
    <w:rsid w:val="002F40D3"/>
    <w:rsid w:val="002F426A"/>
    <w:rsid w:val="002F495F"/>
    <w:rsid w:val="002F4BD2"/>
    <w:rsid w:val="002F5463"/>
    <w:rsid w:val="002F559D"/>
    <w:rsid w:val="002F6948"/>
    <w:rsid w:val="002F7E4D"/>
    <w:rsid w:val="002F7FB2"/>
    <w:rsid w:val="003000BC"/>
    <w:rsid w:val="0030034C"/>
    <w:rsid w:val="00300530"/>
    <w:rsid w:val="00300C0C"/>
    <w:rsid w:val="00301040"/>
    <w:rsid w:val="00301D89"/>
    <w:rsid w:val="003021D0"/>
    <w:rsid w:val="0030282D"/>
    <w:rsid w:val="00302BD5"/>
    <w:rsid w:val="0030323D"/>
    <w:rsid w:val="00303A96"/>
    <w:rsid w:val="0030433C"/>
    <w:rsid w:val="00304596"/>
    <w:rsid w:val="00304DE8"/>
    <w:rsid w:val="00304EAF"/>
    <w:rsid w:val="00305E6E"/>
    <w:rsid w:val="00306E00"/>
    <w:rsid w:val="00307777"/>
    <w:rsid w:val="00310B13"/>
    <w:rsid w:val="00311823"/>
    <w:rsid w:val="003118EA"/>
    <w:rsid w:val="00311CA3"/>
    <w:rsid w:val="00311EA2"/>
    <w:rsid w:val="00312474"/>
    <w:rsid w:val="003127BA"/>
    <w:rsid w:val="00312AEE"/>
    <w:rsid w:val="0031381C"/>
    <w:rsid w:val="003138D4"/>
    <w:rsid w:val="00313DEB"/>
    <w:rsid w:val="003146E4"/>
    <w:rsid w:val="003146EC"/>
    <w:rsid w:val="00315222"/>
    <w:rsid w:val="003155F2"/>
    <w:rsid w:val="0031576C"/>
    <w:rsid w:val="00316CCE"/>
    <w:rsid w:val="00316F8A"/>
    <w:rsid w:val="00320DF1"/>
    <w:rsid w:val="00320F81"/>
    <w:rsid w:val="00320F8C"/>
    <w:rsid w:val="003218F8"/>
    <w:rsid w:val="00322AD1"/>
    <w:rsid w:val="00322BBA"/>
    <w:rsid w:val="00323335"/>
    <w:rsid w:val="00323A65"/>
    <w:rsid w:val="00324655"/>
    <w:rsid w:val="0032469D"/>
    <w:rsid w:val="00326589"/>
    <w:rsid w:val="00326774"/>
    <w:rsid w:val="00327041"/>
    <w:rsid w:val="0032705B"/>
    <w:rsid w:val="00327A56"/>
    <w:rsid w:val="00327E92"/>
    <w:rsid w:val="003317EA"/>
    <w:rsid w:val="00332155"/>
    <w:rsid w:val="00332EAF"/>
    <w:rsid w:val="0033318F"/>
    <w:rsid w:val="0033322E"/>
    <w:rsid w:val="00333857"/>
    <w:rsid w:val="00333F38"/>
    <w:rsid w:val="0033462F"/>
    <w:rsid w:val="00336746"/>
    <w:rsid w:val="003367DF"/>
    <w:rsid w:val="00337BB3"/>
    <w:rsid w:val="0034002B"/>
    <w:rsid w:val="003403FE"/>
    <w:rsid w:val="00341211"/>
    <w:rsid w:val="00341694"/>
    <w:rsid w:val="00341CDE"/>
    <w:rsid w:val="003429B1"/>
    <w:rsid w:val="00342EF9"/>
    <w:rsid w:val="00342F2C"/>
    <w:rsid w:val="00343BC8"/>
    <w:rsid w:val="0034420E"/>
    <w:rsid w:val="00344DE8"/>
    <w:rsid w:val="0034508D"/>
    <w:rsid w:val="003464E7"/>
    <w:rsid w:val="0034681F"/>
    <w:rsid w:val="00346F8E"/>
    <w:rsid w:val="00350350"/>
    <w:rsid w:val="00350AB5"/>
    <w:rsid w:val="00351104"/>
    <w:rsid w:val="003517F1"/>
    <w:rsid w:val="00351D36"/>
    <w:rsid w:val="00352C98"/>
    <w:rsid w:val="00353225"/>
    <w:rsid w:val="003542FC"/>
    <w:rsid w:val="003545B2"/>
    <w:rsid w:val="00354A9F"/>
    <w:rsid w:val="00354E94"/>
    <w:rsid w:val="00360A36"/>
    <w:rsid w:val="00360A9B"/>
    <w:rsid w:val="00361156"/>
    <w:rsid w:val="003611D5"/>
    <w:rsid w:val="00361E3B"/>
    <w:rsid w:val="00362066"/>
    <w:rsid w:val="00362A82"/>
    <w:rsid w:val="00362EB9"/>
    <w:rsid w:val="003631CA"/>
    <w:rsid w:val="00363479"/>
    <w:rsid w:val="00363B7D"/>
    <w:rsid w:val="00364A94"/>
    <w:rsid w:val="0036516E"/>
    <w:rsid w:val="003651DB"/>
    <w:rsid w:val="00365276"/>
    <w:rsid w:val="00365545"/>
    <w:rsid w:val="00365744"/>
    <w:rsid w:val="003658C2"/>
    <w:rsid w:val="0036779E"/>
    <w:rsid w:val="003678EF"/>
    <w:rsid w:val="00370603"/>
    <w:rsid w:val="00370637"/>
    <w:rsid w:val="00370B01"/>
    <w:rsid w:val="0037146B"/>
    <w:rsid w:val="003716AF"/>
    <w:rsid w:val="00371F2F"/>
    <w:rsid w:val="00372A97"/>
    <w:rsid w:val="00372BD0"/>
    <w:rsid w:val="00374480"/>
    <w:rsid w:val="00374649"/>
    <w:rsid w:val="00374C69"/>
    <w:rsid w:val="00375B5F"/>
    <w:rsid w:val="00375D7C"/>
    <w:rsid w:val="00375E96"/>
    <w:rsid w:val="003765C5"/>
    <w:rsid w:val="00377082"/>
    <w:rsid w:val="0037797C"/>
    <w:rsid w:val="00377C3A"/>
    <w:rsid w:val="00377C45"/>
    <w:rsid w:val="00377D9E"/>
    <w:rsid w:val="003800BD"/>
    <w:rsid w:val="0038021B"/>
    <w:rsid w:val="003832CA"/>
    <w:rsid w:val="003834D9"/>
    <w:rsid w:val="00383669"/>
    <w:rsid w:val="00383974"/>
    <w:rsid w:val="003858D1"/>
    <w:rsid w:val="003859D5"/>
    <w:rsid w:val="00386074"/>
    <w:rsid w:val="003866EF"/>
    <w:rsid w:val="0038688D"/>
    <w:rsid w:val="0038694E"/>
    <w:rsid w:val="00386D3E"/>
    <w:rsid w:val="00386D5F"/>
    <w:rsid w:val="00386E6A"/>
    <w:rsid w:val="003876BD"/>
    <w:rsid w:val="0039014A"/>
    <w:rsid w:val="0039038A"/>
    <w:rsid w:val="00390D7C"/>
    <w:rsid w:val="00391002"/>
    <w:rsid w:val="00391794"/>
    <w:rsid w:val="003929E7"/>
    <w:rsid w:val="00392AF8"/>
    <w:rsid w:val="00393015"/>
    <w:rsid w:val="003932AC"/>
    <w:rsid w:val="00393955"/>
    <w:rsid w:val="00393A18"/>
    <w:rsid w:val="00393A58"/>
    <w:rsid w:val="003949C7"/>
    <w:rsid w:val="00394AAB"/>
    <w:rsid w:val="00394E25"/>
    <w:rsid w:val="00396BED"/>
    <w:rsid w:val="00397340"/>
    <w:rsid w:val="003975F4"/>
    <w:rsid w:val="0039797E"/>
    <w:rsid w:val="00397AD3"/>
    <w:rsid w:val="003A01A1"/>
    <w:rsid w:val="003A03A7"/>
    <w:rsid w:val="003A1C11"/>
    <w:rsid w:val="003A23F6"/>
    <w:rsid w:val="003A2CF3"/>
    <w:rsid w:val="003A3407"/>
    <w:rsid w:val="003A4837"/>
    <w:rsid w:val="003A4876"/>
    <w:rsid w:val="003A4B1E"/>
    <w:rsid w:val="003A5586"/>
    <w:rsid w:val="003A62C7"/>
    <w:rsid w:val="003B0B8C"/>
    <w:rsid w:val="003B213A"/>
    <w:rsid w:val="003B36CA"/>
    <w:rsid w:val="003B39FE"/>
    <w:rsid w:val="003B3CB4"/>
    <w:rsid w:val="003B4243"/>
    <w:rsid w:val="003B474E"/>
    <w:rsid w:val="003B4865"/>
    <w:rsid w:val="003B4D67"/>
    <w:rsid w:val="003B52C0"/>
    <w:rsid w:val="003B52D1"/>
    <w:rsid w:val="003B5E93"/>
    <w:rsid w:val="003B608A"/>
    <w:rsid w:val="003B69FF"/>
    <w:rsid w:val="003B6AF3"/>
    <w:rsid w:val="003B7281"/>
    <w:rsid w:val="003B72F5"/>
    <w:rsid w:val="003B7373"/>
    <w:rsid w:val="003B79F9"/>
    <w:rsid w:val="003C0A1A"/>
    <w:rsid w:val="003C0DA1"/>
    <w:rsid w:val="003C1699"/>
    <w:rsid w:val="003C1CAD"/>
    <w:rsid w:val="003C1D27"/>
    <w:rsid w:val="003C2E9F"/>
    <w:rsid w:val="003C305D"/>
    <w:rsid w:val="003C3260"/>
    <w:rsid w:val="003C3ABC"/>
    <w:rsid w:val="003C4369"/>
    <w:rsid w:val="003C60EA"/>
    <w:rsid w:val="003C6903"/>
    <w:rsid w:val="003C696A"/>
    <w:rsid w:val="003C6E6E"/>
    <w:rsid w:val="003C6E90"/>
    <w:rsid w:val="003C76D9"/>
    <w:rsid w:val="003C784C"/>
    <w:rsid w:val="003C7E00"/>
    <w:rsid w:val="003D125E"/>
    <w:rsid w:val="003D1486"/>
    <w:rsid w:val="003D1C20"/>
    <w:rsid w:val="003D1F10"/>
    <w:rsid w:val="003D2350"/>
    <w:rsid w:val="003D2F14"/>
    <w:rsid w:val="003D32B1"/>
    <w:rsid w:val="003D350A"/>
    <w:rsid w:val="003D38AE"/>
    <w:rsid w:val="003D3F8F"/>
    <w:rsid w:val="003D4088"/>
    <w:rsid w:val="003D4266"/>
    <w:rsid w:val="003D4D57"/>
    <w:rsid w:val="003D5301"/>
    <w:rsid w:val="003D5D4B"/>
    <w:rsid w:val="003D60B8"/>
    <w:rsid w:val="003D6DDA"/>
    <w:rsid w:val="003E06E7"/>
    <w:rsid w:val="003E13A9"/>
    <w:rsid w:val="003E1560"/>
    <w:rsid w:val="003E1CE1"/>
    <w:rsid w:val="003E2427"/>
    <w:rsid w:val="003E2B06"/>
    <w:rsid w:val="003E318B"/>
    <w:rsid w:val="003E3219"/>
    <w:rsid w:val="003E38E5"/>
    <w:rsid w:val="003E390E"/>
    <w:rsid w:val="003E4283"/>
    <w:rsid w:val="003E4D0B"/>
    <w:rsid w:val="003E660F"/>
    <w:rsid w:val="003E6FF3"/>
    <w:rsid w:val="003E799B"/>
    <w:rsid w:val="003E7F5A"/>
    <w:rsid w:val="003F10E5"/>
    <w:rsid w:val="003F14F0"/>
    <w:rsid w:val="003F1891"/>
    <w:rsid w:val="003F1AD0"/>
    <w:rsid w:val="003F1B31"/>
    <w:rsid w:val="003F1CB7"/>
    <w:rsid w:val="003F20DC"/>
    <w:rsid w:val="003F27E0"/>
    <w:rsid w:val="003F29A3"/>
    <w:rsid w:val="003F2A98"/>
    <w:rsid w:val="003F32FB"/>
    <w:rsid w:val="003F35DA"/>
    <w:rsid w:val="003F3C2A"/>
    <w:rsid w:val="003F4FD5"/>
    <w:rsid w:val="003F5219"/>
    <w:rsid w:val="003F5D13"/>
    <w:rsid w:val="003F6B6C"/>
    <w:rsid w:val="003F7722"/>
    <w:rsid w:val="003F79C7"/>
    <w:rsid w:val="003F7A11"/>
    <w:rsid w:val="003F7B46"/>
    <w:rsid w:val="00400F08"/>
    <w:rsid w:val="004014FE"/>
    <w:rsid w:val="00401EA1"/>
    <w:rsid w:val="00401ECB"/>
    <w:rsid w:val="004023E6"/>
    <w:rsid w:val="00402E8F"/>
    <w:rsid w:val="00402EEB"/>
    <w:rsid w:val="004040C0"/>
    <w:rsid w:val="00404149"/>
    <w:rsid w:val="004048D5"/>
    <w:rsid w:val="00404B1A"/>
    <w:rsid w:val="00405674"/>
    <w:rsid w:val="00405D0E"/>
    <w:rsid w:val="00406B95"/>
    <w:rsid w:val="00406E8B"/>
    <w:rsid w:val="00410098"/>
    <w:rsid w:val="00410A9E"/>
    <w:rsid w:val="0041132D"/>
    <w:rsid w:val="00413667"/>
    <w:rsid w:val="0041396A"/>
    <w:rsid w:val="00414E38"/>
    <w:rsid w:val="00415016"/>
    <w:rsid w:val="004155CE"/>
    <w:rsid w:val="00415B64"/>
    <w:rsid w:val="004164AF"/>
    <w:rsid w:val="0041666A"/>
    <w:rsid w:val="00416BCB"/>
    <w:rsid w:val="004170CA"/>
    <w:rsid w:val="00417560"/>
    <w:rsid w:val="00417972"/>
    <w:rsid w:val="00417BC2"/>
    <w:rsid w:val="00420884"/>
    <w:rsid w:val="0042094B"/>
    <w:rsid w:val="00420FC6"/>
    <w:rsid w:val="004217E2"/>
    <w:rsid w:val="00421F40"/>
    <w:rsid w:val="00422B74"/>
    <w:rsid w:val="00422D2E"/>
    <w:rsid w:val="004232DD"/>
    <w:rsid w:val="004243C5"/>
    <w:rsid w:val="0042458A"/>
    <w:rsid w:val="004254E6"/>
    <w:rsid w:val="00426298"/>
    <w:rsid w:val="00426386"/>
    <w:rsid w:val="00426848"/>
    <w:rsid w:val="00427166"/>
    <w:rsid w:val="0042746F"/>
    <w:rsid w:val="00427AF1"/>
    <w:rsid w:val="004307A4"/>
    <w:rsid w:val="004317CE"/>
    <w:rsid w:val="00431A60"/>
    <w:rsid w:val="004321A6"/>
    <w:rsid w:val="004323F9"/>
    <w:rsid w:val="00433C39"/>
    <w:rsid w:val="0043540E"/>
    <w:rsid w:val="004354FF"/>
    <w:rsid w:val="004368BD"/>
    <w:rsid w:val="00436E29"/>
    <w:rsid w:val="004401BD"/>
    <w:rsid w:val="004402A9"/>
    <w:rsid w:val="00441938"/>
    <w:rsid w:val="00442195"/>
    <w:rsid w:val="00442660"/>
    <w:rsid w:val="0044360D"/>
    <w:rsid w:val="00443B42"/>
    <w:rsid w:val="00445A56"/>
    <w:rsid w:val="004466D4"/>
    <w:rsid w:val="00446A92"/>
    <w:rsid w:val="004470CE"/>
    <w:rsid w:val="00447B1B"/>
    <w:rsid w:val="00447D82"/>
    <w:rsid w:val="0045067B"/>
    <w:rsid w:val="00450C00"/>
    <w:rsid w:val="00450ECF"/>
    <w:rsid w:val="00450F16"/>
    <w:rsid w:val="00451158"/>
    <w:rsid w:val="00452B1F"/>
    <w:rsid w:val="00452D5C"/>
    <w:rsid w:val="00454958"/>
    <w:rsid w:val="00454BBC"/>
    <w:rsid w:val="00454E96"/>
    <w:rsid w:val="00455581"/>
    <w:rsid w:val="00456155"/>
    <w:rsid w:val="0045630B"/>
    <w:rsid w:val="00460055"/>
    <w:rsid w:val="00460516"/>
    <w:rsid w:val="00460AE5"/>
    <w:rsid w:val="00460B8C"/>
    <w:rsid w:val="00460DDA"/>
    <w:rsid w:val="00461350"/>
    <w:rsid w:val="00461C70"/>
    <w:rsid w:val="00462230"/>
    <w:rsid w:val="0046262E"/>
    <w:rsid w:val="00463154"/>
    <w:rsid w:val="004638AF"/>
    <w:rsid w:val="00464E7F"/>
    <w:rsid w:val="00465125"/>
    <w:rsid w:val="004651CD"/>
    <w:rsid w:val="00465303"/>
    <w:rsid w:val="00465769"/>
    <w:rsid w:val="0046595D"/>
    <w:rsid w:val="0046613A"/>
    <w:rsid w:val="004670F7"/>
    <w:rsid w:val="004670F9"/>
    <w:rsid w:val="004671AE"/>
    <w:rsid w:val="0046736C"/>
    <w:rsid w:val="004676FE"/>
    <w:rsid w:val="0046797F"/>
    <w:rsid w:val="004705BC"/>
    <w:rsid w:val="004711C5"/>
    <w:rsid w:val="0047185F"/>
    <w:rsid w:val="00471A6A"/>
    <w:rsid w:val="004722A1"/>
    <w:rsid w:val="00472997"/>
    <w:rsid w:val="004742CC"/>
    <w:rsid w:val="004742FA"/>
    <w:rsid w:val="00474A6B"/>
    <w:rsid w:val="00475449"/>
    <w:rsid w:val="00475A59"/>
    <w:rsid w:val="00476494"/>
    <w:rsid w:val="004767C4"/>
    <w:rsid w:val="00476C71"/>
    <w:rsid w:val="00477960"/>
    <w:rsid w:val="00480C1A"/>
    <w:rsid w:val="00481703"/>
    <w:rsid w:val="0048254B"/>
    <w:rsid w:val="00482CFF"/>
    <w:rsid w:val="00483FEB"/>
    <w:rsid w:val="004844C3"/>
    <w:rsid w:val="00484B99"/>
    <w:rsid w:val="00485315"/>
    <w:rsid w:val="0048600A"/>
    <w:rsid w:val="00486011"/>
    <w:rsid w:val="00487210"/>
    <w:rsid w:val="00487707"/>
    <w:rsid w:val="00490AEB"/>
    <w:rsid w:val="00490CAE"/>
    <w:rsid w:val="00491F56"/>
    <w:rsid w:val="00492028"/>
    <w:rsid w:val="0049212C"/>
    <w:rsid w:val="00492D6C"/>
    <w:rsid w:val="00492DF6"/>
    <w:rsid w:val="00495081"/>
    <w:rsid w:val="00496AB7"/>
    <w:rsid w:val="00496E39"/>
    <w:rsid w:val="00496EFD"/>
    <w:rsid w:val="00497D21"/>
    <w:rsid w:val="00497EAC"/>
    <w:rsid w:val="004A00DC"/>
    <w:rsid w:val="004A0458"/>
    <w:rsid w:val="004A100D"/>
    <w:rsid w:val="004A1AEE"/>
    <w:rsid w:val="004A349A"/>
    <w:rsid w:val="004A35BE"/>
    <w:rsid w:val="004A3D17"/>
    <w:rsid w:val="004A42CD"/>
    <w:rsid w:val="004A5958"/>
    <w:rsid w:val="004A675F"/>
    <w:rsid w:val="004A728F"/>
    <w:rsid w:val="004A734E"/>
    <w:rsid w:val="004B2C91"/>
    <w:rsid w:val="004B3086"/>
    <w:rsid w:val="004B446E"/>
    <w:rsid w:val="004B489A"/>
    <w:rsid w:val="004B4A25"/>
    <w:rsid w:val="004B5A17"/>
    <w:rsid w:val="004B6021"/>
    <w:rsid w:val="004B6A5A"/>
    <w:rsid w:val="004B6C85"/>
    <w:rsid w:val="004C0516"/>
    <w:rsid w:val="004C0A1F"/>
    <w:rsid w:val="004C0E3D"/>
    <w:rsid w:val="004C16EB"/>
    <w:rsid w:val="004C26F8"/>
    <w:rsid w:val="004C3862"/>
    <w:rsid w:val="004C4A6C"/>
    <w:rsid w:val="004C4D31"/>
    <w:rsid w:val="004C536A"/>
    <w:rsid w:val="004C5A4A"/>
    <w:rsid w:val="004C5D82"/>
    <w:rsid w:val="004C63B1"/>
    <w:rsid w:val="004C6939"/>
    <w:rsid w:val="004C7AAC"/>
    <w:rsid w:val="004C7F34"/>
    <w:rsid w:val="004D0126"/>
    <w:rsid w:val="004D0633"/>
    <w:rsid w:val="004D0675"/>
    <w:rsid w:val="004D069D"/>
    <w:rsid w:val="004D10E6"/>
    <w:rsid w:val="004D21C8"/>
    <w:rsid w:val="004D2B1E"/>
    <w:rsid w:val="004D2BAA"/>
    <w:rsid w:val="004D399E"/>
    <w:rsid w:val="004D3D4B"/>
    <w:rsid w:val="004D4C98"/>
    <w:rsid w:val="004D5307"/>
    <w:rsid w:val="004D5368"/>
    <w:rsid w:val="004D5FE5"/>
    <w:rsid w:val="004D62CA"/>
    <w:rsid w:val="004D6785"/>
    <w:rsid w:val="004D69E5"/>
    <w:rsid w:val="004D7435"/>
    <w:rsid w:val="004E002A"/>
    <w:rsid w:val="004E02AE"/>
    <w:rsid w:val="004E08AA"/>
    <w:rsid w:val="004E0CA1"/>
    <w:rsid w:val="004E1DE8"/>
    <w:rsid w:val="004E2D91"/>
    <w:rsid w:val="004E3C51"/>
    <w:rsid w:val="004E485E"/>
    <w:rsid w:val="004E5175"/>
    <w:rsid w:val="004E5366"/>
    <w:rsid w:val="004E5AFA"/>
    <w:rsid w:val="004E60B1"/>
    <w:rsid w:val="004E6571"/>
    <w:rsid w:val="004E6AC0"/>
    <w:rsid w:val="004E6EFA"/>
    <w:rsid w:val="004E6F83"/>
    <w:rsid w:val="004F030C"/>
    <w:rsid w:val="004F0E3E"/>
    <w:rsid w:val="004F1641"/>
    <w:rsid w:val="004F1987"/>
    <w:rsid w:val="004F1A10"/>
    <w:rsid w:val="004F29EE"/>
    <w:rsid w:val="004F3A05"/>
    <w:rsid w:val="004F3B1E"/>
    <w:rsid w:val="004F41E4"/>
    <w:rsid w:val="004F438D"/>
    <w:rsid w:val="004F445B"/>
    <w:rsid w:val="004F5AB0"/>
    <w:rsid w:val="004F5B3B"/>
    <w:rsid w:val="004F5C24"/>
    <w:rsid w:val="004F6877"/>
    <w:rsid w:val="004F6A44"/>
    <w:rsid w:val="004F6CC3"/>
    <w:rsid w:val="004F7366"/>
    <w:rsid w:val="00500650"/>
    <w:rsid w:val="00500C4B"/>
    <w:rsid w:val="00501028"/>
    <w:rsid w:val="00501550"/>
    <w:rsid w:val="005017BE"/>
    <w:rsid w:val="00501C60"/>
    <w:rsid w:val="00501F6A"/>
    <w:rsid w:val="00503857"/>
    <w:rsid w:val="00503C79"/>
    <w:rsid w:val="005043E6"/>
    <w:rsid w:val="00507027"/>
    <w:rsid w:val="0050797C"/>
    <w:rsid w:val="00507E47"/>
    <w:rsid w:val="0051009A"/>
    <w:rsid w:val="005105AB"/>
    <w:rsid w:val="00511436"/>
    <w:rsid w:val="00511B13"/>
    <w:rsid w:val="00511CA4"/>
    <w:rsid w:val="00511F29"/>
    <w:rsid w:val="005130C1"/>
    <w:rsid w:val="005147AF"/>
    <w:rsid w:val="00514D7E"/>
    <w:rsid w:val="00515649"/>
    <w:rsid w:val="0051582E"/>
    <w:rsid w:val="005167CB"/>
    <w:rsid w:val="00516A4C"/>
    <w:rsid w:val="005175F4"/>
    <w:rsid w:val="005202E3"/>
    <w:rsid w:val="005205C6"/>
    <w:rsid w:val="005212E7"/>
    <w:rsid w:val="00521642"/>
    <w:rsid w:val="00521920"/>
    <w:rsid w:val="00521B67"/>
    <w:rsid w:val="005228AE"/>
    <w:rsid w:val="005233FC"/>
    <w:rsid w:val="00523BF9"/>
    <w:rsid w:val="0052439C"/>
    <w:rsid w:val="00524771"/>
    <w:rsid w:val="00524FFA"/>
    <w:rsid w:val="0052508A"/>
    <w:rsid w:val="00526160"/>
    <w:rsid w:val="00527129"/>
    <w:rsid w:val="005272E3"/>
    <w:rsid w:val="0052787E"/>
    <w:rsid w:val="00527F7D"/>
    <w:rsid w:val="00530262"/>
    <w:rsid w:val="00530EB9"/>
    <w:rsid w:val="00531B5A"/>
    <w:rsid w:val="00531B60"/>
    <w:rsid w:val="00532C88"/>
    <w:rsid w:val="00532EC8"/>
    <w:rsid w:val="0053439F"/>
    <w:rsid w:val="0053590F"/>
    <w:rsid w:val="005359CF"/>
    <w:rsid w:val="00535FA0"/>
    <w:rsid w:val="0053630A"/>
    <w:rsid w:val="00536B37"/>
    <w:rsid w:val="00537A18"/>
    <w:rsid w:val="00537B50"/>
    <w:rsid w:val="00540000"/>
    <w:rsid w:val="00540458"/>
    <w:rsid w:val="0054075C"/>
    <w:rsid w:val="005407C2"/>
    <w:rsid w:val="005418E8"/>
    <w:rsid w:val="00542410"/>
    <w:rsid w:val="00542A90"/>
    <w:rsid w:val="00542ADC"/>
    <w:rsid w:val="00542E76"/>
    <w:rsid w:val="00543041"/>
    <w:rsid w:val="005435DC"/>
    <w:rsid w:val="00543E96"/>
    <w:rsid w:val="005441DC"/>
    <w:rsid w:val="0054475C"/>
    <w:rsid w:val="00544F30"/>
    <w:rsid w:val="0054522E"/>
    <w:rsid w:val="00545E81"/>
    <w:rsid w:val="00545F2F"/>
    <w:rsid w:val="00546B4B"/>
    <w:rsid w:val="00546B52"/>
    <w:rsid w:val="00547A1A"/>
    <w:rsid w:val="00547DFF"/>
    <w:rsid w:val="005500B5"/>
    <w:rsid w:val="00550188"/>
    <w:rsid w:val="00550754"/>
    <w:rsid w:val="00550DBA"/>
    <w:rsid w:val="00551625"/>
    <w:rsid w:val="00552020"/>
    <w:rsid w:val="005521B1"/>
    <w:rsid w:val="00552526"/>
    <w:rsid w:val="00552A12"/>
    <w:rsid w:val="00554D69"/>
    <w:rsid w:val="0055521E"/>
    <w:rsid w:val="0055626C"/>
    <w:rsid w:val="005564E7"/>
    <w:rsid w:val="005567B3"/>
    <w:rsid w:val="005579D1"/>
    <w:rsid w:val="00557E51"/>
    <w:rsid w:val="00560268"/>
    <w:rsid w:val="00560FA1"/>
    <w:rsid w:val="00561971"/>
    <w:rsid w:val="00561C48"/>
    <w:rsid w:val="005623B8"/>
    <w:rsid w:val="00562C38"/>
    <w:rsid w:val="005633BB"/>
    <w:rsid w:val="0056384E"/>
    <w:rsid w:val="00565381"/>
    <w:rsid w:val="005669C6"/>
    <w:rsid w:val="00566AC0"/>
    <w:rsid w:val="00567339"/>
    <w:rsid w:val="0056784A"/>
    <w:rsid w:val="00571150"/>
    <w:rsid w:val="0057137E"/>
    <w:rsid w:val="0057225A"/>
    <w:rsid w:val="00572269"/>
    <w:rsid w:val="00573088"/>
    <w:rsid w:val="005732F2"/>
    <w:rsid w:val="00573ACC"/>
    <w:rsid w:val="00573BFC"/>
    <w:rsid w:val="00574818"/>
    <w:rsid w:val="005749C9"/>
    <w:rsid w:val="00574A12"/>
    <w:rsid w:val="00575033"/>
    <w:rsid w:val="0057541B"/>
    <w:rsid w:val="0057571C"/>
    <w:rsid w:val="00575767"/>
    <w:rsid w:val="0057579C"/>
    <w:rsid w:val="005761ED"/>
    <w:rsid w:val="005762BD"/>
    <w:rsid w:val="005817C2"/>
    <w:rsid w:val="005818C6"/>
    <w:rsid w:val="005820CE"/>
    <w:rsid w:val="005827F9"/>
    <w:rsid w:val="0058300B"/>
    <w:rsid w:val="005842F4"/>
    <w:rsid w:val="005847DD"/>
    <w:rsid w:val="00585E4F"/>
    <w:rsid w:val="0058696A"/>
    <w:rsid w:val="00586F5F"/>
    <w:rsid w:val="00587EBE"/>
    <w:rsid w:val="00591A53"/>
    <w:rsid w:val="005922F8"/>
    <w:rsid w:val="00592C5D"/>
    <w:rsid w:val="00593DF6"/>
    <w:rsid w:val="0059411A"/>
    <w:rsid w:val="00594497"/>
    <w:rsid w:val="00594FC0"/>
    <w:rsid w:val="0059533B"/>
    <w:rsid w:val="00595C58"/>
    <w:rsid w:val="00595C76"/>
    <w:rsid w:val="005968E7"/>
    <w:rsid w:val="00597033"/>
    <w:rsid w:val="005973B4"/>
    <w:rsid w:val="005976F5"/>
    <w:rsid w:val="005977EB"/>
    <w:rsid w:val="005A031A"/>
    <w:rsid w:val="005A0B87"/>
    <w:rsid w:val="005A15A6"/>
    <w:rsid w:val="005A198B"/>
    <w:rsid w:val="005A2664"/>
    <w:rsid w:val="005A28E2"/>
    <w:rsid w:val="005A2E19"/>
    <w:rsid w:val="005A3A52"/>
    <w:rsid w:val="005A3AFE"/>
    <w:rsid w:val="005A3C1E"/>
    <w:rsid w:val="005A3CF8"/>
    <w:rsid w:val="005A4878"/>
    <w:rsid w:val="005A4932"/>
    <w:rsid w:val="005A4B7E"/>
    <w:rsid w:val="005A5525"/>
    <w:rsid w:val="005A5C82"/>
    <w:rsid w:val="005A5F53"/>
    <w:rsid w:val="005A6668"/>
    <w:rsid w:val="005A68E4"/>
    <w:rsid w:val="005A6961"/>
    <w:rsid w:val="005A72C3"/>
    <w:rsid w:val="005B0A57"/>
    <w:rsid w:val="005B0F20"/>
    <w:rsid w:val="005B13E1"/>
    <w:rsid w:val="005B1A56"/>
    <w:rsid w:val="005B3711"/>
    <w:rsid w:val="005B41A3"/>
    <w:rsid w:val="005B489D"/>
    <w:rsid w:val="005B4988"/>
    <w:rsid w:val="005B59FE"/>
    <w:rsid w:val="005B63BF"/>
    <w:rsid w:val="005B663D"/>
    <w:rsid w:val="005B6C0E"/>
    <w:rsid w:val="005B7D41"/>
    <w:rsid w:val="005C0903"/>
    <w:rsid w:val="005C0AE6"/>
    <w:rsid w:val="005C0C6C"/>
    <w:rsid w:val="005C0E02"/>
    <w:rsid w:val="005C0E2F"/>
    <w:rsid w:val="005C13F1"/>
    <w:rsid w:val="005C1F23"/>
    <w:rsid w:val="005C2834"/>
    <w:rsid w:val="005C2D63"/>
    <w:rsid w:val="005C35AA"/>
    <w:rsid w:val="005C3B64"/>
    <w:rsid w:val="005C3C36"/>
    <w:rsid w:val="005C4FF1"/>
    <w:rsid w:val="005C52DE"/>
    <w:rsid w:val="005C5975"/>
    <w:rsid w:val="005C5D06"/>
    <w:rsid w:val="005C62FB"/>
    <w:rsid w:val="005C708C"/>
    <w:rsid w:val="005D0161"/>
    <w:rsid w:val="005D116A"/>
    <w:rsid w:val="005D146C"/>
    <w:rsid w:val="005D14D6"/>
    <w:rsid w:val="005D17E7"/>
    <w:rsid w:val="005D27A4"/>
    <w:rsid w:val="005D338F"/>
    <w:rsid w:val="005D366F"/>
    <w:rsid w:val="005D38E7"/>
    <w:rsid w:val="005D5A73"/>
    <w:rsid w:val="005D63F8"/>
    <w:rsid w:val="005D66EF"/>
    <w:rsid w:val="005D6DC5"/>
    <w:rsid w:val="005D7071"/>
    <w:rsid w:val="005D74BD"/>
    <w:rsid w:val="005D7CC5"/>
    <w:rsid w:val="005E01F4"/>
    <w:rsid w:val="005E0426"/>
    <w:rsid w:val="005E0BD6"/>
    <w:rsid w:val="005E10B5"/>
    <w:rsid w:val="005E1467"/>
    <w:rsid w:val="005E24B4"/>
    <w:rsid w:val="005E346A"/>
    <w:rsid w:val="005E3AEB"/>
    <w:rsid w:val="005E4578"/>
    <w:rsid w:val="005E492A"/>
    <w:rsid w:val="005E58EF"/>
    <w:rsid w:val="005E5CF5"/>
    <w:rsid w:val="005E60D3"/>
    <w:rsid w:val="005E7841"/>
    <w:rsid w:val="005F01B8"/>
    <w:rsid w:val="005F055C"/>
    <w:rsid w:val="005F17EE"/>
    <w:rsid w:val="005F1B0C"/>
    <w:rsid w:val="005F259A"/>
    <w:rsid w:val="005F31C2"/>
    <w:rsid w:val="005F451D"/>
    <w:rsid w:val="005F4B67"/>
    <w:rsid w:val="005F589E"/>
    <w:rsid w:val="005F62AB"/>
    <w:rsid w:val="005F6856"/>
    <w:rsid w:val="005F6EF3"/>
    <w:rsid w:val="005F759C"/>
    <w:rsid w:val="00600476"/>
    <w:rsid w:val="006007CF"/>
    <w:rsid w:val="00600D60"/>
    <w:rsid w:val="00601A62"/>
    <w:rsid w:val="00601D31"/>
    <w:rsid w:val="00603589"/>
    <w:rsid w:val="00604559"/>
    <w:rsid w:val="00605355"/>
    <w:rsid w:val="00605573"/>
    <w:rsid w:val="0060574B"/>
    <w:rsid w:val="00605E93"/>
    <w:rsid w:val="006064E3"/>
    <w:rsid w:val="00606711"/>
    <w:rsid w:val="00606AD6"/>
    <w:rsid w:val="006070EA"/>
    <w:rsid w:val="006071ED"/>
    <w:rsid w:val="00607F63"/>
    <w:rsid w:val="00610506"/>
    <w:rsid w:val="00610C70"/>
    <w:rsid w:val="00610C86"/>
    <w:rsid w:val="00611E5F"/>
    <w:rsid w:val="00612D70"/>
    <w:rsid w:val="00613711"/>
    <w:rsid w:val="0061646C"/>
    <w:rsid w:val="006165DF"/>
    <w:rsid w:val="00616909"/>
    <w:rsid w:val="00616B2B"/>
    <w:rsid w:val="00616F2B"/>
    <w:rsid w:val="00617910"/>
    <w:rsid w:val="00620DEE"/>
    <w:rsid w:val="0062147C"/>
    <w:rsid w:val="00622224"/>
    <w:rsid w:val="00624E11"/>
    <w:rsid w:val="0062505A"/>
    <w:rsid w:val="00625AC4"/>
    <w:rsid w:val="00625B23"/>
    <w:rsid w:val="00625D9C"/>
    <w:rsid w:val="0062720B"/>
    <w:rsid w:val="00627300"/>
    <w:rsid w:val="0062733C"/>
    <w:rsid w:val="00627FC4"/>
    <w:rsid w:val="00630CD1"/>
    <w:rsid w:val="00631015"/>
    <w:rsid w:val="0063156C"/>
    <w:rsid w:val="006315E9"/>
    <w:rsid w:val="006328C6"/>
    <w:rsid w:val="00632EE2"/>
    <w:rsid w:val="00633196"/>
    <w:rsid w:val="00633DA1"/>
    <w:rsid w:val="00634591"/>
    <w:rsid w:val="006348B8"/>
    <w:rsid w:val="006351CA"/>
    <w:rsid w:val="006359AC"/>
    <w:rsid w:val="00635EC1"/>
    <w:rsid w:val="00636673"/>
    <w:rsid w:val="00637F00"/>
    <w:rsid w:val="00640174"/>
    <w:rsid w:val="0064030C"/>
    <w:rsid w:val="006403FE"/>
    <w:rsid w:val="00640505"/>
    <w:rsid w:val="0064076B"/>
    <w:rsid w:val="00640D38"/>
    <w:rsid w:val="00640EA7"/>
    <w:rsid w:val="00641362"/>
    <w:rsid w:val="006415BC"/>
    <w:rsid w:val="0064161D"/>
    <w:rsid w:val="006423F2"/>
    <w:rsid w:val="00642942"/>
    <w:rsid w:val="00642E4C"/>
    <w:rsid w:val="00643A9C"/>
    <w:rsid w:val="00643D69"/>
    <w:rsid w:val="006449FC"/>
    <w:rsid w:val="00644D24"/>
    <w:rsid w:val="00645722"/>
    <w:rsid w:val="006458D0"/>
    <w:rsid w:val="00645C17"/>
    <w:rsid w:val="006461DE"/>
    <w:rsid w:val="006467BA"/>
    <w:rsid w:val="00647CCA"/>
    <w:rsid w:val="00650193"/>
    <w:rsid w:val="00650553"/>
    <w:rsid w:val="0065127D"/>
    <w:rsid w:val="006514BB"/>
    <w:rsid w:val="006517AB"/>
    <w:rsid w:val="00652096"/>
    <w:rsid w:val="00654835"/>
    <w:rsid w:val="00654FA6"/>
    <w:rsid w:val="00655692"/>
    <w:rsid w:val="00655785"/>
    <w:rsid w:val="006564D8"/>
    <w:rsid w:val="00656663"/>
    <w:rsid w:val="0065685B"/>
    <w:rsid w:val="006570F1"/>
    <w:rsid w:val="0065776B"/>
    <w:rsid w:val="00657927"/>
    <w:rsid w:val="006606B3"/>
    <w:rsid w:val="006606FF"/>
    <w:rsid w:val="00660A78"/>
    <w:rsid w:val="00661656"/>
    <w:rsid w:val="00661DD6"/>
    <w:rsid w:val="00661DDD"/>
    <w:rsid w:val="00663601"/>
    <w:rsid w:val="00663DEB"/>
    <w:rsid w:val="00664147"/>
    <w:rsid w:val="006645B5"/>
    <w:rsid w:val="00664E2A"/>
    <w:rsid w:val="00665EF3"/>
    <w:rsid w:val="006662EE"/>
    <w:rsid w:val="00666349"/>
    <w:rsid w:val="0066694E"/>
    <w:rsid w:val="006677CA"/>
    <w:rsid w:val="00667CA9"/>
    <w:rsid w:val="00670D71"/>
    <w:rsid w:val="00670F74"/>
    <w:rsid w:val="006711B4"/>
    <w:rsid w:val="00672621"/>
    <w:rsid w:val="00672C39"/>
    <w:rsid w:val="006738E4"/>
    <w:rsid w:val="00674209"/>
    <w:rsid w:val="0067447E"/>
    <w:rsid w:val="006748F3"/>
    <w:rsid w:val="006749C3"/>
    <w:rsid w:val="00676DCF"/>
    <w:rsid w:val="00676E28"/>
    <w:rsid w:val="006774A8"/>
    <w:rsid w:val="006775F5"/>
    <w:rsid w:val="00677F4B"/>
    <w:rsid w:val="006802CA"/>
    <w:rsid w:val="0068056D"/>
    <w:rsid w:val="006807BE"/>
    <w:rsid w:val="00681F86"/>
    <w:rsid w:val="0068231A"/>
    <w:rsid w:val="00682394"/>
    <w:rsid w:val="006823A0"/>
    <w:rsid w:val="006823F5"/>
    <w:rsid w:val="0068255D"/>
    <w:rsid w:val="006828A2"/>
    <w:rsid w:val="006834AA"/>
    <w:rsid w:val="00683A75"/>
    <w:rsid w:val="00683CF2"/>
    <w:rsid w:val="00683FF0"/>
    <w:rsid w:val="00684099"/>
    <w:rsid w:val="0068493C"/>
    <w:rsid w:val="00684C99"/>
    <w:rsid w:val="00684F04"/>
    <w:rsid w:val="006853C1"/>
    <w:rsid w:val="00686158"/>
    <w:rsid w:val="00686A20"/>
    <w:rsid w:val="00686D0D"/>
    <w:rsid w:val="00690A0F"/>
    <w:rsid w:val="006917A2"/>
    <w:rsid w:val="00691911"/>
    <w:rsid w:val="00691BF5"/>
    <w:rsid w:val="006920A6"/>
    <w:rsid w:val="00692C53"/>
    <w:rsid w:val="00693145"/>
    <w:rsid w:val="00693C11"/>
    <w:rsid w:val="00693DD8"/>
    <w:rsid w:val="00694168"/>
    <w:rsid w:val="00694B79"/>
    <w:rsid w:val="00694DE3"/>
    <w:rsid w:val="006953F4"/>
    <w:rsid w:val="00695C4D"/>
    <w:rsid w:val="00696435"/>
    <w:rsid w:val="00696B3E"/>
    <w:rsid w:val="006A127B"/>
    <w:rsid w:val="006A1A61"/>
    <w:rsid w:val="006A3253"/>
    <w:rsid w:val="006A369D"/>
    <w:rsid w:val="006A3B0C"/>
    <w:rsid w:val="006A42C9"/>
    <w:rsid w:val="006A45EC"/>
    <w:rsid w:val="006A48EC"/>
    <w:rsid w:val="006A6056"/>
    <w:rsid w:val="006A67A6"/>
    <w:rsid w:val="006A734D"/>
    <w:rsid w:val="006A75E5"/>
    <w:rsid w:val="006A7EE0"/>
    <w:rsid w:val="006B04B4"/>
    <w:rsid w:val="006B0E9E"/>
    <w:rsid w:val="006B241F"/>
    <w:rsid w:val="006B2501"/>
    <w:rsid w:val="006B32A9"/>
    <w:rsid w:val="006B3A75"/>
    <w:rsid w:val="006B3EBB"/>
    <w:rsid w:val="006B46B6"/>
    <w:rsid w:val="006B56E0"/>
    <w:rsid w:val="006B57FD"/>
    <w:rsid w:val="006B5D1E"/>
    <w:rsid w:val="006B6167"/>
    <w:rsid w:val="006B643F"/>
    <w:rsid w:val="006B7AC5"/>
    <w:rsid w:val="006B7F9D"/>
    <w:rsid w:val="006C094E"/>
    <w:rsid w:val="006C1520"/>
    <w:rsid w:val="006C1613"/>
    <w:rsid w:val="006C1D9C"/>
    <w:rsid w:val="006C20DE"/>
    <w:rsid w:val="006C282F"/>
    <w:rsid w:val="006C286A"/>
    <w:rsid w:val="006C2B56"/>
    <w:rsid w:val="006C2E91"/>
    <w:rsid w:val="006C3A75"/>
    <w:rsid w:val="006C3ADB"/>
    <w:rsid w:val="006C3D7D"/>
    <w:rsid w:val="006C454C"/>
    <w:rsid w:val="006C4772"/>
    <w:rsid w:val="006C4F8C"/>
    <w:rsid w:val="006C561C"/>
    <w:rsid w:val="006C6512"/>
    <w:rsid w:val="006C6E96"/>
    <w:rsid w:val="006C7149"/>
    <w:rsid w:val="006C766E"/>
    <w:rsid w:val="006D007D"/>
    <w:rsid w:val="006D05AE"/>
    <w:rsid w:val="006D0B7B"/>
    <w:rsid w:val="006D146A"/>
    <w:rsid w:val="006D158C"/>
    <w:rsid w:val="006D16B2"/>
    <w:rsid w:val="006D16F5"/>
    <w:rsid w:val="006D175C"/>
    <w:rsid w:val="006D1851"/>
    <w:rsid w:val="006D1FC5"/>
    <w:rsid w:val="006D2003"/>
    <w:rsid w:val="006D235A"/>
    <w:rsid w:val="006D4335"/>
    <w:rsid w:val="006D440C"/>
    <w:rsid w:val="006D4CA6"/>
    <w:rsid w:val="006D5366"/>
    <w:rsid w:val="006D57EE"/>
    <w:rsid w:val="006D6306"/>
    <w:rsid w:val="006D6547"/>
    <w:rsid w:val="006D736C"/>
    <w:rsid w:val="006E027D"/>
    <w:rsid w:val="006E037B"/>
    <w:rsid w:val="006E0446"/>
    <w:rsid w:val="006E065D"/>
    <w:rsid w:val="006E09CC"/>
    <w:rsid w:val="006E1DD3"/>
    <w:rsid w:val="006E24F6"/>
    <w:rsid w:val="006E294B"/>
    <w:rsid w:val="006E2A54"/>
    <w:rsid w:val="006E3782"/>
    <w:rsid w:val="006E43CA"/>
    <w:rsid w:val="006E4AE4"/>
    <w:rsid w:val="006E5100"/>
    <w:rsid w:val="006E56D5"/>
    <w:rsid w:val="006E59EF"/>
    <w:rsid w:val="006F006C"/>
    <w:rsid w:val="006F035B"/>
    <w:rsid w:val="006F0B23"/>
    <w:rsid w:val="006F2394"/>
    <w:rsid w:val="006F2D92"/>
    <w:rsid w:val="006F2DBE"/>
    <w:rsid w:val="006F431D"/>
    <w:rsid w:val="006F4CB7"/>
    <w:rsid w:val="006F4DC2"/>
    <w:rsid w:val="006F5455"/>
    <w:rsid w:val="006F638D"/>
    <w:rsid w:val="006F66F0"/>
    <w:rsid w:val="006F6BD0"/>
    <w:rsid w:val="006F71C3"/>
    <w:rsid w:val="006F79AA"/>
    <w:rsid w:val="007006FA"/>
    <w:rsid w:val="00700C54"/>
    <w:rsid w:val="00701754"/>
    <w:rsid w:val="00701F81"/>
    <w:rsid w:val="007020BC"/>
    <w:rsid w:val="00702B68"/>
    <w:rsid w:val="00702E21"/>
    <w:rsid w:val="00703831"/>
    <w:rsid w:val="00703BC2"/>
    <w:rsid w:val="0070435E"/>
    <w:rsid w:val="0070467D"/>
    <w:rsid w:val="00704A10"/>
    <w:rsid w:val="00704CCF"/>
    <w:rsid w:val="00704EC7"/>
    <w:rsid w:val="00705151"/>
    <w:rsid w:val="007054B5"/>
    <w:rsid w:val="00706475"/>
    <w:rsid w:val="00706578"/>
    <w:rsid w:val="00706D4E"/>
    <w:rsid w:val="00707195"/>
    <w:rsid w:val="00707A7B"/>
    <w:rsid w:val="00707D34"/>
    <w:rsid w:val="00707E4B"/>
    <w:rsid w:val="00710960"/>
    <w:rsid w:val="00710A4E"/>
    <w:rsid w:val="00710AEC"/>
    <w:rsid w:val="00710E1D"/>
    <w:rsid w:val="00710FC1"/>
    <w:rsid w:val="007113A0"/>
    <w:rsid w:val="00712C59"/>
    <w:rsid w:val="00712E0E"/>
    <w:rsid w:val="00713147"/>
    <w:rsid w:val="007143D2"/>
    <w:rsid w:val="00714524"/>
    <w:rsid w:val="00714702"/>
    <w:rsid w:val="0071503E"/>
    <w:rsid w:val="007150FC"/>
    <w:rsid w:val="007152A0"/>
    <w:rsid w:val="0071539F"/>
    <w:rsid w:val="0071636B"/>
    <w:rsid w:val="0071687B"/>
    <w:rsid w:val="00716F71"/>
    <w:rsid w:val="00717050"/>
    <w:rsid w:val="007170F2"/>
    <w:rsid w:val="00717384"/>
    <w:rsid w:val="0071749C"/>
    <w:rsid w:val="00717B9C"/>
    <w:rsid w:val="00720316"/>
    <w:rsid w:val="0072137A"/>
    <w:rsid w:val="00721BD6"/>
    <w:rsid w:val="0072200D"/>
    <w:rsid w:val="0072259D"/>
    <w:rsid w:val="00722B55"/>
    <w:rsid w:val="00723471"/>
    <w:rsid w:val="00723BDC"/>
    <w:rsid w:val="00724B54"/>
    <w:rsid w:val="007257E8"/>
    <w:rsid w:val="007266DF"/>
    <w:rsid w:val="00726B2B"/>
    <w:rsid w:val="00726EFD"/>
    <w:rsid w:val="007270A1"/>
    <w:rsid w:val="007275D6"/>
    <w:rsid w:val="007300BE"/>
    <w:rsid w:val="00730FDE"/>
    <w:rsid w:val="00732352"/>
    <w:rsid w:val="0073257A"/>
    <w:rsid w:val="0073287F"/>
    <w:rsid w:val="00732AE9"/>
    <w:rsid w:val="00733137"/>
    <w:rsid w:val="00734352"/>
    <w:rsid w:val="00734811"/>
    <w:rsid w:val="007361C1"/>
    <w:rsid w:val="00736390"/>
    <w:rsid w:val="00737C5E"/>
    <w:rsid w:val="0074044D"/>
    <w:rsid w:val="00740ACA"/>
    <w:rsid w:val="00740ED2"/>
    <w:rsid w:val="00740F8F"/>
    <w:rsid w:val="00741649"/>
    <w:rsid w:val="00741A76"/>
    <w:rsid w:val="00741CA4"/>
    <w:rsid w:val="00742F2C"/>
    <w:rsid w:val="00743DA4"/>
    <w:rsid w:val="007441FE"/>
    <w:rsid w:val="007444B6"/>
    <w:rsid w:val="00744862"/>
    <w:rsid w:val="007459AD"/>
    <w:rsid w:val="00745A40"/>
    <w:rsid w:val="007464D1"/>
    <w:rsid w:val="00746503"/>
    <w:rsid w:val="00746B1B"/>
    <w:rsid w:val="00746D26"/>
    <w:rsid w:val="00746E2A"/>
    <w:rsid w:val="007472FF"/>
    <w:rsid w:val="00747D1C"/>
    <w:rsid w:val="0075199C"/>
    <w:rsid w:val="00752A9E"/>
    <w:rsid w:val="00752F15"/>
    <w:rsid w:val="00752FC9"/>
    <w:rsid w:val="00754827"/>
    <w:rsid w:val="0075524B"/>
    <w:rsid w:val="00755502"/>
    <w:rsid w:val="0075653F"/>
    <w:rsid w:val="00756A1E"/>
    <w:rsid w:val="00756C14"/>
    <w:rsid w:val="0075767B"/>
    <w:rsid w:val="00757695"/>
    <w:rsid w:val="00757EF1"/>
    <w:rsid w:val="00760B4C"/>
    <w:rsid w:val="007627DC"/>
    <w:rsid w:val="007628EF"/>
    <w:rsid w:val="00764582"/>
    <w:rsid w:val="007654A6"/>
    <w:rsid w:val="0076567D"/>
    <w:rsid w:val="00765C83"/>
    <w:rsid w:val="00765DA3"/>
    <w:rsid w:val="00766723"/>
    <w:rsid w:val="00766C80"/>
    <w:rsid w:val="007675F1"/>
    <w:rsid w:val="00771951"/>
    <w:rsid w:val="00773670"/>
    <w:rsid w:val="00773D5E"/>
    <w:rsid w:val="007741AB"/>
    <w:rsid w:val="007741CD"/>
    <w:rsid w:val="00774991"/>
    <w:rsid w:val="00775F9D"/>
    <w:rsid w:val="007762C5"/>
    <w:rsid w:val="007778E9"/>
    <w:rsid w:val="00777D31"/>
    <w:rsid w:val="0078046D"/>
    <w:rsid w:val="00780ACE"/>
    <w:rsid w:val="00780FAF"/>
    <w:rsid w:val="00781479"/>
    <w:rsid w:val="00781786"/>
    <w:rsid w:val="0078227C"/>
    <w:rsid w:val="007823DF"/>
    <w:rsid w:val="007832F6"/>
    <w:rsid w:val="00783537"/>
    <w:rsid w:val="00785715"/>
    <w:rsid w:val="0078579D"/>
    <w:rsid w:val="00785BB9"/>
    <w:rsid w:val="007860D9"/>
    <w:rsid w:val="007868B0"/>
    <w:rsid w:val="007872C2"/>
    <w:rsid w:val="007874E1"/>
    <w:rsid w:val="00787857"/>
    <w:rsid w:val="00790D48"/>
    <w:rsid w:val="007913F6"/>
    <w:rsid w:val="007918D8"/>
    <w:rsid w:val="007919DC"/>
    <w:rsid w:val="007923E2"/>
    <w:rsid w:val="00793082"/>
    <w:rsid w:val="00794575"/>
    <w:rsid w:val="00794816"/>
    <w:rsid w:val="00795A3C"/>
    <w:rsid w:val="00795EBA"/>
    <w:rsid w:val="00795F2C"/>
    <w:rsid w:val="0079659D"/>
    <w:rsid w:val="00796846"/>
    <w:rsid w:val="00796898"/>
    <w:rsid w:val="0079690C"/>
    <w:rsid w:val="00797E68"/>
    <w:rsid w:val="007A01B2"/>
    <w:rsid w:val="007A03D5"/>
    <w:rsid w:val="007A062C"/>
    <w:rsid w:val="007A0E06"/>
    <w:rsid w:val="007A29D4"/>
    <w:rsid w:val="007A2B26"/>
    <w:rsid w:val="007A30FC"/>
    <w:rsid w:val="007A359F"/>
    <w:rsid w:val="007A39DC"/>
    <w:rsid w:val="007A4C00"/>
    <w:rsid w:val="007A4D9D"/>
    <w:rsid w:val="007A4EE4"/>
    <w:rsid w:val="007A643A"/>
    <w:rsid w:val="007A6BB2"/>
    <w:rsid w:val="007A7223"/>
    <w:rsid w:val="007A73E8"/>
    <w:rsid w:val="007B0175"/>
    <w:rsid w:val="007B0F9D"/>
    <w:rsid w:val="007B1558"/>
    <w:rsid w:val="007B209C"/>
    <w:rsid w:val="007B2588"/>
    <w:rsid w:val="007B2E79"/>
    <w:rsid w:val="007B42CB"/>
    <w:rsid w:val="007B5C82"/>
    <w:rsid w:val="007B5DD8"/>
    <w:rsid w:val="007B60C9"/>
    <w:rsid w:val="007B780D"/>
    <w:rsid w:val="007C0465"/>
    <w:rsid w:val="007C049A"/>
    <w:rsid w:val="007C05F0"/>
    <w:rsid w:val="007C0630"/>
    <w:rsid w:val="007C1F88"/>
    <w:rsid w:val="007C2F17"/>
    <w:rsid w:val="007C3474"/>
    <w:rsid w:val="007C3FF6"/>
    <w:rsid w:val="007C4D7F"/>
    <w:rsid w:val="007C5D53"/>
    <w:rsid w:val="007C6B73"/>
    <w:rsid w:val="007C7133"/>
    <w:rsid w:val="007C7941"/>
    <w:rsid w:val="007D09F1"/>
    <w:rsid w:val="007D1E58"/>
    <w:rsid w:val="007D30CC"/>
    <w:rsid w:val="007D3123"/>
    <w:rsid w:val="007D33EB"/>
    <w:rsid w:val="007D380C"/>
    <w:rsid w:val="007D4104"/>
    <w:rsid w:val="007D4CC9"/>
    <w:rsid w:val="007D5AAE"/>
    <w:rsid w:val="007E0256"/>
    <w:rsid w:val="007E0C2A"/>
    <w:rsid w:val="007E0DD4"/>
    <w:rsid w:val="007E0FF9"/>
    <w:rsid w:val="007E10C4"/>
    <w:rsid w:val="007E1333"/>
    <w:rsid w:val="007E2411"/>
    <w:rsid w:val="007E3889"/>
    <w:rsid w:val="007E4160"/>
    <w:rsid w:val="007E431D"/>
    <w:rsid w:val="007E796C"/>
    <w:rsid w:val="007F0B57"/>
    <w:rsid w:val="007F0F4B"/>
    <w:rsid w:val="007F2559"/>
    <w:rsid w:val="007F3303"/>
    <w:rsid w:val="007F3668"/>
    <w:rsid w:val="007F373B"/>
    <w:rsid w:val="007F4A1A"/>
    <w:rsid w:val="007F5483"/>
    <w:rsid w:val="007F59CA"/>
    <w:rsid w:val="007F5EE5"/>
    <w:rsid w:val="007F612C"/>
    <w:rsid w:val="007F62BF"/>
    <w:rsid w:val="007F6540"/>
    <w:rsid w:val="007F6EAE"/>
    <w:rsid w:val="007F7590"/>
    <w:rsid w:val="007F7762"/>
    <w:rsid w:val="007F78AE"/>
    <w:rsid w:val="007F7ADE"/>
    <w:rsid w:val="00802453"/>
    <w:rsid w:val="008024FB"/>
    <w:rsid w:val="0080257E"/>
    <w:rsid w:val="00802738"/>
    <w:rsid w:val="008027E7"/>
    <w:rsid w:val="0080298E"/>
    <w:rsid w:val="00803F61"/>
    <w:rsid w:val="0080409D"/>
    <w:rsid w:val="008049F6"/>
    <w:rsid w:val="00804C50"/>
    <w:rsid w:val="00804E2A"/>
    <w:rsid w:val="008052DD"/>
    <w:rsid w:val="008053FA"/>
    <w:rsid w:val="00806C03"/>
    <w:rsid w:val="0080735E"/>
    <w:rsid w:val="008103A1"/>
    <w:rsid w:val="00810C59"/>
    <w:rsid w:val="00810CC5"/>
    <w:rsid w:val="0081184B"/>
    <w:rsid w:val="00812AAD"/>
    <w:rsid w:val="00812F6A"/>
    <w:rsid w:val="00813359"/>
    <w:rsid w:val="0081365B"/>
    <w:rsid w:val="00813865"/>
    <w:rsid w:val="00813F53"/>
    <w:rsid w:val="00813F85"/>
    <w:rsid w:val="00815338"/>
    <w:rsid w:val="008159BA"/>
    <w:rsid w:val="00815B63"/>
    <w:rsid w:val="008160BD"/>
    <w:rsid w:val="00816B54"/>
    <w:rsid w:val="008201D3"/>
    <w:rsid w:val="008204BF"/>
    <w:rsid w:val="008209E6"/>
    <w:rsid w:val="00820EE7"/>
    <w:rsid w:val="0082106F"/>
    <w:rsid w:val="00821B9B"/>
    <w:rsid w:val="00821F37"/>
    <w:rsid w:val="008235C7"/>
    <w:rsid w:val="00825122"/>
    <w:rsid w:val="00825500"/>
    <w:rsid w:val="0082601C"/>
    <w:rsid w:val="00826704"/>
    <w:rsid w:val="008302A1"/>
    <w:rsid w:val="00830D26"/>
    <w:rsid w:val="00830D50"/>
    <w:rsid w:val="00831223"/>
    <w:rsid w:val="008316DE"/>
    <w:rsid w:val="00831975"/>
    <w:rsid w:val="0083219C"/>
    <w:rsid w:val="00833833"/>
    <w:rsid w:val="0083483C"/>
    <w:rsid w:val="00835217"/>
    <w:rsid w:val="00836537"/>
    <w:rsid w:val="0083672D"/>
    <w:rsid w:val="00836CA8"/>
    <w:rsid w:val="008402A6"/>
    <w:rsid w:val="00840B48"/>
    <w:rsid w:val="00840C1D"/>
    <w:rsid w:val="008419D3"/>
    <w:rsid w:val="00841EC2"/>
    <w:rsid w:val="008420D5"/>
    <w:rsid w:val="00842C91"/>
    <w:rsid w:val="00842FFE"/>
    <w:rsid w:val="008439A3"/>
    <w:rsid w:val="008441A4"/>
    <w:rsid w:val="0084444D"/>
    <w:rsid w:val="008444A5"/>
    <w:rsid w:val="0084450F"/>
    <w:rsid w:val="008449DE"/>
    <w:rsid w:val="00844A6C"/>
    <w:rsid w:val="00845096"/>
    <w:rsid w:val="00846E76"/>
    <w:rsid w:val="00846ED7"/>
    <w:rsid w:val="00847323"/>
    <w:rsid w:val="008473EB"/>
    <w:rsid w:val="0085068F"/>
    <w:rsid w:val="00850DAC"/>
    <w:rsid w:val="00851971"/>
    <w:rsid w:val="00852180"/>
    <w:rsid w:val="0085246D"/>
    <w:rsid w:val="00852727"/>
    <w:rsid w:val="00852F0B"/>
    <w:rsid w:val="008538F6"/>
    <w:rsid w:val="00854033"/>
    <w:rsid w:val="008540C6"/>
    <w:rsid w:val="008548F0"/>
    <w:rsid w:val="008552A4"/>
    <w:rsid w:val="00855E15"/>
    <w:rsid w:val="0085631A"/>
    <w:rsid w:val="00856FDC"/>
    <w:rsid w:val="008573F7"/>
    <w:rsid w:val="00857BC4"/>
    <w:rsid w:val="00860E2C"/>
    <w:rsid w:val="00860EB3"/>
    <w:rsid w:val="00861066"/>
    <w:rsid w:val="00861A0E"/>
    <w:rsid w:val="00861BC9"/>
    <w:rsid w:val="008636D1"/>
    <w:rsid w:val="00863CDB"/>
    <w:rsid w:val="00863DDD"/>
    <w:rsid w:val="008645FA"/>
    <w:rsid w:val="00865E65"/>
    <w:rsid w:val="008671A8"/>
    <w:rsid w:val="00867305"/>
    <w:rsid w:val="00867ED9"/>
    <w:rsid w:val="00867F29"/>
    <w:rsid w:val="00870A60"/>
    <w:rsid w:val="0087169E"/>
    <w:rsid w:val="008719AD"/>
    <w:rsid w:val="0087272A"/>
    <w:rsid w:val="00872C68"/>
    <w:rsid w:val="008733B6"/>
    <w:rsid w:val="008751A3"/>
    <w:rsid w:val="00875336"/>
    <w:rsid w:val="008754A7"/>
    <w:rsid w:val="008763CE"/>
    <w:rsid w:val="008770BA"/>
    <w:rsid w:val="00877205"/>
    <w:rsid w:val="008772BE"/>
    <w:rsid w:val="008774FD"/>
    <w:rsid w:val="00877E52"/>
    <w:rsid w:val="00880AC9"/>
    <w:rsid w:val="008810EF"/>
    <w:rsid w:val="00881186"/>
    <w:rsid w:val="008812DD"/>
    <w:rsid w:val="0088161B"/>
    <w:rsid w:val="0088208F"/>
    <w:rsid w:val="00882C94"/>
    <w:rsid w:val="00882F48"/>
    <w:rsid w:val="00882FF3"/>
    <w:rsid w:val="00883455"/>
    <w:rsid w:val="00883A02"/>
    <w:rsid w:val="00885E46"/>
    <w:rsid w:val="0088606B"/>
    <w:rsid w:val="008869BA"/>
    <w:rsid w:val="00886E73"/>
    <w:rsid w:val="0088715A"/>
    <w:rsid w:val="008879A9"/>
    <w:rsid w:val="00887C15"/>
    <w:rsid w:val="00887C54"/>
    <w:rsid w:val="00891241"/>
    <w:rsid w:val="0089188A"/>
    <w:rsid w:val="00892140"/>
    <w:rsid w:val="00892436"/>
    <w:rsid w:val="00892475"/>
    <w:rsid w:val="00892976"/>
    <w:rsid w:val="00893596"/>
    <w:rsid w:val="0089461F"/>
    <w:rsid w:val="00894820"/>
    <w:rsid w:val="0089574D"/>
    <w:rsid w:val="00895F48"/>
    <w:rsid w:val="0089656D"/>
    <w:rsid w:val="00896584"/>
    <w:rsid w:val="00896692"/>
    <w:rsid w:val="00896F1B"/>
    <w:rsid w:val="008973D1"/>
    <w:rsid w:val="00897635"/>
    <w:rsid w:val="00897637"/>
    <w:rsid w:val="0089772E"/>
    <w:rsid w:val="00897DBB"/>
    <w:rsid w:val="008A0B02"/>
    <w:rsid w:val="008A0B21"/>
    <w:rsid w:val="008A1196"/>
    <w:rsid w:val="008A3B41"/>
    <w:rsid w:val="008A3F7C"/>
    <w:rsid w:val="008A400E"/>
    <w:rsid w:val="008A4115"/>
    <w:rsid w:val="008A447F"/>
    <w:rsid w:val="008A4560"/>
    <w:rsid w:val="008A49E7"/>
    <w:rsid w:val="008A4A56"/>
    <w:rsid w:val="008A4E48"/>
    <w:rsid w:val="008A57F7"/>
    <w:rsid w:val="008A7151"/>
    <w:rsid w:val="008A763D"/>
    <w:rsid w:val="008B10F7"/>
    <w:rsid w:val="008B18B2"/>
    <w:rsid w:val="008B1A76"/>
    <w:rsid w:val="008B1C19"/>
    <w:rsid w:val="008B2227"/>
    <w:rsid w:val="008B2CDB"/>
    <w:rsid w:val="008B2F6E"/>
    <w:rsid w:val="008B33D7"/>
    <w:rsid w:val="008B4208"/>
    <w:rsid w:val="008B4521"/>
    <w:rsid w:val="008B4FC9"/>
    <w:rsid w:val="008B54B6"/>
    <w:rsid w:val="008B659D"/>
    <w:rsid w:val="008B668F"/>
    <w:rsid w:val="008B6699"/>
    <w:rsid w:val="008B684A"/>
    <w:rsid w:val="008B6C2D"/>
    <w:rsid w:val="008B7E45"/>
    <w:rsid w:val="008C0A90"/>
    <w:rsid w:val="008C0D75"/>
    <w:rsid w:val="008C192E"/>
    <w:rsid w:val="008C1B54"/>
    <w:rsid w:val="008C1D63"/>
    <w:rsid w:val="008C1DD6"/>
    <w:rsid w:val="008C2DF7"/>
    <w:rsid w:val="008C313D"/>
    <w:rsid w:val="008C3F0F"/>
    <w:rsid w:val="008C420C"/>
    <w:rsid w:val="008C4D6F"/>
    <w:rsid w:val="008C51C8"/>
    <w:rsid w:val="008C525A"/>
    <w:rsid w:val="008C5322"/>
    <w:rsid w:val="008C5578"/>
    <w:rsid w:val="008C588D"/>
    <w:rsid w:val="008C5CB0"/>
    <w:rsid w:val="008C6BB3"/>
    <w:rsid w:val="008C783E"/>
    <w:rsid w:val="008D028B"/>
    <w:rsid w:val="008D04C9"/>
    <w:rsid w:val="008D0613"/>
    <w:rsid w:val="008D1008"/>
    <w:rsid w:val="008D1DAD"/>
    <w:rsid w:val="008D267B"/>
    <w:rsid w:val="008D289C"/>
    <w:rsid w:val="008D2E1F"/>
    <w:rsid w:val="008D39F3"/>
    <w:rsid w:val="008D4118"/>
    <w:rsid w:val="008D4E6D"/>
    <w:rsid w:val="008D5359"/>
    <w:rsid w:val="008D5A8A"/>
    <w:rsid w:val="008D61B4"/>
    <w:rsid w:val="008D63F0"/>
    <w:rsid w:val="008D67FA"/>
    <w:rsid w:val="008E0348"/>
    <w:rsid w:val="008E0850"/>
    <w:rsid w:val="008E08BE"/>
    <w:rsid w:val="008E10D4"/>
    <w:rsid w:val="008E4084"/>
    <w:rsid w:val="008E47B6"/>
    <w:rsid w:val="008E4E06"/>
    <w:rsid w:val="008E4EF0"/>
    <w:rsid w:val="008E51B3"/>
    <w:rsid w:val="008E5595"/>
    <w:rsid w:val="008E68B4"/>
    <w:rsid w:val="008E7169"/>
    <w:rsid w:val="008E7E7F"/>
    <w:rsid w:val="008E7FD7"/>
    <w:rsid w:val="008F08A8"/>
    <w:rsid w:val="008F1225"/>
    <w:rsid w:val="008F1A6C"/>
    <w:rsid w:val="008F1F5C"/>
    <w:rsid w:val="008F2085"/>
    <w:rsid w:val="008F20FA"/>
    <w:rsid w:val="008F34EB"/>
    <w:rsid w:val="008F4051"/>
    <w:rsid w:val="008F42C2"/>
    <w:rsid w:val="008F4683"/>
    <w:rsid w:val="008F4E67"/>
    <w:rsid w:val="008F5117"/>
    <w:rsid w:val="008F5436"/>
    <w:rsid w:val="008F55EA"/>
    <w:rsid w:val="008F5836"/>
    <w:rsid w:val="008F5A25"/>
    <w:rsid w:val="008F5CB2"/>
    <w:rsid w:val="008F5DE1"/>
    <w:rsid w:val="008F5EEF"/>
    <w:rsid w:val="008F6DBE"/>
    <w:rsid w:val="008F701A"/>
    <w:rsid w:val="008F7044"/>
    <w:rsid w:val="008F7491"/>
    <w:rsid w:val="008F75A5"/>
    <w:rsid w:val="009003DE"/>
    <w:rsid w:val="0090055F"/>
    <w:rsid w:val="00901F2E"/>
    <w:rsid w:val="009022DC"/>
    <w:rsid w:val="0090362B"/>
    <w:rsid w:val="009043F6"/>
    <w:rsid w:val="0090444F"/>
    <w:rsid w:val="009049E5"/>
    <w:rsid w:val="009052D3"/>
    <w:rsid w:val="009056B3"/>
    <w:rsid w:val="009056D1"/>
    <w:rsid w:val="009062C2"/>
    <w:rsid w:val="00906DE2"/>
    <w:rsid w:val="00906E53"/>
    <w:rsid w:val="0090711D"/>
    <w:rsid w:val="0090774E"/>
    <w:rsid w:val="00907947"/>
    <w:rsid w:val="00907C87"/>
    <w:rsid w:val="0091084A"/>
    <w:rsid w:val="0091102F"/>
    <w:rsid w:val="00911DBD"/>
    <w:rsid w:val="0091227D"/>
    <w:rsid w:val="009137C1"/>
    <w:rsid w:val="00913D88"/>
    <w:rsid w:val="00913E12"/>
    <w:rsid w:val="009141B4"/>
    <w:rsid w:val="00914326"/>
    <w:rsid w:val="00914905"/>
    <w:rsid w:val="00914D67"/>
    <w:rsid w:val="00915528"/>
    <w:rsid w:val="00915DD4"/>
    <w:rsid w:val="00916030"/>
    <w:rsid w:val="009161BE"/>
    <w:rsid w:val="00916264"/>
    <w:rsid w:val="009209F4"/>
    <w:rsid w:val="009215D9"/>
    <w:rsid w:val="0092176B"/>
    <w:rsid w:val="009218DD"/>
    <w:rsid w:val="00921B8E"/>
    <w:rsid w:val="00921C3F"/>
    <w:rsid w:val="009221FF"/>
    <w:rsid w:val="009251AB"/>
    <w:rsid w:val="009251F0"/>
    <w:rsid w:val="009256D7"/>
    <w:rsid w:val="00925AD6"/>
    <w:rsid w:val="00925CA4"/>
    <w:rsid w:val="009265A3"/>
    <w:rsid w:val="00926711"/>
    <w:rsid w:val="00927246"/>
    <w:rsid w:val="0092759A"/>
    <w:rsid w:val="00927B27"/>
    <w:rsid w:val="00927FAD"/>
    <w:rsid w:val="009300FB"/>
    <w:rsid w:val="00930665"/>
    <w:rsid w:val="00930B4F"/>
    <w:rsid w:val="00931F9D"/>
    <w:rsid w:val="009323EB"/>
    <w:rsid w:val="009327AF"/>
    <w:rsid w:val="00932DA0"/>
    <w:rsid w:val="00933029"/>
    <w:rsid w:val="00933267"/>
    <w:rsid w:val="00933BC9"/>
    <w:rsid w:val="00933CD2"/>
    <w:rsid w:val="009344A0"/>
    <w:rsid w:val="009348B4"/>
    <w:rsid w:val="00934EC7"/>
    <w:rsid w:val="009356C0"/>
    <w:rsid w:val="009359E1"/>
    <w:rsid w:val="00936D5A"/>
    <w:rsid w:val="00937A07"/>
    <w:rsid w:val="00937B2D"/>
    <w:rsid w:val="00937BDA"/>
    <w:rsid w:val="009402D8"/>
    <w:rsid w:val="00940456"/>
    <w:rsid w:val="00943577"/>
    <w:rsid w:val="0094485E"/>
    <w:rsid w:val="00945015"/>
    <w:rsid w:val="009457CF"/>
    <w:rsid w:val="009465E5"/>
    <w:rsid w:val="00946683"/>
    <w:rsid w:val="0094671D"/>
    <w:rsid w:val="009470FF"/>
    <w:rsid w:val="00950763"/>
    <w:rsid w:val="00950AC2"/>
    <w:rsid w:val="00950ECE"/>
    <w:rsid w:val="00950F91"/>
    <w:rsid w:val="009523BC"/>
    <w:rsid w:val="00952CBD"/>
    <w:rsid w:val="009535F6"/>
    <w:rsid w:val="00953B8D"/>
    <w:rsid w:val="009542F0"/>
    <w:rsid w:val="00954993"/>
    <w:rsid w:val="00954E4B"/>
    <w:rsid w:val="00954FDB"/>
    <w:rsid w:val="00955F7D"/>
    <w:rsid w:val="009563F4"/>
    <w:rsid w:val="0095729A"/>
    <w:rsid w:val="009572D8"/>
    <w:rsid w:val="0095782D"/>
    <w:rsid w:val="00960015"/>
    <w:rsid w:val="00960179"/>
    <w:rsid w:val="0096053A"/>
    <w:rsid w:val="00960C0C"/>
    <w:rsid w:val="009616E9"/>
    <w:rsid w:val="00961C22"/>
    <w:rsid w:val="00961C8B"/>
    <w:rsid w:val="0096268F"/>
    <w:rsid w:val="00962B54"/>
    <w:rsid w:val="00962B55"/>
    <w:rsid w:val="00963233"/>
    <w:rsid w:val="00963A23"/>
    <w:rsid w:val="00964973"/>
    <w:rsid w:val="00965E60"/>
    <w:rsid w:val="0096622F"/>
    <w:rsid w:val="009664DC"/>
    <w:rsid w:val="00967517"/>
    <w:rsid w:val="00971074"/>
    <w:rsid w:val="00971455"/>
    <w:rsid w:val="009733F1"/>
    <w:rsid w:val="00973E05"/>
    <w:rsid w:val="0097451F"/>
    <w:rsid w:val="00974B9D"/>
    <w:rsid w:val="00975C11"/>
    <w:rsid w:val="0097640E"/>
    <w:rsid w:val="0097746F"/>
    <w:rsid w:val="009775ED"/>
    <w:rsid w:val="00977854"/>
    <w:rsid w:val="009779A8"/>
    <w:rsid w:val="00977B5D"/>
    <w:rsid w:val="00977E0B"/>
    <w:rsid w:val="00980210"/>
    <w:rsid w:val="009810E1"/>
    <w:rsid w:val="009821CF"/>
    <w:rsid w:val="00982A60"/>
    <w:rsid w:val="00982B04"/>
    <w:rsid w:val="00982D47"/>
    <w:rsid w:val="00982EF2"/>
    <w:rsid w:val="009835E5"/>
    <w:rsid w:val="00983EDE"/>
    <w:rsid w:val="00984216"/>
    <w:rsid w:val="0098455D"/>
    <w:rsid w:val="00985322"/>
    <w:rsid w:val="00985509"/>
    <w:rsid w:val="00985551"/>
    <w:rsid w:val="00985E20"/>
    <w:rsid w:val="00985F5D"/>
    <w:rsid w:val="0098605A"/>
    <w:rsid w:val="0098620F"/>
    <w:rsid w:val="00986931"/>
    <w:rsid w:val="00986AF2"/>
    <w:rsid w:val="00986D87"/>
    <w:rsid w:val="00987529"/>
    <w:rsid w:val="00991125"/>
    <w:rsid w:val="009915A1"/>
    <w:rsid w:val="0099169F"/>
    <w:rsid w:val="0099249F"/>
    <w:rsid w:val="00993035"/>
    <w:rsid w:val="00993EA0"/>
    <w:rsid w:val="00994060"/>
    <w:rsid w:val="00994555"/>
    <w:rsid w:val="00994CA0"/>
    <w:rsid w:val="0099588F"/>
    <w:rsid w:val="009959E3"/>
    <w:rsid w:val="0099697B"/>
    <w:rsid w:val="00997EFB"/>
    <w:rsid w:val="009A0CB5"/>
    <w:rsid w:val="009A0E3A"/>
    <w:rsid w:val="009A14E8"/>
    <w:rsid w:val="009A3050"/>
    <w:rsid w:val="009A3504"/>
    <w:rsid w:val="009A3893"/>
    <w:rsid w:val="009A3A6D"/>
    <w:rsid w:val="009A5247"/>
    <w:rsid w:val="009A54DD"/>
    <w:rsid w:val="009A56B0"/>
    <w:rsid w:val="009A5B49"/>
    <w:rsid w:val="009A5DD1"/>
    <w:rsid w:val="009A636C"/>
    <w:rsid w:val="009A6481"/>
    <w:rsid w:val="009A693E"/>
    <w:rsid w:val="009A6A1C"/>
    <w:rsid w:val="009B0D59"/>
    <w:rsid w:val="009B229E"/>
    <w:rsid w:val="009B330B"/>
    <w:rsid w:val="009B36D4"/>
    <w:rsid w:val="009B3C9F"/>
    <w:rsid w:val="009B3E65"/>
    <w:rsid w:val="009B42AD"/>
    <w:rsid w:val="009B4B44"/>
    <w:rsid w:val="009B4B5E"/>
    <w:rsid w:val="009B55DE"/>
    <w:rsid w:val="009B5D4A"/>
    <w:rsid w:val="009B6413"/>
    <w:rsid w:val="009B65B1"/>
    <w:rsid w:val="009B6699"/>
    <w:rsid w:val="009B68F4"/>
    <w:rsid w:val="009B6C1E"/>
    <w:rsid w:val="009B71BF"/>
    <w:rsid w:val="009B7967"/>
    <w:rsid w:val="009B7B29"/>
    <w:rsid w:val="009B7BE9"/>
    <w:rsid w:val="009C044D"/>
    <w:rsid w:val="009C0826"/>
    <w:rsid w:val="009C15A5"/>
    <w:rsid w:val="009C16EC"/>
    <w:rsid w:val="009C1BBA"/>
    <w:rsid w:val="009C202D"/>
    <w:rsid w:val="009C2209"/>
    <w:rsid w:val="009C2599"/>
    <w:rsid w:val="009C2E50"/>
    <w:rsid w:val="009C2FBB"/>
    <w:rsid w:val="009C327B"/>
    <w:rsid w:val="009C3544"/>
    <w:rsid w:val="009C482B"/>
    <w:rsid w:val="009C4FF6"/>
    <w:rsid w:val="009C5165"/>
    <w:rsid w:val="009C5956"/>
    <w:rsid w:val="009C6547"/>
    <w:rsid w:val="009C6587"/>
    <w:rsid w:val="009C68C3"/>
    <w:rsid w:val="009C6B5F"/>
    <w:rsid w:val="009C6B7E"/>
    <w:rsid w:val="009C6F0D"/>
    <w:rsid w:val="009D03BF"/>
    <w:rsid w:val="009D08A7"/>
    <w:rsid w:val="009D11B3"/>
    <w:rsid w:val="009D1228"/>
    <w:rsid w:val="009D1924"/>
    <w:rsid w:val="009D22A9"/>
    <w:rsid w:val="009D25BC"/>
    <w:rsid w:val="009D37ED"/>
    <w:rsid w:val="009D433B"/>
    <w:rsid w:val="009D4634"/>
    <w:rsid w:val="009D5A6A"/>
    <w:rsid w:val="009D5E28"/>
    <w:rsid w:val="009D67C3"/>
    <w:rsid w:val="009D6D56"/>
    <w:rsid w:val="009D7169"/>
    <w:rsid w:val="009D7562"/>
    <w:rsid w:val="009E039B"/>
    <w:rsid w:val="009E07E1"/>
    <w:rsid w:val="009E0B7E"/>
    <w:rsid w:val="009E126A"/>
    <w:rsid w:val="009E1443"/>
    <w:rsid w:val="009E186E"/>
    <w:rsid w:val="009E2341"/>
    <w:rsid w:val="009E2A7C"/>
    <w:rsid w:val="009E31F6"/>
    <w:rsid w:val="009E33CB"/>
    <w:rsid w:val="009E3A49"/>
    <w:rsid w:val="009E3CA9"/>
    <w:rsid w:val="009E3CE1"/>
    <w:rsid w:val="009E4229"/>
    <w:rsid w:val="009E5095"/>
    <w:rsid w:val="009E5406"/>
    <w:rsid w:val="009E5E88"/>
    <w:rsid w:val="009E67BC"/>
    <w:rsid w:val="009E6F25"/>
    <w:rsid w:val="009E7168"/>
    <w:rsid w:val="009E724A"/>
    <w:rsid w:val="009E7301"/>
    <w:rsid w:val="009E7E40"/>
    <w:rsid w:val="009F054A"/>
    <w:rsid w:val="009F0AD0"/>
    <w:rsid w:val="009F1104"/>
    <w:rsid w:val="009F196A"/>
    <w:rsid w:val="009F1979"/>
    <w:rsid w:val="009F26B0"/>
    <w:rsid w:val="009F2980"/>
    <w:rsid w:val="009F2C13"/>
    <w:rsid w:val="009F3523"/>
    <w:rsid w:val="009F38AF"/>
    <w:rsid w:val="009F39A3"/>
    <w:rsid w:val="009F46B7"/>
    <w:rsid w:val="009F4C58"/>
    <w:rsid w:val="009F7319"/>
    <w:rsid w:val="009F7E1B"/>
    <w:rsid w:val="00A000CF"/>
    <w:rsid w:val="00A00C96"/>
    <w:rsid w:val="00A0193E"/>
    <w:rsid w:val="00A0194A"/>
    <w:rsid w:val="00A01A2C"/>
    <w:rsid w:val="00A02C4E"/>
    <w:rsid w:val="00A03410"/>
    <w:rsid w:val="00A04AE9"/>
    <w:rsid w:val="00A04EF0"/>
    <w:rsid w:val="00A055F4"/>
    <w:rsid w:val="00A059F8"/>
    <w:rsid w:val="00A05E2D"/>
    <w:rsid w:val="00A06407"/>
    <w:rsid w:val="00A0683C"/>
    <w:rsid w:val="00A069ED"/>
    <w:rsid w:val="00A06DA1"/>
    <w:rsid w:val="00A0741C"/>
    <w:rsid w:val="00A0752C"/>
    <w:rsid w:val="00A07BAD"/>
    <w:rsid w:val="00A07BBA"/>
    <w:rsid w:val="00A10CD0"/>
    <w:rsid w:val="00A117A3"/>
    <w:rsid w:val="00A11929"/>
    <w:rsid w:val="00A11C29"/>
    <w:rsid w:val="00A11C51"/>
    <w:rsid w:val="00A11D13"/>
    <w:rsid w:val="00A12189"/>
    <w:rsid w:val="00A12932"/>
    <w:rsid w:val="00A13D91"/>
    <w:rsid w:val="00A13D9A"/>
    <w:rsid w:val="00A1476F"/>
    <w:rsid w:val="00A147C2"/>
    <w:rsid w:val="00A157A4"/>
    <w:rsid w:val="00A15BEA"/>
    <w:rsid w:val="00A16879"/>
    <w:rsid w:val="00A16935"/>
    <w:rsid w:val="00A169A4"/>
    <w:rsid w:val="00A2034A"/>
    <w:rsid w:val="00A20599"/>
    <w:rsid w:val="00A214E9"/>
    <w:rsid w:val="00A2246B"/>
    <w:rsid w:val="00A22491"/>
    <w:rsid w:val="00A22674"/>
    <w:rsid w:val="00A2351F"/>
    <w:rsid w:val="00A24201"/>
    <w:rsid w:val="00A25D55"/>
    <w:rsid w:val="00A25D8A"/>
    <w:rsid w:val="00A267E4"/>
    <w:rsid w:val="00A30200"/>
    <w:rsid w:val="00A3038E"/>
    <w:rsid w:val="00A30C23"/>
    <w:rsid w:val="00A31361"/>
    <w:rsid w:val="00A31DA2"/>
    <w:rsid w:val="00A32657"/>
    <w:rsid w:val="00A32D58"/>
    <w:rsid w:val="00A33165"/>
    <w:rsid w:val="00A33975"/>
    <w:rsid w:val="00A34B4B"/>
    <w:rsid w:val="00A358FE"/>
    <w:rsid w:val="00A35A89"/>
    <w:rsid w:val="00A35F50"/>
    <w:rsid w:val="00A36146"/>
    <w:rsid w:val="00A364B8"/>
    <w:rsid w:val="00A3720B"/>
    <w:rsid w:val="00A373C5"/>
    <w:rsid w:val="00A37452"/>
    <w:rsid w:val="00A40379"/>
    <w:rsid w:val="00A40439"/>
    <w:rsid w:val="00A40962"/>
    <w:rsid w:val="00A41A9B"/>
    <w:rsid w:val="00A41D7F"/>
    <w:rsid w:val="00A42219"/>
    <w:rsid w:val="00A42A10"/>
    <w:rsid w:val="00A43A24"/>
    <w:rsid w:val="00A4407C"/>
    <w:rsid w:val="00A447BF"/>
    <w:rsid w:val="00A449F1"/>
    <w:rsid w:val="00A46281"/>
    <w:rsid w:val="00A46AD3"/>
    <w:rsid w:val="00A47165"/>
    <w:rsid w:val="00A4719C"/>
    <w:rsid w:val="00A4724D"/>
    <w:rsid w:val="00A472B0"/>
    <w:rsid w:val="00A474AF"/>
    <w:rsid w:val="00A47A18"/>
    <w:rsid w:val="00A5053A"/>
    <w:rsid w:val="00A506BB"/>
    <w:rsid w:val="00A5111E"/>
    <w:rsid w:val="00A51384"/>
    <w:rsid w:val="00A51F00"/>
    <w:rsid w:val="00A536C9"/>
    <w:rsid w:val="00A537EB"/>
    <w:rsid w:val="00A53B42"/>
    <w:rsid w:val="00A54CCC"/>
    <w:rsid w:val="00A54DD6"/>
    <w:rsid w:val="00A561FC"/>
    <w:rsid w:val="00A565A3"/>
    <w:rsid w:val="00A56AFC"/>
    <w:rsid w:val="00A56D54"/>
    <w:rsid w:val="00A57ACA"/>
    <w:rsid w:val="00A60EBD"/>
    <w:rsid w:val="00A613F6"/>
    <w:rsid w:val="00A62531"/>
    <w:rsid w:val="00A62AB4"/>
    <w:rsid w:val="00A64730"/>
    <w:rsid w:val="00A6586E"/>
    <w:rsid w:val="00A66A12"/>
    <w:rsid w:val="00A6707D"/>
    <w:rsid w:val="00A67451"/>
    <w:rsid w:val="00A700DA"/>
    <w:rsid w:val="00A70351"/>
    <w:rsid w:val="00A705AB"/>
    <w:rsid w:val="00A708FD"/>
    <w:rsid w:val="00A72821"/>
    <w:rsid w:val="00A7286D"/>
    <w:rsid w:val="00A737A2"/>
    <w:rsid w:val="00A73A76"/>
    <w:rsid w:val="00A73C65"/>
    <w:rsid w:val="00A73ED8"/>
    <w:rsid w:val="00A74886"/>
    <w:rsid w:val="00A74A9B"/>
    <w:rsid w:val="00A74AB9"/>
    <w:rsid w:val="00A7526E"/>
    <w:rsid w:val="00A75885"/>
    <w:rsid w:val="00A76164"/>
    <w:rsid w:val="00A76411"/>
    <w:rsid w:val="00A76C42"/>
    <w:rsid w:val="00A76EBF"/>
    <w:rsid w:val="00A77A68"/>
    <w:rsid w:val="00A77FE6"/>
    <w:rsid w:val="00A80040"/>
    <w:rsid w:val="00A803E3"/>
    <w:rsid w:val="00A809CC"/>
    <w:rsid w:val="00A80D41"/>
    <w:rsid w:val="00A81667"/>
    <w:rsid w:val="00A816D5"/>
    <w:rsid w:val="00A81BBA"/>
    <w:rsid w:val="00A81C6F"/>
    <w:rsid w:val="00A82071"/>
    <w:rsid w:val="00A821AF"/>
    <w:rsid w:val="00A828BA"/>
    <w:rsid w:val="00A82918"/>
    <w:rsid w:val="00A83328"/>
    <w:rsid w:val="00A844DF"/>
    <w:rsid w:val="00A845A4"/>
    <w:rsid w:val="00A845C1"/>
    <w:rsid w:val="00A846EA"/>
    <w:rsid w:val="00A84F6E"/>
    <w:rsid w:val="00A85E89"/>
    <w:rsid w:val="00A86066"/>
    <w:rsid w:val="00A8638F"/>
    <w:rsid w:val="00A864A7"/>
    <w:rsid w:val="00A879AA"/>
    <w:rsid w:val="00A90EB2"/>
    <w:rsid w:val="00A91646"/>
    <w:rsid w:val="00A91E50"/>
    <w:rsid w:val="00A9269B"/>
    <w:rsid w:val="00A927FD"/>
    <w:rsid w:val="00A92EB7"/>
    <w:rsid w:val="00A92FC8"/>
    <w:rsid w:val="00A93763"/>
    <w:rsid w:val="00A93BD8"/>
    <w:rsid w:val="00A93F46"/>
    <w:rsid w:val="00A947CF"/>
    <w:rsid w:val="00A94A38"/>
    <w:rsid w:val="00A95984"/>
    <w:rsid w:val="00A95AB3"/>
    <w:rsid w:val="00A96330"/>
    <w:rsid w:val="00A96339"/>
    <w:rsid w:val="00A96424"/>
    <w:rsid w:val="00A97621"/>
    <w:rsid w:val="00AA003B"/>
    <w:rsid w:val="00AA053D"/>
    <w:rsid w:val="00AA1723"/>
    <w:rsid w:val="00AA176D"/>
    <w:rsid w:val="00AA2373"/>
    <w:rsid w:val="00AA37B8"/>
    <w:rsid w:val="00AA383F"/>
    <w:rsid w:val="00AA3E4B"/>
    <w:rsid w:val="00AA4EB6"/>
    <w:rsid w:val="00AA5055"/>
    <w:rsid w:val="00AA587A"/>
    <w:rsid w:val="00AA5CF3"/>
    <w:rsid w:val="00AA641A"/>
    <w:rsid w:val="00AA6CF2"/>
    <w:rsid w:val="00AA7FD4"/>
    <w:rsid w:val="00AB0E4F"/>
    <w:rsid w:val="00AB11B6"/>
    <w:rsid w:val="00AB1F4C"/>
    <w:rsid w:val="00AB20AC"/>
    <w:rsid w:val="00AB25EF"/>
    <w:rsid w:val="00AB39EA"/>
    <w:rsid w:val="00AB3A6B"/>
    <w:rsid w:val="00AB3ED2"/>
    <w:rsid w:val="00AB51C6"/>
    <w:rsid w:val="00AB55E3"/>
    <w:rsid w:val="00AB5604"/>
    <w:rsid w:val="00AB5996"/>
    <w:rsid w:val="00AB5DB4"/>
    <w:rsid w:val="00AB67C8"/>
    <w:rsid w:val="00AB6A82"/>
    <w:rsid w:val="00AB6B5E"/>
    <w:rsid w:val="00AB70EB"/>
    <w:rsid w:val="00AB7139"/>
    <w:rsid w:val="00AB7851"/>
    <w:rsid w:val="00AB7BFD"/>
    <w:rsid w:val="00AB7C78"/>
    <w:rsid w:val="00AC0637"/>
    <w:rsid w:val="00AC11DF"/>
    <w:rsid w:val="00AC1557"/>
    <w:rsid w:val="00AC1C01"/>
    <w:rsid w:val="00AC1EE3"/>
    <w:rsid w:val="00AC2742"/>
    <w:rsid w:val="00AC3163"/>
    <w:rsid w:val="00AC34AC"/>
    <w:rsid w:val="00AC361E"/>
    <w:rsid w:val="00AC3D3F"/>
    <w:rsid w:val="00AC3E51"/>
    <w:rsid w:val="00AC49C9"/>
    <w:rsid w:val="00AC5260"/>
    <w:rsid w:val="00AC698E"/>
    <w:rsid w:val="00AC70B1"/>
    <w:rsid w:val="00AC772C"/>
    <w:rsid w:val="00AC79B9"/>
    <w:rsid w:val="00AD053E"/>
    <w:rsid w:val="00AD073E"/>
    <w:rsid w:val="00AD083F"/>
    <w:rsid w:val="00AD09BD"/>
    <w:rsid w:val="00AD09DE"/>
    <w:rsid w:val="00AD1248"/>
    <w:rsid w:val="00AD144C"/>
    <w:rsid w:val="00AD2C56"/>
    <w:rsid w:val="00AD2E89"/>
    <w:rsid w:val="00AD4ECD"/>
    <w:rsid w:val="00AD69B8"/>
    <w:rsid w:val="00AD6D23"/>
    <w:rsid w:val="00AD6D48"/>
    <w:rsid w:val="00AD7292"/>
    <w:rsid w:val="00AD7656"/>
    <w:rsid w:val="00AE01CB"/>
    <w:rsid w:val="00AE09EF"/>
    <w:rsid w:val="00AE0B21"/>
    <w:rsid w:val="00AE0DC7"/>
    <w:rsid w:val="00AE1E20"/>
    <w:rsid w:val="00AE3A7C"/>
    <w:rsid w:val="00AE3B5C"/>
    <w:rsid w:val="00AE3C05"/>
    <w:rsid w:val="00AE4612"/>
    <w:rsid w:val="00AE4EEB"/>
    <w:rsid w:val="00AE50B4"/>
    <w:rsid w:val="00AE519C"/>
    <w:rsid w:val="00AE53E2"/>
    <w:rsid w:val="00AE5D6C"/>
    <w:rsid w:val="00AE67DC"/>
    <w:rsid w:val="00AE68DA"/>
    <w:rsid w:val="00AE6927"/>
    <w:rsid w:val="00AE6A5A"/>
    <w:rsid w:val="00AE6D35"/>
    <w:rsid w:val="00AE7815"/>
    <w:rsid w:val="00AE7B69"/>
    <w:rsid w:val="00AE7E49"/>
    <w:rsid w:val="00AF01A3"/>
    <w:rsid w:val="00AF0592"/>
    <w:rsid w:val="00AF0A13"/>
    <w:rsid w:val="00AF0CF8"/>
    <w:rsid w:val="00AF2EF3"/>
    <w:rsid w:val="00AF41F1"/>
    <w:rsid w:val="00AF46BB"/>
    <w:rsid w:val="00AF4C51"/>
    <w:rsid w:val="00AF5257"/>
    <w:rsid w:val="00AF5366"/>
    <w:rsid w:val="00AF54B2"/>
    <w:rsid w:val="00AF5894"/>
    <w:rsid w:val="00AF625F"/>
    <w:rsid w:val="00B007D5"/>
    <w:rsid w:val="00B00CB5"/>
    <w:rsid w:val="00B01511"/>
    <w:rsid w:val="00B01CDD"/>
    <w:rsid w:val="00B02440"/>
    <w:rsid w:val="00B02D2B"/>
    <w:rsid w:val="00B03626"/>
    <w:rsid w:val="00B054C6"/>
    <w:rsid w:val="00B05E21"/>
    <w:rsid w:val="00B0603E"/>
    <w:rsid w:val="00B065D0"/>
    <w:rsid w:val="00B073ED"/>
    <w:rsid w:val="00B1012E"/>
    <w:rsid w:val="00B10BE7"/>
    <w:rsid w:val="00B110CC"/>
    <w:rsid w:val="00B11564"/>
    <w:rsid w:val="00B11789"/>
    <w:rsid w:val="00B119A7"/>
    <w:rsid w:val="00B11CEA"/>
    <w:rsid w:val="00B1255B"/>
    <w:rsid w:val="00B1270F"/>
    <w:rsid w:val="00B12754"/>
    <w:rsid w:val="00B13204"/>
    <w:rsid w:val="00B13B20"/>
    <w:rsid w:val="00B14E1C"/>
    <w:rsid w:val="00B14F0C"/>
    <w:rsid w:val="00B155C9"/>
    <w:rsid w:val="00B158F2"/>
    <w:rsid w:val="00B160A9"/>
    <w:rsid w:val="00B16A25"/>
    <w:rsid w:val="00B20237"/>
    <w:rsid w:val="00B214B9"/>
    <w:rsid w:val="00B21656"/>
    <w:rsid w:val="00B223BA"/>
    <w:rsid w:val="00B227B7"/>
    <w:rsid w:val="00B23152"/>
    <w:rsid w:val="00B2327C"/>
    <w:rsid w:val="00B23E4A"/>
    <w:rsid w:val="00B25054"/>
    <w:rsid w:val="00B255D3"/>
    <w:rsid w:val="00B26009"/>
    <w:rsid w:val="00B26813"/>
    <w:rsid w:val="00B2694B"/>
    <w:rsid w:val="00B2739E"/>
    <w:rsid w:val="00B27EE6"/>
    <w:rsid w:val="00B30765"/>
    <w:rsid w:val="00B308F5"/>
    <w:rsid w:val="00B328DE"/>
    <w:rsid w:val="00B32F48"/>
    <w:rsid w:val="00B3396F"/>
    <w:rsid w:val="00B33C79"/>
    <w:rsid w:val="00B344B7"/>
    <w:rsid w:val="00B3456F"/>
    <w:rsid w:val="00B365DE"/>
    <w:rsid w:val="00B367BB"/>
    <w:rsid w:val="00B36B08"/>
    <w:rsid w:val="00B37161"/>
    <w:rsid w:val="00B3728D"/>
    <w:rsid w:val="00B4037C"/>
    <w:rsid w:val="00B4057F"/>
    <w:rsid w:val="00B4090F"/>
    <w:rsid w:val="00B40B66"/>
    <w:rsid w:val="00B410F8"/>
    <w:rsid w:val="00B4164A"/>
    <w:rsid w:val="00B41BC9"/>
    <w:rsid w:val="00B42689"/>
    <w:rsid w:val="00B42759"/>
    <w:rsid w:val="00B43FE7"/>
    <w:rsid w:val="00B4510E"/>
    <w:rsid w:val="00B458C6"/>
    <w:rsid w:val="00B464DD"/>
    <w:rsid w:val="00B46A25"/>
    <w:rsid w:val="00B47FD3"/>
    <w:rsid w:val="00B50542"/>
    <w:rsid w:val="00B50A65"/>
    <w:rsid w:val="00B50F4A"/>
    <w:rsid w:val="00B51296"/>
    <w:rsid w:val="00B51545"/>
    <w:rsid w:val="00B5157B"/>
    <w:rsid w:val="00B5168A"/>
    <w:rsid w:val="00B51F03"/>
    <w:rsid w:val="00B52127"/>
    <w:rsid w:val="00B52D3C"/>
    <w:rsid w:val="00B52F4E"/>
    <w:rsid w:val="00B545A7"/>
    <w:rsid w:val="00B554FD"/>
    <w:rsid w:val="00B563FA"/>
    <w:rsid w:val="00B56C6C"/>
    <w:rsid w:val="00B576E9"/>
    <w:rsid w:val="00B57733"/>
    <w:rsid w:val="00B607DE"/>
    <w:rsid w:val="00B60888"/>
    <w:rsid w:val="00B60DCE"/>
    <w:rsid w:val="00B61092"/>
    <w:rsid w:val="00B617D8"/>
    <w:rsid w:val="00B62A4F"/>
    <w:rsid w:val="00B6385A"/>
    <w:rsid w:val="00B63DBE"/>
    <w:rsid w:val="00B63F8F"/>
    <w:rsid w:val="00B646BB"/>
    <w:rsid w:val="00B64E3A"/>
    <w:rsid w:val="00B64F1C"/>
    <w:rsid w:val="00B651C8"/>
    <w:rsid w:val="00B65AD9"/>
    <w:rsid w:val="00B6699B"/>
    <w:rsid w:val="00B66C23"/>
    <w:rsid w:val="00B66D3C"/>
    <w:rsid w:val="00B670E6"/>
    <w:rsid w:val="00B673DC"/>
    <w:rsid w:val="00B70AFF"/>
    <w:rsid w:val="00B711C0"/>
    <w:rsid w:val="00B71F33"/>
    <w:rsid w:val="00B733BB"/>
    <w:rsid w:val="00B7422D"/>
    <w:rsid w:val="00B7496F"/>
    <w:rsid w:val="00B75097"/>
    <w:rsid w:val="00B7573B"/>
    <w:rsid w:val="00B7598A"/>
    <w:rsid w:val="00B75DC8"/>
    <w:rsid w:val="00B7651F"/>
    <w:rsid w:val="00B766E3"/>
    <w:rsid w:val="00B768A7"/>
    <w:rsid w:val="00B7737C"/>
    <w:rsid w:val="00B77BC1"/>
    <w:rsid w:val="00B80523"/>
    <w:rsid w:val="00B8174E"/>
    <w:rsid w:val="00B81FC2"/>
    <w:rsid w:val="00B8260B"/>
    <w:rsid w:val="00B82671"/>
    <w:rsid w:val="00B82F74"/>
    <w:rsid w:val="00B830BF"/>
    <w:rsid w:val="00B830F6"/>
    <w:rsid w:val="00B836FB"/>
    <w:rsid w:val="00B84288"/>
    <w:rsid w:val="00B850B8"/>
    <w:rsid w:val="00B86FB2"/>
    <w:rsid w:val="00B87807"/>
    <w:rsid w:val="00B87D96"/>
    <w:rsid w:val="00B902AB"/>
    <w:rsid w:val="00B90B24"/>
    <w:rsid w:val="00B90D9F"/>
    <w:rsid w:val="00B91EB4"/>
    <w:rsid w:val="00B92593"/>
    <w:rsid w:val="00B92CA5"/>
    <w:rsid w:val="00B933B6"/>
    <w:rsid w:val="00B936A2"/>
    <w:rsid w:val="00B93C7C"/>
    <w:rsid w:val="00B94801"/>
    <w:rsid w:val="00B9741F"/>
    <w:rsid w:val="00B97570"/>
    <w:rsid w:val="00B9770A"/>
    <w:rsid w:val="00B97C72"/>
    <w:rsid w:val="00B97C7E"/>
    <w:rsid w:val="00BA0668"/>
    <w:rsid w:val="00BA0A74"/>
    <w:rsid w:val="00BA107B"/>
    <w:rsid w:val="00BA1431"/>
    <w:rsid w:val="00BA1D67"/>
    <w:rsid w:val="00BA26C5"/>
    <w:rsid w:val="00BA3555"/>
    <w:rsid w:val="00BA39DD"/>
    <w:rsid w:val="00BA3BDE"/>
    <w:rsid w:val="00BA4A2C"/>
    <w:rsid w:val="00BA59F0"/>
    <w:rsid w:val="00BA5A12"/>
    <w:rsid w:val="00BA6341"/>
    <w:rsid w:val="00BA6A14"/>
    <w:rsid w:val="00BA723C"/>
    <w:rsid w:val="00BB17D0"/>
    <w:rsid w:val="00BB245D"/>
    <w:rsid w:val="00BB2E6E"/>
    <w:rsid w:val="00BB358F"/>
    <w:rsid w:val="00BB3A2A"/>
    <w:rsid w:val="00BB456A"/>
    <w:rsid w:val="00BB48C8"/>
    <w:rsid w:val="00BB49A2"/>
    <w:rsid w:val="00BB4F51"/>
    <w:rsid w:val="00BB4F69"/>
    <w:rsid w:val="00BB50A7"/>
    <w:rsid w:val="00BB514B"/>
    <w:rsid w:val="00BB56B0"/>
    <w:rsid w:val="00BB58BF"/>
    <w:rsid w:val="00BB59F6"/>
    <w:rsid w:val="00BB5CE2"/>
    <w:rsid w:val="00BB6008"/>
    <w:rsid w:val="00BB6439"/>
    <w:rsid w:val="00BB663E"/>
    <w:rsid w:val="00BB70E2"/>
    <w:rsid w:val="00BB72C6"/>
    <w:rsid w:val="00BB7AC3"/>
    <w:rsid w:val="00BC0040"/>
    <w:rsid w:val="00BC0409"/>
    <w:rsid w:val="00BC0CD5"/>
    <w:rsid w:val="00BC10CF"/>
    <w:rsid w:val="00BC1458"/>
    <w:rsid w:val="00BC15CD"/>
    <w:rsid w:val="00BC19CD"/>
    <w:rsid w:val="00BC2F42"/>
    <w:rsid w:val="00BC34FC"/>
    <w:rsid w:val="00BC3545"/>
    <w:rsid w:val="00BC3F41"/>
    <w:rsid w:val="00BC3FA2"/>
    <w:rsid w:val="00BC49D0"/>
    <w:rsid w:val="00BC4A0C"/>
    <w:rsid w:val="00BC4AE9"/>
    <w:rsid w:val="00BC4F39"/>
    <w:rsid w:val="00BC500C"/>
    <w:rsid w:val="00BC557E"/>
    <w:rsid w:val="00BC6733"/>
    <w:rsid w:val="00BC7D06"/>
    <w:rsid w:val="00BC7F12"/>
    <w:rsid w:val="00BD03CD"/>
    <w:rsid w:val="00BD0624"/>
    <w:rsid w:val="00BD1AD7"/>
    <w:rsid w:val="00BD305B"/>
    <w:rsid w:val="00BD30F0"/>
    <w:rsid w:val="00BD33A6"/>
    <w:rsid w:val="00BD33CF"/>
    <w:rsid w:val="00BD369D"/>
    <w:rsid w:val="00BD396F"/>
    <w:rsid w:val="00BD45E1"/>
    <w:rsid w:val="00BD5422"/>
    <w:rsid w:val="00BD5583"/>
    <w:rsid w:val="00BD56A8"/>
    <w:rsid w:val="00BD58D1"/>
    <w:rsid w:val="00BD59DB"/>
    <w:rsid w:val="00BD60E6"/>
    <w:rsid w:val="00BD6542"/>
    <w:rsid w:val="00BD6E50"/>
    <w:rsid w:val="00BD7779"/>
    <w:rsid w:val="00BD79E4"/>
    <w:rsid w:val="00BE019F"/>
    <w:rsid w:val="00BE0A7B"/>
    <w:rsid w:val="00BE0AE2"/>
    <w:rsid w:val="00BE14F4"/>
    <w:rsid w:val="00BE1741"/>
    <w:rsid w:val="00BE18AB"/>
    <w:rsid w:val="00BE21A9"/>
    <w:rsid w:val="00BE2477"/>
    <w:rsid w:val="00BE2C94"/>
    <w:rsid w:val="00BE2DD2"/>
    <w:rsid w:val="00BE351D"/>
    <w:rsid w:val="00BE35FE"/>
    <w:rsid w:val="00BE4F55"/>
    <w:rsid w:val="00BE5376"/>
    <w:rsid w:val="00BE5DF5"/>
    <w:rsid w:val="00BE6A47"/>
    <w:rsid w:val="00BE6CE3"/>
    <w:rsid w:val="00BE724E"/>
    <w:rsid w:val="00BE734D"/>
    <w:rsid w:val="00BF0540"/>
    <w:rsid w:val="00BF0560"/>
    <w:rsid w:val="00BF0598"/>
    <w:rsid w:val="00BF07C5"/>
    <w:rsid w:val="00BF0CD7"/>
    <w:rsid w:val="00BF1128"/>
    <w:rsid w:val="00BF1668"/>
    <w:rsid w:val="00BF1802"/>
    <w:rsid w:val="00BF1B54"/>
    <w:rsid w:val="00BF1EC6"/>
    <w:rsid w:val="00BF3368"/>
    <w:rsid w:val="00BF3BCF"/>
    <w:rsid w:val="00BF4D67"/>
    <w:rsid w:val="00BF51C0"/>
    <w:rsid w:val="00BF5C46"/>
    <w:rsid w:val="00BF701F"/>
    <w:rsid w:val="00BF7B42"/>
    <w:rsid w:val="00BF7EA8"/>
    <w:rsid w:val="00C00D11"/>
    <w:rsid w:val="00C00E98"/>
    <w:rsid w:val="00C01919"/>
    <w:rsid w:val="00C01BC8"/>
    <w:rsid w:val="00C03235"/>
    <w:rsid w:val="00C05ED5"/>
    <w:rsid w:val="00C06E40"/>
    <w:rsid w:val="00C07649"/>
    <w:rsid w:val="00C10A47"/>
    <w:rsid w:val="00C11C7C"/>
    <w:rsid w:val="00C12005"/>
    <w:rsid w:val="00C122E7"/>
    <w:rsid w:val="00C1243C"/>
    <w:rsid w:val="00C125DC"/>
    <w:rsid w:val="00C12E61"/>
    <w:rsid w:val="00C13078"/>
    <w:rsid w:val="00C133C9"/>
    <w:rsid w:val="00C13B55"/>
    <w:rsid w:val="00C13E46"/>
    <w:rsid w:val="00C14121"/>
    <w:rsid w:val="00C1554B"/>
    <w:rsid w:val="00C158C0"/>
    <w:rsid w:val="00C15A1A"/>
    <w:rsid w:val="00C15DF9"/>
    <w:rsid w:val="00C15F31"/>
    <w:rsid w:val="00C16054"/>
    <w:rsid w:val="00C162B0"/>
    <w:rsid w:val="00C16799"/>
    <w:rsid w:val="00C16997"/>
    <w:rsid w:val="00C16D54"/>
    <w:rsid w:val="00C177B0"/>
    <w:rsid w:val="00C17998"/>
    <w:rsid w:val="00C201D9"/>
    <w:rsid w:val="00C208DE"/>
    <w:rsid w:val="00C20B89"/>
    <w:rsid w:val="00C20FC8"/>
    <w:rsid w:val="00C210D1"/>
    <w:rsid w:val="00C217F4"/>
    <w:rsid w:val="00C221BF"/>
    <w:rsid w:val="00C2266C"/>
    <w:rsid w:val="00C227EC"/>
    <w:rsid w:val="00C22C50"/>
    <w:rsid w:val="00C24283"/>
    <w:rsid w:val="00C24ADA"/>
    <w:rsid w:val="00C25162"/>
    <w:rsid w:val="00C2546C"/>
    <w:rsid w:val="00C263D5"/>
    <w:rsid w:val="00C267B7"/>
    <w:rsid w:val="00C26EA7"/>
    <w:rsid w:val="00C313EA"/>
    <w:rsid w:val="00C31698"/>
    <w:rsid w:val="00C318B0"/>
    <w:rsid w:val="00C32650"/>
    <w:rsid w:val="00C329DF"/>
    <w:rsid w:val="00C33935"/>
    <w:rsid w:val="00C33CBB"/>
    <w:rsid w:val="00C34B84"/>
    <w:rsid w:val="00C34CC1"/>
    <w:rsid w:val="00C3598B"/>
    <w:rsid w:val="00C35A2B"/>
    <w:rsid w:val="00C3638A"/>
    <w:rsid w:val="00C3677A"/>
    <w:rsid w:val="00C3724D"/>
    <w:rsid w:val="00C37C7A"/>
    <w:rsid w:val="00C37EB9"/>
    <w:rsid w:val="00C408B3"/>
    <w:rsid w:val="00C40BA9"/>
    <w:rsid w:val="00C40E6D"/>
    <w:rsid w:val="00C415BC"/>
    <w:rsid w:val="00C415DE"/>
    <w:rsid w:val="00C41C56"/>
    <w:rsid w:val="00C42395"/>
    <w:rsid w:val="00C42C0E"/>
    <w:rsid w:val="00C42E9E"/>
    <w:rsid w:val="00C42F4A"/>
    <w:rsid w:val="00C43159"/>
    <w:rsid w:val="00C434D3"/>
    <w:rsid w:val="00C43A5D"/>
    <w:rsid w:val="00C44197"/>
    <w:rsid w:val="00C4454F"/>
    <w:rsid w:val="00C446C0"/>
    <w:rsid w:val="00C449C1"/>
    <w:rsid w:val="00C44CB4"/>
    <w:rsid w:val="00C45FF5"/>
    <w:rsid w:val="00C463E6"/>
    <w:rsid w:val="00C4667B"/>
    <w:rsid w:val="00C46C0E"/>
    <w:rsid w:val="00C47B96"/>
    <w:rsid w:val="00C50752"/>
    <w:rsid w:val="00C50F2E"/>
    <w:rsid w:val="00C510A7"/>
    <w:rsid w:val="00C5161D"/>
    <w:rsid w:val="00C51B0B"/>
    <w:rsid w:val="00C51B11"/>
    <w:rsid w:val="00C51BA7"/>
    <w:rsid w:val="00C524EE"/>
    <w:rsid w:val="00C527C4"/>
    <w:rsid w:val="00C52A2E"/>
    <w:rsid w:val="00C534CD"/>
    <w:rsid w:val="00C544B6"/>
    <w:rsid w:val="00C54A4F"/>
    <w:rsid w:val="00C56BB2"/>
    <w:rsid w:val="00C57383"/>
    <w:rsid w:val="00C57DCB"/>
    <w:rsid w:val="00C606CF"/>
    <w:rsid w:val="00C60834"/>
    <w:rsid w:val="00C60ADD"/>
    <w:rsid w:val="00C61165"/>
    <w:rsid w:val="00C61D56"/>
    <w:rsid w:val="00C62460"/>
    <w:rsid w:val="00C62613"/>
    <w:rsid w:val="00C64135"/>
    <w:rsid w:val="00C6513A"/>
    <w:rsid w:val="00C65303"/>
    <w:rsid w:val="00C65EB6"/>
    <w:rsid w:val="00C6693C"/>
    <w:rsid w:val="00C66A91"/>
    <w:rsid w:val="00C6739D"/>
    <w:rsid w:val="00C70D48"/>
    <w:rsid w:val="00C71339"/>
    <w:rsid w:val="00C713BB"/>
    <w:rsid w:val="00C71654"/>
    <w:rsid w:val="00C72575"/>
    <w:rsid w:val="00C728CE"/>
    <w:rsid w:val="00C72FEF"/>
    <w:rsid w:val="00C73AA6"/>
    <w:rsid w:val="00C73BDE"/>
    <w:rsid w:val="00C7483E"/>
    <w:rsid w:val="00C74F45"/>
    <w:rsid w:val="00C75408"/>
    <w:rsid w:val="00C766B3"/>
    <w:rsid w:val="00C76A9D"/>
    <w:rsid w:val="00C771C3"/>
    <w:rsid w:val="00C7728D"/>
    <w:rsid w:val="00C77A77"/>
    <w:rsid w:val="00C77B8C"/>
    <w:rsid w:val="00C820B5"/>
    <w:rsid w:val="00C82C30"/>
    <w:rsid w:val="00C82EC6"/>
    <w:rsid w:val="00C843D8"/>
    <w:rsid w:val="00C8442F"/>
    <w:rsid w:val="00C8479C"/>
    <w:rsid w:val="00C84AEF"/>
    <w:rsid w:val="00C84C41"/>
    <w:rsid w:val="00C84D85"/>
    <w:rsid w:val="00C86072"/>
    <w:rsid w:val="00C862F6"/>
    <w:rsid w:val="00C86905"/>
    <w:rsid w:val="00C87A6F"/>
    <w:rsid w:val="00C87D78"/>
    <w:rsid w:val="00C87EAD"/>
    <w:rsid w:val="00C90991"/>
    <w:rsid w:val="00C90A53"/>
    <w:rsid w:val="00C9137D"/>
    <w:rsid w:val="00C915A0"/>
    <w:rsid w:val="00C91869"/>
    <w:rsid w:val="00C922CA"/>
    <w:rsid w:val="00C92CA7"/>
    <w:rsid w:val="00C92D76"/>
    <w:rsid w:val="00C94D49"/>
    <w:rsid w:val="00C95E66"/>
    <w:rsid w:val="00C962BE"/>
    <w:rsid w:val="00C97142"/>
    <w:rsid w:val="00CA0BA5"/>
    <w:rsid w:val="00CA14B8"/>
    <w:rsid w:val="00CA1F2C"/>
    <w:rsid w:val="00CA1F6D"/>
    <w:rsid w:val="00CA25BA"/>
    <w:rsid w:val="00CA3705"/>
    <w:rsid w:val="00CA4EBA"/>
    <w:rsid w:val="00CA4F4C"/>
    <w:rsid w:val="00CA532A"/>
    <w:rsid w:val="00CA561B"/>
    <w:rsid w:val="00CA60B9"/>
    <w:rsid w:val="00CA60F1"/>
    <w:rsid w:val="00CA6297"/>
    <w:rsid w:val="00CA6DDD"/>
    <w:rsid w:val="00CA713D"/>
    <w:rsid w:val="00CA7607"/>
    <w:rsid w:val="00CB02FC"/>
    <w:rsid w:val="00CB0FD4"/>
    <w:rsid w:val="00CB17A9"/>
    <w:rsid w:val="00CB1E2C"/>
    <w:rsid w:val="00CB25CA"/>
    <w:rsid w:val="00CB3746"/>
    <w:rsid w:val="00CB3861"/>
    <w:rsid w:val="00CB3D97"/>
    <w:rsid w:val="00CB43C5"/>
    <w:rsid w:val="00CB4CE6"/>
    <w:rsid w:val="00CB5C4F"/>
    <w:rsid w:val="00CB63F3"/>
    <w:rsid w:val="00CB6423"/>
    <w:rsid w:val="00CB6AA6"/>
    <w:rsid w:val="00CB7234"/>
    <w:rsid w:val="00CB72E3"/>
    <w:rsid w:val="00CB73A2"/>
    <w:rsid w:val="00CB73C1"/>
    <w:rsid w:val="00CB78AA"/>
    <w:rsid w:val="00CC0C02"/>
    <w:rsid w:val="00CC14E0"/>
    <w:rsid w:val="00CC220E"/>
    <w:rsid w:val="00CC2211"/>
    <w:rsid w:val="00CC3277"/>
    <w:rsid w:val="00CC35F2"/>
    <w:rsid w:val="00CC3E58"/>
    <w:rsid w:val="00CC4F92"/>
    <w:rsid w:val="00CC58CE"/>
    <w:rsid w:val="00CC631A"/>
    <w:rsid w:val="00CC7160"/>
    <w:rsid w:val="00CC7A44"/>
    <w:rsid w:val="00CD0651"/>
    <w:rsid w:val="00CD0831"/>
    <w:rsid w:val="00CD0BB2"/>
    <w:rsid w:val="00CD1394"/>
    <w:rsid w:val="00CD24C5"/>
    <w:rsid w:val="00CD3B9A"/>
    <w:rsid w:val="00CD429D"/>
    <w:rsid w:val="00CD4761"/>
    <w:rsid w:val="00CD5198"/>
    <w:rsid w:val="00CD5283"/>
    <w:rsid w:val="00CD547A"/>
    <w:rsid w:val="00CD5DB4"/>
    <w:rsid w:val="00CD626B"/>
    <w:rsid w:val="00CD657D"/>
    <w:rsid w:val="00CD66DE"/>
    <w:rsid w:val="00CD68B3"/>
    <w:rsid w:val="00CD78DC"/>
    <w:rsid w:val="00CD79CD"/>
    <w:rsid w:val="00CD7C6D"/>
    <w:rsid w:val="00CE0419"/>
    <w:rsid w:val="00CE05CF"/>
    <w:rsid w:val="00CE0640"/>
    <w:rsid w:val="00CE07C9"/>
    <w:rsid w:val="00CE1162"/>
    <w:rsid w:val="00CE175D"/>
    <w:rsid w:val="00CE19C4"/>
    <w:rsid w:val="00CE37B7"/>
    <w:rsid w:val="00CE40D1"/>
    <w:rsid w:val="00CE465F"/>
    <w:rsid w:val="00CE4B1C"/>
    <w:rsid w:val="00CE5114"/>
    <w:rsid w:val="00CE5182"/>
    <w:rsid w:val="00CE54EB"/>
    <w:rsid w:val="00CE57B5"/>
    <w:rsid w:val="00CE6186"/>
    <w:rsid w:val="00CE77B1"/>
    <w:rsid w:val="00CF09D8"/>
    <w:rsid w:val="00CF1108"/>
    <w:rsid w:val="00CF18EC"/>
    <w:rsid w:val="00CF1AC7"/>
    <w:rsid w:val="00CF1C50"/>
    <w:rsid w:val="00CF1DBD"/>
    <w:rsid w:val="00CF204E"/>
    <w:rsid w:val="00CF2635"/>
    <w:rsid w:val="00CF2956"/>
    <w:rsid w:val="00CF3758"/>
    <w:rsid w:val="00CF391E"/>
    <w:rsid w:val="00CF3FBE"/>
    <w:rsid w:val="00CF3FC9"/>
    <w:rsid w:val="00CF454D"/>
    <w:rsid w:val="00CF4551"/>
    <w:rsid w:val="00CF459F"/>
    <w:rsid w:val="00CF5297"/>
    <w:rsid w:val="00CF5410"/>
    <w:rsid w:val="00CF577E"/>
    <w:rsid w:val="00CF65B9"/>
    <w:rsid w:val="00CF6DA3"/>
    <w:rsid w:val="00CF6E2F"/>
    <w:rsid w:val="00CF71A1"/>
    <w:rsid w:val="00CF73C6"/>
    <w:rsid w:val="00CF7DA6"/>
    <w:rsid w:val="00D01630"/>
    <w:rsid w:val="00D017EF"/>
    <w:rsid w:val="00D0218E"/>
    <w:rsid w:val="00D0220D"/>
    <w:rsid w:val="00D035B2"/>
    <w:rsid w:val="00D03D9E"/>
    <w:rsid w:val="00D04361"/>
    <w:rsid w:val="00D04899"/>
    <w:rsid w:val="00D0618B"/>
    <w:rsid w:val="00D06D52"/>
    <w:rsid w:val="00D078FD"/>
    <w:rsid w:val="00D07C1B"/>
    <w:rsid w:val="00D07E05"/>
    <w:rsid w:val="00D10E59"/>
    <w:rsid w:val="00D11021"/>
    <w:rsid w:val="00D11388"/>
    <w:rsid w:val="00D119E9"/>
    <w:rsid w:val="00D128C2"/>
    <w:rsid w:val="00D145ED"/>
    <w:rsid w:val="00D147D3"/>
    <w:rsid w:val="00D152B6"/>
    <w:rsid w:val="00D16253"/>
    <w:rsid w:val="00D164EE"/>
    <w:rsid w:val="00D17121"/>
    <w:rsid w:val="00D17639"/>
    <w:rsid w:val="00D204CA"/>
    <w:rsid w:val="00D208ED"/>
    <w:rsid w:val="00D20F4B"/>
    <w:rsid w:val="00D20FA1"/>
    <w:rsid w:val="00D20FDB"/>
    <w:rsid w:val="00D211F9"/>
    <w:rsid w:val="00D2170E"/>
    <w:rsid w:val="00D221D9"/>
    <w:rsid w:val="00D22C65"/>
    <w:rsid w:val="00D22F95"/>
    <w:rsid w:val="00D23283"/>
    <w:rsid w:val="00D233FE"/>
    <w:rsid w:val="00D242A3"/>
    <w:rsid w:val="00D245BD"/>
    <w:rsid w:val="00D24822"/>
    <w:rsid w:val="00D266CC"/>
    <w:rsid w:val="00D26787"/>
    <w:rsid w:val="00D26D42"/>
    <w:rsid w:val="00D26F2D"/>
    <w:rsid w:val="00D2706C"/>
    <w:rsid w:val="00D274F6"/>
    <w:rsid w:val="00D27ABF"/>
    <w:rsid w:val="00D305CE"/>
    <w:rsid w:val="00D30608"/>
    <w:rsid w:val="00D3072B"/>
    <w:rsid w:val="00D30918"/>
    <w:rsid w:val="00D31AD6"/>
    <w:rsid w:val="00D31EC7"/>
    <w:rsid w:val="00D32527"/>
    <w:rsid w:val="00D32BE2"/>
    <w:rsid w:val="00D32D19"/>
    <w:rsid w:val="00D336E3"/>
    <w:rsid w:val="00D339AC"/>
    <w:rsid w:val="00D33D9B"/>
    <w:rsid w:val="00D33E20"/>
    <w:rsid w:val="00D34377"/>
    <w:rsid w:val="00D345E0"/>
    <w:rsid w:val="00D34A16"/>
    <w:rsid w:val="00D3674B"/>
    <w:rsid w:val="00D37005"/>
    <w:rsid w:val="00D408AA"/>
    <w:rsid w:val="00D424BC"/>
    <w:rsid w:val="00D42A60"/>
    <w:rsid w:val="00D42EF2"/>
    <w:rsid w:val="00D430EF"/>
    <w:rsid w:val="00D431B4"/>
    <w:rsid w:val="00D4401C"/>
    <w:rsid w:val="00D44340"/>
    <w:rsid w:val="00D448B0"/>
    <w:rsid w:val="00D45821"/>
    <w:rsid w:val="00D458F1"/>
    <w:rsid w:val="00D4611A"/>
    <w:rsid w:val="00D4695F"/>
    <w:rsid w:val="00D4749D"/>
    <w:rsid w:val="00D47C1F"/>
    <w:rsid w:val="00D47D79"/>
    <w:rsid w:val="00D47DE7"/>
    <w:rsid w:val="00D47E0F"/>
    <w:rsid w:val="00D50ABC"/>
    <w:rsid w:val="00D51275"/>
    <w:rsid w:val="00D51B00"/>
    <w:rsid w:val="00D51FDF"/>
    <w:rsid w:val="00D520C7"/>
    <w:rsid w:val="00D52D4B"/>
    <w:rsid w:val="00D53795"/>
    <w:rsid w:val="00D551F6"/>
    <w:rsid w:val="00D556D5"/>
    <w:rsid w:val="00D55F4A"/>
    <w:rsid w:val="00D57609"/>
    <w:rsid w:val="00D579AA"/>
    <w:rsid w:val="00D625A5"/>
    <w:rsid w:val="00D64123"/>
    <w:rsid w:val="00D6457B"/>
    <w:rsid w:val="00D65D68"/>
    <w:rsid w:val="00D66957"/>
    <w:rsid w:val="00D6695E"/>
    <w:rsid w:val="00D670A1"/>
    <w:rsid w:val="00D67681"/>
    <w:rsid w:val="00D70424"/>
    <w:rsid w:val="00D70B9B"/>
    <w:rsid w:val="00D70F09"/>
    <w:rsid w:val="00D7115D"/>
    <w:rsid w:val="00D7181C"/>
    <w:rsid w:val="00D71EFD"/>
    <w:rsid w:val="00D7409B"/>
    <w:rsid w:val="00D751D0"/>
    <w:rsid w:val="00D759D2"/>
    <w:rsid w:val="00D7636F"/>
    <w:rsid w:val="00D77DA8"/>
    <w:rsid w:val="00D80336"/>
    <w:rsid w:val="00D805F3"/>
    <w:rsid w:val="00D8068B"/>
    <w:rsid w:val="00D808E4"/>
    <w:rsid w:val="00D80AEE"/>
    <w:rsid w:val="00D8131C"/>
    <w:rsid w:val="00D814A9"/>
    <w:rsid w:val="00D81584"/>
    <w:rsid w:val="00D83C88"/>
    <w:rsid w:val="00D840A0"/>
    <w:rsid w:val="00D84AF8"/>
    <w:rsid w:val="00D84C90"/>
    <w:rsid w:val="00D864B2"/>
    <w:rsid w:val="00D864E2"/>
    <w:rsid w:val="00D87A19"/>
    <w:rsid w:val="00D87B43"/>
    <w:rsid w:val="00D87C85"/>
    <w:rsid w:val="00D90066"/>
    <w:rsid w:val="00D903DC"/>
    <w:rsid w:val="00D91458"/>
    <w:rsid w:val="00D918F9"/>
    <w:rsid w:val="00D91F09"/>
    <w:rsid w:val="00D91FC2"/>
    <w:rsid w:val="00D922F8"/>
    <w:rsid w:val="00D922FA"/>
    <w:rsid w:val="00D926CA"/>
    <w:rsid w:val="00D92A49"/>
    <w:rsid w:val="00D93BD7"/>
    <w:rsid w:val="00D93FFA"/>
    <w:rsid w:val="00D9467B"/>
    <w:rsid w:val="00D94CF1"/>
    <w:rsid w:val="00D94D41"/>
    <w:rsid w:val="00D95B5F"/>
    <w:rsid w:val="00D95C47"/>
    <w:rsid w:val="00D9787E"/>
    <w:rsid w:val="00D97A05"/>
    <w:rsid w:val="00DA0AE5"/>
    <w:rsid w:val="00DA1255"/>
    <w:rsid w:val="00DA21D4"/>
    <w:rsid w:val="00DA2FA7"/>
    <w:rsid w:val="00DA3276"/>
    <w:rsid w:val="00DA32BD"/>
    <w:rsid w:val="00DA3C70"/>
    <w:rsid w:val="00DA441E"/>
    <w:rsid w:val="00DA51C9"/>
    <w:rsid w:val="00DA556C"/>
    <w:rsid w:val="00DA5593"/>
    <w:rsid w:val="00DA5C9C"/>
    <w:rsid w:val="00DA73A4"/>
    <w:rsid w:val="00DB15FC"/>
    <w:rsid w:val="00DB1DE7"/>
    <w:rsid w:val="00DB2B45"/>
    <w:rsid w:val="00DB488F"/>
    <w:rsid w:val="00DB549E"/>
    <w:rsid w:val="00DB5A5B"/>
    <w:rsid w:val="00DB5E2F"/>
    <w:rsid w:val="00DB5F73"/>
    <w:rsid w:val="00DB609F"/>
    <w:rsid w:val="00DB69C8"/>
    <w:rsid w:val="00DB7337"/>
    <w:rsid w:val="00DB7388"/>
    <w:rsid w:val="00DB7702"/>
    <w:rsid w:val="00DB7D6E"/>
    <w:rsid w:val="00DB7D7F"/>
    <w:rsid w:val="00DB7E56"/>
    <w:rsid w:val="00DC00E0"/>
    <w:rsid w:val="00DC0503"/>
    <w:rsid w:val="00DC0C57"/>
    <w:rsid w:val="00DC106C"/>
    <w:rsid w:val="00DC10D6"/>
    <w:rsid w:val="00DC143E"/>
    <w:rsid w:val="00DC151E"/>
    <w:rsid w:val="00DC1F62"/>
    <w:rsid w:val="00DC2555"/>
    <w:rsid w:val="00DC3B77"/>
    <w:rsid w:val="00DC4DF8"/>
    <w:rsid w:val="00DC586C"/>
    <w:rsid w:val="00DC5B42"/>
    <w:rsid w:val="00DC6391"/>
    <w:rsid w:val="00DC6611"/>
    <w:rsid w:val="00DC663F"/>
    <w:rsid w:val="00DC6E10"/>
    <w:rsid w:val="00DD02ED"/>
    <w:rsid w:val="00DD151D"/>
    <w:rsid w:val="00DD1701"/>
    <w:rsid w:val="00DD1FEF"/>
    <w:rsid w:val="00DD2F3D"/>
    <w:rsid w:val="00DD30A4"/>
    <w:rsid w:val="00DD3657"/>
    <w:rsid w:val="00DD3A43"/>
    <w:rsid w:val="00DD4076"/>
    <w:rsid w:val="00DD4496"/>
    <w:rsid w:val="00DD53D3"/>
    <w:rsid w:val="00DD569C"/>
    <w:rsid w:val="00DD57B8"/>
    <w:rsid w:val="00DD69E4"/>
    <w:rsid w:val="00DD6D0F"/>
    <w:rsid w:val="00DD6E73"/>
    <w:rsid w:val="00DD6F67"/>
    <w:rsid w:val="00DD7AB1"/>
    <w:rsid w:val="00DD7BC8"/>
    <w:rsid w:val="00DD7E2A"/>
    <w:rsid w:val="00DE0C1E"/>
    <w:rsid w:val="00DE14BC"/>
    <w:rsid w:val="00DE1C82"/>
    <w:rsid w:val="00DE2906"/>
    <w:rsid w:val="00DE2ABD"/>
    <w:rsid w:val="00DE2BE7"/>
    <w:rsid w:val="00DE2F84"/>
    <w:rsid w:val="00DE36D4"/>
    <w:rsid w:val="00DE38F9"/>
    <w:rsid w:val="00DE3EC7"/>
    <w:rsid w:val="00DE4B71"/>
    <w:rsid w:val="00DE50BC"/>
    <w:rsid w:val="00DE526D"/>
    <w:rsid w:val="00DE57D1"/>
    <w:rsid w:val="00DE5A48"/>
    <w:rsid w:val="00DE62DA"/>
    <w:rsid w:val="00DE6BA2"/>
    <w:rsid w:val="00DE7ABA"/>
    <w:rsid w:val="00DF0462"/>
    <w:rsid w:val="00DF0821"/>
    <w:rsid w:val="00DF0B7A"/>
    <w:rsid w:val="00DF1BB0"/>
    <w:rsid w:val="00DF2381"/>
    <w:rsid w:val="00DF25D1"/>
    <w:rsid w:val="00DF2D74"/>
    <w:rsid w:val="00DF33DC"/>
    <w:rsid w:val="00DF3801"/>
    <w:rsid w:val="00DF3900"/>
    <w:rsid w:val="00DF432D"/>
    <w:rsid w:val="00DF477C"/>
    <w:rsid w:val="00DF4CA7"/>
    <w:rsid w:val="00DF5372"/>
    <w:rsid w:val="00DF58CD"/>
    <w:rsid w:val="00DF6D72"/>
    <w:rsid w:val="00DF6E68"/>
    <w:rsid w:val="00DF720B"/>
    <w:rsid w:val="00DF7663"/>
    <w:rsid w:val="00DF79AC"/>
    <w:rsid w:val="00DF7AA2"/>
    <w:rsid w:val="00DF7C43"/>
    <w:rsid w:val="00E00549"/>
    <w:rsid w:val="00E0055B"/>
    <w:rsid w:val="00E0081A"/>
    <w:rsid w:val="00E00C10"/>
    <w:rsid w:val="00E012B0"/>
    <w:rsid w:val="00E01AD2"/>
    <w:rsid w:val="00E01DDC"/>
    <w:rsid w:val="00E01E26"/>
    <w:rsid w:val="00E01E9D"/>
    <w:rsid w:val="00E02C07"/>
    <w:rsid w:val="00E03D0B"/>
    <w:rsid w:val="00E03D3E"/>
    <w:rsid w:val="00E03E71"/>
    <w:rsid w:val="00E04CCD"/>
    <w:rsid w:val="00E0570B"/>
    <w:rsid w:val="00E0593F"/>
    <w:rsid w:val="00E05E7E"/>
    <w:rsid w:val="00E06089"/>
    <w:rsid w:val="00E0640F"/>
    <w:rsid w:val="00E06A1C"/>
    <w:rsid w:val="00E06B9F"/>
    <w:rsid w:val="00E06BB8"/>
    <w:rsid w:val="00E070C6"/>
    <w:rsid w:val="00E10459"/>
    <w:rsid w:val="00E105CD"/>
    <w:rsid w:val="00E109EA"/>
    <w:rsid w:val="00E10AC6"/>
    <w:rsid w:val="00E10ED8"/>
    <w:rsid w:val="00E11CF4"/>
    <w:rsid w:val="00E12012"/>
    <w:rsid w:val="00E12715"/>
    <w:rsid w:val="00E135C0"/>
    <w:rsid w:val="00E136FA"/>
    <w:rsid w:val="00E13C2F"/>
    <w:rsid w:val="00E13D54"/>
    <w:rsid w:val="00E14A0B"/>
    <w:rsid w:val="00E151CD"/>
    <w:rsid w:val="00E161DF"/>
    <w:rsid w:val="00E1623E"/>
    <w:rsid w:val="00E16AA2"/>
    <w:rsid w:val="00E1750A"/>
    <w:rsid w:val="00E17D63"/>
    <w:rsid w:val="00E17EB3"/>
    <w:rsid w:val="00E20164"/>
    <w:rsid w:val="00E204DB"/>
    <w:rsid w:val="00E2124C"/>
    <w:rsid w:val="00E21F49"/>
    <w:rsid w:val="00E22920"/>
    <w:rsid w:val="00E22D6E"/>
    <w:rsid w:val="00E23E6B"/>
    <w:rsid w:val="00E240FD"/>
    <w:rsid w:val="00E24758"/>
    <w:rsid w:val="00E25288"/>
    <w:rsid w:val="00E25586"/>
    <w:rsid w:val="00E25DB2"/>
    <w:rsid w:val="00E26D09"/>
    <w:rsid w:val="00E2758F"/>
    <w:rsid w:val="00E30F37"/>
    <w:rsid w:val="00E31823"/>
    <w:rsid w:val="00E3245B"/>
    <w:rsid w:val="00E32671"/>
    <w:rsid w:val="00E33B24"/>
    <w:rsid w:val="00E33E8A"/>
    <w:rsid w:val="00E34FF1"/>
    <w:rsid w:val="00E35EBF"/>
    <w:rsid w:val="00E364FB"/>
    <w:rsid w:val="00E36BD8"/>
    <w:rsid w:val="00E36C25"/>
    <w:rsid w:val="00E3718B"/>
    <w:rsid w:val="00E3793C"/>
    <w:rsid w:val="00E400AC"/>
    <w:rsid w:val="00E40186"/>
    <w:rsid w:val="00E4094B"/>
    <w:rsid w:val="00E40BC0"/>
    <w:rsid w:val="00E415EE"/>
    <w:rsid w:val="00E41621"/>
    <w:rsid w:val="00E4183C"/>
    <w:rsid w:val="00E427DF"/>
    <w:rsid w:val="00E42D66"/>
    <w:rsid w:val="00E4333D"/>
    <w:rsid w:val="00E435BF"/>
    <w:rsid w:val="00E446C7"/>
    <w:rsid w:val="00E448A2"/>
    <w:rsid w:val="00E44C27"/>
    <w:rsid w:val="00E453C9"/>
    <w:rsid w:val="00E45AAE"/>
    <w:rsid w:val="00E46867"/>
    <w:rsid w:val="00E47684"/>
    <w:rsid w:val="00E47C75"/>
    <w:rsid w:val="00E505EC"/>
    <w:rsid w:val="00E512AF"/>
    <w:rsid w:val="00E5190B"/>
    <w:rsid w:val="00E52180"/>
    <w:rsid w:val="00E52F14"/>
    <w:rsid w:val="00E5519C"/>
    <w:rsid w:val="00E5535A"/>
    <w:rsid w:val="00E557E9"/>
    <w:rsid w:val="00E5615C"/>
    <w:rsid w:val="00E565D7"/>
    <w:rsid w:val="00E57BB5"/>
    <w:rsid w:val="00E57DB0"/>
    <w:rsid w:val="00E61067"/>
    <w:rsid w:val="00E6194F"/>
    <w:rsid w:val="00E620BD"/>
    <w:rsid w:val="00E62619"/>
    <w:rsid w:val="00E6279E"/>
    <w:rsid w:val="00E63C45"/>
    <w:rsid w:val="00E64AFF"/>
    <w:rsid w:val="00E64B7C"/>
    <w:rsid w:val="00E64FE5"/>
    <w:rsid w:val="00E65004"/>
    <w:rsid w:val="00E6682C"/>
    <w:rsid w:val="00E67946"/>
    <w:rsid w:val="00E703D9"/>
    <w:rsid w:val="00E70BE3"/>
    <w:rsid w:val="00E711D6"/>
    <w:rsid w:val="00E71236"/>
    <w:rsid w:val="00E71A9F"/>
    <w:rsid w:val="00E71CCD"/>
    <w:rsid w:val="00E72320"/>
    <w:rsid w:val="00E723E2"/>
    <w:rsid w:val="00E73446"/>
    <w:rsid w:val="00E746D5"/>
    <w:rsid w:val="00E751CD"/>
    <w:rsid w:val="00E752ED"/>
    <w:rsid w:val="00E75609"/>
    <w:rsid w:val="00E7718F"/>
    <w:rsid w:val="00E774F4"/>
    <w:rsid w:val="00E7777A"/>
    <w:rsid w:val="00E80392"/>
    <w:rsid w:val="00E80A01"/>
    <w:rsid w:val="00E80B88"/>
    <w:rsid w:val="00E810E5"/>
    <w:rsid w:val="00E8125E"/>
    <w:rsid w:val="00E81CA1"/>
    <w:rsid w:val="00E82842"/>
    <w:rsid w:val="00E82FA0"/>
    <w:rsid w:val="00E837AC"/>
    <w:rsid w:val="00E84612"/>
    <w:rsid w:val="00E84A85"/>
    <w:rsid w:val="00E84AD5"/>
    <w:rsid w:val="00E84F0A"/>
    <w:rsid w:val="00E855CB"/>
    <w:rsid w:val="00E855CD"/>
    <w:rsid w:val="00E8571B"/>
    <w:rsid w:val="00E85CD1"/>
    <w:rsid w:val="00E90389"/>
    <w:rsid w:val="00E90D53"/>
    <w:rsid w:val="00E919E3"/>
    <w:rsid w:val="00E922CC"/>
    <w:rsid w:val="00E9244D"/>
    <w:rsid w:val="00E92939"/>
    <w:rsid w:val="00E92BC7"/>
    <w:rsid w:val="00E92E2C"/>
    <w:rsid w:val="00E9306F"/>
    <w:rsid w:val="00E939E5"/>
    <w:rsid w:val="00E946BD"/>
    <w:rsid w:val="00E94A62"/>
    <w:rsid w:val="00E94C41"/>
    <w:rsid w:val="00E9667B"/>
    <w:rsid w:val="00E96988"/>
    <w:rsid w:val="00E9703E"/>
    <w:rsid w:val="00E97BA0"/>
    <w:rsid w:val="00E97F04"/>
    <w:rsid w:val="00EA01AE"/>
    <w:rsid w:val="00EA0F5B"/>
    <w:rsid w:val="00EA23C7"/>
    <w:rsid w:val="00EA2605"/>
    <w:rsid w:val="00EA294D"/>
    <w:rsid w:val="00EA2C09"/>
    <w:rsid w:val="00EA3A99"/>
    <w:rsid w:val="00EA5504"/>
    <w:rsid w:val="00EA55D1"/>
    <w:rsid w:val="00EA56FC"/>
    <w:rsid w:val="00EA6DB6"/>
    <w:rsid w:val="00EA749E"/>
    <w:rsid w:val="00EA7ACC"/>
    <w:rsid w:val="00EB000D"/>
    <w:rsid w:val="00EB01CE"/>
    <w:rsid w:val="00EB0290"/>
    <w:rsid w:val="00EB045B"/>
    <w:rsid w:val="00EB05CF"/>
    <w:rsid w:val="00EB0B68"/>
    <w:rsid w:val="00EB1498"/>
    <w:rsid w:val="00EB1FF3"/>
    <w:rsid w:val="00EB2413"/>
    <w:rsid w:val="00EB2449"/>
    <w:rsid w:val="00EB2543"/>
    <w:rsid w:val="00EB289F"/>
    <w:rsid w:val="00EB36F7"/>
    <w:rsid w:val="00EB3A66"/>
    <w:rsid w:val="00EB4258"/>
    <w:rsid w:val="00EB46D8"/>
    <w:rsid w:val="00EB470B"/>
    <w:rsid w:val="00EB4B98"/>
    <w:rsid w:val="00EB5EC0"/>
    <w:rsid w:val="00EB60D7"/>
    <w:rsid w:val="00EB6471"/>
    <w:rsid w:val="00EB712B"/>
    <w:rsid w:val="00EB72F5"/>
    <w:rsid w:val="00EB7838"/>
    <w:rsid w:val="00EB7975"/>
    <w:rsid w:val="00EB7AE7"/>
    <w:rsid w:val="00EC0629"/>
    <w:rsid w:val="00EC0762"/>
    <w:rsid w:val="00EC0BC6"/>
    <w:rsid w:val="00EC0C28"/>
    <w:rsid w:val="00EC1337"/>
    <w:rsid w:val="00EC14E4"/>
    <w:rsid w:val="00EC14EB"/>
    <w:rsid w:val="00EC18BC"/>
    <w:rsid w:val="00EC1982"/>
    <w:rsid w:val="00EC19B3"/>
    <w:rsid w:val="00EC1FF4"/>
    <w:rsid w:val="00EC384B"/>
    <w:rsid w:val="00EC3B66"/>
    <w:rsid w:val="00EC3C28"/>
    <w:rsid w:val="00EC40E9"/>
    <w:rsid w:val="00EC4A76"/>
    <w:rsid w:val="00EC54D3"/>
    <w:rsid w:val="00EC64D6"/>
    <w:rsid w:val="00EC66D7"/>
    <w:rsid w:val="00EC67A8"/>
    <w:rsid w:val="00EC6902"/>
    <w:rsid w:val="00EC6B7F"/>
    <w:rsid w:val="00EC7EE0"/>
    <w:rsid w:val="00ED0078"/>
    <w:rsid w:val="00ED0D0A"/>
    <w:rsid w:val="00ED13B3"/>
    <w:rsid w:val="00ED2C66"/>
    <w:rsid w:val="00ED3617"/>
    <w:rsid w:val="00ED3FC7"/>
    <w:rsid w:val="00ED4729"/>
    <w:rsid w:val="00ED517A"/>
    <w:rsid w:val="00ED73FC"/>
    <w:rsid w:val="00ED75EE"/>
    <w:rsid w:val="00ED791D"/>
    <w:rsid w:val="00ED7B6C"/>
    <w:rsid w:val="00ED7ED5"/>
    <w:rsid w:val="00EE0B78"/>
    <w:rsid w:val="00EE0C86"/>
    <w:rsid w:val="00EE0CF5"/>
    <w:rsid w:val="00EE1155"/>
    <w:rsid w:val="00EE215F"/>
    <w:rsid w:val="00EE265B"/>
    <w:rsid w:val="00EE2727"/>
    <w:rsid w:val="00EE275D"/>
    <w:rsid w:val="00EE2EBF"/>
    <w:rsid w:val="00EE34D2"/>
    <w:rsid w:val="00EE4424"/>
    <w:rsid w:val="00EE4D29"/>
    <w:rsid w:val="00EE4E31"/>
    <w:rsid w:val="00EE4F49"/>
    <w:rsid w:val="00EE5050"/>
    <w:rsid w:val="00EE5213"/>
    <w:rsid w:val="00EE6217"/>
    <w:rsid w:val="00EE63DB"/>
    <w:rsid w:val="00EE6542"/>
    <w:rsid w:val="00EE6974"/>
    <w:rsid w:val="00EE7370"/>
    <w:rsid w:val="00EE7BE5"/>
    <w:rsid w:val="00EE7DA4"/>
    <w:rsid w:val="00EF06C2"/>
    <w:rsid w:val="00EF1099"/>
    <w:rsid w:val="00EF15FE"/>
    <w:rsid w:val="00EF1675"/>
    <w:rsid w:val="00EF2279"/>
    <w:rsid w:val="00EF336E"/>
    <w:rsid w:val="00EF4091"/>
    <w:rsid w:val="00EF418E"/>
    <w:rsid w:val="00EF4451"/>
    <w:rsid w:val="00EF4C7A"/>
    <w:rsid w:val="00EF675C"/>
    <w:rsid w:val="00EF6983"/>
    <w:rsid w:val="00EF6D2E"/>
    <w:rsid w:val="00EF7150"/>
    <w:rsid w:val="00EF7AAF"/>
    <w:rsid w:val="00EF7B4B"/>
    <w:rsid w:val="00F01359"/>
    <w:rsid w:val="00F03B4A"/>
    <w:rsid w:val="00F04323"/>
    <w:rsid w:val="00F044ED"/>
    <w:rsid w:val="00F06358"/>
    <w:rsid w:val="00F06F84"/>
    <w:rsid w:val="00F075E2"/>
    <w:rsid w:val="00F0788A"/>
    <w:rsid w:val="00F10A03"/>
    <w:rsid w:val="00F10DBB"/>
    <w:rsid w:val="00F11053"/>
    <w:rsid w:val="00F121B9"/>
    <w:rsid w:val="00F12A3B"/>
    <w:rsid w:val="00F135AC"/>
    <w:rsid w:val="00F13E2E"/>
    <w:rsid w:val="00F142D5"/>
    <w:rsid w:val="00F15107"/>
    <w:rsid w:val="00F15427"/>
    <w:rsid w:val="00F15466"/>
    <w:rsid w:val="00F1688F"/>
    <w:rsid w:val="00F20017"/>
    <w:rsid w:val="00F206ED"/>
    <w:rsid w:val="00F21A44"/>
    <w:rsid w:val="00F23A42"/>
    <w:rsid w:val="00F23F27"/>
    <w:rsid w:val="00F24327"/>
    <w:rsid w:val="00F245F5"/>
    <w:rsid w:val="00F24A81"/>
    <w:rsid w:val="00F25201"/>
    <w:rsid w:val="00F26C84"/>
    <w:rsid w:val="00F26CFD"/>
    <w:rsid w:val="00F26D8F"/>
    <w:rsid w:val="00F277AE"/>
    <w:rsid w:val="00F3014B"/>
    <w:rsid w:val="00F3037F"/>
    <w:rsid w:val="00F30640"/>
    <w:rsid w:val="00F306E7"/>
    <w:rsid w:val="00F309F7"/>
    <w:rsid w:val="00F33B53"/>
    <w:rsid w:val="00F346BD"/>
    <w:rsid w:val="00F3474A"/>
    <w:rsid w:val="00F35C91"/>
    <w:rsid w:val="00F36850"/>
    <w:rsid w:val="00F3748A"/>
    <w:rsid w:val="00F4159C"/>
    <w:rsid w:val="00F41801"/>
    <w:rsid w:val="00F41AA8"/>
    <w:rsid w:val="00F41B08"/>
    <w:rsid w:val="00F41FA4"/>
    <w:rsid w:val="00F4234C"/>
    <w:rsid w:val="00F43054"/>
    <w:rsid w:val="00F432B3"/>
    <w:rsid w:val="00F44A32"/>
    <w:rsid w:val="00F45351"/>
    <w:rsid w:val="00F4569A"/>
    <w:rsid w:val="00F45849"/>
    <w:rsid w:val="00F462C6"/>
    <w:rsid w:val="00F46326"/>
    <w:rsid w:val="00F464D0"/>
    <w:rsid w:val="00F4769C"/>
    <w:rsid w:val="00F501B1"/>
    <w:rsid w:val="00F50E2C"/>
    <w:rsid w:val="00F50EAC"/>
    <w:rsid w:val="00F512FF"/>
    <w:rsid w:val="00F5145D"/>
    <w:rsid w:val="00F5226A"/>
    <w:rsid w:val="00F52D8C"/>
    <w:rsid w:val="00F52E7E"/>
    <w:rsid w:val="00F52F4A"/>
    <w:rsid w:val="00F541BF"/>
    <w:rsid w:val="00F54D83"/>
    <w:rsid w:val="00F56848"/>
    <w:rsid w:val="00F57427"/>
    <w:rsid w:val="00F57DF2"/>
    <w:rsid w:val="00F60EF3"/>
    <w:rsid w:val="00F614D9"/>
    <w:rsid w:val="00F61BC8"/>
    <w:rsid w:val="00F6208F"/>
    <w:rsid w:val="00F6292F"/>
    <w:rsid w:val="00F62C4F"/>
    <w:rsid w:val="00F62CEF"/>
    <w:rsid w:val="00F63A78"/>
    <w:rsid w:val="00F6448B"/>
    <w:rsid w:val="00F645F9"/>
    <w:rsid w:val="00F6476A"/>
    <w:rsid w:val="00F64E1C"/>
    <w:rsid w:val="00F64EB4"/>
    <w:rsid w:val="00F651AC"/>
    <w:rsid w:val="00F652C8"/>
    <w:rsid w:val="00F66349"/>
    <w:rsid w:val="00F6665E"/>
    <w:rsid w:val="00F66CA1"/>
    <w:rsid w:val="00F7021E"/>
    <w:rsid w:val="00F70B76"/>
    <w:rsid w:val="00F71036"/>
    <w:rsid w:val="00F71237"/>
    <w:rsid w:val="00F7152A"/>
    <w:rsid w:val="00F7361F"/>
    <w:rsid w:val="00F73B30"/>
    <w:rsid w:val="00F73FD0"/>
    <w:rsid w:val="00F740E1"/>
    <w:rsid w:val="00F747F5"/>
    <w:rsid w:val="00F75119"/>
    <w:rsid w:val="00F758E5"/>
    <w:rsid w:val="00F75A32"/>
    <w:rsid w:val="00F75D8C"/>
    <w:rsid w:val="00F75F5D"/>
    <w:rsid w:val="00F7660C"/>
    <w:rsid w:val="00F7692B"/>
    <w:rsid w:val="00F76F6B"/>
    <w:rsid w:val="00F7718A"/>
    <w:rsid w:val="00F777A3"/>
    <w:rsid w:val="00F777AD"/>
    <w:rsid w:val="00F77B05"/>
    <w:rsid w:val="00F80526"/>
    <w:rsid w:val="00F8055E"/>
    <w:rsid w:val="00F80784"/>
    <w:rsid w:val="00F8159E"/>
    <w:rsid w:val="00F81762"/>
    <w:rsid w:val="00F8186E"/>
    <w:rsid w:val="00F82AF2"/>
    <w:rsid w:val="00F82E14"/>
    <w:rsid w:val="00F83BF9"/>
    <w:rsid w:val="00F83D7E"/>
    <w:rsid w:val="00F83D9E"/>
    <w:rsid w:val="00F8407E"/>
    <w:rsid w:val="00F8492C"/>
    <w:rsid w:val="00F855CD"/>
    <w:rsid w:val="00F860FB"/>
    <w:rsid w:val="00F864DB"/>
    <w:rsid w:val="00F8666A"/>
    <w:rsid w:val="00F87723"/>
    <w:rsid w:val="00F87824"/>
    <w:rsid w:val="00F90A7F"/>
    <w:rsid w:val="00F90B15"/>
    <w:rsid w:val="00F90BC8"/>
    <w:rsid w:val="00F910D3"/>
    <w:rsid w:val="00F9136D"/>
    <w:rsid w:val="00F91920"/>
    <w:rsid w:val="00F92BC0"/>
    <w:rsid w:val="00F93C66"/>
    <w:rsid w:val="00F9414A"/>
    <w:rsid w:val="00F94C8F"/>
    <w:rsid w:val="00F94D37"/>
    <w:rsid w:val="00F955B2"/>
    <w:rsid w:val="00F9667F"/>
    <w:rsid w:val="00F974D0"/>
    <w:rsid w:val="00F97790"/>
    <w:rsid w:val="00FA040A"/>
    <w:rsid w:val="00FA0488"/>
    <w:rsid w:val="00FA12C8"/>
    <w:rsid w:val="00FA14A6"/>
    <w:rsid w:val="00FA211E"/>
    <w:rsid w:val="00FA252F"/>
    <w:rsid w:val="00FA293A"/>
    <w:rsid w:val="00FA2F3F"/>
    <w:rsid w:val="00FA3562"/>
    <w:rsid w:val="00FA4811"/>
    <w:rsid w:val="00FA512E"/>
    <w:rsid w:val="00FA59D0"/>
    <w:rsid w:val="00FA5E77"/>
    <w:rsid w:val="00FA5FE2"/>
    <w:rsid w:val="00FA6A9A"/>
    <w:rsid w:val="00FA6D6F"/>
    <w:rsid w:val="00FA6DBB"/>
    <w:rsid w:val="00FA6F13"/>
    <w:rsid w:val="00FA7629"/>
    <w:rsid w:val="00FB00CE"/>
    <w:rsid w:val="00FB0C48"/>
    <w:rsid w:val="00FB197D"/>
    <w:rsid w:val="00FB1C6E"/>
    <w:rsid w:val="00FB3221"/>
    <w:rsid w:val="00FB38E8"/>
    <w:rsid w:val="00FB3C63"/>
    <w:rsid w:val="00FB4487"/>
    <w:rsid w:val="00FB48FE"/>
    <w:rsid w:val="00FB4A8E"/>
    <w:rsid w:val="00FB4E7D"/>
    <w:rsid w:val="00FB51F5"/>
    <w:rsid w:val="00FB6DE5"/>
    <w:rsid w:val="00FB72ED"/>
    <w:rsid w:val="00FC1316"/>
    <w:rsid w:val="00FC1E99"/>
    <w:rsid w:val="00FC2281"/>
    <w:rsid w:val="00FC249F"/>
    <w:rsid w:val="00FC2A8B"/>
    <w:rsid w:val="00FC2B59"/>
    <w:rsid w:val="00FC34B8"/>
    <w:rsid w:val="00FC425E"/>
    <w:rsid w:val="00FC4345"/>
    <w:rsid w:val="00FC4F28"/>
    <w:rsid w:val="00FC589D"/>
    <w:rsid w:val="00FC596B"/>
    <w:rsid w:val="00FC5E76"/>
    <w:rsid w:val="00FC670E"/>
    <w:rsid w:val="00FC7987"/>
    <w:rsid w:val="00FC7CC0"/>
    <w:rsid w:val="00FD190F"/>
    <w:rsid w:val="00FD19A9"/>
    <w:rsid w:val="00FD256E"/>
    <w:rsid w:val="00FD28BF"/>
    <w:rsid w:val="00FD365B"/>
    <w:rsid w:val="00FD36AB"/>
    <w:rsid w:val="00FD37AF"/>
    <w:rsid w:val="00FD4215"/>
    <w:rsid w:val="00FD436B"/>
    <w:rsid w:val="00FD5139"/>
    <w:rsid w:val="00FD572E"/>
    <w:rsid w:val="00FD5B35"/>
    <w:rsid w:val="00FD651B"/>
    <w:rsid w:val="00FD6DE4"/>
    <w:rsid w:val="00FD76A5"/>
    <w:rsid w:val="00FD7923"/>
    <w:rsid w:val="00FD7CA0"/>
    <w:rsid w:val="00FE01DB"/>
    <w:rsid w:val="00FE1A7E"/>
    <w:rsid w:val="00FE1BD3"/>
    <w:rsid w:val="00FE1E54"/>
    <w:rsid w:val="00FE245F"/>
    <w:rsid w:val="00FE2461"/>
    <w:rsid w:val="00FE27DF"/>
    <w:rsid w:val="00FE2C58"/>
    <w:rsid w:val="00FE2CE4"/>
    <w:rsid w:val="00FE36DF"/>
    <w:rsid w:val="00FE467D"/>
    <w:rsid w:val="00FE4B0D"/>
    <w:rsid w:val="00FE4FA1"/>
    <w:rsid w:val="00FE5538"/>
    <w:rsid w:val="00FE5601"/>
    <w:rsid w:val="00FE612D"/>
    <w:rsid w:val="00FE6150"/>
    <w:rsid w:val="00FE697A"/>
    <w:rsid w:val="00FE7900"/>
    <w:rsid w:val="00FE7DBB"/>
    <w:rsid w:val="00FE7DFB"/>
    <w:rsid w:val="00FF0F77"/>
    <w:rsid w:val="00FF1F41"/>
    <w:rsid w:val="00FF21CB"/>
    <w:rsid w:val="00FF2246"/>
    <w:rsid w:val="00FF3941"/>
    <w:rsid w:val="00FF422E"/>
    <w:rsid w:val="00FF5A85"/>
    <w:rsid w:val="00FF5ED8"/>
    <w:rsid w:val="00FF61EB"/>
    <w:rsid w:val="00FF6BA8"/>
    <w:rsid w:val="00FF7FE9"/>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FC58B2C"/>
  <w15:docId w15:val="{3CD4CE51-C021-450E-9BA7-0AF701324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56784A"/>
  </w:style>
  <w:style w:type="paragraph" w:styleId="Nadpis1">
    <w:name w:val="heading 1"/>
    <w:basedOn w:val="Normln"/>
    <w:next w:val="Normln"/>
    <w:link w:val="Nadpis1Char"/>
    <w:uiPriority w:val="9"/>
    <w:qFormat/>
    <w:rsid w:val="00FE1E54"/>
    <w:pPr>
      <w:keepNext/>
      <w:keepLines/>
      <w:spacing w:before="480" w:after="0"/>
      <w:outlineLvl w:val="0"/>
    </w:pPr>
    <w:rPr>
      <w:rFonts w:asciiTheme="majorHAnsi" w:eastAsiaTheme="majorEastAsia" w:hAnsiTheme="majorHAnsi" w:cstheme="majorBidi"/>
      <w:b/>
      <w:bCs/>
      <w:color w:val="2E74B5" w:themeColor="accent1" w:themeShade="BF"/>
      <w:sz w:val="28"/>
      <w:szCs w:val="28"/>
    </w:rPr>
  </w:style>
  <w:style w:type="paragraph" w:styleId="Nadpis2">
    <w:name w:val="heading 2"/>
    <w:basedOn w:val="Normln"/>
    <w:next w:val="Normln"/>
    <w:link w:val="Nadpis2Char"/>
    <w:uiPriority w:val="9"/>
    <w:semiHidden/>
    <w:unhideWhenUsed/>
    <w:qFormat/>
    <w:rsid w:val="00974B9D"/>
    <w:pPr>
      <w:keepNext/>
      <w:keepLines/>
      <w:spacing w:before="200" w:after="0"/>
      <w:outlineLvl w:val="1"/>
    </w:pPr>
    <w:rPr>
      <w:rFonts w:asciiTheme="majorHAnsi" w:eastAsiaTheme="majorEastAsia" w:hAnsiTheme="majorHAnsi" w:cstheme="majorBidi"/>
      <w:b/>
      <w:bCs/>
      <w:color w:val="5B9BD5" w:themeColor="accent1"/>
      <w:sz w:val="26"/>
      <w:szCs w:val="26"/>
    </w:rPr>
  </w:style>
  <w:style w:type="paragraph" w:styleId="Nadpis3">
    <w:name w:val="heading 3"/>
    <w:basedOn w:val="Normln"/>
    <w:next w:val="Normln"/>
    <w:link w:val="Nadpis3Char"/>
    <w:uiPriority w:val="9"/>
    <w:semiHidden/>
    <w:unhideWhenUsed/>
    <w:qFormat/>
    <w:rsid w:val="00F747F5"/>
    <w:pPr>
      <w:keepNext/>
      <w:keepLines/>
      <w:spacing w:before="200" w:after="0"/>
      <w:outlineLvl w:val="2"/>
    </w:pPr>
    <w:rPr>
      <w:rFonts w:asciiTheme="majorHAnsi" w:eastAsiaTheme="majorEastAsia" w:hAnsiTheme="majorHAnsi" w:cstheme="majorBidi"/>
      <w:b/>
      <w:bCs/>
      <w:color w:val="5B9BD5" w:themeColor="accent1"/>
    </w:rPr>
  </w:style>
  <w:style w:type="paragraph" w:styleId="Nadpis8">
    <w:name w:val="heading 8"/>
    <w:basedOn w:val="Normln"/>
    <w:next w:val="Normln"/>
    <w:link w:val="Nadpis8Char"/>
    <w:uiPriority w:val="9"/>
    <w:semiHidden/>
    <w:unhideWhenUsed/>
    <w:qFormat/>
    <w:rsid w:val="000306C5"/>
    <w:pPr>
      <w:keepNext/>
      <w:keepLines/>
      <w:spacing w:before="40" w:after="0"/>
      <w:outlineLvl w:val="7"/>
    </w:pPr>
    <w:rPr>
      <w:rFonts w:asciiTheme="majorHAnsi" w:eastAsiaTheme="majorEastAsia" w:hAnsiTheme="majorHAnsi" w:cstheme="majorBidi"/>
      <w:color w:val="272727" w:themeColor="text1" w:themeTint="D8"/>
      <w:sz w:val="21"/>
      <w:szCs w:val="2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hlav">
    <w:name w:val="header"/>
    <w:basedOn w:val="Normln"/>
    <w:link w:val="ZhlavChar"/>
    <w:uiPriority w:val="99"/>
    <w:unhideWhenUsed/>
    <w:rsid w:val="00002556"/>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002556"/>
  </w:style>
  <w:style w:type="paragraph" w:styleId="Zpat">
    <w:name w:val="footer"/>
    <w:basedOn w:val="Normln"/>
    <w:link w:val="ZpatChar"/>
    <w:uiPriority w:val="99"/>
    <w:unhideWhenUsed/>
    <w:rsid w:val="00002556"/>
    <w:pPr>
      <w:tabs>
        <w:tab w:val="center" w:pos="4536"/>
        <w:tab w:val="right" w:pos="9072"/>
      </w:tabs>
      <w:spacing w:after="0" w:line="240" w:lineRule="auto"/>
    </w:pPr>
  </w:style>
  <w:style w:type="character" w:customStyle="1" w:styleId="ZpatChar">
    <w:name w:val="Zápatí Char"/>
    <w:basedOn w:val="Standardnpsmoodstavce"/>
    <w:link w:val="Zpat"/>
    <w:uiPriority w:val="99"/>
    <w:rsid w:val="00002556"/>
  </w:style>
  <w:style w:type="paragraph" w:styleId="Odstavecseseznamem">
    <w:name w:val="List Paragraph"/>
    <w:aliases w:val="Odrazka_body"/>
    <w:basedOn w:val="Normln"/>
    <w:link w:val="OdstavecseseznamemChar"/>
    <w:uiPriority w:val="34"/>
    <w:qFormat/>
    <w:rsid w:val="00002556"/>
    <w:pPr>
      <w:ind w:left="720"/>
      <w:contextualSpacing/>
    </w:pPr>
  </w:style>
  <w:style w:type="table" w:styleId="Mkatabulky">
    <w:name w:val="Table Grid"/>
    <w:basedOn w:val="Normlntabulka"/>
    <w:uiPriority w:val="39"/>
    <w:rsid w:val="00C227E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textovodkaz">
    <w:name w:val="Hyperlink"/>
    <w:basedOn w:val="Standardnpsmoodstavce"/>
    <w:uiPriority w:val="99"/>
    <w:unhideWhenUsed/>
    <w:rsid w:val="00420FC6"/>
    <w:rPr>
      <w:color w:val="0563C1" w:themeColor="hyperlink"/>
      <w:u w:val="single"/>
    </w:rPr>
  </w:style>
  <w:style w:type="paragraph" w:styleId="Obsah1">
    <w:name w:val="toc 1"/>
    <w:basedOn w:val="Normln"/>
    <w:next w:val="Normln"/>
    <w:autoRedefine/>
    <w:uiPriority w:val="39"/>
    <w:unhideWhenUsed/>
    <w:rsid w:val="0009152E"/>
    <w:pPr>
      <w:tabs>
        <w:tab w:val="left" w:pos="567"/>
        <w:tab w:val="right" w:leader="dot" w:pos="9060"/>
      </w:tabs>
      <w:spacing w:after="0"/>
      <w:ind w:left="567" w:hanging="567"/>
      <w:jc w:val="both"/>
    </w:pPr>
    <w:rPr>
      <w:rFonts w:asciiTheme="majorHAnsi" w:hAnsiTheme="majorHAnsi" w:cstheme="majorHAnsi"/>
      <w:bCs/>
      <w:caps/>
      <w:noProof/>
      <w:sz w:val="20"/>
      <w:szCs w:val="20"/>
    </w:rPr>
  </w:style>
  <w:style w:type="paragraph" w:styleId="Obsah2">
    <w:name w:val="toc 2"/>
    <w:basedOn w:val="Normln"/>
    <w:next w:val="Normln"/>
    <w:autoRedefine/>
    <w:uiPriority w:val="39"/>
    <w:unhideWhenUsed/>
    <w:rsid w:val="00034362"/>
    <w:pPr>
      <w:tabs>
        <w:tab w:val="left" w:pos="851"/>
        <w:tab w:val="right" w:leader="dot" w:pos="9060"/>
      </w:tabs>
      <w:spacing w:after="0"/>
      <w:ind w:left="851" w:hanging="567"/>
    </w:pPr>
    <w:rPr>
      <w:rFonts w:asciiTheme="majorHAnsi" w:hAnsiTheme="majorHAnsi" w:cstheme="majorHAnsi"/>
      <w:b/>
      <w:bCs/>
      <w:noProof/>
      <w:sz w:val="20"/>
      <w:szCs w:val="20"/>
    </w:rPr>
  </w:style>
  <w:style w:type="paragraph" w:styleId="Obsah3">
    <w:name w:val="toc 3"/>
    <w:basedOn w:val="Normln"/>
    <w:next w:val="Normln"/>
    <w:autoRedefine/>
    <w:uiPriority w:val="39"/>
    <w:unhideWhenUsed/>
    <w:rsid w:val="00EB4258"/>
    <w:pPr>
      <w:tabs>
        <w:tab w:val="left" w:pos="851"/>
        <w:tab w:val="right" w:leader="dot" w:pos="9060"/>
      </w:tabs>
      <w:spacing w:after="0"/>
      <w:ind w:left="1276" w:hanging="709"/>
    </w:pPr>
    <w:rPr>
      <w:rFonts w:ascii="Calibri" w:hAnsi="Calibri"/>
      <w:b/>
      <w:noProof/>
      <w:sz w:val="20"/>
      <w:szCs w:val="20"/>
    </w:rPr>
  </w:style>
  <w:style w:type="paragraph" w:customStyle="1" w:styleId="Vyhodnocensouladu">
    <w:name w:val="Vyhodnocení souladu"/>
    <w:basedOn w:val="Normln"/>
    <w:link w:val="VyhodnocensouladuChar"/>
    <w:qFormat/>
    <w:rsid w:val="007A73E8"/>
    <w:pPr>
      <w:pBdr>
        <w:left w:val="single" w:sz="12" w:space="4" w:color="D0CECE" w:themeColor="background2" w:themeShade="E6"/>
      </w:pBdr>
      <w:spacing w:after="0"/>
      <w:ind w:left="567"/>
      <w:jc w:val="both"/>
      <w:outlineLvl w:val="1"/>
    </w:pPr>
    <w:rPr>
      <w:rFonts w:ascii="Calibri" w:hAnsi="Calibri"/>
      <w:sz w:val="20"/>
      <w:szCs w:val="20"/>
    </w:rPr>
  </w:style>
  <w:style w:type="character" w:customStyle="1" w:styleId="VyhodnocensouladuChar">
    <w:name w:val="Vyhodnocení souladu Char"/>
    <w:basedOn w:val="Standardnpsmoodstavce"/>
    <w:link w:val="Vyhodnocensouladu"/>
    <w:rsid w:val="007A73E8"/>
    <w:rPr>
      <w:rFonts w:ascii="Calibri" w:hAnsi="Calibri"/>
      <w:sz w:val="20"/>
      <w:szCs w:val="20"/>
    </w:rPr>
  </w:style>
  <w:style w:type="paragraph" w:customStyle="1" w:styleId="Textpsmene">
    <w:name w:val="Text písmene"/>
    <w:basedOn w:val="Normln"/>
    <w:link w:val="TextpsmeneChar"/>
    <w:rsid w:val="00023596"/>
    <w:pPr>
      <w:tabs>
        <w:tab w:val="num" w:pos="0"/>
      </w:tabs>
      <w:suppressAutoHyphens/>
      <w:spacing w:after="0" w:line="240" w:lineRule="auto"/>
      <w:jc w:val="both"/>
      <w:outlineLvl w:val="7"/>
    </w:pPr>
    <w:rPr>
      <w:rFonts w:ascii="Times New Roman" w:eastAsia="Times New Roman" w:hAnsi="Times New Roman" w:cs="Times New Roman"/>
      <w:sz w:val="24"/>
      <w:szCs w:val="20"/>
      <w:lang w:eastAsia="ar-SA"/>
    </w:rPr>
  </w:style>
  <w:style w:type="character" w:customStyle="1" w:styleId="TextpsmeneChar">
    <w:name w:val="Text písmene Char"/>
    <w:link w:val="Textpsmene"/>
    <w:rsid w:val="00023596"/>
    <w:rPr>
      <w:rFonts w:ascii="Times New Roman" w:eastAsia="Times New Roman" w:hAnsi="Times New Roman" w:cs="Times New Roman"/>
      <w:sz w:val="24"/>
      <w:szCs w:val="20"/>
      <w:lang w:eastAsia="ar-SA"/>
    </w:rPr>
  </w:style>
  <w:style w:type="paragraph" w:customStyle="1" w:styleId="vrok">
    <w:name w:val="výrok"/>
    <w:basedOn w:val="Normln"/>
    <w:next w:val="Normln"/>
    <w:link w:val="vrokChar"/>
    <w:qFormat/>
    <w:rsid w:val="00023596"/>
    <w:pPr>
      <w:numPr>
        <w:numId w:val="3"/>
      </w:numPr>
      <w:suppressAutoHyphens/>
      <w:spacing w:before="120" w:after="120" w:line="240" w:lineRule="auto"/>
      <w:jc w:val="both"/>
    </w:pPr>
    <w:rPr>
      <w:rFonts w:ascii="Calibri" w:eastAsia="Times New Roman" w:hAnsi="Calibri" w:cs="Times New Roman"/>
      <w:sz w:val="18"/>
      <w:szCs w:val="20"/>
      <w:lang w:eastAsia="ar-SA"/>
    </w:rPr>
  </w:style>
  <w:style w:type="paragraph" w:customStyle="1" w:styleId="Mra-Vyjden">
    <w:name w:val="Míra - Vyjádření"/>
    <w:aliases w:val="reakce,apod."/>
    <w:basedOn w:val="Normln"/>
    <w:link w:val="Mra-VyjdenChar"/>
    <w:qFormat/>
    <w:rsid w:val="00023596"/>
    <w:pPr>
      <w:pBdr>
        <w:left w:val="single" w:sz="12" w:space="4" w:color="BFBFBF"/>
      </w:pBdr>
      <w:autoSpaceDE w:val="0"/>
      <w:autoSpaceDN w:val="0"/>
      <w:adjustRightInd w:val="0"/>
      <w:spacing w:before="120" w:after="0" w:line="240" w:lineRule="auto"/>
      <w:ind w:left="709"/>
      <w:jc w:val="both"/>
    </w:pPr>
    <w:rPr>
      <w:rFonts w:ascii="Calibri" w:eastAsia="Times New Roman" w:hAnsi="Calibri" w:cs="Times New Roman"/>
      <w:color w:val="FF0000"/>
      <w:sz w:val="18"/>
      <w:szCs w:val="18"/>
    </w:rPr>
  </w:style>
  <w:style w:type="paragraph" w:customStyle="1" w:styleId="Mra2-reakceern">
    <w:name w:val="Míra 2 - reakce černě"/>
    <w:basedOn w:val="Zkladntext2"/>
    <w:link w:val="Mra2-reakceernChar"/>
    <w:qFormat/>
    <w:rsid w:val="00023596"/>
    <w:pPr>
      <w:pBdr>
        <w:left w:val="single" w:sz="12" w:space="4" w:color="BFBFBF"/>
      </w:pBdr>
      <w:suppressAutoHyphens/>
      <w:spacing w:after="0" w:line="240" w:lineRule="auto"/>
      <w:ind w:left="709"/>
      <w:jc w:val="both"/>
    </w:pPr>
    <w:rPr>
      <w:rFonts w:ascii="Calibri" w:eastAsia="Times New Roman" w:hAnsi="Calibri" w:cs="Times New Roman"/>
      <w:bCs/>
      <w:iCs/>
      <w:color w:val="000000"/>
      <w:sz w:val="18"/>
      <w:szCs w:val="18"/>
      <w:lang w:eastAsia="ar-SA"/>
    </w:rPr>
  </w:style>
  <w:style w:type="character" w:customStyle="1" w:styleId="Mra-VyjdenChar">
    <w:name w:val="Míra - Vyjádření Char"/>
    <w:aliases w:val="reakce Char,apod. Char"/>
    <w:link w:val="Mra-Vyjden"/>
    <w:rsid w:val="00023596"/>
    <w:rPr>
      <w:rFonts w:ascii="Calibri" w:eastAsia="Times New Roman" w:hAnsi="Calibri" w:cs="Times New Roman"/>
      <w:color w:val="FF0000"/>
      <w:sz w:val="18"/>
      <w:szCs w:val="18"/>
    </w:rPr>
  </w:style>
  <w:style w:type="character" w:customStyle="1" w:styleId="Mra2-reakceernChar">
    <w:name w:val="Míra 2 - reakce černě Char"/>
    <w:link w:val="Mra2-reakceern"/>
    <w:rsid w:val="00023596"/>
    <w:rPr>
      <w:rFonts w:ascii="Calibri" w:eastAsia="Times New Roman" w:hAnsi="Calibri" w:cs="Times New Roman"/>
      <w:bCs/>
      <w:iCs/>
      <w:color w:val="000000"/>
      <w:sz w:val="18"/>
      <w:szCs w:val="18"/>
      <w:lang w:eastAsia="ar-SA"/>
    </w:rPr>
  </w:style>
  <w:style w:type="paragraph" w:styleId="Zkladntext2">
    <w:name w:val="Body Text 2"/>
    <w:basedOn w:val="Normln"/>
    <w:link w:val="Zkladntext2Char"/>
    <w:uiPriority w:val="99"/>
    <w:unhideWhenUsed/>
    <w:rsid w:val="00023596"/>
    <w:pPr>
      <w:spacing w:after="120" w:line="480" w:lineRule="auto"/>
    </w:pPr>
  </w:style>
  <w:style w:type="character" w:customStyle="1" w:styleId="Zkladntext2Char">
    <w:name w:val="Základní text 2 Char"/>
    <w:basedOn w:val="Standardnpsmoodstavce"/>
    <w:link w:val="Zkladntext2"/>
    <w:uiPriority w:val="99"/>
    <w:rsid w:val="00023596"/>
  </w:style>
  <w:style w:type="character" w:customStyle="1" w:styleId="vrokChar">
    <w:name w:val="výrok Char"/>
    <w:link w:val="vrok"/>
    <w:rsid w:val="00D51275"/>
    <w:rPr>
      <w:rFonts w:ascii="Calibri" w:eastAsia="Times New Roman" w:hAnsi="Calibri" w:cs="Times New Roman"/>
      <w:sz w:val="18"/>
      <w:szCs w:val="20"/>
      <w:lang w:eastAsia="ar-SA"/>
    </w:rPr>
  </w:style>
  <w:style w:type="paragraph" w:styleId="Textbubliny">
    <w:name w:val="Balloon Text"/>
    <w:basedOn w:val="Normln"/>
    <w:link w:val="TextbublinyChar"/>
    <w:uiPriority w:val="99"/>
    <w:semiHidden/>
    <w:unhideWhenUsed/>
    <w:rsid w:val="008F5117"/>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8F5117"/>
    <w:rPr>
      <w:rFonts w:ascii="Tahoma" w:hAnsi="Tahoma" w:cs="Tahoma"/>
      <w:sz w:val="16"/>
      <w:szCs w:val="16"/>
    </w:rPr>
  </w:style>
  <w:style w:type="paragraph" w:styleId="Obsah4">
    <w:name w:val="toc 4"/>
    <w:basedOn w:val="Normln"/>
    <w:next w:val="Normln"/>
    <w:autoRedefine/>
    <w:uiPriority w:val="39"/>
    <w:unhideWhenUsed/>
    <w:rsid w:val="00EB4258"/>
    <w:pPr>
      <w:tabs>
        <w:tab w:val="left" w:pos="1540"/>
        <w:tab w:val="right" w:leader="dot" w:pos="9060"/>
      </w:tabs>
      <w:spacing w:after="0"/>
      <w:ind w:left="2127" w:hanging="851"/>
    </w:pPr>
    <w:rPr>
      <w:sz w:val="20"/>
      <w:szCs w:val="20"/>
    </w:rPr>
  </w:style>
  <w:style w:type="paragraph" w:styleId="Obsah5">
    <w:name w:val="toc 5"/>
    <w:basedOn w:val="Normln"/>
    <w:next w:val="Normln"/>
    <w:autoRedefine/>
    <w:uiPriority w:val="39"/>
    <w:unhideWhenUsed/>
    <w:rsid w:val="00F1688F"/>
    <w:pPr>
      <w:spacing w:after="0"/>
      <w:ind w:left="660"/>
    </w:pPr>
    <w:rPr>
      <w:sz w:val="20"/>
      <w:szCs w:val="20"/>
    </w:rPr>
  </w:style>
  <w:style w:type="paragraph" w:styleId="Obsah6">
    <w:name w:val="toc 6"/>
    <w:basedOn w:val="Normln"/>
    <w:next w:val="Normln"/>
    <w:autoRedefine/>
    <w:uiPriority w:val="39"/>
    <w:unhideWhenUsed/>
    <w:rsid w:val="00F1688F"/>
    <w:pPr>
      <w:spacing w:after="0"/>
      <w:ind w:left="880"/>
    </w:pPr>
    <w:rPr>
      <w:sz w:val="20"/>
      <w:szCs w:val="20"/>
    </w:rPr>
  </w:style>
  <w:style w:type="paragraph" w:styleId="Obsah7">
    <w:name w:val="toc 7"/>
    <w:basedOn w:val="Normln"/>
    <w:next w:val="Normln"/>
    <w:autoRedefine/>
    <w:uiPriority w:val="39"/>
    <w:unhideWhenUsed/>
    <w:rsid w:val="00F1688F"/>
    <w:pPr>
      <w:spacing w:after="0"/>
      <w:ind w:left="1100"/>
    </w:pPr>
    <w:rPr>
      <w:sz w:val="20"/>
      <w:szCs w:val="20"/>
    </w:rPr>
  </w:style>
  <w:style w:type="paragraph" w:styleId="Obsah8">
    <w:name w:val="toc 8"/>
    <w:basedOn w:val="Normln"/>
    <w:next w:val="Normln"/>
    <w:autoRedefine/>
    <w:uiPriority w:val="39"/>
    <w:unhideWhenUsed/>
    <w:rsid w:val="00F1688F"/>
    <w:pPr>
      <w:spacing w:after="0"/>
      <w:ind w:left="1320"/>
    </w:pPr>
    <w:rPr>
      <w:sz w:val="20"/>
      <w:szCs w:val="20"/>
    </w:rPr>
  </w:style>
  <w:style w:type="paragraph" w:styleId="Obsah9">
    <w:name w:val="toc 9"/>
    <w:basedOn w:val="Normln"/>
    <w:next w:val="Normln"/>
    <w:autoRedefine/>
    <w:uiPriority w:val="39"/>
    <w:unhideWhenUsed/>
    <w:rsid w:val="00F1688F"/>
    <w:pPr>
      <w:spacing w:after="0"/>
      <w:ind w:left="1540"/>
    </w:pPr>
    <w:rPr>
      <w:sz w:val="20"/>
      <w:szCs w:val="20"/>
    </w:rPr>
  </w:style>
  <w:style w:type="character" w:styleId="Zstupntext">
    <w:name w:val="Placeholder Text"/>
    <w:basedOn w:val="Standardnpsmoodstavce"/>
    <w:uiPriority w:val="99"/>
    <w:semiHidden/>
    <w:rsid w:val="00825500"/>
    <w:rPr>
      <w:color w:val="808080"/>
    </w:rPr>
  </w:style>
  <w:style w:type="paragraph" w:customStyle="1" w:styleId="Default">
    <w:name w:val="Default"/>
    <w:rsid w:val="008E7169"/>
    <w:pPr>
      <w:autoSpaceDE w:val="0"/>
      <w:autoSpaceDN w:val="0"/>
      <w:adjustRightInd w:val="0"/>
      <w:spacing w:after="0" w:line="240" w:lineRule="auto"/>
    </w:pPr>
    <w:rPr>
      <w:rFonts w:ascii="Calibri" w:hAnsi="Calibri" w:cs="Calibri"/>
      <w:color w:val="000000"/>
      <w:sz w:val="24"/>
      <w:szCs w:val="24"/>
    </w:rPr>
  </w:style>
  <w:style w:type="paragraph" w:styleId="Textpoznpodarou">
    <w:name w:val="footnote text"/>
    <w:basedOn w:val="Normln"/>
    <w:link w:val="TextpoznpodarouChar"/>
    <w:uiPriority w:val="99"/>
    <w:semiHidden/>
    <w:unhideWhenUsed/>
    <w:rsid w:val="008C192E"/>
    <w:pPr>
      <w:spacing w:after="0" w:line="240" w:lineRule="auto"/>
    </w:pPr>
    <w:rPr>
      <w:sz w:val="20"/>
      <w:szCs w:val="20"/>
    </w:rPr>
  </w:style>
  <w:style w:type="character" w:customStyle="1" w:styleId="TextpoznpodarouChar">
    <w:name w:val="Text pozn. pod čarou Char"/>
    <w:basedOn w:val="Standardnpsmoodstavce"/>
    <w:link w:val="Textpoznpodarou"/>
    <w:uiPriority w:val="99"/>
    <w:semiHidden/>
    <w:rsid w:val="008C192E"/>
    <w:rPr>
      <w:sz w:val="20"/>
      <w:szCs w:val="20"/>
    </w:rPr>
  </w:style>
  <w:style w:type="character" w:styleId="Znakapoznpodarou">
    <w:name w:val="footnote reference"/>
    <w:basedOn w:val="Standardnpsmoodstavce"/>
    <w:uiPriority w:val="99"/>
    <w:semiHidden/>
    <w:unhideWhenUsed/>
    <w:rsid w:val="008C192E"/>
    <w:rPr>
      <w:vertAlign w:val="superscript"/>
    </w:rPr>
  </w:style>
  <w:style w:type="paragraph" w:customStyle="1" w:styleId="vrokpododstavec">
    <w:name w:val="výrok_pododstavec"/>
    <w:basedOn w:val="Normln"/>
    <w:next w:val="Normln"/>
    <w:link w:val="vrokpododstavecChar"/>
    <w:qFormat/>
    <w:rsid w:val="009137C1"/>
    <w:pPr>
      <w:numPr>
        <w:numId w:val="10"/>
      </w:numPr>
      <w:suppressAutoHyphens/>
      <w:spacing w:before="60" w:after="60" w:line="240" w:lineRule="auto"/>
      <w:outlineLvl w:val="0"/>
    </w:pPr>
    <w:rPr>
      <w:rFonts w:ascii="Calibri" w:eastAsia="Times New Roman" w:hAnsi="Calibri" w:cs="Times New Roman"/>
      <w:sz w:val="18"/>
      <w:szCs w:val="24"/>
      <w:lang w:eastAsia="ar-SA"/>
    </w:rPr>
  </w:style>
  <w:style w:type="character" w:customStyle="1" w:styleId="vrokpododstavecChar">
    <w:name w:val="výrok_pododstavec Char"/>
    <w:link w:val="vrokpododstavec"/>
    <w:rsid w:val="009137C1"/>
    <w:rPr>
      <w:rFonts w:ascii="Calibri" w:eastAsia="Times New Roman" w:hAnsi="Calibri" w:cs="Times New Roman"/>
      <w:sz w:val="18"/>
      <w:szCs w:val="24"/>
      <w:lang w:eastAsia="ar-SA"/>
    </w:rPr>
  </w:style>
  <w:style w:type="paragraph" w:customStyle="1" w:styleId="podminkyc">
    <w:name w:val="podminky_c"/>
    <w:basedOn w:val="Normln"/>
    <w:link w:val="podminkycChar"/>
    <w:qFormat/>
    <w:rsid w:val="00E01E26"/>
    <w:pPr>
      <w:numPr>
        <w:numId w:val="11"/>
      </w:numPr>
      <w:suppressAutoHyphens/>
      <w:spacing w:before="120" w:after="120" w:line="240" w:lineRule="auto"/>
      <w:jc w:val="both"/>
    </w:pPr>
    <w:rPr>
      <w:rFonts w:ascii="Calibri" w:eastAsia="Times New Roman" w:hAnsi="Calibri" w:cs="Arial"/>
      <w:bCs/>
      <w:sz w:val="18"/>
      <w:szCs w:val="20"/>
      <w:lang w:eastAsia="cs-CZ"/>
    </w:rPr>
  </w:style>
  <w:style w:type="character" w:customStyle="1" w:styleId="podminkycChar">
    <w:name w:val="podminky_c Char"/>
    <w:basedOn w:val="Standardnpsmoodstavce"/>
    <w:link w:val="podminkyc"/>
    <w:rsid w:val="00E01E26"/>
    <w:rPr>
      <w:rFonts w:ascii="Calibri" w:eastAsia="Times New Roman" w:hAnsi="Calibri" w:cs="Arial"/>
      <w:bCs/>
      <w:sz w:val="18"/>
      <w:szCs w:val="20"/>
      <w:lang w:eastAsia="cs-CZ"/>
    </w:rPr>
  </w:style>
  <w:style w:type="paragraph" w:customStyle="1" w:styleId="Styl4">
    <w:name w:val="Styl4"/>
    <w:basedOn w:val="Odstavecseseznamem"/>
    <w:link w:val="Styl4Char"/>
    <w:qFormat/>
    <w:rsid w:val="00B119A7"/>
    <w:pPr>
      <w:numPr>
        <w:numId w:val="12"/>
      </w:numPr>
      <w:suppressAutoHyphens/>
      <w:spacing w:after="0" w:line="240" w:lineRule="auto"/>
      <w:jc w:val="both"/>
    </w:pPr>
    <w:rPr>
      <w:rFonts w:eastAsia="Times New Roman" w:cs="Times New Roman"/>
      <w:b/>
      <w:sz w:val="18"/>
      <w:szCs w:val="24"/>
      <w:lang w:eastAsia="ar-SA"/>
    </w:rPr>
  </w:style>
  <w:style w:type="character" w:customStyle="1" w:styleId="Styl4Char">
    <w:name w:val="Styl4 Char"/>
    <w:basedOn w:val="Standardnpsmoodstavce"/>
    <w:link w:val="Styl4"/>
    <w:rsid w:val="00B119A7"/>
    <w:rPr>
      <w:rFonts w:eastAsia="Times New Roman" w:cs="Times New Roman"/>
      <w:b/>
      <w:sz w:val="18"/>
      <w:szCs w:val="24"/>
      <w:lang w:eastAsia="ar-SA"/>
    </w:rPr>
  </w:style>
  <w:style w:type="paragraph" w:customStyle="1" w:styleId="podminkyvyuziti">
    <w:name w:val="podminky_vyuziti"/>
    <w:basedOn w:val="Normln"/>
    <w:link w:val="podminkyvyuzitiChar"/>
    <w:qFormat/>
    <w:rsid w:val="00B119A7"/>
    <w:pPr>
      <w:numPr>
        <w:numId w:val="14"/>
      </w:numPr>
      <w:suppressAutoHyphens/>
      <w:spacing w:before="120" w:after="120" w:line="240" w:lineRule="auto"/>
      <w:jc w:val="both"/>
    </w:pPr>
    <w:rPr>
      <w:rFonts w:ascii="Calibri" w:eastAsia="Times New Roman" w:hAnsi="Calibri" w:cs="Arial"/>
      <w:bCs/>
      <w:sz w:val="18"/>
      <w:szCs w:val="20"/>
      <w:lang w:eastAsia="cs-CZ"/>
    </w:rPr>
  </w:style>
  <w:style w:type="paragraph" w:customStyle="1" w:styleId="nazvyvyuziti">
    <w:name w:val="nazvy_vyuziti"/>
    <w:basedOn w:val="Normln"/>
    <w:link w:val="nazvyvyuzitiChar"/>
    <w:qFormat/>
    <w:rsid w:val="00B119A7"/>
    <w:pPr>
      <w:numPr>
        <w:numId w:val="13"/>
      </w:numPr>
      <w:suppressAutoHyphens/>
      <w:spacing w:before="120" w:after="120" w:line="240" w:lineRule="auto"/>
      <w:jc w:val="both"/>
    </w:pPr>
    <w:rPr>
      <w:rFonts w:ascii="Calibri" w:eastAsia="Times New Roman" w:hAnsi="Calibri" w:cs="Arial"/>
      <w:b/>
      <w:bCs/>
      <w:sz w:val="18"/>
      <w:szCs w:val="20"/>
      <w:u w:val="single"/>
      <w:lang w:eastAsia="cs-CZ"/>
    </w:rPr>
  </w:style>
  <w:style w:type="character" w:customStyle="1" w:styleId="podminkyvyuzitiChar">
    <w:name w:val="podminky_vyuziti Char"/>
    <w:basedOn w:val="Standardnpsmoodstavce"/>
    <w:link w:val="podminkyvyuziti"/>
    <w:rsid w:val="00B119A7"/>
    <w:rPr>
      <w:rFonts w:ascii="Calibri" w:eastAsia="Times New Roman" w:hAnsi="Calibri" w:cs="Arial"/>
      <w:bCs/>
      <w:sz w:val="18"/>
      <w:szCs w:val="20"/>
      <w:lang w:eastAsia="cs-CZ"/>
    </w:rPr>
  </w:style>
  <w:style w:type="character" w:customStyle="1" w:styleId="nazvyvyuzitiChar">
    <w:name w:val="nazvy_vyuziti Char"/>
    <w:basedOn w:val="Standardnpsmoodstavce"/>
    <w:link w:val="nazvyvyuziti"/>
    <w:rsid w:val="00B119A7"/>
    <w:rPr>
      <w:rFonts w:ascii="Calibri" w:eastAsia="Times New Roman" w:hAnsi="Calibri" w:cs="Arial"/>
      <w:b/>
      <w:bCs/>
      <w:sz w:val="18"/>
      <w:szCs w:val="20"/>
      <w:u w:val="single"/>
      <w:lang w:eastAsia="cs-CZ"/>
    </w:rPr>
  </w:style>
  <w:style w:type="paragraph" w:customStyle="1" w:styleId="podminkyb">
    <w:name w:val="podminky_b"/>
    <w:basedOn w:val="Normln"/>
    <w:link w:val="podminkybChar"/>
    <w:qFormat/>
    <w:rsid w:val="00B119A7"/>
    <w:pPr>
      <w:numPr>
        <w:numId w:val="15"/>
      </w:numPr>
      <w:suppressAutoHyphens/>
      <w:spacing w:before="120" w:after="120" w:line="240" w:lineRule="auto"/>
      <w:jc w:val="both"/>
    </w:pPr>
    <w:rPr>
      <w:rFonts w:ascii="Calibri" w:eastAsia="Times New Roman" w:hAnsi="Calibri" w:cs="Arial"/>
      <w:bCs/>
      <w:sz w:val="18"/>
      <w:szCs w:val="20"/>
      <w:lang w:eastAsia="cs-CZ"/>
    </w:rPr>
  </w:style>
  <w:style w:type="character" w:customStyle="1" w:styleId="podminkybChar">
    <w:name w:val="podminky_b Char"/>
    <w:basedOn w:val="Standardnpsmoodstavce"/>
    <w:link w:val="podminkyb"/>
    <w:rsid w:val="00B119A7"/>
    <w:rPr>
      <w:rFonts w:ascii="Calibri" w:eastAsia="Times New Roman" w:hAnsi="Calibri" w:cs="Arial"/>
      <w:bCs/>
      <w:sz w:val="18"/>
      <w:szCs w:val="20"/>
      <w:lang w:eastAsia="cs-CZ"/>
    </w:rPr>
  </w:style>
  <w:style w:type="paragraph" w:customStyle="1" w:styleId="podminkyd">
    <w:name w:val="podminky_d"/>
    <w:basedOn w:val="Normln"/>
    <w:link w:val="podminkydChar"/>
    <w:qFormat/>
    <w:rsid w:val="00B119A7"/>
    <w:pPr>
      <w:numPr>
        <w:numId w:val="16"/>
      </w:numPr>
      <w:suppressAutoHyphens/>
      <w:spacing w:before="120" w:after="120" w:line="240" w:lineRule="auto"/>
      <w:jc w:val="both"/>
    </w:pPr>
    <w:rPr>
      <w:rFonts w:ascii="Calibri" w:eastAsia="Times New Roman" w:hAnsi="Calibri" w:cs="Arial"/>
      <w:bCs/>
      <w:sz w:val="18"/>
      <w:szCs w:val="20"/>
      <w:lang w:eastAsia="cs-CZ"/>
    </w:rPr>
  </w:style>
  <w:style w:type="paragraph" w:customStyle="1" w:styleId="podminkye">
    <w:name w:val="podminky_e"/>
    <w:basedOn w:val="Normln"/>
    <w:link w:val="podminkyeChar"/>
    <w:qFormat/>
    <w:rsid w:val="00B119A7"/>
    <w:pPr>
      <w:numPr>
        <w:numId w:val="17"/>
      </w:numPr>
      <w:suppressAutoHyphens/>
      <w:spacing w:before="120" w:after="120" w:line="240" w:lineRule="auto"/>
      <w:jc w:val="both"/>
    </w:pPr>
    <w:rPr>
      <w:rFonts w:ascii="Calibri" w:eastAsia="Times New Roman" w:hAnsi="Calibri" w:cs="Arial"/>
      <w:bCs/>
      <w:sz w:val="18"/>
      <w:szCs w:val="20"/>
      <w:lang w:eastAsia="cs-CZ"/>
    </w:rPr>
  </w:style>
  <w:style w:type="character" w:customStyle="1" w:styleId="podminkydChar">
    <w:name w:val="podminky_d Char"/>
    <w:basedOn w:val="Standardnpsmoodstavce"/>
    <w:link w:val="podminkyd"/>
    <w:rsid w:val="00B119A7"/>
    <w:rPr>
      <w:rFonts w:ascii="Calibri" w:eastAsia="Times New Roman" w:hAnsi="Calibri" w:cs="Arial"/>
      <w:bCs/>
      <w:sz w:val="18"/>
      <w:szCs w:val="20"/>
      <w:lang w:eastAsia="cs-CZ"/>
    </w:rPr>
  </w:style>
  <w:style w:type="character" w:customStyle="1" w:styleId="podminkyeChar">
    <w:name w:val="podminky_e Char"/>
    <w:basedOn w:val="Standardnpsmoodstavce"/>
    <w:link w:val="podminkye"/>
    <w:rsid w:val="00B119A7"/>
    <w:rPr>
      <w:rFonts w:ascii="Calibri" w:eastAsia="Times New Roman" w:hAnsi="Calibri" w:cs="Arial"/>
      <w:bCs/>
      <w:sz w:val="18"/>
      <w:szCs w:val="20"/>
      <w:lang w:eastAsia="cs-CZ"/>
    </w:rPr>
  </w:style>
  <w:style w:type="paragraph" w:customStyle="1" w:styleId="Norml">
    <w:name w:val="Normál"/>
    <w:basedOn w:val="Normln"/>
    <w:link w:val="NormlChar"/>
    <w:qFormat/>
    <w:rsid w:val="006645B5"/>
    <w:pPr>
      <w:suppressAutoHyphens/>
      <w:spacing w:before="120" w:after="120" w:line="240" w:lineRule="auto"/>
      <w:ind w:firstLine="720"/>
      <w:jc w:val="both"/>
    </w:pPr>
    <w:rPr>
      <w:rFonts w:ascii="Calibri" w:eastAsia="Times New Roman" w:hAnsi="Calibri" w:cs="Arial"/>
      <w:bCs/>
      <w:sz w:val="18"/>
      <w:szCs w:val="20"/>
      <w:lang w:eastAsia="cs-CZ"/>
    </w:rPr>
  </w:style>
  <w:style w:type="character" w:customStyle="1" w:styleId="NormlChar">
    <w:name w:val="Normál Char"/>
    <w:basedOn w:val="Standardnpsmoodstavce"/>
    <w:link w:val="Norml"/>
    <w:rsid w:val="006645B5"/>
    <w:rPr>
      <w:rFonts w:ascii="Calibri" w:eastAsia="Times New Roman" w:hAnsi="Calibri" w:cs="Arial"/>
      <w:bCs/>
      <w:sz w:val="18"/>
      <w:szCs w:val="20"/>
      <w:lang w:eastAsia="cs-CZ"/>
    </w:rPr>
  </w:style>
  <w:style w:type="paragraph" w:styleId="Bezmezer">
    <w:name w:val="No Spacing"/>
    <w:basedOn w:val="Normln"/>
    <w:link w:val="BezmezerChar"/>
    <w:uiPriority w:val="1"/>
    <w:qFormat/>
    <w:rsid w:val="00252D88"/>
    <w:pPr>
      <w:spacing w:after="0" w:line="240" w:lineRule="auto"/>
      <w:jc w:val="both"/>
    </w:pPr>
    <w:rPr>
      <w:rFonts w:eastAsiaTheme="majorEastAsia" w:cstheme="majorBidi"/>
      <w:sz w:val="18"/>
      <w:lang w:val="en-US" w:bidi="en-US"/>
    </w:rPr>
  </w:style>
  <w:style w:type="character" w:customStyle="1" w:styleId="BezmezerChar">
    <w:name w:val="Bez mezer Char"/>
    <w:basedOn w:val="Standardnpsmoodstavce"/>
    <w:link w:val="Bezmezer"/>
    <w:uiPriority w:val="1"/>
    <w:rsid w:val="00252D88"/>
    <w:rPr>
      <w:rFonts w:eastAsiaTheme="majorEastAsia" w:cstheme="majorBidi"/>
      <w:sz w:val="18"/>
      <w:lang w:val="en-US" w:bidi="en-US"/>
    </w:rPr>
  </w:style>
  <w:style w:type="paragraph" w:customStyle="1" w:styleId="Atext">
    <w:name w:val="A_text"/>
    <w:basedOn w:val="Zkladntext2"/>
    <w:link w:val="AtextChar"/>
    <w:qFormat/>
    <w:rsid w:val="008C5CB0"/>
    <w:pPr>
      <w:suppressAutoHyphens/>
      <w:spacing w:before="120" w:line="240" w:lineRule="auto"/>
      <w:ind w:firstLine="709"/>
      <w:jc w:val="both"/>
    </w:pPr>
    <w:rPr>
      <w:rFonts w:ascii="Calibri" w:eastAsia="Times New Roman" w:hAnsi="Calibri" w:cs="Times New Roman"/>
      <w:bCs/>
      <w:iCs/>
      <w:sz w:val="18"/>
      <w:szCs w:val="20"/>
      <w:lang w:eastAsia="ar-SA"/>
    </w:rPr>
  </w:style>
  <w:style w:type="paragraph" w:customStyle="1" w:styleId="Anadpispodtren">
    <w:name w:val="A_nadpis podtržený"/>
    <w:basedOn w:val="Normln"/>
    <w:link w:val="AnadpispodtrenChar"/>
    <w:qFormat/>
    <w:rsid w:val="008C5CB0"/>
    <w:pPr>
      <w:keepNext/>
      <w:suppressAutoHyphens/>
      <w:spacing w:before="120" w:after="120" w:line="240" w:lineRule="auto"/>
      <w:jc w:val="both"/>
    </w:pPr>
    <w:rPr>
      <w:rFonts w:ascii="Calibri" w:eastAsia="Times New Roman" w:hAnsi="Calibri" w:cs="Times New Roman"/>
      <w:sz w:val="18"/>
      <w:szCs w:val="20"/>
      <w:u w:val="single"/>
      <w:lang w:eastAsia="ar-SA"/>
    </w:rPr>
  </w:style>
  <w:style w:type="character" w:customStyle="1" w:styleId="AnadpispodtrenChar">
    <w:name w:val="A_nadpis podtržený Char"/>
    <w:link w:val="Anadpispodtren"/>
    <w:rsid w:val="008C5CB0"/>
    <w:rPr>
      <w:rFonts w:ascii="Calibri" w:eastAsia="Times New Roman" w:hAnsi="Calibri" w:cs="Times New Roman"/>
      <w:sz w:val="18"/>
      <w:szCs w:val="20"/>
      <w:u w:val="single"/>
      <w:lang w:eastAsia="ar-SA"/>
    </w:rPr>
  </w:style>
  <w:style w:type="paragraph" w:customStyle="1" w:styleId="Import1">
    <w:name w:val="Import 1"/>
    <w:basedOn w:val="Normln"/>
    <w:rsid w:val="008C5CB0"/>
    <w:pPr>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suppressAutoHyphens/>
      <w:spacing w:after="0" w:line="228" w:lineRule="auto"/>
    </w:pPr>
    <w:rPr>
      <w:rFonts w:ascii="Arial" w:eastAsia="Times New Roman" w:hAnsi="Arial" w:cs="Times New Roman"/>
      <w:sz w:val="24"/>
      <w:szCs w:val="20"/>
      <w:lang w:eastAsia="ar-SA"/>
    </w:rPr>
  </w:style>
  <w:style w:type="character" w:customStyle="1" w:styleId="OdstavecseseznamemChar">
    <w:name w:val="Odstavec se seznamem Char"/>
    <w:aliases w:val="Odrazka_body Char"/>
    <w:link w:val="Odstavecseseznamem"/>
    <w:uiPriority w:val="34"/>
    <w:rsid w:val="00315222"/>
  </w:style>
  <w:style w:type="paragraph" w:styleId="Zkladntext">
    <w:name w:val="Body Text"/>
    <w:basedOn w:val="Normln"/>
    <w:link w:val="ZkladntextChar"/>
    <w:rsid w:val="00365276"/>
    <w:pPr>
      <w:suppressAutoHyphens/>
      <w:spacing w:after="120" w:line="240" w:lineRule="auto"/>
    </w:pPr>
    <w:rPr>
      <w:rFonts w:ascii="Times New Roman" w:eastAsia="Times New Roman" w:hAnsi="Times New Roman" w:cs="Times New Roman"/>
      <w:sz w:val="24"/>
      <w:szCs w:val="24"/>
      <w:lang w:eastAsia="ar-SA"/>
    </w:rPr>
  </w:style>
  <w:style w:type="character" w:customStyle="1" w:styleId="ZkladntextChar">
    <w:name w:val="Základní text Char"/>
    <w:basedOn w:val="Standardnpsmoodstavce"/>
    <w:link w:val="Zkladntext"/>
    <w:rsid w:val="00365276"/>
    <w:rPr>
      <w:rFonts w:ascii="Times New Roman" w:eastAsia="Times New Roman" w:hAnsi="Times New Roman" w:cs="Times New Roman"/>
      <w:sz w:val="24"/>
      <w:szCs w:val="24"/>
      <w:lang w:eastAsia="ar-SA"/>
    </w:rPr>
  </w:style>
  <w:style w:type="paragraph" w:customStyle="1" w:styleId="WW-Zkladntextodsazen31">
    <w:name w:val="WW-Základní text odsazený 31"/>
    <w:basedOn w:val="Normln"/>
    <w:rsid w:val="00365276"/>
    <w:pPr>
      <w:suppressAutoHyphens/>
      <w:spacing w:before="120" w:after="0" w:line="240" w:lineRule="auto"/>
      <w:ind w:firstLine="708"/>
      <w:jc w:val="both"/>
    </w:pPr>
    <w:rPr>
      <w:rFonts w:ascii="Arial" w:eastAsia="Times New Roman" w:hAnsi="Arial" w:cs="Times New Roman"/>
      <w:sz w:val="20"/>
      <w:szCs w:val="20"/>
      <w:lang w:eastAsia="ar-SA"/>
    </w:rPr>
  </w:style>
  <w:style w:type="paragraph" w:customStyle="1" w:styleId="Anadpistun">
    <w:name w:val="A_nadpis tučný"/>
    <w:basedOn w:val="Normln"/>
    <w:link w:val="AnadpistunChar"/>
    <w:qFormat/>
    <w:rsid w:val="00365276"/>
    <w:pPr>
      <w:keepNext/>
      <w:keepLines/>
      <w:suppressAutoHyphens/>
      <w:spacing w:before="120" w:after="120" w:line="240" w:lineRule="auto"/>
      <w:jc w:val="both"/>
    </w:pPr>
    <w:rPr>
      <w:rFonts w:ascii="Calibri" w:eastAsia="Times New Roman" w:hAnsi="Calibri" w:cs="Times New Roman"/>
      <w:b/>
      <w:sz w:val="18"/>
      <w:szCs w:val="20"/>
      <w:lang w:eastAsia="ar-SA"/>
    </w:rPr>
  </w:style>
  <w:style w:type="character" w:customStyle="1" w:styleId="AnadpistunChar">
    <w:name w:val="A_nadpis tučný Char"/>
    <w:link w:val="Anadpistun"/>
    <w:rsid w:val="00365276"/>
    <w:rPr>
      <w:rFonts w:ascii="Calibri" w:eastAsia="Times New Roman" w:hAnsi="Calibri" w:cs="Times New Roman"/>
      <w:b/>
      <w:sz w:val="18"/>
      <w:szCs w:val="20"/>
      <w:lang w:eastAsia="ar-SA"/>
    </w:rPr>
  </w:style>
  <w:style w:type="character" w:customStyle="1" w:styleId="ReakceChar">
    <w:name w:val="Reakce Char"/>
    <w:link w:val="Reakce"/>
    <w:locked/>
    <w:rsid w:val="00C40BA9"/>
    <w:rPr>
      <w:rFonts w:ascii="Calibri" w:hAnsi="Calibri"/>
      <w:sz w:val="18"/>
      <w:szCs w:val="18"/>
      <w:lang w:eastAsia="ar-SA"/>
    </w:rPr>
  </w:style>
  <w:style w:type="paragraph" w:customStyle="1" w:styleId="Reakce">
    <w:name w:val="Reakce"/>
    <w:basedOn w:val="Normln"/>
    <w:link w:val="ReakceChar"/>
    <w:qFormat/>
    <w:rsid w:val="00C40BA9"/>
    <w:pPr>
      <w:pBdr>
        <w:left w:val="single" w:sz="12" w:space="4" w:color="BFBFBF"/>
      </w:pBdr>
      <w:autoSpaceDE w:val="0"/>
      <w:autoSpaceDN w:val="0"/>
      <w:adjustRightInd w:val="0"/>
      <w:spacing w:before="60" w:after="0" w:line="240" w:lineRule="auto"/>
      <w:jc w:val="both"/>
    </w:pPr>
    <w:rPr>
      <w:rFonts w:ascii="Calibri" w:hAnsi="Calibri"/>
      <w:sz w:val="18"/>
      <w:szCs w:val="18"/>
      <w:lang w:eastAsia="ar-SA"/>
    </w:rPr>
  </w:style>
  <w:style w:type="character" w:customStyle="1" w:styleId="WW8Num9z0">
    <w:name w:val="WW8Num9z0"/>
    <w:rsid w:val="00984216"/>
    <w:rPr>
      <w:rFonts w:ascii="Wingdings" w:hAnsi="Wingdings"/>
    </w:rPr>
  </w:style>
  <w:style w:type="character" w:styleId="Odkaznakoment">
    <w:name w:val="annotation reference"/>
    <w:basedOn w:val="Standardnpsmoodstavce"/>
    <w:uiPriority w:val="99"/>
    <w:semiHidden/>
    <w:unhideWhenUsed/>
    <w:rsid w:val="00F93C66"/>
    <w:rPr>
      <w:sz w:val="16"/>
      <w:szCs w:val="16"/>
    </w:rPr>
  </w:style>
  <w:style w:type="paragraph" w:styleId="Textkomente">
    <w:name w:val="annotation text"/>
    <w:basedOn w:val="Normln"/>
    <w:link w:val="TextkomenteChar"/>
    <w:uiPriority w:val="99"/>
    <w:unhideWhenUsed/>
    <w:rsid w:val="00F93C66"/>
    <w:pPr>
      <w:spacing w:line="240" w:lineRule="auto"/>
    </w:pPr>
    <w:rPr>
      <w:sz w:val="20"/>
      <w:szCs w:val="20"/>
    </w:rPr>
  </w:style>
  <w:style w:type="character" w:customStyle="1" w:styleId="TextkomenteChar">
    <w:name w:val="Text komentáře Char"/>
    <w:basedOn w:val="Standardnpsmoodstavce"/>
    <w:link w:val="Textkomente"/>
    <w:uiPriority w:val="99"/>
    <w:rsid w:val="00F93C66"/>
    <w:rPr>
      <w:sz w:val="20"/>
      <w:szCs w:val="20"/>
    </w:rPr>
  </w:style>
  <w:style w:type="paragraph" w:styleId="Pedmtkomente">
    <w:name w:val="annotation subject"/>
    <w:basedOn w:val="Textkomente"/>
    <w:next w:val="Textkomente"/>
    <w:link w:val="PedmtkomenteChar"/>
    <w:uiPriority w:val="99"/>
    <w:semiHidden/>
    <w:unhideWhenUsed/>
    <w:rsid w:val="00F93C66"/>
    <w:rPr>
      <w:b/>
      <w:bCs/>
    </w:rPr>
  </w:style>
  <w:style w:type="character" w:customStyle="1" w:styleId="PedmtkomenteChar">
    <w:name w:val="Předmět komentáře Char"/>
    <w:basedOn w:val="TextkomenteChar"/>
    <w:link w:val="Pedmtkomente"/>
    <w:uiPriority w:val="99"/>
    <w:semiHidden/>
    <w:rsid w:val="00F93C66"/>
    <w:rPr>
      <w:b/>
      <w:bCs/>
      <w:sz w:val="20"/>
      <w:szCs w:val="20"/>
    </w:rPr>
  </w:style>
  <w:style w:type="paragraph" w:customStyle="1" w:styleId="Mra-REAKCE1">
    <w:name w:val="Míra-REAKCE1"/>
    <w:basedOn w:val="Normln"/>
    <w:link w:val="Mra-REAKCE1Char"/>
    <w:qFormat/>
    <w:rsid w:val="00BD79E4"/>
    <w:pPr>
      <w:pBdr>
        <w:left w:val="single" w:sz="12" w:space="4" w:color="BFBFBF"/>
      </w:pBdr>
      <w:autoSpaceDE w:val="0"/>
      <w:autoSpaceDN w:val="0"/>
      <w:adjustRightInd w:val="0"/>
      <w:spacing w:after="0" w:line="240" w:lineRule="auto"/>
      <w:ind w:left="709"/>
      <w:jc w:val="both"/>
    </w:pPr>
    <w:rPr>
      <w:rFonts w:ascii="Calibri" w:eastAsia="Times New Roman" w:hAnsi="Calibri" w:cs="Times New Roman"/>
      <w:color w:val="FF0000"/>
      <w:sz w:val="18"/>
      <w:szCs w:val="18"/>
      <w:lang w:eastAsia="ar-SA"/>
    </w:rPr>
  </w:style>
  <w:style w:type="character" w:customStyle="1" w:styleId="Mra-REAKCE1Char">
    <w:name w:val="Míra-REAKCE1 Char"/>
    <w:link w:val="Mra-REAKCE1"/>
    <w:rsid w:val="00BD79E4"/>
    <w:rPr>
      <w:rFonts w:ascii="Calibri" w:eastAsia="Times New Roman" w:hAnsi="Calibri" w:cs="Times New Roman"/>
      <w:color w:val="FF0000"/>
      <w:sz w:val="18"/>
      <w:szCs w:val="18"/>
      <w:lang w:eastAsia="ar-SA"/>
    </w:rPr>
  </w:style>
  <w:style w:type="numbering" w:customStyle="1" w:styleId="StylP1">
    <w:name w:val="Styl_P1"/>
    <w:uiPriority w:val="99"/>
    <w:rsid w:val="00BD79E4"/>
    <w:pPr>
      <w:numPr>
        <w:numId w:val="22"/>
      </w:numPr>
    </w:pPr>
  </w:style>
  <w:style w:type="character" w:customStyle="1" w:styleId="Nadpis1Char">
    <w:name w:val="Nadpis 1 Char"/>
    <w:basedOn w:val="Standardnpsmoodstavce"/>
    <w:link w:val="Nadpis1"/>
    <w:uiPriority w:val="9"/>
    <w:rsid w:val="00FE1E54"/>
    <w:rPr>
      <w:rFonts w:asciiTheme="majorHAnsi" w:eastAsiaTheme="majorEastAsia" w:hAnsiTheme="majorHAnsi" w:cstheme="majorBidi"/>
      <w:b/>
      <w:bCs/>
      <w:color w:val="2E74B5" w:themeColor="accent1" w:themeShade="BF"/>
      <w:sz w:val="28"/>
      <w:szCs w:val="28"/>
    </w:rPr>
  </w:style>
  <w:style w:type="paragraph" w:customStyle="1" w:styleId="Atextkurzva">
    <w:name w:val="A_text kurzíva"/>
    <w:basedOn w:val="Normln"/>
    <w:qFormat/>
    <w:rsid w:val="00FD256E"/>
    <w:pPr>
      <w:suppressAutoHyphens/>
      <w:spacing w:before="120" w:after="120" w:line="240" w:lineRule="auto"/>
      <w:jc w:val="both"/>
    </w:pPr>
    <w:rPr>
      <w:rFonts w:ascii="Calibri" w:eastAsia="Times New Roman" w:hAnsi="Calibri" w:cs="Arial"/>
      <w:i/>
      <w:sz w:val="18"/>
      <w:szCs w:val="20"/>
      <w:lang w:eastAsia="ar-SA"/>
    </w:rPr>
  </w:style>
  <w:style w:type="paragraph" w:customStyle="1" w:styleId="Anadpiskurzva">
    <w:name w:val="A_nadpis kurzíva"/>
    <w:basedOn w:val="Normln"/>
    <w:qFormat/>
    <w:rsid w:val="00E92BC7"/>
    <w:pPr>
      <w:keepNext/>
      <w:suppressAutoHyphens/>
      <w:spacing w:before="120" w:after="120" w:line="240" w:lineRule="auto"/>
      <w:jc w:val="both"/>
    </w:pPr>
    <w:rPr>
      <w:rFonts w:ascii="Calibri" w:eastAsia="Times New Roman" w:hAnsi="Calibri" w:cs="Arial"/>
      <w:i/>
      <w:sz w:val="18"/>
      <w:szCs w:val="20"/>
      <w:lang w:eastAsia="ar-SA"/>
    </w:rPr>
  </w:style>
  <w:style w:type="character" w:customStyle="1" w:styleId="Nadpis2Char">
    <w:name w:val="Nadpis 2 Char"/>
    <w:basedOn w:val="Standardnpsmoodstavce"/>
    <w:link w:val="Nadpis2"/>
    <w:uiPriority w:val="9"/>
    <w:semiHidden/>
    <w:rsid w:val="00974B9D"/>
    <w:rPr>
      <w:rFonts w:asciiTheme="majorHAnsi" w:eastAsiaTheme="majorEastAsia" w:hAnsiTheme="majorHAnsi" w:cstheme="majorBidi"/>
      <w:b/>
      <w:bCs/>
      <w:color w:val="5B9BD5" w:themeColor="accent1"/>
      <w:sz w:val="26"/>
      <w:szCs w:val="26"/>
    </w:rPr>
  </w:style>
  <w:style w:type="paragraph" w:styleId="Zkladntextodsazen3">
    <w:name w:val="Body Text Indent 3"/>
    <w:basedOn w:val="Normln"/>
    <w:link w:val="Zkladntextodsazen3Char"/>
    <w:uiPriority w:val="99"/>
    <w:unhideWhenUsed/>
    <w:rsid w:val="00DF25D1"/>
    <w:pPr>
      <w:spacing w:after="120"/>
      <w:ind w:left="283"/>
    </w:pPr>
    <w:rPr>
      <w:sz w:val="16"/>
      <w:szCs w:val="16"/>
    </w:rPr>
  </w:style>
  <w:style w:type="character" w:customStyle="1" w:styleId="Zkladntextodsazen3Char">
    <w:name w:val="Základní text odsazený 3 Char"/>
    <w:basedOn w:val="Standardnpsmoodstavce"/>
    <w:link w:val="Zkladntextodsazen3"/>
    <w:uiPriority w:val="99"/>
    <w:rsid w:val="00DF25D1"/>
    <w:rPr>
      <w:sz w:val="16"/>
      <w:szCs w:val="16"/>
    </w:rPr>
  </w:style>
  <w:style w:type="character" w:customStyle="1" w:styleId="Nadpis3Char">
    <w:name w:val="Nadpis 3 Char"/>
    <w:basedOn w:val="Standardnpsmoodstavce"/>
    <w:link w:val="Nadpis3"/>
    <w:uiPriority w:val="9"/>
    <w:semiHidden/>
    <w:rsid w:val="00F747F5"/>
    <w:rPr>
      <w:rFonts w:asciiTheme="majorHAnsi" w:eastAsiaTheme="majorEastAsia" w:hAnsiTheme="majorHAnsi" w:cstheme="majorBidi"/>
      <w:b/>
      <w:bCs/>
      <w:color w:val="5B9BD5" w:themeColor="accent1"/>
    </w:rPr>
  </w:style>
  <w:style w:type="paragraph" w:customStyle="1" w:styleId="MBpramen">
    <w:name w:val="MB pramen"/>
    <w:basedOn w:val="Normln"/>
    <w:rsid w:val="00567339"/>
    <w:pPr>
      <w:spacing w:after="0" w:line="240" w:lineRule="auto"/>
      <w:jc w:val="both"/>
    </w:pPr>
    <w:rPr>
      <w:rFonts w:ascii="Times New Roman" w:eastAsia="Times New Roman" w:hAnsi="Times New Roman" w:cs="Times New Roman"/>
      <w:sz w:val="20"/>
      <w:szCs w:val="20"/>
      <w:lang w:eastAsia="cs-CZ"/>
    </w:rPr>
  </w:style>
  <w:style w:type="character" w:styleId="Nevyeenzmnka">
    <w:name w:val="Unresolved Mention"/>
    <w:basedOn w:val="Standardnpsmoodstavce"/>
    <w:uiPriority w:val="99"/>
    <w:semiHidden/>
    <w:unhideWhenUsed/>
    <w:rsid w:val="00A02C4E"/>
    <w:rPr>
      <w:color w:val="808080"/>
      <w:shd w:val="clear" w:color="auto" w:fill="E6E6E6"/>
    </w:rPr>
  </w:style>
  <w:style w:type="character" w:customStyle="1" w:styleId="Nadpis8Char">
    <w:name w:val="Nadpis 8 Char"/>
    <w:basedOn w:val="Standardnpsmoodstavce"/>
    <w:link w:val="Nadpis8"/>
    <w:uiPriority w:val="9"/>
    <w:semiHidden/>
    <w:rsid w:val="000306C5"/>
    <w:rPr>
      <w:rFonts w:asciiTheme="majorHAnsi" w:eastAsiaTheme="majorEastAsia" w:hAnsiTheme="majorHAnsi" w:cstheme="majorBidi"/>
      <w:color w:val="272727" w:themeColor="text1" w:themeTint="D8"/>
      <w:sz w:val="21"/>
      <w:szCs w:val="21"/>
    </w:rPr>
  </w:style>
  <w:style w:type="character" w:customStyle="1" w:styleId="apple-converted-space">
    <w:name w:val="apple-converted-space"/>
    <w:basedOn w:val="Standardnpsmoodstavce"/>
    <w:rsid w:val="00E90389"/>
  </w:style>
  <w:style w:type="paragraph" w:customStyle="1" w:styleId="a">
    <w:uiPriority w:val="20"/>
    <w:qFormat/>
    <w:rsid w:val="00151744"/>
    <w:pPr>
      <w:suppressAutoHyphens/>
      <w:spacing w:after="0" w:line="240" w:lineRule="auto"/>
    </w:pPr>
    <w:rPr>
      <w:rFonts w:ascii="Times New Roman" w:eastAsia="Times New Roman" w:hAnsi="Times New Roman" w:cs="Times New Roman"/>
      <w:sz w:val="24"/>
      <w:szCs w:val="24"/>
      <w:lang w:eastAsia="ar-SA"/>
    </w:rPr>
  </w:style>
  <w:style w:type="character" w:styleId="Zdraznn">
    <w:name w:val="Emphasis"/>
    <w:basedOn w:val="Standardnpsmoodstavce"/>
    <w:uiPriority w:val="20"/>
    <w:qFormat/>
    <w:rsid w:val="00151744"/>
    <w:rPr>
      <w:i/>
      <w:iCs/>
    </w:rPr>
  </w:style>
  <w:style w:type="character" w:customStyle="1" w:styleId="Nadpis3Char0">
    <w:name w:val="Nadpis3 Char"/>
    <w:link w:val="Nadpis30"/>
    <w:locked/>
    <w:rsid w:val="0024056D"/>
    <w:rPr>
      <w:rFonts w:ascii="Calibri" w:hAnsi="Calibri"/>
      <w:b/>
      <w:bCs/>
      <w:sz w:val="18"/>
      <w:lang w:val="x-none" w:eastAsia="x-none"/>
    </w:rPr>
  </w:style>
  <w:style w:type="paragraph" w:customStyle="1" w:styleId="Nadpis30">
    <w:name w:val="Nadpis3"/>
    <w:basedOn w:val="Normln"/>
    <w:link w:val="Nadpis3Char0"/>
    <w:qFormat/>
    <w:rsid w:val="0024056D"/>
    <w:pPr>
      <w:keepNext/>
      <w:suppressAutoHyphens/>
      <w:spacing w:before="120" w:after="120" w:line="240" w:lineRule="auto"/>
      <w:jc w:val="both"/>
    </w:pPr>
    <w:rPr>
      <w:rFonts w:ascii="Calibri" w:hAnsi="Calibri"/>
      <w:b/>
      <w:bCs/>
      <w:sz w:val="18"/>
      <w:lang w:val="x-none" w:eastAsia="x-none"/>
    </w:rPr>
  </w:style>
  <w:style w:type="paragraph" w:customStyle="1" w:styleId="Import25">
    <w:name w:val="Import 25"/>
    <w:basedOn w:val="Normln"/>
    <w:rsid w:val="0024056D"/>
    <w:pPr>
      <w:tabs>
        <w:tab w:val="left" w:pos="5184"/>
      </w:tabs>
      <w:suppressAutoHyphens/>
      <w:spacing w:after="0" w:line="228" w:lineRule="auto"/>
    </w:pPr>
    <w:rPr>
      <w:rFonts w:ascii="Arial" w:eastAsia="Times New Roman" w:hAnsi="Arial" w:cs="Times New Roman"/>
      <w:sz w:val="24"/>
      <w:szCs w:val="20"/>
      <w:lang w:eastAsia="ar-SA"/>
    </w:rPr>
  </w:style>
  <w:style w:type="paragraph" w:customStyle="1" w:styleId="Import11">
    <w:name w:val="Import 11"/>
    <w:basedOn w:val="Normln"/>
    <w:rsid w:val="00213A5E"/>
    <w:pPr>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suppressAutoHyphens/>
      <w:spacing w:after="0" w:line="228" w:lineRule="auto"/>
      <w:ind w:left="144"/>
    </w:pPr>
    <w:rPr>
      <w:rFonts w:ascii="Arial" w:eastAsia="Times New Roman" w:hAnsi="Arial" w:cs="Times New Roman"/>
      <w:sz w:val="24"/>
      <w:szCs w:val="20"/>
      <w:lang w:eastAsia="ar-SA"/>
    </w:rPr>
  </w:style>
  <w:style w:type="paragraph" w:customStyle="1" w:styleId="Poznmka">
    <w:name w:val="Poznámka"/>
    <w:basedOn w:val="Normln"/>
    <w:link w:val="PoznmkaChar"/>
    <w:qFormat/>
    <w:rsid w:val="009E5E88"/>
    <w:pPr>
      <w:spacing w:before="60" w:after="60" w:line="240" w:lineRule="auto"/>
      <w:jc w:val="both"/>
    </w:pPr>
    <w:rPr>
      <w:rFonts w:ascii="Calibri" w:eastAsia="Calibri" w:hAnsi="Calibri" w:cs="Times New Roman"/>
      <w:i/>
      <w:sz w:val="18"/>
      <w:lang w:val="x-none"/>
    </w:rPr>
  </w:style>
  <w:style w:type="character" w:customStyle="1" w:styleId="PoznmkaChar">
    <w:name w:val="Poznámka Char"/>
    <w:link w:val="Poznmka"/>
    <w:rsid w:val="009E5E88"/>
    <w:rPr>
      <w:rFonts w:ascii="Calibri" w:eastAsia="Calibri" w:hAnsi="Calibri" w:cs="Times New Roman"/>
      <w:i/>
      <w:sz w:val="18"/>
      <w:lang w:val="x-none"/>
    </w:rPr>
  </w:style>
  <w:style w:type="paragraph" w:customStyle="1" w:styleId="UPnadpis5">
    <w:name w:val="UP_nadpis5"/>
    <w:basedOn w:val="Normln"/>
    <w:next w:val="Normln"/>
    <w:qFormat/>
    <w:rsid w:val="00374649"/>
    <w:pPr>
      <w:spacing w:before="240" w:after="120" w:line="240" w:lineRule="auto"/>
      <w:jc w:val="both"/>
    </w:pPr>
    <w:rPr>
      <w:b/>
    </w:rPr>
  </w:style>
  <w:style w:type="paragraph" w:customStyle="1" w:styleId="citace">
    <w:name w:val="citace"/>
    <w:basedOn w:val="Normln"/>
    <w:qFormat/>
    <w:rsid w:val="00374649"/>
    <w:pPr>
      <w:pBdr>
        <w:left w:val="single" w:sz="24" w:space="4" w:color="595959" w:themeColor="text1" w:themeTint="A6"/>
      </w:pBdr>
      <w:shd w:val="clear" w:color="auto" w:fill="FFFFFF" w:themeFill="background1"/>
      <w:spacing w:before="120" w:after="120" w:line="240" w:lineRule="auto"/>
      <w:ind w:left="340" w:right="340"/>
      <w:jc w:val="both"/>
    </w:pPr>
    <w:rPr>
      <w:i/>
      <w:color w:val="262626" w:themeColor="text1" w:themeTint="D9"/>
      <w:sz w:val="20"/>
    </w:rPr>
  </w:style>
  <w:style w:type="character" w:styleId="Sledovanodkaz">
    <w:name w:val="FollowedHyperlink"/>
    <w:basedOn w:val="Standardnpsmoodstavce"/>
    <w:uiPriority w:val="99"/>
    <w:semiHidden/>
    <w:unhideWhenUsed/>
    <w:rsid w:val="00CF1108"/>
    <w:rPr>
      <w:color w:val="954F72"/>
      <w:u w:val="single"/>
    </w:rPr>
  </w:style>
  <w:style w:type="paragraph" w:customStyle="1" w:styleId="msonormal0">
    <w:name w:val="msonormal"/>
    <w:basedOn w:val="Normln"/>
    <w:rsid w:val="00CF1108"/>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xl63">
    <w:name w:val="xl63"/>
    <w:basedOn w:val="Normln"/>
    <w:rsid w:val="00CF1108"/>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xl64">
    <w:name w:val="xl64"/>
    <w:basedOn w:val="Normln"/>
    <w:rsid w:val="00CF11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alibri Light" w:eastAsia="Times New Roman" w:hAnsi="Calibri Light" w:cs="Calibri Light"/>
      <w:sz w:val="18"/>
      <w:szCs w:val="18"/>
      <w:lang w:eastAsia="cs-CZ"/>
    </w:rPr>
  </w:style>
  <w:style w:type="paragraph" w:customStyle="1" w:styleId="xl65">
    <w:name w:val="xl65"/>
    <w:basedOn w:val="Normln"/>
    <w:rsid w:val="00CF110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Light" w:eastAsia="Times New Roman" w:hAnsi="Calibri Light" w:cs="Calibri Light"/>
      <w:sz w:val="18"/>
      <w:szCs w:val="18"/>
      <w:lang w:eastAsia="cs-CZ"/>
    </w:rPr>
  </w:style>
  <w:style w:type="paragraph" w:customStyle="1" w:styleId="xl66">
    <w:name w:val="xl66"/>
    <w:basedOn w:val="Normln"/>
    <w:rsid w:val="00CF110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Light" w:eastAsia="Times New Roman" w:hAnsi="Calibri Light" w:cs="Calibri Light"/>
      <w:sz w:val="18"/>
      <w:szCs w:val="18"/>
      <w:lang w:eastAsia="cs-CZ"/>
    </w:rPr>
  </w:style>
  <w:style w:type="paragraph" w:customStyle="1" w:styleId="xl67">
    <w:name w:val="xl67"/>
    <w:basedOn w:val="Normln"/>
    <w:rsid w:val="00CF11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alibri Light" w:eastAsia="Times New Roman" w:hAnsi="Calibri Light" w:cs="Calibri Light"/>
      <w:sz w:val="18"/>
      <w:szCs w:val="18"/>
      <w:lang w:eastAsia="cs-CZ"/>
    </w:rPr>
  </w:style>
  <w:style w:type="paragraph" w:customStyle="1" w:styleId="xl68">
    <w:name w:val="xl68"/>
    <w:basedOn w:val="Normln"/>
    <w:rsid w:val="00CF11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alibri Light" w:eastAsia="Times New Roman" w:hAnsi="Calibri Light" w:cs="Calibri Light"/>
      <w:sz w:val="18"/>
      <w:szCs w:val="18"/>
      <w:lang w:eastAsia="cs-CZ"/>
    </w:rPr>
  </w:style>
  <w:style w:type="paragraph" w:customStyle="1" w:styleId="xl69">
    <w:name w:val="xl69"/>
    <w:basedOn w:val="Normln"/>
    <w:rsid w:val="00CF110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Light" w:eastAsia="Times New Roman" w:hAnsi="Calibri Light" w:cs="Calibri Light"/>
      <w:sz w:val="18"/>
      <w:szCs w:val="18"/>
      <w:lang w:eastAsia="cs-CZ"/>
    </w:rPr>
  </w:style>
  <w:style w:type="paragraph" w:customStyle="1" w:styleId="xl70">
    <w:name w:val="xl70"/>
    <w:basedOn w:val="Normln"/>
    <w:rsid w:val="00CF110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Light" w:eastAsia="Times New Roman" w:hAnsi="Calibri Light" w:cs="Calibri Light"/>
      <w:sz w:val="18"/>
      <w:szCs w:val="18"/>
      <w:lang w:eastAsia="cs-CZ"/>
    </w:rPr>
  </w:style>
  <w:style w:type="paragraph" w:customStyle="1" w:styleId="xl71">
    <w:name w:val="xl71"/>
    <w:basedOn w:val="Normln"/>
    <w:rsid w:val="00CF110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Light" w:eastAsia="Times New Roman" w:hAnsi="Calibri Light" w:cs="Calibri Light"/>
      <w:sz w:val="18"/>
      <w:szCs w:val="18"/>
      <w:lang w:eastAsia="cs-CZ"/>
    </w:rPr>
  </w:style>
  <w:style w:type="paragraph" w:customStyle="1" w:styleId="xl72">
    <w:name w:val="xl72"/>
    <w:basedOn w:val="Normln"/>
    <w:rsid w:val="00CF1108"/>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line="240" w:lineRule="auto"/>
    </w:pPr>
    <w:rPr>
      <w:rFonts w:ascii="Calibri Light" w:eastAsia="Times New Roman" w:hAnsi="Calibri Light" w:cs="Calibri Light"/>
      <w:sz w:val="18"/>
      <w:szCs w:val="18"/>
      <w:lang w:eastAsia="cs-CZ"/>
    </w:rPr>
  </w:style>
  <w:style w:type="paragraph" w:customStyle="1" w:styleId="xl73">
    <w:name w:val="xl73"/>
    <w:basedOn w:val="Normln"/>
    <w:rsid w:val="00CF110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Light" w:eastAsia="Times New Roman" w:hAnsi="Calibri Light" w:cs="Calibri Light"/>
      <w:sz w:val="18"/>
      <w:szCs w:val="18"/>
      <w:lang w:eastAsia="cs-CZ"/>
    </w:rPr>
  </w:style>
  <w:style w:type="paragraph" w:customStyle="1" w:styleId="xl74">
    <w:name w:val="xl74"/>
    <w:basedOn w:val="Normln"/>
    <w:rsid w:val="00CF110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Light" w:eastAsia="Times New Roman" w:hAnsi="Calibri Light" w:cs="Calibri Light"/>
      <w:sz w:val="18"/>
      <w:szCs w:val="18"/>
      <w:lang w:eastAsia="cs-CZ"/>
    </w:rPr>
  </w:style>
  <w:style w:type="paragraph" w:customStyle="1" w:styleId="xl75">
    <w:name w:val="xl75"/>
    <w:basedOn w:val="Normln"/>
    <w:rsid w:val="00CF110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Light" w:eastAsia="Times New Roman" w:hAnsi="Calibri Light" w:cs="Calibri Light"/>
      <w:sz w:val="18"/>
      <w:szCs w:val="18"/>
      <w:lang w:eastAsia="cs-CZ"/>
    </w:rPr>
  </w:style>
  <w:style w:type="paragraph" w:customStyle="1" w:styleId="xl76">
    <w:name w:val="xl76"/>
    <w:basedOn w:val="Normln"/>
    <w:rsid w:val="00CF11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alibri Light" w:eastAsia="Times New Roman" w:hAnsi="Calibri Light" w:cs="Calibri Light"/>
      <w:sz w:val="18"/>
      <w:szCs w:val="18"/>
      <w:lang w:eastAsia="cs-CZ"/>
    </w:rPr>
  </w:style>
  <w:style w:type="paragraph" w:customStyle="1" w:styleId="xl77">
    <w:name w:val="xl77"/>
    <w:basedOn w:val="Normln"/>
    <w:rsid w:val="00CF110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Light" w:eastAsia="Times New Roman" w:hAnsi="Calibri Light" w:cs="Calibri Light"/>
      <w:b/>
      <w:bCs/>
      <w:sz w:val="18"/>
      <w:szCs w:val="18"/>
      <w:lang w:eastAsia="cs-CZ"/>
    </w:rPr>
  </w:style>
  <w:style w:type="character" w:customStyle="1" w:styleId="AtextChar">
    <w:name w:val="A_text Char"/>
    <w:basedOn w:val="Zkladntext2Char"/>
    <w:link w:val="Atext"/>
    <w:rsid w:val="00BA0668"/>
    <w:rPr>
      <w:rFonts w:ascii="Calibri" w:eastAsia="Times New Roman" w:hAnsi="Calibri" w:cs="Times New Roman"/>
      <w:bCs/>
      <w:iCs/>
      <w:sz w:val="18"/>
      <w:szCs w:val="20"/>
      <w:lang w:eastAsia="ar-SA"/>
    </w:rPr>
  </w:style>
  <w:style w:type="paragraph" w:customStyle="1" w:styleId="ANADPIS4">
    <w:name w:val="A_NADPIS_4"/>
    <w:basedOn w:val="Anadpistun"/>
    <w:link w:val="ANADPIS4Char"/>
    <w:qFormat/>
    <w:rsid w:val="002D0BDA"/>
    <w:pPr>
      <w:shd w:val="clear" w:color="auto" w:fill="F2F2F2" w:themeFill="background1" w:themeFillShade="F2"/>
      <w:spacing w:before="240"/>
    </w:pPr>
    <w:rPr>
      <w:caps/>
      <w:sz w:val="20"/>
    </w:rPr>
  </w:style>
  <w:style w:type="character" w:customStyle="1" w:styleId="ANADPIS4Char">
    <w:name w:val="A_NADPIS_4 Char"/>
    <w:basedOn w:val="AnadpistunChar"/>
    <w:link w:val="ANADPIS4"/>
    <w:rsid w:val="002D0BDA"/>
    <w:rPr>
      <w:rFonts w:ascii="Calibri" w:eastAsia="Times New Roman" w:hAnsi="Calibri" w:cs="Times New Roman"/>
      <w:b/>
      <w:caps/>
      <w:sz w:val="20"/>
      <w:szCs w:val="20"/>
      <w:shd w:val="clear" w:color="auto" w:fill="F2F2F2" w:themeFill="background1" w:themeFillShade="F2"/>
      <w:lang w:eastAsia="ar-SA"/>
    </w:rPr>
  </w:style>
  <w:style w:type="table" w:customStyle="1" w:styleId="Mkatabulky2">
    <w:name w:val="Mřížka tabulky2"/>
    <w:basedOn w:val="Normlntabulka"/>
    <w:next w:val="Mkatabulky"/>
    <w:uiPriority w:val="59"/>
    <w:rsid w:val="002D0BD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NADPIS1">
    <w:name w:val="A_NADPIS_1"/>
    <w:basedOn w:val="Odstavecseseznamem"/>
    <w:qFormat/>
    <w:rsid w:val="000C5FD9"/>
    <w:pPr>
      <w:keepNext/>
      <w:keepLines/>
      <w:pBdr>
        <w:top w:val="single" w:sz="8" w:space="1" w:color="auto"/>
        <w:left w:val="single" w:sz="8" w:space="4" w:color="auto"/>
        <w:bottom w:val="single" w:sz="8" w:space="1" w:color="auto"/>
        <w:right w:val="single" w:sz="8" w:space="4" w:color="auto"/>
      </w:pBdr>
      <w:shd w:val="clear" w:color="auto" w:fill="F2F2F2" w:themeFill="background1" w:themeFillShade="F2"/>
      <w:tabs>
        <w:tab w:val="num" w:pos="360"/>
      </w:tabs>
      <w:spacing w:before="360" w:after="200" w:line="240" w:lineRule="auto"/>
      <w:contextualSpacing w:val="0"/>
      <w:jc w:val="both"/>
      <w:outlineLvl w:val="0"/>
    </w:pPr>
    <w:rPr>
      <w:rFonts w:cstheme="minorHAnsi"/>
      <w:b/>
      <w:sz w:val="24"/>
      <w:szCs w:val="28"/>
    </w:rPr>
  </w:style>
  <w:style w:type="paragraph" w:customStyle="1" w:styleId="ANADPIS2">
    <w:name w:val="A_NADPIS_2"/>
    <w:basedOn w:val="Odstavecseseznamem"/>
    <w:qFormat/>
    <w:rsid w:val="000C5FD9"/>
    <w:pPr>
      <w:keepNext/>
      <w:keepLines/>
      <w:tabs>
        <w:tab w:val="num" w:pos="360"/>
      </w:tabs>
      <w:spacing w:before="240" w:after="120" w:line="240" w:lineRule="auto"/>
      <w:contextualSpacing w:val="0"/>
      <w:outlineLvl w:val="1"/>
    </w:pPr>
    <w:rPr>
      <w:rFonts w:cstheme="minorHAnsi"/>
      <w:b/>
      <w:sz w:val="24"/>
      <w:szCs w:val="20"/>
    </w:rPr>
  </w:style>
  <w:style w:type="paragraph" w:customStyle="1" w:styleId="ANADPIS3">
    <w:name w:val="A_NADPIS_3"/>
    <w:basedOn w:val="Odstavecseseznamem"/>
    <w:link w:val="ANADPIS3Char"/>
    <w:qFormat/>
    <w:rsid w:val="000C5FD9"/>
    <w:pPr>
      <w:keepNext/>
      <w:spacing w:before="160" w:after="120" w:line="240" w:lineRule="auto"/>
      <w:ind w:left="709" w:hanging="709"/>
      <w:contextualSpacing w:val="0"/>
      <w:outlineLvl w:val="2"/>
    </w:pPr>
    <w:rPr>
      <w:rFonts w:cstheme="minorHAnsi"/>
      <w:b/>
    </w:rPr>
  </w:style>
  <w:style w:type="character" w:customStyle="1" w:styleId="ANADPIS3Char">
    <w:name w:val="A_NADPIS_3 Char"/>
    <w:basedOn w:val="Standardnpsmoodstavce"/>
    <w:link w:val="ANADPIS3"/>
    <w:rsid w:val="000C5FD9"/>
    <w:rPr>
      <w:rFonts w:cstheme="minorHAnsi"/>
      <w:b/>
    </w:rPr>
  </w:style>
  <w:style w:type="paragraph" w:styleId="Revize">
    <w:name w:val="Revision"/>
    <w:hidden/>
    <w:uiPriority w:val="99"/>
    <w:semiHidden/>
    <w:rsid w:val="00E9244D"/>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915640">
      <w:bodyDiv w:val="1"/>
      <w:marLeft w:val="0"/>
      <w:marRight w:val="0"/>
      <w:marTop w:val="0"/>
      <w:marBottom w:val="0"/>
      <w:divBdr>
        <w:top w:val="none" w:sz="0" w:space="0" w:color="auto"/>
        <w:left w:val="none" w:sz="0" w:space="0" w:color="auto"/>
        <w:bottom w:val="none" w:sz="0" w:space="0" w:color="auto"/>
        <w:right w:val="none" w:sz="0" w:space="0" w:color="auto"/>
      </w:divBdr>
    </w:div>
    <w:div w:id="11731383">
      <w:bodyDiv w:val="1"/>
      <w:marLeft w:val="0"/>
      <w:marRight w:val="0"/>
      <w:marTop w:val="0"/>
      <w:marBottom w:val="0"/>
      <w:divBdr>
        <w:top w:val="none" w:sz="0" w:space="0" w:color="auto"/>
        <w:left w:val="none" w:sz="0" w:space="0" w:color="auto"/>
        <w:bottom w:val="none" w:sz="0" w:space="0" w:color="auto"/>
        <w:right w:val="none" w:sz="0" w:space="0" w:color="auto"/>
      </w:divBdr>
    </w:div>
    <w:div w:id="16080738">
      <w:bodyDiv w:val="1"/>
      <w:marLeft w:val="0"/>
      <w:marRight w:val="0"/>
      <w:marTop w:val="0"/>
      <w:marBottom w:val="0"/>
      <w:divBdr>
        <w:top w:val="none" w:sz="0" w:space="0" w:color="auto"/>
        <w:left w:val="none" w:sz="0" w:space="0" w:color="auto"/>
        <w:bottom w:val="none" w:sz="0" w:space="0" w:color="auto"/>
        <w:right w:val="none" w:sz="0" w:space="0" w:color="auto"/>
      </w:divBdr>
    </w:div>
    <w:div w:id="18044819">
      <w:bodyDiv w:val="1"/>
      <w:marLeft w:val="0"/>
      <w:marRight w:val="0"/>
      <w:marTop w:val="0"/>
      <w:marBottom w:val="0"/>
      <w:divBdr>
        <w:top w:val="none" w:sz="0" w:space="0" w:color="auto"/>
        <w:left w:val="none" w:sz="0" w:space="0" w:color="auto"/>
        <w:bottom w:val="none" w:sz="0" w:space="0" w:color="auto"/>
        <w:right w:val="none" w:sz="0" w:space="0" w:color="auto"/>
      </w:divBdr>
    </w:div>
    <w:div w:id="36861264">
      <w:bodyDiv w:val="1"/>
      <w:marLeft w:val="0"/>
      <w:marRight w:val="0"/>
      <w:marTop w:val="0"/>
      <w:marBottom w:val="0"/>
      <w:divBdr>
        <w:top w:val="none" w:sz="0" w:space="0" w:color="auto"/>
        <w:left w:val="none" w:sz="0" w:space="0" w:color="auto"/>
        <w:bottom w:val="none" w:sz="0" w:space="0" w:color="auto"/>
        <w:right w:val="none" w:sz="0" w:space="0" w:color="auto"/>
      </w:divBdr>
    </w:div>
    <w:div w:id="42411634">
      <w:bodyDiv w:val="1"/>
      <w:marLeft w:val="0"/>
      <w:marRight w:val="0"/>
      <w:marTop w:val="0"/>
      <w:marBottom w:val="0"/>
      <w:divBdr>
        <w:top w:val="none" w:sz="0" w:space="0" w:color="auto"/>
        <w:left w:val="none" w:sz="0" w:space="0" w:color="auto"/>
        <w:bottom w:val="none" w:sz="0" w:space="0" w:color="auto"/>
        <w:right w:val="none" w:sz="0" w:space="0" w:color="auto"/>
      </w:divBdr>
    </w:div>
    <w:div w:id="50009685">
      <w:bodyDiv w:val="1"/>
      <w:marLeft w:val="0"/>
      <w:marRight w:val="0"/>
      <w:marTop w:val="0"/>
      <w:marBottom w:val="0"/>
      <w:divBdr>
        <w:top w:val="none" w:sz="0" w:space="0" w:color="auto"/>
        <w:left w:val="none" w:sz="0" w:space="0" w:color="auto"/>
        <w:bottom w:val="none" w:sz="0" w:space="0" w:color="auto"/>
        <w:right w:val="none" w:sz="0" w:space="0" w:color="auto"/>
      </w:divBdr>
    </w:div>
    <w:div w:id="61831665">
      <w:bodyDiv w:val="1"/>
      <w:marLeft w:val="0"/>
      <w:marRight w:val="0"/>
      <w:marTop w:val="0"/>
      <w:marBottom w:val="0"/>
      <w:divBdr>
        <w:top w:val="none" w:sz="0" w:space="0" w:color="auto"/>
        <w:left w:val="none" w:sz="0" w:space="0" w:color="auto"/>
        <w:bottom w:val="none" w:sz="0" w:space="0" w:color="auto"/>
        <w:right w:val="none" w:sz="0" w:space="0" w:color="auto"/>
      </w:divBdr>
    </w:div>
    <w:div w:id="85662307">
      <w:bodyDiv w:val="1"/>
      <w:marLeft w:val="0"/>
      <w:marRight w:val="0"/>
      <w:marTop w:val="0"/>
      <w:marBottom w:val="0"/>
      <w:divBdr>
        <w:top w:val="none" w:sz="0" w:space="0" w:color="auto"/>
        <w:left w:val="none" w:sz="0" w:space="0" w:color="auto"/>
        <w:bottom w:val="none" w:sz="0" w:space="0" w:color="auto"/>
        <w:right w:val="none" w:sz="0" w:space="0" w:color="auto"/>
      </w:divBdr>
    </w:div>
    <w:div w:id="86266754">
      <w:bodyDiv w:val="1"/>
      <w:marLeft w:val="0"/>
      <w:marRight w:val="0"/>
      <w:marTop w:val="0"/>
      <w:marBottom w:val="0"/>
      <w:divBdr>
        <w:top w:val="none" w:sz="0" w:space="0" w:color="auto"/>
        <w:left w:val="none" w:sz="0" w:space="0" w:color="auto"/>
        <w:bottom w:val="none" w:sz="0" w:space="0" w:color="auto"/>
        <w:right w:val="none" w:sz="0" w:space="0" w:color="auto"/>
      </w:divBdr>
    </w:div>
    <w:div w:id="97797851">
      <w:bodyDiv w:val="1"/>
      <w:marLeft w:val="0"/>
      <w:marRight w:val="0"/>
      <w:marTop w:val="0"/>
      <w:marBottom w:val="0"/>
      <w:divBdr>
        <w:top w:val="none" w:sz="0" w:space="0" w:color="auto"/>
        <w:left w:val="none" w:sz="0" w:space="0" w:color="auto"/>
        <w:bottom w:val="none" w:sz="0" w:space="0" w:color="auto"/>
        <w:right w:val="none" w:sz="0" w:space="0" w:color="auto"/>
      </w:divBdr>
    </w:div>
    <w:div w:id="104886336">
      <w:bodyDiv w:val="1"/>
      <w:marLeft w:val="0"/>
      <w:marRight w:val="0"/>
      <w:marTop w:val="0"/>
      <w:marBottom w:val="0"/>
      <w:divBdr>
        <w:top w:val="none" w:sz="0" w:space="0" w:color="auto"/>
        <w:left w:val="none" w:sz="0" w:space="0" w:color="auto"/>
        <w:bottom w:val="none" w:sz="0" w:space="0" w:color="auto"/>
        <w:right w:val="none" w:sz="0" w:space="0" w:color="auto"/>
      </w:divBdr>
    </w:div>
    <w:div w:id="107624099">
      <w:bodyDiv w:val="1"/>
      <w:marLeft w:val="0"/>
      <w:marRight w:val="0"/>
      <w:marTop w:val="0"/>
      <w:marBottom w:val="0"/>
      <w:divBdr>
        <w:top w:val="none" w:sz="0" w:space="0" w:color="auto"/>
        <w:left w:val="none" w:sz="0" w:space="0" w:color="auto"/>
        <w:bottom w:val="none" w:sz="0" w:space="0" w:color="auto"/>
        <w:right w:val="none" w:sz="0" w:space="0" w:color="auto"/>
      </w:divBdr>
    </w:div>
    <w:div w:id="110248617">
      <w:bodyDiv w:val="1"/>
      <w:marLeft w:val="0"/>
      <w:marRight w:val="0"/>
      <w:marTop w:val="0"/>
      <w:marBottom w:val="0"/>
      <w:divBdr>
        <w:top w:val="none" w:sz="0" w:space="0" w:color="auto"/>
        <w:left w:val="none" w:sz="0" w:space="0" w:color="auto"/>
        <w:bottom w:val="none" w:sz="0" w:space="0" w:color="auto"/>
        <w:right w:val="none" w:sz="0" w:space="0" w:color="auto"/>
      </w:divBdr>
    </w:div>
    <w:div w:id="112597626">
      <w:bodyDiv w:val="1"/>
      <w:marLeft w:val="0"/>
      <w:marRight w:val="0"/>
      <w:marTop w:val="0"/>
      <w:marBottom w:val="0"/>
      <w:divBdr>
        <w:top w:val="none" w:sz="0" w:space="0" w:color="auto"/>
        <w:left w:val="none" w:sz="0" w:space="0" w:color="auto"/>
        <w:bottom w:val="none" w:sz="0" w:space="0" w:color="auto"/>
        <w:right w:val="none" w:sz="0" w:space="0" w:color="auto"/>
      </w:divBdr>
    </w:div>
    <w:div w:id="127818134">
      <w:bodyDiv w:val="1"/>
      <w:marLeft w:val="0"/>
      <w:marRight w:val="0"/>
      <w:marTop w:val="0"/>
      <w:marBottom w:val="0"/>
      <w:divBdr>
        <w:top w:val="none" w:sz="0" w:space="0" w:color="auto"/>
        <w:left w:val="none" w:sz="0" w:space="0" w:color="auto"/>
        <w:bottom w:val="none" w:sz="0" w:space="0" w:color="auto"/>
        <w:right w:val="none" w:sz="0" w:space="0" w:color="auto"/>
      </w:divBdr>
    </w:div>
    <w:div w:id="130363248">
      <w:bodyDiv w:val="1"/>
      <w:marLeft w:val="0"/>
      <w:marRight w:val="0"/>
      <w:marTop w:val="0"/>
      <w:marBottom w:val="0"/>
      <w:divBdr>
        <w:top w:val="none" w:sz="0" w:space="0" w:color="auto"/>
        <w:left w:val="none" w:sz="0" w:space="0" w:color="auto"/>
        <w:bottom w:val="none" w:sz="0" w:space="0" w:color="auto"/>
        <w:right w:val="none" w:sz="0" w:space="0" w:color="auto"/>
      </w:divBdr>
    </w:div>
    <w:div w:id="137844273">
      <w:bodyDiv w:val="1"/>
      <w:marLeft w:val="0"/>
      <w:marRight w:val="0"/>
      <w:marTop w:val="0"/>
      <w:marBottom w:val="0"/>
      <w:divBdr>
        <w:top w:val="none" w:sz="0" w:space="0" w:color="auto"/>
        <w:left w:val="none" w:sz="0" w:space="0" w:color="auto"/>
        <w:bottom w:val="none" w:sz="0" w:space="0" w:color="auto"/>
        <w:right w:val="none" w:sz="0" w:space="0" w:color="auto"/>
      </w:divBdr>
    </w:div>
    <w:div w:id="143862236">
      <w:bodyDiv w:val="1"/>
      <w:marLeft w:val="0"/>
      <w:marRight w:val="0"/>
      <w:marTop w:val="0"/>
      <w:marBottom w:val="0"/>
      <w:divBdr>
        <w:top w:val="none" w:sz="0" w:space="0" w:color="auto"/>
        <w:left w:val="none" w:sz="0" w:space="0" w:color="auto"/>
        <w:bottom w:val="none" w:sz="0" w:space="0" w:color="auto"/>
        <w:right w:val="none" w:sz="0" w:space="0" w:color="auto"/>
      </w:divBdr>
    </w:div>
    <w:div w:id="149295097">
      <w:bodyDiv w:val="1"/>
      <w:marLeft w:val="0"/>
      <w:marRight w:val="0"/>
      <w:marTop w:val="0"/>
      <w:marBottom w:val="0"/>
      <w:divBdr>
        <w:top w:val="none" w:sz="0" w:space="0" w:color="auto"/>
        <w:left w:val="none" w:sz="0" w:space="0" w:color="auto"/>
        <w:bottom w:val="none" w:sz="0" w:space="0" w:color="auto"/>
        <w:right w:val="none" w:sz="0" w:space="0" w:color="auto"/>
      </w:divBdr>
    </w:div>
    <w:div w:id="153566477">
      <w:bodyDiv w:val="1"/>
      <w:marLeft w:val="0"/>
      <w:marRight w:val="0"/>
      <w:marTop w:val="0"/>
      <w:marBottom w:val="0"/>
      <w:divBdr>
        <w:top w:val="none" w:sz="0" w:space="0" w:color="auto"/>
        <w:left w:val="none" w:sz="0" w:space="0" w:color="auto"/>
        <w:bottom w:val="none" w:sz="0" w:space="0" w:color="auto"/>
        <w:right w:val="none" w:sz="0" w:space="0" w:color="auto"/>
      </w:divBdr>
    </w:div>
    <w:div w:id="159584333">
      <w:bodyDiv w:val="1"/>
      <w:marLeft w:val="0"/>
      <w:marRight w:val="0"/>
      <w:marTop w:val="0"/>
      <w:marBottom w:val="0"/>
      <w:divBdr>
        <w:top w:val="none" w:sz="0" w:space="0" w:color="auto"/>
        <w:left w:val="none" w:sz="0" w:space="0" w:color="auto"/>
        <w:bottom w:val="none" w:sz="0" w:space="0" w:color="auto"/>
        <w:right w:val="none" w:sz="0" w:space="0" w:color="auto"/>
      </w:divBdr>
    </w:div>
    <w:div w:id="173881795">
      <w:bodyDiv w:val="1"/>
      <w:marLeft w:val="0"/>
      <w:marRight w:val="0"/>
      <w:marTop w:val="0"/>
      <w:marBottom w:val="0"/>
      <w:divBdr>
        <w:top w:val="none" w:sz="0" w:space="0" w:color="auto"/>
        <w:left w:val="none" w:sz="0" w:space="0" w:color="auto"/>
        <w:bottom w:val="none" w:sz="0" w:space="0" w:color="auto"/>
        <w:right w:val="none" w:sz="0" w:space="0" w:color="auto"/>
      </w:divBdr>
    </w:div>
    <w:div w:id="179392751">
      <w:bodyDiv w:val="1"/>
      <w:marLeft w:val="0"/>
      <w:marRight w:val="0"/>
      <w:marTop w:val="0"/>
      <w:marBottom w:val="0"/>
      <w:divBdr>
        <w:top w:val="none" w:sz="0" w:space="0" w:color="auto"/>
        <w:left w:val="none" w:sz="0" w:space="0" w:color="auto"/>
        <w:bottom w:val="none" w:sz="0" w:space="0" w:color="auto"/>
        <w:right w:val="none" w:sz="0" w:space="0" w:color="auto"/>
      </w:divBdr>
    </w:div>
    <w:div w:id="183137626">
      <w:bodyDiv w:val="1"/>
      <w:marLeft w:val="0"/>
      <w:marRight w:val="0"/>
      <w:marTop w:val="0"/>
      <w:marBottom w:val="0"/>
      <w:divBdr>
        <w:top w:val="none" w:sz="0" w:space="0" w:color="auto"/>
        <w:left w:val="none" w:sz="0" w:space="0" w:color="auto"/>
        <w:bottom w:val="none" w:sz="0" w:space="0" w:color="auto"/>
        <w:right w:val="none" w:sz="0" w:space="0" w:color="auto"/>
      </w:divBdr>
    </w:div>
    <w:div w:id="185338551">
      <w:bodyDiv w:val="1"/>
      <w:marLeft w:val="0"/>
      <w:marRight w:val="0"/>
      <w:marTop w:val="0"/>
      <w:marBottom w:val="0"/>
      <w:divBdr>
        <w:top w:val="none" w:sz="0" w:space="0" w:color="auto"/>
        <w:left w:val="none" w:sz="0" w:space="0" w:color="auto"/>
        <w:bottom w:val="none" w:sz="0" w:space="0" w:color="auto"/>
        <w:right w:val="none" w:sz="0" w:space="0" w:color="auto"/>
      </w:divBdr>
    </w:div>
    <w:div w:id="188491551">
      <w:bodyDiv w:val="1"/>
      <w:marLeft w:val="0"/>
      <w:marRight w:val="0"/>
      <w:marTop w:val="0"/>
      <w:marBottom w:val="0"/>
      <w:divBdr>
        <w:top w:val="none" w:sz="0" w:space="0" w:color="auto"/>
        <w:left w:val="none" w:sz="0" w:space="0" w:color="auto"/>
        <w:bottom w:val="none" w:sz="0" w:space="0" w:color="auto"/>
        <w:right w:val="none" w:sz="0" w:space="0" w:color="auto"/>
      </w:divBdr>
    </w:div>
    <w:div w:id="202330161">
      <w:bodyDiv w:val="1"/>
      <w:marLeft w:val="0"/>
      <w:marRight w:val="0"/>
      <w:marTop w:val="0"/>
      <w:marBottom w:val="0"/>
      <w:divBdr>
        <w:top w:val="none" w:sz="0" w:space="0" w:color="auto"/>
        <w:left w:val="none" w:sz="0" w:space="0" w:color="auto"/>
        <w:bottom w:val="none" w:sz="0" w:space="0" w:color="auto"/>
        <w:right w:val="none" w:sz="0" w:space="0" w:color="auto"/>
      </w:divBdr>
    </w:div>
    <w:div w:id="218370741">
      <w:bodyDiv w:val="1"/>
      <w:marLeft w:val="0"/>
      <w:marRight w:val="0"/>
      <w:marTop w:val="0"/>
      <w:marBottom w:val="0"/>
      <w:divBdr>
        <w:top w:val="none" w:sz="0" w:space="0" w:color="auto"/>
        <w:left w:val="none" w:sz="0" w:space="0" w:color="auto"/>
        <w:bottom w:val="none" w:sz="0" w:space="0" w:color="auto"/>
        <w:right w:val="none" w:sz="0" w:space="0" w:color="auto"/>
      </w:divBdr>
    </w:div>
    <w:div w:id="237525549">
      <w:bodyDiv w:val="1"/>
      <w:marLeft w:val="0"/>
      <w:marRight w:val="0"/>
      <w:marTop w:val="0"/>
      <w:marBottom w:val="0"/>
      <w:divBdr>
        <w:top w:val="none" w:sz="0" w:space="0" w:color="auto"/>
        <w:left w:val="none" w:sz="0" w:space="0" w:color="auto"/>
        <w:bottom w:val="none" w:sz="0" w:space="0" w:color="auto"/>
        <w:right w:val="none" w:sz="0" w:space="0" w:color="auto"/>
      </w:divBdr>
    </w:div>
    <w:div w:id="239557349">
      <w:bodyDiv w:val="1"/>
      <w:marLeft w:val="0"/>
      <w:marRight w:val="0"/>
      <w:marTop w:val="0"/>
      <w:marBottom w:val="0"/>
      <w:divBdr>
        <w:top w:val="none" w:sz="0" w:space="0" w:color="auto"/>
        <w:left w:val="none" w:sz="0" w:space="0" w:color="auto"/>
        <w:bottom w:val="none" w:sz="0" w:space="0" w:color="auto"/>
        <w:right w:val="none" w:sz="0" w:space="0" w:color="auto"/>
      </w:divBdr>
    </w:div>
    <w:div w:id="246814944">
      <w:bodyDiv w:val="1"/>
      <w:marLeft w:val="0"/>
      <w:marRight w:val="0"/>
      <w:marTop w:val="0"/>
      <w:marBottom w:val="0"/>
      <w:divBdr>
        <w:top w:val="none" w:sz="0" w:space="0" w:color="auto"/>
        <w:left w:val="none" w:sz="0" w:space="0" w:color="auto"/>
        <w:bottom w:val="none" w:sz="0" w:space="0" w:color="auto"/>
        <w:right w:val="none" w:sz="0" w:space="0" w:color="auto"/>
      </w:divBdr>
    </w:div>
    <w:div w:id="249200427">
      <w:bodyDiv w:val="1"/>
      <w:marLeft w:val="0"/>
      <w:marRight w:val="0"/>
      <w:marTop w:val="0"/>
      <w:marBottom w:val="0"/>
      <w:divBdr>
        <w:top w:val="none" w:sz="0" w:space="0" w:color="auto"/>
        <w:left w:val="none" w:sz="0" w:space="0" w:color="auto"/>
        <w:bottom w:val="none" w:sz="0" w:space="0" w:color="auto"/>
        <w:right w:val="none" w:sz="0" w:space="0" w:color="auto"/>
      </w:divBdr>
    </w:div>
    <w:div w:id="250313496">
      <w:bodyDiv w:val="1"/>
      <w:marLeft w:val="0"/>
      <w:marRight w:val="0"/>
      <w:marTop w:val="0"/>
      <w:marBottom w:val="0"/>
      <w:divBdr>
        <w:top w:val="none" w:sz="0" w:space="0" w:color="auto"/>
        <w:left w:val="none" w:sz="0" w:space="0" w:color="auto"/>
        <w:bottom w:val="none" w:sz="0" w:space="0" w:color="auto"/>
        <w:right w:val="none" w:sz="0" w:space="0" w:color="auto"/>
      </w:divBdr>
    </w:div>
    <w:div w:id="266696317">
      <w:bodyDiv w:val="1"/>
      <w:marLeft w:val="0"/>
      <w:marRight w:val="0"/>
      <w:marTop w:val="0"/>
      <w:marBottom w:val="0"/>
      <w:divBdr>
        <w:top w:val="none" w:sz="0" w:space="0" w:color="auto"/>
        <w:left w:val="none" w:sz="0" w:space="0" w:color="auto"/>
        <w:bottom w:val="none" w:sz="0" w:space="0" w:color="auto"/>
        <w:right w:val="none" w:sz="0" w:space="0" w:color="auto"/>
      </w:divBdr>
    </w:div>
    <w:div w:id="271206685">
      <w:bodyDiv w:val="1"/>
      <w:marLeft w:val="0"/>
      <w:marRight w:val="0"/>
      <w:marTop w:val="0"/>
      <w:marBottom w:val="0"/>
      <w:divBdr>
        <w:top w:val="none" w:sz="0" w:space="0" w:color="auto"/>
        <w:left w:val="none" w:sz="0" w:space="0" w:color="auto"/>
        <w:bottom w:val="none" w:sz="0" w:space="0" w:color="auto"/>
        <w:right w:val="none" w:sz="0" w:space="0" w:color="auto"/>
      </w:divBdr>
    </w:div>
    <w:div w:id="271860493">
      <w:bodyDiv w:val="1"/>
      <w:marLeft w:val="0"/>
      <w:marRight w:val="0"/>
      <w:marTop w:val="0"/>
      <w:marBottom w:val="0"/>
      <w:divBdr>
        <w:top w:val="none" w:sz="0" w:space="0" w:color="auto"/>
        <w:left w:val="none" w:sz="0" w:space="0" w:color="auto"/>
        <w:bottom w:val="none" w:sz="0" w:space="0" w:color="auto"/>
        <w:right w:val="none" w:sz="0" w:space="0" w:color="auto"/>
      </w:divBdr>
    </w:div>
    <w:div w:id="276328519">
      <w:bodyDiv w:val="1"/>
      <w:marLeft w:val="0"/>
      <w:marRight w:val="0"/>
      <w:marTop w:val="0"/>
      <w:marBottom w:val="0"/>
      <w:divBdr>
        <w:top w:val="none" w:sz="0" w:space="0" w:color="auto"/>
        <w:left w:val="none" w:sz="0" w:space="0" w:color="auto"/>
        <w:bottom w:val="none" w:sz="0" w:space="0" w:color="auto"/>
        <w:right w:val="none" w:sz="0" w:space="0" w:color="auto"/>
      </w:divBdr>
    </w:div>
    <w:div w:id="276521191">
      <w:bodyDiv w:val="1"/>
      <w:marLeft w:val="0"/>
      <w:marRight w:val="0"/>
      <w:marTop w:val="0"/>
      <w:marBottom w:val="0"/>
      <w:divBdr>
        <w:top w:val="none" w:sz="0" w:space="0" w:color="auto"/>
        <w:left w:val="none" w:sz="0" w:space="0" w:color="auto"/>
        <w:bottom w:val="none" w:sz="0" w:space="0" w:color="auto"/>
        <w:right w:val="none" w:sz="0" w:space="0" w:color="auto"/>
      </w:divBdr>
    </w:div>
    <w:div w:id="280042140">
      <w:bodyDiv w:val="1"/>
      <w:marLeft w:val="0"/>
      <w:marRight w:val="0"/>
      <w:marTop w:val="0"/>
      <w:marBottom w:val="0"/>
      <w:divBdr>
        <w:top w:val="none" w:sz="0" w:space="0" w:color="auto"/>
        <w:left w:val="none" w:sz="0" w:space="0" w:color="auto"/>
        <w:bottom w:val="none" w:sz="0" w:space="0" w:color="auto"/>
        <w:right w:val="none" w:sz="0" w:space="0" w:color="auto"/>
      </w:divBdr>
    </w:div>
    <w:div w:id="292487886">
      <w:bodyDiv w:val="1"/>
      <w:marLeft w:val="0"/>
      <w:marRight w:val="0"/>
      <w:marTop w:val="0"/>
      <w:marBottom w:val="0"/>
      <w:divBdr>
        <w:top w:val="none" w:sz="0" w:space="0" w:color="auto"/>
        <w:left w:val="none" w:sz="0" w:space="0" w:color="auto"/>
        <w:bottom w:val="none" w:sz="0" w:space="0" w:color="auto"/>
        <w:right w:val="none" w:sz="0" w:space="0" w:color="auto"/>
      </w:divBdr>
    </w:div>
    <w:div w:id="308293708">
      <w:bodyDiv w:val="1"/>
      <w:marLeft w:val="0"/>
      <w:marRight w:val="0"/>
      <w:marTop w:val="0"/>
      <w:marBottom w:val="0"/>
      <w:divBdr>
        <w:top w:val="none" w:sz="0" w:space="0" w:color="auto"/>
        <w:left w:val="none" w:sz="0" w:space="0" w:color="auto"/>
        <w:bottom w:val="none" w:sz="0" w:space="0" w:color="auto"/>
        <w:right w:val="none" w:sz="0" w:space="0" w:color="auto"/>
      </w:divBdr>
    </w:div>
    <w:div w:id="320084740">
      <w:bodyDiv w:val="1"/>
      <w:marLeft w:val="0"/>
      <w:marRight w:val="0"/>
      <w:marTop w:val="0"/>
      <w:marBottom w:val="0"/>
      <w:divBdr>
        <w:top w:val="none" w:sz="0" w:space="0" w:color="auto"/>
        <w:left w:val="none" w:sz="0" w:space="0" w:color="auto"/>
        <w:bottom w:val="none" w:sz="0" w:space="0" w:color="auto"/>
        <w:right w:val="none" w:sz="0" w:space="0" w:color="auto"/>
      </w:divBdr>
    </w:div>
    <w:div w:id="322702498">
      <w:bodyDiv w:val="1"/>
      <w:marLeft w:val="0"/>
      <w:marRight w:val="0"/>
      <w:marTop w:val="0"/>
      <w:marBottom w:val="0"/>
      <w:divBdr>
        <w:top w:val="none" w:sz="0" w:space="0" w:color="auto"/>
        <w:left w:val="none" w:sz="0" w:space="0" w:color="auto"/>
        <w:bottom w:val="none" w:sz="0" w:space="0" w:color="auto"/>
        <w:right w:val="none" w:sz="0" w:space="0" w:color="auto"/>
      </w:divBdr>
    </w:div>
    <w:div w:id="343747359">
      <w:bodyDiv w:val="1"/>
      <w:marLeft w:val="0"/>
      <w:marRight w:val="0"/>
      <w:marTop w:val="0"/>
      <w:marBottom w:val="0"/>
      <w:divBdr>
        <w:top w:val="none" w:sz="0" w:space="0" w:color="auto"/>
        <w:left w:val="none" w:sz="0" w:space="0" w:color="auto"/>
        <w:bottom w:val="none" w:sz="0" w:space="0" w:color="auto"/>
        <w:right w:val="none" w:sz="0" w:space="0" w:color="auto"/>
      </w:divBdr>
    </w:div>
    <w:div w:id="345210018">
      <w:bodyDiv w:val="1"/>
      <w:marLeft w:val="0"/>
      <w:marRight w:val="0"/>
      <w:marTop w:val="0"/>
      <w:marBottom w:val="0"/>
      <w:divBdr>
        <w:top w:val="none" w:sz="0" w:space="0" w:color="auto"/>
        <w:left w:val="none" w:sz="0" w:space="0" w:color="auto"/>
        <w:bottom w:val="none" w:sz="0" w:space="0" w:color="auto"/>
        <w:right w:val="none" w:sz="0" w:space="0" w:color="auto"/>
      </w:divBdr>
    </w:div>
    <w:div w:id="359090260">
      <w:bodyDiv w:val="1"/>
      <w:marLeft w:val="0"/>
      <w:marRight w:val="0"/>
      <w:marTop w:val="0"/>
      <w:marBottom w:val="0"/>
      <w:divBdr>
        <w:top w:val="none" w:sz="0" w:space="0" w:color="auto"/>
        <w:left w:val="none" w:sz="0" w:space="0" w:color="auto"/>
        <w:bottom w:val="none" w:sz="0" w:space="0" w:color="auto"/>
        <w:right w:val="none" w:sz="0" w:space="0" w:color="auto"/>
      </w:divBdr>
    </w:div>
    <w:div w:id="367219101">
      <w:bodyDiv w:val="1"/>
      <w:marLeft w:val="0"/>
      <w:marRight w:val="0"/>
      <w:marTop w:val="0"/>
      <w:marBottom w:val="0"/>
      <w:divBdr>
        <w:top w:val="none" w:sz="0" w:space="0" w:color="auto"/>
        <w:left w:val="none" w:sz="0" w:space="0" w:color="auto"/>
        <w:bottom w:val="none" w:sz="0" w:space="0" w:color="auto"/>
        <w:right w:val="none" w:sz="0" w:space="0" w:color="auto"/>
      </w:divBdr>
    </w:div>
    <w:div w:id="372997131">
      <w:bodyDiv w:val="1"/>
      <w:marLeft w:val="0"/>
      <w:marRight w:val="0"/>
      <w:marTop w:val="0"/>
      <w:marBottom w:val="0"/>
      <w:divBdr>
        <w:top w:val="none" w:sz="0" w:space="0" w:color="auto"/>
        <w:left w:val="none" w:sz="0" w:space="0" w:color="auto"/>
        <w:bottom w:val="none" w:sz="0" w:space="0" w:color="auto"/>
        <w:right w:val="none" w:sz="0" w:space="0" w:color="auto"/>
      </w:divBdr>
    </w:div>
    <w:div w:id="373425599">
      <w:bodyDiv w:val="1"/>
      <w:marLeft w:val="0"/>
      <w:marRight w:val="0"/>
      <w:marTop w:val="0"/>
      <w:marBottom w:val="0"/>
      <w:divBdr>
        <w:top w:val="none" w:sz="0" w:space="0" w:color="auto"/>
        <w:left w:val="none" w:sz="0" w:space="0" w:color="auto"/>
        <w:bottom w:val="none" w:sz="0" w:space="0" w:color="auto"/>
        <w:right w:val="none" w:sz="0" w:space="0" w:color="auto"/>
      </w:divBdr>
    </w:div>
    <w:div w:id="374474550">
      <w:bodyDiv w:val="1"/>
      <w:marLeft w:val="0"/>
      <w:marRight w:val="0"/>
      <w:marTop w:val="0"/>
      <w:marBottom w:val="0"/>
      <w:divBdr>
        <w:top w:val="none" w:sz="0" w:space="0" w:color="auto"/>
        <w:left w:val="none" w:sz="0" w:space="0" w:color="auto"/>
        <w:bottom w:val="none" w:sz="0" w:space="0" w:color="auto"/>
        <w:right w:val="none" w:sz="0" w:space="0" w:color="auto"/>
      </w:divBdr>
    </w:div>
    <w:div w:id="407121071">
      <w:bodyDiv w:val="1"/>
      <w:marLeft w:val="0"/>
      <w:marRight w:val="0"/>
      <w:marTop w:val="0"/>
      <w:marBottom w:val="0"/>
      <w:divBdr>
        <w:top w:val="none" w:sz="0" w:space="0" w:color="auto"/>
        <w:left w:val="none" w:sz="0" w:space="0" w:color="auto"/>
        <w:bottom w:val="none" w:sz="0" w:space="0" w:color="auto"/>
        <w:right w:val="none" w:sz="0" w:space="0" w:color="auto"/>
      </w:divBdr>
    </w:div>
    <w:div w:id="408037513">
      <w:bodyDiv w:val="1"/>
      <w:marLeft w:val="0"/>
      <w:marRight w:val="0"/>
      <w:marTop w:val="0"/>
      <w:marBottom w:val="0"/>
      <w:divBdr>
        <w:top w:val="none" w:sz="0" w:space="0" w:color="auto"/>
        <w:left w:val="none" w:sz="0" w:space="0" w:color="auto"/>
        <w:bottom w:val="none" w:sz="0" w:space="0" w:color="auto"/>
        <w:right w:val="none" w:sz="0" w:space="0" w:color="auto"/>
      </w:divBdr>
    </w:div>
    <w:div w:id="414479554">
      <w:bodyDiv w:val="1"/>
      <w:marLeft w:val="0"/>
      <w:marRight w:val="0"/>
      <w:marTop w:val="0"/>
      <w:marBottom w:val="0"/>
      <w:divBdr>
        <w:top w:val="none" w:sz="0" w:space="0" w:color="auto"/>
        <w:left w:val="none" w:sz="0" w:space="0" w:color="auto"/>
        <w:bottom w:val="none" w:sz="0" w:space="0" w:color="auto"/>
        <w:right w:val="none" w:sz="0" w:space="0" w:color="auto"/>
      </w:divBdr>
    </w:div>
    <w:div w:id="414522587">
      <w:bodyDiv w:val="1"/>
      <w:marLeft w:val="0"/>
      <w:marRight w:val="0"/>
      <w:marTop w:val="0"/>
      <w:marBottom w:val="0"/>
      <w:divBdr>
        <w:top w:val="none" w:sz="0" w:space="0" w:color="auto"/>
        <w:left w:val="none" w:sz="0" w:space="0" w:color="auto"/>
        <w:bottom w:val="none" w:sz="0" w:space="0" w:color="auto"/>
        <w:right w:val="none" w:sz="0" w:space="0" w:color="auto"/>
      </w:divBdr>
    </w:div>
    <w:div w:id="428476890">
      <w:bodyDiv w:val="1"/>
      <w:marLeft w:val="0"/>
      <w:marRight w:val="0"/>
      <w:marTop w:val="0"/>
      <w:marBottom w:val="0"/>
      <w:divBdr>
        <w:top w:val="none" w:sz="0" w:space="0" w:color="auto"/>
        <w:left w:val="none" w:sz="0" w:space="0" w:color="auto"/>
        <w:bottom w:val="none" w:sz="0" w:space="0" w:color="auto"/>
        <w:right w:val="none" w:sz="0" w:space="0" w:color="auto"/>
      </w:divBdr>
    </w:div>
    <w:div w:id="440338215">
      <w:bodyDiv w:val="1"/>
      <w:marLeft w:val="0"/>
      <w:marRight w:val="0"/>
      <w:marTop w:val="0"/>
      <w:marBottom w:val="0"/>
      <w:divBdr>
        <w:top w:val="none" w:sz="0" w:space="0" w:color="auto"/>
        <w:left w:val="none" w:sz="0" w:space="0" w:color="auto"/>
        <w:bottom w:val="none" w:sz="0" w:space="0" w:color="auto"/>
        <w:right w:val="none" w:sz="0" w:space="0" w:color="auto"/>
      </w:divBdr>
    </w:div>
    <w:div w:id="455411893">
      <w:bodyDiv w:val="1"/>
      <w:marLeft w:val="0"/>
      <w:marRight w:val="0"/>
      <w:marTop w:val="0"/>
      <w:marBottom w:val="0"/>
      <w:divBdr>
        <w:top w:val="none" w:sz="0" w:space="0" w:color="auto"/>
        <w:left w:val="none" w:sz="0" w:space="0" w:color="auto"/>
        <w:bottom w:val="none" w:sz="0" w:space="0" w:color="auto"/>
        <w:right w:val="none" w:sz="0" w:space="0" w:color="auto"/>
      </w:divBdr>
    </w:div>
    <w:div w:id="464856145">
      <w:bodyDiv w:val="1"/>
      <w:marLeft w:val="0"/>
      <w:marRight w:val="0"/>
      <w:marTop w:val="0"/>
      <w:marBottom w:val="0"/>
      <w:divBdr>
        <w:top w:val="none" w:sz="0" w:space="0" w:color="auto"/>
        <w:left w:val="none" w:sz="0" w:space="0" w:color="auto"/>
        <w:bottom w:val="none" w:sz="0" w:space="0" w:color="auto"/>
        <w:right w:val="none" w:sz="0" w:space="0" w:color="auto"/>
      </w:divBdr>
    </w:div>
    <w:div w:id="469981079">
      <w:bodyDiv w:val="1"/>
      <w:marLeft w:val="0"/>
      <w:marRight w:val="0"/>
      <w:marTop w:val="0"/>
      <w:marBottom w:val="0"/>
      <w:divBdr>
        <w:top w:val="none" w:sz="0" w:space="0" w:color="auto"/>
        <w:left w:val="none" w:sz="0" w:space="0" w:color="auto"/>
        <w:bottom w:val="none" w:sz="0" w:space="0" w:color="auto"/>
        <w:right w:val="none" w:sz="0" w:space="0" w:color="auto"/>
      </w:divBdr>
    </w:div>
    <w:div w:id="482280421">
      <w:bodyDiv w:val="1"/>
      <w:marLeft w:val="0"/>
      <w:marRight w:val="0"/>
      <w:marTop w:val="0"/>
      <w:marBottom w:val="0"/>
      <w:divBdr>
        <w:top w:val="none" w:sz="0" w:space="0" w:color="auto"/>
        <w:left w:val="none" w:sz="0" w:space="0" w:color="auto"/>
        <w:bottom w:val="none" w:sz="0" w:space="0" w:color="auto"/>
        <w:right w:val="none" w:sz="0" w:space="0" w:color="auto"/>
      </w:divBdr>
    </w:div>
    <w:div w:id="510223092">
      <w:bodyDiv w:val="1"/>
      <w:marLeft w:val="0"/>
      <w:marRight w:val="0"/>
      <w:marTop w:val="0"/>
      <w:marBottom w:val="0"/>
      <w:divBdr>
        <w:top w:val="none" w:sz="0" w:space="0" w:color="auto"/>
        <w:left w:val="none" w:sz="0" w:space="0" w:color="auto"/>
        <w:bottom w:val="none" w:sz="0" w:space="0" w:color="auto"/>
        <w:right w:val="none" w:sz="0" w:space="0" w:color="auto"/>
      </w:divBdr>
    </w:div>
    <w:div w:id="511728656">
      <w:bodyDiv w:val="1"/>
      <w:marLeft w:val="0"/>
      <w:marRight w:val="0"/>
      <w:marTop w:val="0"/>
      <w:marBottom w:val="0"/>
      <w:divBdr>
        <w:top w:val="none" w:sz="0" w:space="0" w:color="auto"/>
        <w:left w:val="none" w:sz="0" w:space="0" w:color="auto"/>
        <w:bottom w:val="none" w:sz="0" w:space="0" w:color="auto"/>
        <w:right w:val="none" w:sz="0" w:space="0" w:color="auto"/>
      </w:divBdr>
    </w:div>
    <w:div w:id="526410055">
      <w:bodyDiv w:val="1"/>
      <w:marLeft w:val="0"/>
      <w:marRight w:val="0"/>
      <w:marTop w:val="0"/>
      <w:marBottom w:val="0"/>
      <w:divBdr>
        <w:top w:val="none" w:sz="0" w:space="0" w:color="auto"/>
        <w:left w:val="none" w:sz="0" w:space="0" w:color="auto"/>
        <w:bottom w:val="none" w:sz="0" w:space="0" w:color="auto"/>
        <w:right w:val="none" w:sz="0" w:space="0" w:color="auto"/>
      </w:divBdr>
    </w:div>
    <w:div w:id="533619770">
      <w:bodyDiv w:val="1"/>
      <w:marLeft w:val="0"/>
      <w:marRight w:val="0"/>
      <w:marTop w:val="0"/>
      <w:marBottom w:val="0"/>
      <w:divBdr>
        <w:top w:val="none" w:sz="0" w:space="0" w:color="auto"/>
        <w:left w:val="none" w:sz="0" w:space="0" w:color="auto"/>
        <w:bottom w:val="none" w:sz="0" w:space="0" w:color="auto"/>
        <w:right w:val="none" w:sz="0" w:space="0" w:color="auto"/>
      </w:divBdr>
    </w:div>
    <w:div w:id="539824609">
      <w:bodyDiv w:val="1"/>
      <w:marLeft w:val="0"/>
      <w:marRight w:val="0"/>
      <w:marTop w:val="0"/>
      <w:marBottom w:val="0"/>
      <w:divBdr>
        <w:top w:val="none" w:sz="0" w:space="0" w:color="auto"/>
        <w:left w:val="none" w:sz="0" w:space="0" w:color="auto"/>
        <w:bottom w:val="none" w:sz="0" w:space="0" w:color="auto"/>
        <w:right w:val="none" w:sz="0" w:space="0" w:color="auto"/>
      </w:divBdr>
    </w:div>
    <w:div w:id="557282662">
      <w:bodyDiv w:val="1"/>
      <w:marLeft w:val="0"/>
      <w:marRight w:val="0"/>
      <w:marTop w:val="0"/>
      <w:marBottom w:val="0"/>
      <w:divBdr>
        <w:top w:val="none" w:sz="0" w:space="0" w:color="auto"/>
        <w:left w:val="none" w:sz="0" w:space="0" w:color="auto"/>
        <w:bottom w:val="none" w:sz="0" w:space="0" w:color="auto"/>
        <w:right w:val="none" w:sz="0" w:space="0" w:color="auto"/>
      </w:divBdr>
    </w:div>
    <w:div w:id="568267395">
      <w:bodyDiv w:val="1"/>
      <w:marLeft w:val="0"/>
      <w:marRight w:val="0"/>
      <w:marTop w:val="0"/>
      <w:marBottom w:val="0"/>
      <w:divBdr>
        <w:top w:val="none" w:sz="0" w:space="0" w:color="auto"/>
        <w:left w:val="none" w:sz="0" w:space="0" w:color="auto"/>
        <w:bottom w:val="none" w:sz="0" w:space="0" w:color="auto"/>
        <w:right w:val="none" w:sz="0" w:space="0" w:color="auto"/>
      </w:divBdr>
    </w:div>
    <w:div w:id="598296536">
      <w:bodyDiv w:val="1"/>
      <w:marLeft w:val="0"/>
      <w:marRight w:val="0"/>
      <w:marTop w:val="0"/>
      <w:marBottom w:val="0"/>
      <w:divBdr>
        <w:top w:val="none" w:sz="0" w:space="0" w:color="auto"/>
        <w:left w:val="none" w:sz="0" w:space="0" w:color="auto"/>
        <w:bottom w:val="none" w:sz="0" w:space="0" w:color="auto"/>
        <w:right w:val="none" w:sz="0" w:space="0" w:color="auto"/>
      </w:divBdr>
    </w:div>
    <w:div w:id="605190094">
      <w:bodyDiv w:val="1"/>
      <w:marLeft w:val="0"/>
      <w:marRight w:val="0"/>
      <w:marTop w:val="0"/>
      <w:marBottom w:val="0"/>
      <w:divBdr>
        <w:top w:val="none" w:sz="0" w:space="0" w:color="auto"/>
        <w:left w:val="none" w:sz="0" w:space="0" w:color="auto"/>
        <w:bottom w:val="none" w:sz="0" w:space="0" w:color="auto"/>
        <w:right w:val="none" w:sz="0" w:space="0" w:color="auto"/>
      </w:divBdr>
    </w:div>
    <w:div w:id="612709996">
      <w:bodyDiv w:val="1"/>
      <w:marLeft w:val="0"/>
      <w:marRight w:val="0"/>
      <w:marTop w:val="0"/>
      <w:marBottom w:val="0"/>
      <w:divBdr>
        <w:top w:val="none" w:sz="0" w:space="0" w:color="auto"/>
        <w:left w:val="none" w:sz="0" w:space="0" w:color="auto"/>
        <w:bottom w:val="none" w:sz="0" w:space="0" w:color="auto"/>
        <w:right w:val="none" w:sz="0" w:space="0" w:color="auto"/>
      </w:divBdr>
    </w:div>
    <w:div w:id="621496796">
      <w:bodyDiv w:val="1"/>
      <w:marLeft w:val="0"/>
      <w:marRight w:val="0"/>
      <w:marTop w:val="0"/>
      <w:marBottom w:val="0"/>
      <w:divBdr>
        <w:top w:val="none" w:sz="0" w:space="0" w:color="auto"/>
        <w:left w:val="none" w:sz="0" w:space="0" w:color="auto"/>
        <w:bottom w:val="none" w:sz="0" w:space="0" w:color="auto"/>
        <w:right w:val="none" w:sz="0" w:space="0" w:color="auto"/>
      </w:divBdr>
    </w:div>
    <w:div w:id="632446145">
      <w:bodyDiv w:val="1"/>
      <w:marLeft w:val="0"/>
      <w:marRight w:val="0"/>
      <w:marTop w:val="0"/>
      <w:marBottom w:val="0"/>
      <w:divBdr>
        <w:top w:val="none" w:sz="0" w:space="0" w:color="auto"/>
        <w:left w:val="none" w:sz="0" w:space="0" w:color="auto"/>
        <w:bottom w:val="none" w:sz="0" w:space="0" w:color="auto"/>
        <w:right w:val="none" w:sz="0" w:space="0" w:color="auto"/>
      </w:divBdr>
    </w:div>
    <w:div w:id="638876575">
      <w:bodyDiv w:val="1"/>
      <w:marLeft w:val="0"/>
      <w:marRight w:val="0"/>
      <w:marTop w:val="0"/>
      <w:marBottom w:val="0"/>
      <w:divBdr>
        <w:top w:val="none" w:sz="0" w:space="0" w:color="auto"/>
        <w:left w:val="none" w:sz="0" w:space="0" w:color="auto"/>
        <w:bottom w:val="none" w:sz="0" w:space="0" w:color="auto"/>
        <w:right w:val="none" w:sz="0" w:space="0" w:color="auto"/>
      </w:divBdr>
    </w:div>
    <w:div w:id="642733835">
      <w:bodyDiv w:val="1"/>
      <w:marLeft w:val="0"/>
      <w:marRight w:val="0"/>
      <w:marTop w:val="0"/>
      <w:marBottom w:val="0"/>
      <w:divBdr>
        <w:top w:val="none" w:sz="0" w:space="0" w:color="auto"/>
        <w:left w:val="none" w:sz="0" w:space="0" w:color="auto"/>
        <w:bottom w:val="none" w:sz="0" w:space="0" w:color="auto"/>
        <w:right w:val="none" w:sz="0" w:space="0" w:color="auto"/>
      </w:divBdr>
    </w:div>
    <w:div w:id="652758429">
      <w:bodyDiv w:val="1"/>
      <w:marLeft w:val="0"/>
      <w:marRight w:val="0"/>
      <w:marTop w:val="0"/>
      <w:marBottom w:val="0"/>
      <w:divBdr>
        <w:top w:val="none" w:sz="0" w:space="0" w:color="auto"/>
        <w:left w:val="none" w:sz="0" w:space="0" w:color="auto"/>
        <w:bottom w:val="none" w:sz="0" w:space="0" w:color="auto"/>
        <w:right w:val="none" w:sz="0" w:space="0" w:color="auto"/>
      </w:divBdr>
    </w:div>
    <w:div w:id="666371830">
      <w:bodyDiv w:val="1"/>
      <w:marLeft w:val="0"/>
      <w:marRight w:val="0"/>
      <w:marTop w:val="0"/>
      <w:marBottom w:val="0"/>
      <w:divBdr>
        <w:top w:val="none" w:sz="0" w:space="0" w:color="auto"/>
        <w:left w:val="none" w:sz="0" w:space="0" w:color="auto"/>
        <w:bottom w:val="none" w:sz="0" w:space="0" w:color="auto"/>
        <w:right w:val="none" w:sz="0" w:space="0" w:color="auto"/>
      </w:divBdr>
    </w:div>
    <w:div w:id="674915677">
      <w:bodyDiv w:val="1"/>
      <w:marLeft w:val="0"/>
      <w:marRight w:val="0"/>
      <w:marTop w:val="0"/>
      <w:marBottom w:val="0"/>
      <w:divBdr>
        <w:top w:val="none" w:sz="0" w:space="0" w:color="auto"/>
        <w:left w:val="none" w:sz="0" w:space="0" w:color="auto"/>
        <w:bottom w:val="none" w:sz="0" w:space="0" w:color="auto"/>
        <w:right w:val="none" w:sz="0" w:space="0" w:color="auto"/>
      </w:divBdr>
    </w:div>
    <w:div w:id="681277039">
      <w:bodyDiv w:val="1"/>
      <w:marLeft w:val="0"/>
      <w:marRight w:val="0"/>
      <w:marTop w:val="0"/>
      <w:marBottom w:val="0"/>
      <w:divBdr>
        <w:top w:val="none" w:sz="0" w:space="0" w:color="auto"/>
        <w:left w:val="none" w:sz="0" w:space="0" w:color="auto"/>
        <w:bottom w:val="none" w:sz="0" w:space="0" w:color="auto"/>
        <w:right w:val="none" w:sz="0" w:space="0" w:color="auto"/>
      </w:divBdr>
    </w:div>
    <w:div w:id="685207699">
      <w:bodyDiv w:val="1"/>
      <w:marLeft w:val="0"/>
      <w:marRight w:val="0"/>
      <w:marTop w:val="0"/>
      <w:marBottom w:val="0"/>
      <w:divBdr>
        <w:top w:val="none" w:sz="0" w:space="0" w:color="auto"/>
        <w:left w:val="none" w:sz="0" w:space="0" w:color="auto"/>
        <w:bottom w:val="none" w:sz="0" w:space="0" w:color="auto"/>
        <w:right w:val="none" w:sz="0" w:space="0" w:color="auto"/>
      </w:divBdr>
    </w:div>
    <w:div w:id="693069179">
      <w:bodyDiv w:val="1"/>
      <w:marLeft w:val="0"/>
      <w:marRight w:val="0"/>
      <w:marTop w:val="0"/>
      <w:marBottom w:val="0"/>
      <w:divBdr>
        <w:top w:val="none" w:sz="0" w:space="0" w:color="auto"/>
        <w:left w:val="none" w:sz="0" w:space="0" w:color="auto"/>
        <w:bottom w:val="none" w:sz="0" w:space="0" w:color="auto"/>
        <w:right w:val="none" w:sz="0" w:space="0" w:color="auto"/>
      </w:divBdr>
    </w:div>
    <w:div w:id="697240897">
      <w:bodyDiv w:val="1"/>
      <w:marLeft w:val="0"/>
      <w:marRight w:val="0"/>
      <w:marTop w:val="0"/>
      <w:marBottom w:val="0"/>
      <w:divBdr>
        <w:top w:val="none" w:sz="0" w:space="0" w:color="auto"/>
        <w:left w:val="none" w:sz="0" w:space="0" w:color="auto"/>
        <w:bottom w:val="none" w:sz="0" w:space="0" w:color="auto"/>
        <w:right w:val="none" w:sz="0" w:space="0" w:color="auto"/>
      </w:divBdr>
    </w:div>
    <w:div w:id="698048620">
      <w:bodyDiv w:val="1"/>
      <w:marLeft w:val="0"/>
      <w:marRight w:val="0"/>
      <w:marTop w:val="0"/>
      <w:marBottom w:val="0"/>
      <w:divBdr>
        <w:top w:val="none" w:sz="0" w:space="0" w:color="auto"/>
        <w:left w:val="none" w:sz="0" w:space="0" w:color="auto"/>
        <w:bottom w:val="none" w:sz="0" w:space="0" w:color="auto"/>
        <w:right w:val="none" w:sz="0" w:space="0" w:color="auto"/>
      </w:divBdr>
    </w:div>
    <w:div w:id="706760794">
      <w:bodyDiv w:val="1"/>
      <w:marLeft w:val="0"/>
      <w:marRight w:val="0"/>
      <w:marTop w:val="0"/>
      <w:marBottom w:val="0"/>
      <w:divBdr>
        <w:top w:val="none" w:sz="0" w:space="0" w:color="auto"/>
        <w:left w:val="none" w:sz="0" w:space="0" w:color="auto"/>
        <w:bottom w:val="none" w:sz="0" w:space="0" w:color="auto"/>
        <w:right w:val="none" w:sz="0" w:space="0" w:color="auto"/>
      </w:divBdr>
    </w:div>
    <w:div w:id="737243760">
      <w:bodyDiv w:val="1"/>
      <w:marLeft w:val="0"/>
      <w:marRight w:val="0"/>
      <w:marTop w:val="0"/>
      <w:marBottom w:val="0"/>
      <w:divBdr>
        <w:top w:val="none" w:sz="0" w:space="0" w:color="auto"/>
        <w:left w:val="none" w:sz="0" w:space="0" w:color="auto"/>
        <w:bottom w:val="none" w:sz="0" w:space="0" w:color="auto"/>
        <w:right w:val="none" w:sz="0" w:space="0" w:color="auto"/>
      </w:divBdr>
    </w:div>
    <w:div w:id="737634858">
      <w:bodyDiv w:val="1"/>
      <w:marLeft w:val="0"/>
      <w:marRight w:val="0"/>
      <w:marTop w:val="0"/>
      <w:marBottom w:val="0"/>
      <w:divBdr>
        <w:top w:val="none" w:sz="0" w:space="0" w:color="auto"/>
        <w:left w:val="none" w:sz="0" w:space="0" w:color="auto"/>
        <w:bottom w:val="none" w:sz="0" w:space="0" w:color="auto"/>
        <w:right w:val="none" w:sz="0" w:space="0" w:color="auto"/>
      </w:divBdr>
    </w:div>
    <w:div w:id="744306902">
      <w:bodyDiv w:val="1"/>
      <w:marLeft w:val="0"/>
      <w:marRight w:val="0"/>
      <w:marTop w:val="0"/>
      <w:marBottom w:val="0"/>
      <w:divBdr>
        <w:top w:val="none" w:sz="0" w:space="0" w:color="auto"/>
        <w:left w:val="none" w:sz="0" w:space="0" w:color="auto"/>
        <w:bottom w:val="none" w:sz="0" w:space="0" w:color="auto"/>
        <w:right w:val="none" w:sz="0" w:space="0" w:color="auto"/>
      </w:divBdr>
    </w:div>
    <w:div w:id="768542836">
      <w:bodyDiv w:val="1"/>
      <w:marLeft w:val="0"/>
      <w:marRight w:val="0"/>
      <w:marTop w:val="0"/>
      <w:marBottom w:val="0"/>
      <w:divBdr>
        <w:top w:val="none" w:sz="0" w:space="0" w:color="auto"/>
        <w:left w:val="none" w:sz="0" w:space="0" w:color="auto"/>
        <w:bottom w:val="none" w:sz="0" w:space="0" w:color="auto"/>
        <w:right w:val="none" w:sz="0" w:space="0" w:color="auto"/>
      </w:divBdr>
    </w:div>
    <w:div w:id="817654170">
      <w:bodyDiv w:val="1"/>
      <w:marLeft w:val="0"/>
      <w:marRight w:val="0"/>
      <w:marTop w:val="0"/>
      <w:marBottom w:val="0"/>
      <w:divBdr>
        <w:top w:val="none" w:sz="0" w:space="0" w:color="auto"/>
        <w:left w:val="none" w:sz="0" w:space="0" w:color="auto"/>
        <w:bottom w:val="none" w:sz="0" w:space="0" w:color="auto"/>
        <w:right w:val="none" w:sz="0" w:space="0" w:color="auto"/>
      </w:divBdr>
    </w:div>
    <w:div w:id="822088202">
      <w:bodyDiv w:val="1"/>
      <w:marLeft w:val="0"/>
      <w:marRight w:val="0"/>
      <w:marTop w:val="0"/>
      <w:marBottom w:val="0"/>
      <w:divBdr>
        <w:top w:val="none" w:sz="0" w:space="0" w:color="auto"/>
        <w:left w:val="none" w:sz="0" w:space="0" w:color="auto"/>
        <w:bottom w:val="none" w:sz="0" w:space="0" w:color="auto"/>
        <w:right w:val="none" w:sz="0" w:space="0" w:color="auto"/>
      </w:divBdr>
    </w:div>
    <w:div w:id="823082615">
      <w:bodyDiv w:val="1"/>
      <w:marLeft w:val="0"/>
      <w:marRight w:val="0"/>
      <w:marTop w:val="0"/>
      <w:marBottom w:val="0"/>
      <w:divBdr>
        <w:top w:val="none" w:sz="0" w:space="0" w:color="auto"/>
        <w:left w:val="none" w:sz="0" w:space="0" w:color="auto"/>
        <w:bottom w:val="none" w:sz="0" w:space="0" w:color="auto"/>
        <w:right w:val="none" w:sz="0" w:space="0" w:color="auto"/>
      </w:divBdr>
    </w:div>
    <w:div w:id="834807291">
      <w:bodyDiv w:val="1"/>
      <w:marLeft w:val="0"/>
      <w:marRight w:val="0"/>
      <w:marTop w:val="0"/>
      <w:marBottom w:val="0"/>
      <w:divBdr>
        <w:top w:val="none" w:sz="0" w:space="0" w:color="auto"/>
        <w:left w:val="none" w:sz="0" w:space="0" w:color="auto"/>
        <w:bottom w:val="none" w:sz="0" w:space="0" w:color="auto"/>
        <w:right w:val="none" w:sz="0" w:space="0" w:color="auto"/>
      </w:divBdr>
    </w:div>
    <w:div w:id="851803775">
      <w:bodyDiv w:val="1"/>
      <w:marLeft w:val="0"/>
      <w:marRight w:val="0"/>
      <w:marTop w:val="0"/>
      <w:marBottom w:val="0"/>
      <w:divBdr>
        <w:top w:val="none" w:sz="0" w:space="0" w:color="auto"/>
        <w:left w:val="none" w:sz="0" w:space="0" w:color="auto"/>
        <w:bottom w:val="none" w:sz="0" w:space="0" w:color="auto"/>
        <w:right w:val="none" w:sz="0" w:space="0" w:color="auto"/>
      </w:divBdr>
    </w:div>
    <w:div w:id="868570110">
      <w:bodyDiv w:val="1"/>
      <w:marLeft w:val="0"/>
      <w:marRight w:val="0"/>
      <w:marTop w:val="0"/>
      <w:marBottom w:val="0"/>
      <w:divBdr>
        <w:top w:val="none" w:sz="0" w:space="0" w:color="auto"/>
        <w:left w:val="none" w:sz="0" w:space="0" w:color="auto"/>
        <w:bottom w:val="none" w:sz="0" w:space="0" w:color="auto"/>
        <w:right w:val="none" w:sz="0" w:space="0" w:color="auto"/>
      </w:divBdr>
    </w:div>
    <w:div w:id="890651507">
      <w:bodyDiv w:val="1"/>
      <w:marLeft w:val="0"/>
      <w:marRight w:val="0"/>
      <w:marTop w:val="0"/>
      <w:marBottom w:val="0"/>
      <w:divBdr>
        <w:top w:val="none" w:sz="0" w:space="0" w:color="auto"/>
        <w:left w:val="none" w:sz="0" w:space="0" w:color="auto"/>
        <w:bottom w:val="none" w:sz="0" w:space="0" w:color="auto"/>
        <w:right w:val="none" w:sz="0" w:space="0" w:color="auto"/>
      </w:divBdr>
    </w:div>
    <w:div w:id="891844305">
      <w:bodyDiv w:val="1"/>
      <w:marLeft w:val="0"/>
      <w:marRight w:val="0"/>
      <w:marTop w:val="0"/>
      <w:marBottom w:val="0"/>
      <w:divBdr>
        <w:top w:val="none" w:sz="0" w:space="0" w:color="auto"/>
        <w:left w:val="none" w:sz="0" w:space="0" w:color="auto"/>
        <w:bottom w:val="none" w:sz="0" w:space="0" w:color="auto"/>
        <w:right w:val="none" w:sz="0" w:space="0" w:color="auto"/>
      </w:divBdr>
    </w:div>
    <w:div w:id="898826549">
      <w:bodyDiv w:val="1"/>
      <w:marLeft w:val="0"/>
      <w:marRight w:val="0"/>
      <w:marTop w:val="0"/>
      <w:marBottom w:val="0"/>
      <w:divBdr>
        <w:top w:val="none" w:sz="0" w:space="0" w:color="auto"/>
        <w:left w:val="none" w:sz="0" w:space="0" w:color="auto"/>
        <w:bottom w:val="none" w:sz="0" w:space="0" w:color="auto"/>
        <w:right w:val="none" w:sz="0" w:space="0" w:color="auto"/>
      </w:divBdr>
    </w:div>
    <w:div w:id="902714936">
      <w:bodyDiv w:val="1"/>
      <w:marLeft w:val="0"/>
      <w:marRight w:val="0"/>
      <w:marTop w:val="0"/>
      <w:marBottom w:val="0"/>
      <w:divBdr>
        <w:top w:val="none" w:sz="0" w:space="0" w:color="auto"/>
        <w:left w:val="none" w:sz="0" w:space="0" w:color="auto"/>
        <w:bottom w:val="none" w:sz="0" w:space="0" w:color="auto"/>
        <w:right w:val="none" w:sz="0" w:space="0" w:color="auto"/>
      </w:divBdr>
    </w:div>
    <w:div w:id="905384675">
      <w:bodyDiv w:val="1"/>
      <w:marLeft w:val="0"/>
      <w:marRight w:val="0"/>
      <w:marTop w:val="0"/>
      <w:marBottom w:val="0"/>
      <w:divBdr>
        <w:top w:val="none" w:sz="0" w:space="0" w:color="auto"/>
        <w:left w:val="none" w:sz="0" w:space="0" w:color="auto"/>
        <w:bottom w:val="none" w:sz="0" w:space="0" w:color="auto"/>
        <w:right w:val="none" w:sz="0" w:space="0" w:color="auto"/>
      </w:divBdr>
    </w:div>
    <w:div w:id="916062214">
      <w:bodyDiv w:val="1"/>
      <w:marLeft w:val="0"/>
      <w:marRight w:val="0"/>
      <w:marTop w:val="0"/>
      <w:marBottom w:val="0"/>
      <w:divBdr>
        <w:top w:val="none" w:sz="0" w:space="0" w:color="auto"/>
        <w:left w:val="none" w:sz="0" w:space="0" w:color="auto"/>
        <w:bottom w:val="none" w:sz="0" w:space="0" w:color="auto"/>
        <w:right w:val="none" w:sz="0" w:space="0" w:color="auto"/>
      </w:divBdr>
    </w:div>
    <w:div w:id="921449022">
      <w:bodyDiv w:val="1"/>
      <w:marLeft w:val="0"/>
      <w:marRight w:val="0"/>
      <w:marTop w:val="0"/>
      <w:marBottom w:val="0"/>
      <w:divBdr>
        <w:top w:val="none" w:sz="0" w:space="0" w:color="auto"/>
        <w:left w:val="none" w:sz="0" w:space="0" w:color="auto"/>
        <w:bottom w:val="none" w:sz="0" w:space="0" w:color="auto"/>
        <w:right w:val="none" w:sz="0" w:space="0" w:color="auto"/>
      </w:divBdr>
    </w:div>
    <w:div w:id="927349998">
      <w:bodyDiv w:val="1"/>
      <w:marLeft w:val="0"/>
      <w:marRight w:val="0"/>
      <w:marTop w:val="0"/>
      <w:marBottom w:val="0"/>
      <w:divBdr>
        <w:top w:val="none" w:sz="0" w:space="0" w:color="auto"/>
        <w:left w:val="none" w:sz="0" w:space="0" w:color="auto"/>
        <w:bottom w:val="none" w:sz="0" w:space="0" w:color="auto"/>
        <w:right w:val="none" w:sz="0" w:space="0" w:color="auto"/>
      </w:divBdr>
    </w:div>
    <w:div w:id="928083221">
      <w:bodyDiv w:val="1"/>
      <w:marLeft w:val="0"/>
      <w:marRight w:val="0"/>
      <w:marTop w:val="0"/>
      <w:marBottom w:val="0"/>
      <w:divBdr>
        <w:top w:val="none" w:sz="0" w:space="0" w:color="auto"/>
        <w:left w:val="none" w:sz="0" w:space="0" w:color="auto"/>
        <w:bottom w:val="none" w:sz="0" w:space="0" w:color="auto"/>
        <w:right w:val="none" w:sz="0" w:space="0" w:color="auto"/>
      </w:divBdr>
    </w:div>
    <w:div w:id="939871765">
      <w:bodyDiv w:val="1"/>
      <w:marLeft w:val="0"/>
      <w:marRight w:val="0"/>
      <w:marTop w:val="0"/>
      <w:marBottom w:val="0"/>
      <w:divBdr>
        <w:top w:val="none" w:sz="0" w:space="0" w:color="auto"/>
        <w:left w:val="none" w:sz="0" w:space="0" w:color="auto"/>
        <w:bottom w:val="none" w:sz="0" w:space="0" w:color="auto"/>
        <w:right w:val="none" w:sz="0" w:space="0" w:color="auto"/>
      </w:divBdr>
    </w:div>
    <w:div w:id="944114278">
      <w:bodyDiv w:val="1"/>
      <w:marLeft w:val="0"/>
      <w:marRight w:val="0"/>
      <w:marTop w:val="0"/>
      <w:marBottom w:val="0"/>
      <w:divBdr>
        <w:top w:val="none" w:sz="0" w:space="0" w:color="auto"/>
        <w:left w:val="none" w:sz="0" w:space="0" w:color="auto"/>
        <w:bottom w:val="none" w:sz="0" w:space="0" w:color="auto"/>
        <w:right w:val="none" w:sz="0" w:space="0" w:color="auto"/>
      </w:divBdr>
    </w:div>
    <w:div w:id="949044045">
      <w:bodyDiv w:val="1"/>
      <w:marLeft w:val="0"/>
      <w:marRight w:val="0"/>
      <w:marTop w:val="0"/>
      <w:marBottom w:val="0"/>
      <w:divBdr>
        <w:top w:val="none" w:sz="0" w:space="0" w:color="auto"/>
        <w:left w:val="none" w:sz="0" w:space="0" w:color="auto"/>
        <w:bottom w:val="none" w:sz="0" w:space="0" w:color="auto"/>
        <w:right w:val="none" w:sz="0" w:space="0" w:color="auto"/>
      </w:divBdr>
    </w:div>
    <w:div w:id="953244057">
      <w:bodyDiv w:val="1"/>
      <w:marLeft w:val="0"/>
      <w:marRight w:val="0"/>
      <w:marTop w:val="0"/>
      <w:marBottom w:val="0"/>
      <w:divBdr>
        <w:top w:val="none" w:sz="0" w:space="0" w:color="auto"/>
        <w:left w:val="none" w:sz="0" w:space="0" w:color="auto"/>
        <w:bottom w:val="none" w:sz="0" w:space="0" w:color="auto"/>
        <w:right w:val="none" w:sz="0" w:space="0" w:color="auto"/>
      </w:divBdr>
    </w:div>
    <w:div w:id="959799494">
      <w:bodyDiv w:val="1"/>
      <w:marLeft w:val="0"/>
      <w:marRight w:val="0"/>
      <w:marTop w:val="0"/>
      <w:marBottom w:val="0"/>
      <w:divBdr>
        <w:top w:val="none" w:sz="0" w:space="0" w:color="auto"/>
        <w:left w:val="none" w:sz="0" w:space="0" w:color="auto"/>
        <w:bottom w:val="none" w:sz="0" w:space="0" w:color="auto"/>
        <w:right w:val="none" w:sz="0" w:space="0" w:color="auto"/>
      </w:divBdr>
    </w:div>
    <w:div w:id="977102963">
      <w:bodyDiv w:val="1"/>
      <w:marLeft w:val="0"/>
      <w:marRight w:val="0"/>
      <w:marTop w:val="0"/>
      <w:marBottom w:val="0"/>
      <w:divBdr>
        <w:top w:val="none" w:sz="0" w:space="0" w:color="auto"/>
        <w:left w:val="none" w:sz="0" w:space="0" w:color="auto"/>
        <w:bottom w:val="none" w:sz="0" w:space="0" w:color="auto"/>
        <w:right w:val="none" w:sz="0" w:space="0" w:color="auto"/>
      </w:divBdr>
    </w:div>
    <w:div w:id="992488918">
      <w:bodyDiv w:val="1"/>
      <w:marLeft w:val="0"/>
      <w:marRight w:val="0"/>
      <w:marTop w:val="0"/>
      <w:marBottom w:val="0"/>
      <w:divBdr>
        <w:top w:val="none" w:sz="0" w:space="0" w:color="auto"/>
        <w:left w:val="none" w:sz="0" w:space="0" w:color="auto"/>
        <w:bottom w:val="none" w:sz="0" w:space="0" w:color="auto"/>
        <w:right w:val="none" w:sz="0" w:space="0" w:color="auto"/>
      </w:divBdr>
    </w:div>
    <w:div w:id="1000814091">
      <w:bodyDiv w:val="1"/>
      <w:marLeft w:val="0"/>
      <w:marRight w:val="0"/>
      <w:marTop w:val="0"/>
      <w:marBottom w:val="0"/>
      <w:divBdr>
        <w:top w:val="none" w:sz="0" w:space="0" w:color="auto"/>
        <w:left w:val="none" w:sz="0" w:space="0" w:color="auto"/>
        <w:bottom w:val="none" w:sz="0" w:space="0" w:color="auto"/>
        <w:right w:val="none" w:sz="0" w:space="0" w:color="auto"/>
      </w:divBdr>
    </w:div>
    <w:div w:id="1005789384">
      <w:bodyDiv w:val="1"/>
      <w:marLeft w:val="0"/>
      <w:marRight w:val="0"/>
      <w:marTop w:val="0"/>
      <w:marBottom w:val="0"/>
      <w:divBdr>
        <w:top w:val="none" w:sz="0" w:space="0" w:color="auto"/>
        <w:left w:val="none" w:sz="0" w:space="0" w:color="auto"/>
        <w:bottom w:val="none" w:sz="0" w:space="0" w:color="auto"/>
        <w:right w:val="none" w:sz="0" w:space="0" w:color="auto"/>
      </w:divBdr>
    </w:div>
    <w:div w:id="1015573000">
      <w:bodyDiv w:val="1"/>
      <w:marLeft w:val="0"/>
      <w:marRight w:val="0"/>
      <w:marTop w:val="0"/>
      <w:marBottom w:val="0"/>
      <w:divBdr>
        <w:top w:val="none" w:sz="0" w:space="0" w:color="auto"/>
        <w:left w:val="none" w:sz="0" w:space="0" w:color="auto"/>
        <w:bottom w:val="none" w:sz="0" w:space="0" w:color="auto"/>
        <w:right w:val="none" w:sz="0" w:space="0" w:color="auto"/>
      </w:divBdr>
    </w:div>
    <w:div w:id="1027029117">
      <w:bodyDiv w:val="1"/>
      <w:marLeft w:val="0"/>
      <w:marRight w:val="0"/>
      <w:marTop w:val="0"/>
      <w:marBottom w:val="0"/>
      <w:divBdr>
        <w:top w:val="none" w:sz="0" w:space="0" w:color="auto"/>
        <w:left w:val="none" w:sz="0" w:space="0" w:color="auto"/>
        <w:bottom w:val="none" w:sz="0" w:space="0" w:color="auto"/>
        <w:right w:val="none" w:sz="0" w:space="0" w:color="auto"/>
      </w:divBdr>
    </w:div>
    <w:div w:id="1043138128">
      <w:bodyDiv w:val="1"/>
      <w:marLeft w:val="0"/>
      <w:marRight w:val="0"/>
      <w:marTop w:val="0"/>
      <w:marBottom w:val="0"/>
      <w:divBdr>
        <w:top w:val="none" w:sz="0" w:space="0" w:color="auto"/>
        <w:left w:val="none" w:sz="0" w:space="0" w:color="auto"/>
        <w:bottom w:val="none" w:sz="0" w:space="0" w:color="auto"/>
        <w:right w:val="none" w:sz="0" w:space="0" w:color="auto"/>
      </w:divBdr>
    </w:div>
    <w:div w:id="1064832829">
      <w:bodyDiv w:val="1"/>
      <w:marLeft w:val="0"/>
      <w:marRight w:val="0"/>
      <w:marTop w:val="0"/>
      <w:marBottom w:val="0"/>
      <w:divBdr>
        <w:top w:val="none" w:sz="0" w:space="0" w:color="auto"/>
        <w:left w:val="none" w:sz="0" w:space="0" w:color="auto"/>
        <w:bottom w:val="none" w:sz="0" w:space="0" w:color="auto"/>
        <w:right w:val="none" w:sz="0" w:space="0" w:color="auto"/>
      </w:divBdr>
    </w:div>
    <w:div w:id="1067535723">
      <w:bodyDiv w:val="1"/>
      <w:marLeft w:val="0"/>
      <w:marRight w:val="0"/>
      <w:marTop w:val="0"/>
      <w:marBottom w:val="0"/>
      <w:divBdr>
        <w:top w:val="none" w:sz="0" w:space="0" w:color="auto"/>
        <w:left w:val="none" w:sz="0" w:space="0" w:color="auto"/>
        <w:bottom w:val="none" w:sz="0" w:space="0" w:color="auto"/>
        <w:right w:val="none" w:sz="0" w:space="0" w:color="auto"/>
      </w:divBdr>
    </w:div>
    <w:div w:id="1136487847">
      <w:bodyDiv w:val="1"/>
      <w:marLeft w:val="0"/>
      <w:marRight w:val="0"/>
      <w:marTop w:val="0"/>
      <w:marBottom w:val="0"/>
      <w:divBdr>
        <w:top w:val="none" w:sz="0" w:space="0" w:color="auto"/>
        <w:left w:val="none" w:sz="0" w:space="0" w:color="auto"/>
        <w:bottom w:val="none" w:sz="0" w:space="0" w:color="auto"/>
        <w:right w:val="none" w:sz="0" w:space="0" w:color="auto"/>
      </w:divBdr>
    </w:div>
    <w:div w:id="1138380517">
      <w:bodyDiv w:val="1"/>
      <w:marLeft w:val="0"/>
      <w:marRight w:val="0"/>
      <w:marTop w:val="0"/>
      <w:marBottom w:val="0"/>
      <w:divBdr>
        <w:top w:val="none" w:sz="0" w:space="0" w:color="auto"/>
        <w:left w:val="none" w:sz="0" w:space="0" w:color="auto"/>
        <w:bottom w:val="none" w:sz="0" w:space="0" w:color="auto"/>
        <w:right w:val="none" w:sz="0" w:space="0" w:color="auto"/>
      </w:divBdr>
    </w:div>
    <w:div w:id="1164010842">
      <w:bodyDiv w:val="1"/>
      <w:marLeft w:val="0"/>
      <w:marRight w:val="0"/>
      <w:marTop w:val="0"/>
      <w:marBottom w:val="0"/>
      <w:divBdr>
        <w:top w:val="none" w:sz="0" w:space="0" w:color="auto"/>
        <w:left w:val="none" w:sz="0" w:space="0" w:color="auto"/>
        <w:bottom w:val="none" w:sz="0" w:space="0" w:color="auto"/>
        <w:right w:val="none" w:sz="0" w:space="0" w:color="auto"/>
      </w:divBdr>
    </w:div>
    <w:div w:id="1165050830">
      <w:bodyDiv w:val="1"/>
      <w:marLeft w:val="0"/>
      <w:marRight w:val="0"/>
      <w:marTop w:val="0"/>
      <w:marBottom w:val="0"/>
      <w:divBdr>
        <w:top w:val="none" w:sz="0" w:space="0" w:color="auto"/>
        <w:left w:val="none" w:sz="0" w:space="0" w:color="auto"/>
        <w:bottom w:val="none" w:sz="0" w:space="0" w:color="auto"/>
        <w:right w:val="none" w:sz="0" w:space="0" w:color="auto"/>
      </w:divBdr>
    </w:div>
    <w:div w:id="1166632349">
      <w:bodyDiv w:val="1"/>
      <w:marLeft w:val="0"/>
      <w:marRight w:val="0"/>
      <w:marTop w:val="0"/>
      <w:marBottom w:val="0"/>
      <w:divBdr>
        <w:top w:val="none" w:sz="0" w:space="0" w:color="auto"/>
        <w:left w:val="none" w:sz="0" w:space="0" w:color="auto"/>
        <w:bottom w:val="none" w:sz="0" w:space="0" w:color="auto"/>
        <w:right w:val="none" w:sz="0" w:space="0" w:color="auto"/>
      </w:divBdr>
    </w:div>
    <w:div w:id="1167750402">
      <w:bodyDiv w:val="1"/>
      <w:marLeft w:val="0"/>
      <w:marRight w:val="0"/>
      <w:marTop w:val="0"/>
      <w:marBottom w:val="0"/>
      <w:divBdr>
        <w:top w:val="none" w:sz="0" w:space="0" w:color="auto"/>
        <w:left w:val="none" w:sz="0" w:space="0" w:color="auto"/>
        <w:bottom w:val="none" w:sz="0" w:space="0" w:color="auto"/>
        <w:right w:val="none" w:sz="0" w:space="0" w:color="auto"/>
      </w:divBdr>
    </w:div>
    <w:div w:id="1178156251">
      <w:bodyDiv w:val="1"/>
      <w:marLeft w:val="0"/>
      <w:marRight w:val="0"/>
      <w:marTop w:val="0"/>
      <w:marBottom w:val="0"/>
      <w:divBdr>
        <w:top w:val="none" w:sz="0" w:space="0" w:color="auto"/>
        <w:left w:val="none" w:sz="0" w:space="0" w:color="auto"/>
        <w:bottom w:val="none" w:sz="0" w:space="0" w:color="auto"/>
        <w:right w:val="none" w:sz="0" w:space="0" w:color="auto"/>
      </w:divBdr>
    </w:div>
    <w:div w:id="1197695827">
      <w:bodyDiv w:val="1"/>
      <w:marLeft w:val="0"/>
      <w:marRight w:val="0"/>
      <w:marTop w:val="0"/>
      <w:marBottom w:val="0"/>
      <w:divBdr>
        <w:top w:val="none" w:sz="0" w:space="0" w:color="auto"/>
        <w:left w:val="none" w:sz="0" w:space="0" w:color="auto"/>
        <w:bottom w:val="none" w:sz="0" w:space="0" w:color="auto"/>
        <w:right w:val="none" w:sz="0" w:space="0" w:color="auto"/>
      </w:divBdr>
    </w:div>
    <w:div w:id="1216314985">
      <w:bodyDiv w:val="1"/>
      <w:marLeft w:val="0"/>
      <w:marRight w:val="0"/>
      <w:marTop w:val="0"/>
      <w:marBottom w:val="0"/>
      <w:divBdr>
        <w:top w:val="none" w:sz="0" w:space="0" w:color="auto"/>
        <w:left w:val="none" w:sz="0" w:space="0" w:color="auto"/>
        <w:bottom w:val="none" w:sz="0" w:space="0" w:color="auto"/>
        <w:right w:val="none" w:sz="0" w:space="0" w:color="auto"/>
      </w:divBdr>
    </w:div>
    <w:div w:id="1222669948">
      <w:bodyDiv w:val="1"/>
      <w:marLeft w:val="0"/>
      <w:marRight w:val="0"/>
      <w:marTop w:val="0"/>
      <w:marBottom w:val="0"/>
      <w:divBdr>
        <w:top w:val="none" w:sz="0" w:space="0" w:color="auto"/>
        <w:left w:val="none" w:sz="0" w:space="0" w:color="auto"/>
        <w:bottom w:val="none" w:sz="0" w:space="0" w:color="auto"/>
        <w:right w:val="none" w:sz="0" w:space="0" w:color="auto"/>
      </w:divBdr>
    </w:div>
    <w:div w:id="1235048987">
      <w:bodyDiv w:val="1"/>
      <w:marLeft w:val="0"/>
      <w:marRight w:val="0"/>
      <w:marTop w:val="0"/>
      <w:marBottom w:val="0"/>
      <w:divBdr>
        <w:top w:val="none" w:sz="0" w:space="0" w:color="auto"/>
        <w:left w:val="none" w:sz="0" w:space="0" w:color="auto"/>
        <w:bottom w:val="none" w:sz="0" w:space="0" w:color="auto"/>
        <w:right w:val="none" w:sz="0" w:space="0" w:color="auto"/>
      </w:divBdr>
    </w:div>
    <w:div w:id="1241409612">
      <w:bodyDiv w:val="1"/>
      <w:marLeft w:val="0"/>
      <w:marRight w:val="0"/>
      <w:marTop w:val="0"/>
      <w:marBottom w:val="0"/>
      <w:divBdr>
        <w:top w:val="none" w:sz="0" w:space="0" w:color="auto"/>
        <w:left w:val="none" w:sz="0" w:space="0" w:color="auto"/>
        <w:bottom w:val="none" w:sz="0" w:space="0" w:color="auto"/>
        <w:right w:val="none" w:sz="0" w:space="0" w:color="auto"/>
      </w:divBdr>
    </w:div>
    <w:div w:id="1242833853">
      <w:bodyDiv w:val="1"/>
      <w:marLeft w:val="0"/>
      <w:marRight w:val="0"/>
      <w:marTop w:val="0"/>
      <w:marBottom w:val="0"/>
      <w:divBdr>
        <w:top w:val="none" w:sz="0" w:space="0" w:color="auto"/>
        <w:left w:val="none" w:sz="0" w:space="0" w:color="auto"/>
        <w:bottom w:val="none" w:sz="0" w:space="0" w:color="auto"/>
        <w:right w:val="none" w:sz="0" w:space="0" w:color="auto"/>
      </w:divBdr>
    </w:div>
    <w:div w:id="1244604205">
      <w:bodyDiv w:val="1"/>
      <w:marLeft w:val="0"/>
      <w:marRight w:val="0"/>
      <w:marTop w:val="0"/>
      <w:marBottom w:val="0"/>
      <w:divBdr>
        <w:top w:val="none" w:sz="0" w:space="0" w:color="auto"/>
        <w:left w:val="none" w:sz="0" w:space="0" w:color="auto"/>
        <w:bottom w:val="none" w:sz="0" w:space="0" w:color="auto"/>
        <w:right w:val="none" w:sz="0" w:space="0" w:color="auto"/>
      </w:divBdr>
    </w:div>
    <w:div w:id="1258754973">
      <w:bodyDiv w:val="1"/>
      <w:marLeft w:val="0"/>
      <w:marRight w:val="0"/>
      <w:marTop w:val="0"/>
      <w:marBottom w:val="0"/>
      <w:divBdr>
        <w:top w:val="none" w:sz="0" w:space="0" w:color="auto"/>
        <w:left w:val="none" w:sz="0" w:space="0" w:color="auto"/>
        <w:bottom w:val="none" w:sz="0" w:space="0" w:color="auto"/>
        <w:right w:val="none" w:sz="0" w:space="0" w:color="auto"/>
      </w:divBdr>
    </w:div>
    <w:div w:id="1277254276">
      <w:bodyDiv w:val="1"/>
      <w:marLeft w:val="0"/>
      <w:marRight w:val="0"/>
      <w:marTop w:val="0"/>
      <w:marBottom w:val="0"/>
      <w:divBdr>
        <w:top w:val="none" w:sz="0" w:space="0" w:color="auto"/>
        <w:left w:val="none" w:sz="0" w:space="0" w:color="auto"/>
        <w:bottom w:val="none" w:sz="0" w:space="0" w:color="auto"/>
        <w:right w:val="none" w:sz="0" w:space="0" w:color="auto"/>
      </w:divBdr>
    </w:div>
    <w:div w:id="1280062028">
      <w:bodyDiv w:val="1"/>
      <w:marLeft w:val="0"/>
      <w:marRight w:val="0"/>
      <w:marTop w:val="0"/>
      <w:marBottom w:val="0"/>
      <w:divBdr>
        <w:top w:val="none" w:sz="0" w:space="0" w:color="auto"/>
        <w:left w:val="none" w:sz="0" w:space="0" w:color="auto"/>
        <w:bottom w:val="none" w:sz="0" w:space="0" w:color="auto"/>
        <w:right w:val="none" w:sz="0" w:space="0" w:color="auto"/>
      </w:divBdr>
    </w:div>
    <w:div w:id="1285306383">
      <w:bodyDiv w:val="1"/>
      <w:marLeft w:val="0"/>
      <w:marRight w:val="0"/>
      <w:marTop w:val="0"/>
      <w:marBottom w:val="0"/>
      <w:divBdr>
        <w:top w:val="none" w:sz="0" w:space="0" w:color="auto"/>
        <w:left w:val="none" w:sz="0" w:space="0" w:color="auto"/>
        <w:bottom w:val="none" w:sz="0" w:space="0" w:color="auto"/>
        <w:right w:val="none" w:sz="0" w:space="0" w:color="auto"/>
      </w:divBdr>
    </w:div>
    <w:div w:id="1289243042">
      <w:bodyDiv w:val="1"/>
      <w:marLeft w:val="0"/>
      <w:marRight w:val="0"/>
      <w:marTop w:val="0"/>
      <w:marBottom w:val="0"/>
      <w:divBdr>
        <w:top w:val="none" w:sz="0" w:space="0" w:color="auto"/>
        <w:left w:val="none" w:sz="0" w:space="0" w:color="auto"/>
        <w:bottom w:val="none" w:sz="0" w:space="0" w:color="auto"/>
        <w:right w:val="none" w:sz="0" w:space="0" w:color="auto"/>
      </w:divBdr>
    </w:div>
    <w:div w:id="1296835349">
      <w:bodyDiv w:val="1"/>
      <w:marLeft w:val="0"/>
      <w:marRight w:val="0"/>
      <w:marTop w:val="0"/>
      <w:marBottom w:val="0"/>
      <w:divBdr>
        <w:top w:val="none" w:sz="0" w:space="0" w:color="auto"/>
        <w:left w:val="none" w:sz="0" w:space="0" w:color="auto"/>
        <w:bottom w:val="none" w:sz="0" w:space="0" w:color="auto"/>
        <w:right w:val="none" w:sz="0" w:space="0" w:color="auto"/>
      </w:divBdr>
    </w:div>
    <w:div w:id="1303341735">
      <w:bodyDiv w:val="1"/>
      <w:marLeft w:val="0"/>
      <w:marRight w:val="0"/>
      <w:marTop w:val="0"/>
      <w:marBottom w:val="0"/>
      <w:divBdr>
        <w:top w:val="none" w:sz="0" w:space="0" w:color="auto"/>
        <w:left w:val="none" w:sz="0" w:space="0" w:color="auto"/>
        <w:bottom w:val="none" w:sz="0" w:space="0" w:color="auto"/>
        <w:right w:val="none" w:sz="0" w:space="0" w:color="auto"/>
      </w:divBdr>
    </w:div>
    <w:div w:id="1304459279">
      <w:bodyDiv w:val="1"/>
      <w:marLeft w:val="0"/>
      <w:marRight w:val="0"/>
      <w:marTop w:val="0"/>
      <w:marBottom w:val="0"/>
      <w:divBdr>
        <w:top w:val="none" w:sz="0" w:space="0" w:color="auto"/>
        <w:left w:val="none" w:sz="0" w:space="0" w:color="auto"/>
        <w:bottom w:val="none" w:sz="0" w:space="0" w:color="auto"/>
        <w:right w:val="none" w:sz="0" w:space="0" w:color="auto"/>
      </w:divBdr>
    </w:div>
    <w:div w:id="1307474395">
      <w:bodyDiv w:val="1"/>
      <w:marLeft w:val="0"/>
      <w:marRight w:val="0"/>
      <w:marTop w:val="0"/>
      <w:marBottom w:val="0"/>
      <w:divBdr>
        <w:top w:val="none" w:sz="0" w:space="0" w:color="auto"/>
        <w:left w:val="none" w:sz="0" w:space="0" w:color="auto"/>
        <w:bottom w:val="none" w:sz="0" w:space="0" w:color="auto"/>
        <w:right w:val="none" w:sz="0" w:space="0" w:color="auto"/>
      </w:divBdr>
    </w:div>
    <w:div w:id="1309214602">
      <w:bodyDiv w:val="1"/>
      <w:marLeft w:val="0"/>
      <w:marRight w:val="0"/>
      <w:marTop w:val="0"/>
      <w:marBottom w:val="0"/>
      <w:divBdr>
        <w:top w:val="none" w:sz="0" w:space="0" w:color="auto"/>
        <w:left w:val="none" w:sz="0" w:space="0" w:color="auto"/>
        <w:bottom w:val="none" w:sz="0" w:space="0" w:color="auto"/>
        <w:right w:val="none" w:sz="0" w:space="0" w:color="auto"/>
      </w:divBdr>
    </w:div>
    <w:div w:id="1314069566">
      <w:bodyDiv w:val="1"/>
      <w:marLeft w:val="0"/>
      <w:marRight w:val="0"/>
      <w:marTop w:val="0"/>
      <w:marBottom w:val="0"/>
      <w:divBdr>
        <w:top w:val="none" w:sz="0" w:space="0" w:color="auto"/>
        <w:left w:val="none" w:sz="0" w:space="0" w:color="auto"/>
        <w:bottom w:val="none" w:sz="0" w:space="0" w:color="auto"/>
        <w:right w:val="none" w:sz="0" w:space="0" w:color="auto"/>
      </w:divBdr>
    </w:div>
    <w:div w:id="1315916969">
      <w:bodyDiv w:val="1"/>
      <w:marLeft w:val="0"/>
      <w:marRight w:val="0"/>
      <w:marTop w:val="0"/>
      <w:marBottom w:val="0"/>
      <w:divBdr>
        <w:top w:val="none" w:sz="0" w:space="0" w:color="auto"/>
        <w:left w:val="none" w:sz="0" w:space="0" w:color="auto"/>
        <w:bottom w:val="none" w:sz="0" w:space="0" w:color="auto"/>
        <w:right w:val="none" w:sz="0" w:space="0" w:color="auto"/>
      </w:divBdr>
    </w:div>
    <w:div w:id="1320502150">
      <w:bodyDiv w:val="1"/>
      <w:marLeft w:val="0"/>
      <w:marRight w:val="0"/>
      <w:marTop w:val="0"/>
      <w:marBottom w:val="0"/>
      <w:divBdr>
        <w:top w:val="none" w:sz="0" w:space="0" w:color="auto"/>
        <w:left w:val="none" w:sz="0" w:space="0" w:color="auto"/>
        <w:bottom w:val="none" w:sz="0" w:space="0" w:color="auto"/>
        <w:right w:val="none" w:sz="0" w:space="0" w:color="auto"/>
      </w:divBdr>
    </w:div>
    <w:div w:id="1327586384">
      <w:bodyDiv w:val="1"/>
      <w:marLeft w:val="0"/>
      <w:marRight w:val="0"/>
      <w:marTop w:val="0"/>
      <w:marBottom w:val="0"/>
      <w:divBdr>
        <w:top w:val="none" w:sz="0" w:space="0" w:color="auto"/>
        <w:left w:val="none" w:sz="0" w:space="0" w:color="auto"/>
        <w:bottom w:val="none" w:sz="0" w:space="0" w:color="auto"/>
        <w:right w:val="none" w:sz="0" w:space="0" w:color="auto"/>
      </w:divBdr>
    </w:div>
    <w:div w:id="1333024167">
      <w:bodyDiv w:val="1"/>
      <w:marLeft w:val="0"/>
      <w:marRight w:val="0"/>
      <w:marTop w:val="0"/>
      <w:marBottom w:val="0"/>
      <w:divBdr>
        <w:top w:val="none" w:sz="0" w:space="0" w:color="auto"/>
        <w:left w:val="none" w:sz="0" w:space="0" w:color="auto"/>
        <w:bottom w:val="none" w:sz="0" w:space="0" w:color="auto"/>
        <w:right w:val="none" w:sz="0" w:space="0" w:color="auto"/>
      </w:divBdr>
    </w:div>
    <w:div w:id="1343632734">
      <w:bodyDiv w:val="1"/>
      <w:marLeft w:val="0"/>
      <w:marRight w:val="0"/>
      <w:marTop w:val="0"/>
      <w:marBottom w:val="0"/>
      <w:divBdr>
        <w:top w:val="none" w:sz="0" w:space="0" w:color="auto"/>
        <w:left w:val="none" w:sz="0" w:space="0" w:color="auto"/>
        <w:bottom w:val="none" w:sz="0" w:space="0" w:color="auto"/>
        <w:right w:val="none" w:sz="0" w:space="0" w:color="auto"/>
      </w:divBdr>
    </w:div>
    <w:div w:id="1349020946">
      <w:bodyDiv w:val="1"/>
      <w:marLeft w:val="0"/>
      <w:marRight w:val="0"/>
      <w:marTop w:val="0"/>
      <w:marBottom w:val="0"/>
      <w:divBdr>
        <w:top w:val="none" w:sz="0" w:space="0" w:color="auto"/>
        <w:left w:val="none" w:sz="0" w:space="0" w:color="auto"/>
        <w:bottom w:val="none" w:sz="0" w:space="0" w:color="auto"/>
        <w:right w:val="none" w:sz="0" w:space="0" w:color="auto"/>
      </w:divBdr>
    </w:div>
    <w:div w:id="1362171094">
      <w:bodyDiv w:val="1"/>
      <w:marLeft w:val="0"/>
      <w:marRight w:val="0"/>
      <w:marTop w:val="0"/>
      <w:marBottom w:val="0"/>
      <w:divBdr>
        <w:top w:val="none" w:sz="0" w:space="0" w:color="auto"/>
        <w:left w:val="none" w:sz="0" w:space="0" w:color="auto"/>
        <w:bottom w:val="none" w:sz="0" w:space="0" w:color="auto"/>
        <w:right w:val="none" w:sz="0" w:space="0" w:color="auto"/>
      </w:divBdr>
    </w:div>
    <w:div w:id="1378626728">
      <w:bodyDiv w:val="1"/>
      <w:marLeft w:val="0"/>
      <w:marRight w:val="0"/>
      <w:marTop w:val="0"/>
      <w:marBottom w:val="0"/>
      <w:divBdr>
        <w:top w:val="none" w:sz="0" w:space="0" w:color="auto"/>
        <w:left w:val="none" w:sz="0" w:space="0" w:color="auto"/>
        <w:bottom w:val="none" w:sz="0" w:space="0" w:color="auto"/>
        <w:right w:val="none" w:sz="0" w:space="0" w:color="auto"/>
      </w:divBdr>
    </w:div>
    <w:div w:id="1380594316">
      <w:bodyDiv w:val="1"/>
      <w:marLeft w:val="0"/>
      <w:marRight w:val="0"/>
      <w:marTop w:val="0"/>
      <w:marBottom w:val="0"/>
      <w:divBdr>
        <w:top w:val="none" w:sz="0" w:space="0" w:color="auto"/>
        <w:left w:val="none" w:sz="0" w:space="0" w:color="auto"/>
        <w:bottom w:val="none" w:sz="0" w:space="0" w:color="auto"/>
        <w:right w:val="none" w:sz="0" w:space="0" w:color="auto"/>
      </w:divBdr>
    </w:div>
    <w:div w:id="1385107341">
      <w:bodyDiv w:val="1"/>
      <w:marLeft w:val="0"/>
      <w:marRight w:val="0"/>
      <w:marTop w:val="0"/>
      <w:marBottom w:val="0"/>
      <w:divBdr>
        <w:top w:val="none" w:sz="0" w:space="0" w:color="auto"/>
        <w:left w:val="none" w:sz="0" w:space="0" w:color="auto"/>
        <w:bottom w:val="none" w:sz="0" w:space="0" w:color="auto"/>
        <w:right w:val="none" w:sz="0" w:space="0" w:color="auto"/>
      </w:divBdr>
    </w:div>
    <w:div w:id="1389066866">
      <w:bodyDiv w:val="1"/>
      <w:marLeft w:val="0"/>
      <w:marRight w:val="0"/>
      <w:marTop w:val="0"/>
      <w:marBottom w:val="0"/>
      <w:divBdr>
        <w:top w:val="none" w:sz="0" w:space="0" w:color="auto"/>
        <w:left w:val="none" w:sz="0" w:space="0" w:color="auto"/>
        <w:bottom w:val="none" w:sz="0" w:space="0" w:color="auto"/>
        <w:right w:val="none" w:sz="0" w:space="0" w:color="auto"/>
      </w:divBdr>
    </w:div>
    <w:div w:id="1395933821">
      <w:bodyDiv w:val="1"/>
      <w:marLeft w:val="0"/>
      <w:marRight w:val="0"/>
      <w:marTop w:val="0"/>
      <w:marBottom w:val="0"/>
      <w:divBdr>
        <w:top w:val="none" w:sz="0" w:space="0" w:color="auto"/>
        <w:left w:val="none" w:sz="0" w:space="0" w:color="auto"/>
        <w:bottom w:val="none" w:sz="0" w:space="0" w:color="auto"/>
        <w:right w:val="none" w:sz="0" w:space="0" w:color="auto"/>
      </w:divBdr>
    </w:div>
    <w:div w:id="1403796995">
      <w:bodyDiv w:val="1"/>
      <w:marLeft w:val="0"/>
      <w:marRight w:val="0"/>
      <w:marTop w:val="0"/>
      <w:marBottom w:val="0"/>
      <w:divBdr>
        <w:top w:val="none" w:sz="0" w:space="0" w:color="auto"/>
        <w:left w:val="none" w:sz="0" w:space="0" w:color="auto"/>
        <w:bottom w:val="none" w:sz="0" w:space="0" w:color="auto"/>
        <w:right w:val="none" w:sz="0" w:space="0" w:color="auto"/>
      </w:divBdr>
    </w:div>
    <w:div w:id="1404716283">
      <w:bodyDiv w:val="1"/>
      <w:marLeft w:val="0"/>
      <w:marRight w:val="0"/>
      <w:marTop w:val="0"/>
      <w:marBottom w:val="0"/>
      <w:divBdr>
        <w:top w:val="none" w:sz="0" w:space="0" w:color="auto"/>
        <w:left w:val="none" w:sz="0" w:space="0" w:color="auto"/>
        <w:bottom w:val="none" w:sz="0" w:space="0" w:color="auto"/>
        <w:right w:val="none" w:sz="0" w:space="0" w:color="auto"/>
      </w:divBdr>
    </w:div>
    <w:div w:id="1409691833">
      <w:bodyDiv w:val="1"/>
      <w:marLeft w:val="0"/>
      <w:marRight w:val="0"/>
      <w:marTop w:val="0"/>
      <w:marBottom w:val="0"/>
      <w:divBdr>
        <w:top w:val="none" w:sz="0" w:space="0" w:color="auto"/>
        <w:left w:val="none" w:sz="0" w:space="0" w:color="auto"/>
        <w:bottom w:val="none" w:sz="0" w:space="0" w:color="auto"/>
        <w:right w:val="none" w:sz="0" w:space="0" w:color="auto"/>
      </w:divBdr>
    </w:div>
    <w:div w:id="1419323903">
      <w:bodyDiv w:val="1"/>
      <w:marLeft w:val="0"/>
      <w:marRight w:val="0"/>
      <w:marTop w:val="0"/>
      <w:marBottom w:val="0"/>
      <w:divBdr>
        <w:top w:val="none" w:sz="0" w:space="0" w:color="auto"/>
        <w:left w:val="none" w:sz="0" w:space="0" w:color="auto"/>
        <w:bottom w:val="none" w:sz="0" w:space="0" w:color="auto"/>
        <w:right w:val="none" w:sz="0" w:space="0" w:color="auto"/>
      </w:divBdr>
    </w:div>
    <w:div w:id="1431584932">
      <w:bodyDiv w:val="1"/>
      <w:marLeft w:val="0"/>
      <w:marRight w:val="0"/>
      <w:marTop w:val="0"/>
      <w:marBottom w:val="0"/>
      <w:divBdr>
        <w:top w:val="none" w:sz="0" w:space="0" w:color="auto"/>
        <w:left w:val="none" w:sz="0" w:space="0" w:color="auto"/>
        <w:bottom w:val="none" w:sz="0" w:space="0" w:color="auto"/>
        <w:right w:val="none" w:sz="0" w:space="0" w:color="auto"/>
      </w:divBdr>
    </w:div>
    <w:div w:id="1447777425">
      <w:bodyDiv w:val="1"/>
      <w:marLeft w:val="0"/>
      <w:marRight w:val="0"/>
      <w:marTop w:val="0"/>
      <w:marBottom w:val="0"/>
      <w:divBdr>
        <w:top w:val="none" w:sz="0" w:space="0" w:color="auto"/>
        <w:left w:val="none" w:sz="0" w:space="0" w:color="auto"/>
        <w:bottom w:val="none" w:sz="0" w:space="0" w:color="auto"/>
        <w:right w:val="none" w:sz="0" w:space="0" w:color="auto"/>
      </w:divBdr>
    </w:div>
    <w:div w:id="1461142216">
      <w:bodyDiv w:val="1"/>
      <w:marLeft w:val="0"/>
      <w:marRight w:val="0"/>
      <w:marTop w:val="0"/>
      <w:marBottom w:val="0"/>
      <w:divBdr>
        <w:top w:val="none" w:sz="0" w:space="0" w:color="auto"/>
        <w:left w:val="none" w:sz="0" w:space="0" w:color="auto"/>
        <w:bottom w:val="none" w:sz="0" w:space="0" w:color="auto"/>
        <w:right w:val="none" w:sz="0" w:space="0" w:color="auto"/>
      </w:divBdr>
    </w:div>
    <w:div w:id="1461413102">
      <w:bodyDiv w:val="1"/>
      <w:marLeft w:val="0"/>
      <w:marRight w:val="0"/>
      <w:marTop w:val="0"/>
      <w:marBottom w:val="0"/>
      <w:divBdr>
        <w:top w:val="none" w:sz="0" w:space="0" w:color="auto"/>
        <w:left w:val="none" w:sz="0" w:space="0" w:color="auto"/>
        <w:bottom w:val="none" w:sz="0" w:space="0" w:color="auto"/>
        <w:right w:val="none" w:sz="0" w:space="0" w:color="auto"/>
      </w:divBdr>
    </w:div>
    <w:div w:id="1464889684">
      <w:bodyDiv w:val="1"/>
      <w:marLeft w:val="0"/>
      <w:marRight w:val="0"/>
      <w:marTop w:val="0"/>
      <w:marBottom w:val="0"/>
      <w:divBdr>
        <w:top w:val="none" w:sz="0" w:space="0" w:color="auto"/>
        <w:left w:val="none" w:sz="0" w:space="0" w:color="auto"/>
        <w:bottom w:val="none" w:sz="0" w:space="0" w:color="auto"/>
        <w:right w:val="none" w:sz="0" w:space="0" w:color="auto"/>
      </w:divBdr>
    </w:div>
    <w:div w:id="1469128849">
      <w:bodyDiv w:val="1"/>
      <w:marLeft w:val="0"/>
      <w:marRight w:val="0"/>
      <w:marTop w:val="0"/>
      <w:marBottom w:val="0"/>
      <w:divBdr>
        <w:top w:val="none" w:sz="0" w:space="0" w:color="auto"/>
        <w:left w:val="none" w:sz="0" w:space="0" w:color="auto"/>
        <w:bottom w:val="none" w:sz="0" w:space="0" w:color="auto"/>
        <w:right w:val="none" w:sz="0" w:space="0" w:color="auto"/>
      </w:divBdr>
    </w:div>
    <w:div w:id="1470200402">
      <w:bodyDiv w:val="1"/>
      <w:marLeft w:val="0"/>
      <w:marRight w:val="0"/>
      <w:marTop w:val="0"/>
      <w:marBottom w:val="0"/>
      <w:divBdr>
        <w:top w:val="none" w:sz="0" w:space="0" w:color="auto"/>
        <w:left w:val="none" w:sz="0" w:space="0" w:color="auto"/>
        <w:bottom w:val="none" w:sz="0" w:space="0" w:color="auto"/>
        <w:right w:val="none" w:sz="0" w:space="0" w:color="auto"/>
      </w:divBdr>
    </w:div>
    <w:div w:id="1493790060">
      <w:bodyDiv w:val="1"/>
      <w:marLeft w:val="0"/>
      <w:marRight w:val="0"/>
      <w:marTop w:val="0"/>
      <w:marBottom w:val="0"/>
      <w:divBdr>
        <w:top w:val="none" w:sz="0" w:space="0" w:color="auto"/>
        <w:left w:val="none" w:sz="0" w:space="0" w:color="auto"/>
        <w:bottom w:val="none" w:sz="0" w:space="0" w:color="auto"/>
        <w:right w:val="none" w:sz="0" w:space="0" w:color="auto"/>
      </w:divBdr>
      <w:divsChild>
        <w:div w:id="195849999">
          <w:marLeft w:val="0"/>
          <w:marRight w:val="0"/>
          <w:marTop w:val="0"/>
          <w:marBottom w:val="160"/>
          <w:divBdr>
            <w:top w:val="none" w:sz="0" w:space="0" w:color="auto"/>
            <w:left w:val="none" w:sz="0" w:space="0" w:color="auto"/>
            <w:bottom w:val="none" w:sz="0" w:space="0" w:color="auto"/>
            <w:right w:val="none" w:sz="0" w:space="0" w:color="auto"/>
          </w:divBdr>
        </w:div>
        <w:div w:id="312026937">
          <w:marLeft w:val="0"/>
          <w:marRight w:val="0"/>
          <w:marTop w:val="0"/>
          <w:marBottom w:val="160"/>
          <w:divBdr>
            <w:top w:val="none" w:sz="0" w:space="0" w:color="auto"/>
            <w:left w:val="none" w:sz="0" w:space="0" w:color="auto"/>
            <w:bottom w:val="none" w:sz="0" w:space="0" w:color="auto"/>
            <w:right w:val="none" w:sz="0" w:space="0" w:color="auto"/>
          </w:divBdr>
        </w:div>
        <w:div w:id="1052579994">
          <w:marLeft w:val="0"/>
          <w:marRight w:val="0"/>
          <w:marTop w:val="0"/>
          <w:marBottom w:val="160"/>
          <w:divBdr>
            <w:top w:val="none" w:sz="0" w:space="0" w:color="auto"/>
            <w:left w:val="none" w:sz="0" w:space="0" w:color="auto"/>
            <w:bottom w:val="none" w:sz="0" w:space="0" w:color="auto"/>
            <w:right w:val="none" w:sz="0" w:space="0" w:color="auto"/>
          </w:divBdr>
        </w:div>
        <w:div w:id="1125268697">
          <w:marLeft w:val="0"/>
          <w:marRight w:val="0"/>
          <w:marTop w:val="0"/>
          <w:marBottom w:val="160"/>
          <w:divBdr>
            <w:top w:val="none" w:sz="0" w:space="0" w:color="auto"/>
            <w:left w:val="none" w:sz="0" w:space="0" w:color="auto"/>
            <w:bottom w:val="none" w:sz="0" w:space="0" w:color="auto"/>
            <w:right w:val="none" w:sz="0" w:space="0" w:color="auto"/>
          </w:divBdr>
        </w:div>
        <w:div w:id="1590507684">
          <w:marLeft w:val="0"/>
          <w:marRight w:val="0"/>
          <w:marTop w:val="0"/>
          <w:marBottom w:val="160"/>
          <w:divBdr>
            <w:top w:val="none" w:sz="0" w:space="0" w:color="auto"/>
            <w:left w:val="none" w:sz="0" w:space="0" w:color="auto"/>
            <w:bottom w:val="none" w:sz="0" w:space="0" w:color="auto"/>
            <w:right w:val="none" w:sz="0" w:space="0" w:color="auto"/>
          </w:divBdr>
        </w:div>
      </w:divsChild>
    </w:div>
    <w:div w:id="1495608769">
      <w:bodyDiv w:val="1"/>
      <w:marLeft w:val="0"/>
      <w:marRight w:val="0"/>
      <w:marTop w:val="0"/>
      <w:marBottom w:val="0"/>
      <w:divBdr>
        <w:top w:val="none" w:sz="0" w:space="0" w:color="auto"/>
        <w:left w:val="none" w:sz="0" w:space="0" w:color="auto"/>
        <w:bottom w:val="none" w:sz="0" w:space="0" w:color="auto"/>
        <w:right w:val="none" w:sz="0" w:space="0" w:color="auto"/>
      </w:divBdr>
    </w:div>
    <w:div w:id="1498840780">
      <w:bodyDiv w:val="1"/>
      <w:marLeft w:val="0"/>
      <w:marRight w:val="0"/>
      <w:marTop w:val="0"/>
      <w:marBottom w:val="0"/>
      <w:divBdr>
        <w:top w:val="none" w:sz="0" w:space="0" w:color="auto"/>
        <w:left w:val="none" w:sz="0" w:space="0" w:color="auto"/>
        <w:bottom w:val="none" w:sz="0" w:space="0" w:color="auto"/>
        <w:right w:val="none" w:sz="0" w:space="0" w:color="auto"/>
      </w:divBdr>
    </w:div>
    <w:div w:id="1500122716">
      <w:bodyDiv w:val="1"/>
      <w:marLeft w:val="0"/>
      <w:marRight w:val="0"/>
      <w:marTop w:val="0"/>
      <w:marBottom w:val="0"/>
      <w:divBdr>
        <w:top w:val="none" w:sz="0" w:space="0" w:color="auto"/>
        <w:left w:val="none" w:sz="0" w:space="0" w:color="auto"/>
        <w:bottom w:val="none" w:sz="0" w:space="0" w:color="auto"/>
        <w:right w:val="none" w:sz="0" w:space="0" w:color="auto"/>
      </w:divBdr>
    </w:div>
    <w:div w:id="1522696115">
      <w:bodyDiv w:val="1"/>
      <w:marLeft w:val="0"/>
      <w:marRight w:val="0"/>
      <w:marTop w:val="0"/>
      <w:marBottom w:val="0"/>
      <w:divBdr>
        <w:top w:val="none" w:sz="0" w:space="0" w:color="auto"/>
        <w:left w:val="none" w:sz="0" w:space="0" w:color="auto"/>
        <w:bottom w:val="none" w:sz="0" w:space="0" w:color="auto"/>
        <w:right w:val="none" w:sz="0" w:space="0" w:color="auto"/>
      </w:divBdr>
    </w:div>
    <w:div w:id="1545024593">
      <w:bodyDiv w:val="1"/>
      <w:marLeft w:val="0"/>
      <w:marRight w:val="0"/>
      <w:marTop w:val="0"/>
      <w:marBottom w:val="0"/>
      <w:divBdr>
        <w:top w:val="none" w:sz="0" w:space="0" w:color="auto"/>
        <w:left w:val="none" w:sz="0" w:space="0" w:color="auto"/>
        <w:bottom w:val="none" w:sz="0" w:space="0" w:color="auto"/>
        <w:right w:val="none" w:sz="0" w:space="0" w:color="auto"/>
      </w:divBdr>
    </w:div>
    <w:div w:id="1546791622">
      <w:bodyDiv w:val="1"/>
      <w:marLeft w:val="0"/>
      <w:marRight w:val="0"/>
      <w:marTop w:val="0"/>
      <w:marBottom w:val="0"/>
      <w:divBdr>
        <w:top w:val="none" w:sz="0" w:space="0" w:color="auto"/>
        <w:left w:val="none" w:sz="0" w:space="0" w:color="auto"/>
        <w:bottom w:val="none" w:sz="0" w:space="0" w:color="auto"/>
        <w:right w:val="none" w:sz="0" w:space="0" w:color="auto"/>
      </w:divBdr>
    </w:div>
    <w:div w:id="1551266942">
      <w:bodyDiv w:val="1"/>
      <w:marLeft w:val="0"/>
      <w:marRight w:val="0"/>
      <w:marTop w:val="0"/>
      <w:marBottom w:val="0"/>
      <w:divBdr>
        <w:top w:val="none" w:sz="0" w:space="0" w:color="auto"/>
        <w:left w:val="none" w:sz="0" w:space="0" w:color="auto"/>
        <w:bottom w:val="none" w:sz="0" w:space="0" w:color="auto"/>
        <w:right w:val="none" w:sz="0" w:space="0" w:color="auto"/>
      </w:divBdr>
    </w:div>
    <w:div w:id="1553076547">
      <w:bodyDiv w:val="1"/>
      <w:marLeft w:val="0"/>
      <w:marRight w:val="0"/>
      <w:marTop w:val="0"/>
      <w:marBottom w:val="0"/>
      <w:divBdr>
        <w:top w:val="none" w:sz="0" w:space="0" w:color="auto"/>
        <w:left w:val="none" w:sz="0" w:space="0" w:color="auto"/>
        <w:bottom w:val="none" w:sz="0" w:space="0" w:color="auto"/>
        <w:right w:val="none" w:sz="0" w:space="0" w:color="auto"/>
      </w:divBdr>
    </w:div>
    <w:div w:id="1563711033">
      <w:bodyDiv w:val="1"/>
      <w:marLeft w:val="0"/>
      <w:marRight w:val="0"/>
      <w:marTop w:val="0"/>
      <w:marBottom w:val="0"/>
      <w:divBdr>
        <w:top w:val="none" w:sz="0" w:space="0" w:color="auto"/>
        <w:left w:val="none" w:sz="0" w:space="0" w:color="auto"/>
        <w:bottom w:val="none" w:sz="0" w:space="0" w:color="auto"/>
        <w:right w:val="none" w:sz="0" w:space="0" w:color="auto"/>
      </w:divBdr>
    </w:div>
    <w:div w:id="1563758264">
      <w:bodyDiv w:val="1"/>
      <w:marLeft w:val="0"/>
      <w:marRight w:val="0"/>
      <w:marTop w:val="0"/>
      <w:marBottom w:val="0"/>
      <w:divBdr>
        <w:top w:val="none" w:sz="0" w:space="0" w:color="auto"/>
        <w:left w:val="none" w:sz="0" w:space="0" w:color="auto"/>
        <w:bottom w:val="none" w:sz="0" w:space="0" w:color="auto"/>
        <w:right w:val="none" w:sz="0" w:space="0" w:color="auto"/>
      </w:divBdr>
    </w:div>
    <w:div w:id="1565918105">
      <w:bodyDiv w:val="1"/>
      <w:marLeft w:val="0"/>
      <w:marRight w:val="0"/>
      <w:marTop w:val="0"/>
      <w:marBottom w:val="0"/>
      <w:divBdr>
        <w:top w:val="none" w:sz="0" w:space="0" w:color="auto"/>
        <w:left w:val="none" w:sz="0" w:space="0" w:color="auto"/>
        <w:bottom w:val="none" w:sz="0" w:space="0" w:color="auto"/>
        <w:right w:val="none" w:sz="0" w:space="0" w:color="auto"/>
      </w:divBdr>
    </w:div>
    <w:div w:id="1576431412">
      <w:bodyDiv w:val="1"/>
      <w:marLeft w:val="0"/>
      <w:marRight w:val="0"/>
      <w:marTop w:val="0"/>
      <w:marBottom w:val="0"/>
      <w:divBdr>
        <w:top w:val="none" w:sz="0" w:space="0" w:color="auto"/>
        <w:left w:val="none" w:sz="0" w:space="0" w:color="auto"/>
        <w:bottom w:val="none" w:sz="0" w:space="0" w:color="auto"/>
        <w:right w:val="none" w:sz="0" w:space="0" w:color="auto"/>
      </w:divBdr>
    </w:div>
    <w:div w:id="1584878759">
      <w:bodyDiv w:val="1"/>
      <w:marLeft w:val="0"/>
      <w:marRight w:val="0"/>
      <w:marTop w:val="0"/>
      <w:marBottom w:val="0"/>
      <w:divBdr>
        <w:top w:val="none" w:sz="0" w:space="0" w:color="auto"/>
        <w:left w:val="none" w:sz="0" w:space="0" w:color="auto"/>
        <w:bottom w:val="none" w:sz="0" w:space="0" w:color="auto"/>
        <w:right w:val="none" w:sz="0" w:space="0" w:color="auto"/>
      </w:divBdr>
    </w:div>
    <w:div w:id="1585064373">
      <w:bodyDiv w:val="1"/>
      <w:marLeft w:val="0"/>
      <w:marRight w:val="0"/>
      <w:marTop w:val="0"/>
      <w:marBottom w:val="0"/>
      <w:divBdr>
        <w:top w:val="none" w:sz="0" w:space="0" w:color="auto"/>
        <w:left w:val="none" w:sz="0" w:space="0" w:color="auto"/>
        <w:bottom w:val="none" w:sz="0" w:space="0" w:color="auto"/>
        <w:right w:val="none" w:sz="0" w:space="0" w:color="auto"/>
      </w:divBdr>
    </w:div>
    <w:div w:id="1615209597">
      <w:bodyDiv w:val="1"/>
      <w:marLeft w:val="0"/>
      <w:marRight w:val="0"/>
      <w:marTop w:val="0"/>
      <w:marBottom w:val="0"/>
      <w:divBdr>
        <w:top w:val="none" w:sz="0" w:space="0" w:color="auto"/>
        <w:left w:val="none" w:sz="0" w:space="0" w:color="auto"/>
        <w:bottom w:val="none" w:sz="0" w:space="0" w:color="auto"/>
        <w:right w:val="none" w:sz="0" w:space="0" w:color="auto"/>
      </w:divBdr>
    </w:div>
    <w:div w:id="1616447732">
      <w:bodyDiv w:val="1"/>
      <w:marLeft w:val="0"/>
      <w:marRight w:val="0"/>
      <w:marTop w:val="0"/>
      <w:marBottom w:val="0"/>
      <w:divBdr>
        <w:top w:val="none" w:sz="0" w:space="0" w:color="auto"/>
        <w:left w:val="none" w:sz="0" w:space="0" w:color="auto"/>
        <w:bottom w:val="none" w:sz="0" w:space="0" w:color="auto"/>
        <w:right w:val="none" w:sz="0" w:space="0" w:color="auto"/>
      </w:divBdr>
    </w:div>
    <w:div w:id="1618560788">
      <w:bodyDiv w:val="1"/>
      <w:marLeft w:val="0"/>
      <w:marRight w:val="0"/>
      <w:marTop w:val="0"/>
      <w:marBottom w:val="0"/>
      <w:divBdr>
        <w:top w:val="none" w:sz="0" w:space="0" w:color="auto"/>
        <w:left w:val="none" w:sz="0" w:space="0" w:color="auto"/>
        <w:bottom w:val="none" w:sz="0" w:space="0" w:color="auto"/>
        <w:right w:val="none" w:sz="0" w:space="0" w:color="auto"/>
      </w:divBdr>
    </w:div>
    <w:div w:id="1647785254">
      <w:bodyDiv w:val="1"/>
      <w:marLeft w:val="0"/>
      <w:marRight w:val="0"/>
      <w:marTop w:val="0"/>
      <w:marBottom w:val="0"/>
      <w:divBdr>
        <w:top w:val="none" w:sz="0" w:space="0" w:color="auto"/>
        <w:left w:val="none" w:sz="0" w:space="0" w:color="auto"/>
        <w:bottom w:val="none" w:sz="0" w:space="0" w:color="auto"/>
        <w:right w:val="none" w:sz="0" w:space="0" w:color="auto"/>
      </w:divBdr>
    </w:div>
    <w:div w:id="1690910798">
      <w:bodyDiv w:val="1"/>
      <w:marLeft w:val="0"/>
      <w:marRight w:val="0"/>
      <w:marTop w:val="0"/>
      <w:marBottom w:val="0"/>
      <w:divBdr>
        <w:top w:val="none" w:sz="0" w:space="0" w:color="auto"/>
        <w:left w:val="none" w:sz="0" w:space="0" w:color="auto"/>
        <w:bottom w:val="none" w:sz="0" w:space="0" w:color="auto"/>
        <w:right w:val="none" w:sz="0" w:space="0" w:color="auto"/>
      </w:divBdr>
    </w:div>
    <w:div w:id="1693072385">
      <w:bodyDiv w:val="1"/>
      <w:marLeft w:val="0"/>
      <w:marRight w:val="0"/>
      <w:marTop w:val="0"/>
      <w:marBottom w:val="0"/>
      <w:divBdr>
        <w:top w:val="none" w:sz="0" w:space="0" w:color="auto"/>
        <w:left w:val="none" w:sz="0" w:space="0" w:color="auto"/>
        <w:bottom w:val="none" w:sz="0" w:space="0" w:color="auto"/>
        <w:right w:val="none" w:sz="0" w:space="0" w:color="auto"/>
      </w:divBdr>
    </w:div>
    <w:div w:id="1693721744">
      <w:bodyDiv w:val="1"/>
      <w:marLeft w:val="0"/>
      <w:marRight w:val="0"/>
      <w:marTop w:val="0"/>
      <w:marBottom w:val="0"/>
      <w:divBdr>
        <w:top w:val="none" w:sz="0" w:space="0" w:color="auto"/>
        <w:left w:val="none" w:sz="0" w:space="0" w:color="auto"/>
        <w:bottom w:val="none" w:sz="0" w:space="0" w:color="auto"/>
        <w:right w:val="none" w:sz="0" w:space="0" w:color="auto"/>
      </w:divBdr>
    </w:div>
    <w:div w:id="1707023312">
      <w:bodyDiv w:val="1"/>
      <w:marLeft w:val="0"/>
      <w:marRight w:val="0"/>
      <w:marTop w:val="0"/>
      <w:marBottom w:val="0"/>
      <w:divBdr>
        <w:top w:val="none" w:sz="0" w:space="0" w:color="auto"/>
        <w:left w:val="none" w:sz="0" w:space="0" w:color="auto"/>
        <w:bottom w:val="none" w:sz="0" w:space="0" w:color="auto"/>
        <w:right w:val="none" w:sz="0" w:space="0" w:color="auto"/>
      </w:divBdr>
    </w:div>
    <w:div w:id="1725979967">
      <w:bodyDiv w:val="1"/>
      <w:marLeft w:val="0"/>
      <w:marRight w:val="0"/>
      <w:marTop w:val="0"/>
      <w:marBottom w:val="0"/>
      <w:divBdr>
        <w:top w:val="none" w:sz="0" w:space="0" w:color="auto"/>
        <w:left w:val="none" w:sz="0" w:space="0" w:color="auto"/>
        <w:bottom w:val="none" w:sz="0" w:space="0" w:color="auto"/>
        <w:right w:val="none" w:sz="0" w:space="0" w:color="auto"/>
      </w:divBdr>
    </w:div>
    <w:div w:id="1726493197">
      <w:bodyDiv w:val="1"/>
      <w:marLeft w:val="0"/>
      <w:marRight w:val="0"/>
      <w:marTop w:val="0"/>
      <w:marBottom w:val="0"/>
      <w:divBdr>
        <w:top w:val="none" w:sz="0" w:space="0" w:color="auto"/>
        <w:left w:val="none" w:sz="0" w:space="0" w:color="auto"/>
        <w:bottom w:val="none" w:sz="0" w:space="0" w:color="auto"/>
        <w:right w:val="none" w:sz="0" w:space="0" w:color="auto"/>
      </w:divBdr>
    </w:div>
    <w:div w:id="1732119649">
      <w:bodyDiv w:val="1"/>
      <w:marLeft w:val="0"/>
      <w:marRight w:val="0"/>
      <w:marTop w:val="0"/>
      <w:marBottom w:val="0"/>
      <w:divBdr>
        <w:top w:val="none" w:sz="0" w:space="0" w:color="auto"/>
        <w:left w:val="none" w:sz="0" w:space="0" w:color="auto"/>
        <w:bottom w:val="none" w:sz="0" w:space="0" w:color="auto"/>
        <w:right w:val="none" w:sz="0" w:space="0" w:color="auto"/>
      </w:divBdr>
    </w:div>
    <w:div w:id="1736198603">
      <w:bodyDiv w:val="1"/>
      <w:marLeft w:val="0"/>
      <w:marRight w:val="0"/>
      <w:marTop w:val="0"/>
      <w:marBottom w:val="0"/>
      <w:divBdr>
        <w:top w:val="none" w:sz="0" w:space="0" w:color="auto"/>
        <w:left w:val="none" w:sz="0" w:space="0" w:color="auto"/>
        <w:bottom w:val="none" w:sz="0" w:space="0" w:color="auto"/>
        <w:right w:val="none" w:sz="0" w:space="0" w:color="auto"/>
      </w:divBdr>
    </w:div>
    <w:div w:id="1745641754">
      <w:bodyDiv w:val="1"/>
      <w:marLeft w:val="0"/>
      <w:marRight w:val="0"/>
      <w:marTop w:val="0"/>
      <w:marBottom w:val="0"/>
      <w:divBdr>
        <w:top w:val="none" w:sz="0" w:space="0" w:color="auto"/>
        <w:left w:val="none" w:sz="0" w:space="0" w:color="auto"/>
        <w:bottom w:val="none" w:sz="0" w:space="0" w:color="auto"/>
        <w:right w:val="none" w:sz="0" w:space="0" w:color="auto"/>
      </w:divBdr>
    </w:div>
    <w:div w:id="1748842954">
      <w:bodyDiv w:val="1"/>
      <w:marLeft w:val="0"/>
      <w:marRight w:val="0"/>
      <w:marTop w:val="0"/>
      <w:marBottom w:val="0"/>
      <w:divBdr>
        <w:top w:val="none" w:sz="0" w:space="0" w:color="auto"/>
        <w:left w:val="none" w:sz="0" w:space="0" w:color="auto"/>
        <w:bottom w:val="none" w:sz="0" w:space="0" w:color="auto"/>
        <w:right w:val="none" w:sz="0" w:space="0" w:color="auto"/>
      </w:divBdr>
    </w:div>
    <w:div w:id="1755974369">
      <w:bodyDiv w:val="1"/>
      <w:marLeft w:val="0"/>
      <w:marRight w:val="0"/>
      <w:marTop w:val="0"/>
      <w:marBottom w:val="0"/>
      <w:divBdr>
        <w:top w:val="none" w:sz="0" w:space="0" w:color="auto"/>
        <w:left w:val="none" w:sz="0" w:space="0" w:color="auto"/>
        <w:bottom w:val="none" w:sz="0" w:space="0" w:color="auto"/>
        <w:right w:val="none" w:sz="0" w:space="0" w:color="auto"/>
      </w:divBdr>
    </w:div>
    <w:div w:id="1763644782">
      <w:bodyDiv w:val="1"/>
      <w:marLeft w:val="0"/>
      <w:marRight w:val="0"/>
      <w:marTop w:val="0"/>
      <w:marBottom w:val="0"/>
      <w:divBdr>
        <w:top w:val="none" w:sz="0" w:space="0" w:color="auto"/>
        <w:left w:val="none" w:sz="0" w:space="0" w:color="auto"/>
        <w:bottom w:val="none" w:sz="0" w:space="0" w:color="auto"/>
        <w:right w:val="none" w:sz="0" w:space="0" w:color="auto"/>
      </w:divBdr>
    </w:div>
    <w:div w:id="1768384362">
      <w:bodyDiv w:val="1"/>
      <w:marLeft w:val="0"/>
      <w:marRight w:val="0"/>
      <w:marTop w:val="0"/>
      <w:marBottom w:val="0"/>
      <w:divBdr>
        <w:top w:val="none" w:sz="0" w:space="0" w:color="auto"/>
        <w:left w:val="none" w:sz="0" w:space="0" w:color="auto"/>
        <w:bottom w:val="none" w:sz="0" w:space="0" w:color="auto"/>
        <w:right w:val="none" w:sz="0" w:space="0" w:color="auto"/>
      </w:divBdr>
    </w:div>
    <w:div w:id="1768693466">
      <w:bodyDiv w:val="1"/>
      <w:marLeft w:val="0"/>
      <w:marRight w:val="0"/>
      <w:marTop w:val="0"/>
      <w:marBottom w:val="0"/>
      <w:divBdr>
        <w:top w:val="none" w:sz="0" w:space="0" w:color="auto"/>
        <w:left w:val="none" w:sz="0" w:space="0" w:color="auto"/>
        <w:bottom w:val="none" w:sz="0" w:space="0" w:color="auto"/>
        <w:right w:val="none" w:sz="0" w:space="0" w:color="auto"/>
      </w:divBdr>
    </w:div>
    <w:div w:id="1776054694">
      <w:bodyDiv w:val="1"/>
      <w:marLeft w:val="0"/>
      <w:marRight w:val="0"/>
      <w:marTop w:val="0"/>
      <w:marBottom w:val="0"/>
      <w:divBdr>
        <w:top w:val="none" w:sz="0" w:space="0" w:color="auto"/>
        <w:left w:val="none" w:sz="0" w:space="0" w:color="auto"/>
        <w:bottom w:val="none" w:sz="0" w:space="0" w:color="auto"/>
        <w:right w:val="none" w:sz="0" w:space="0" w:color="auto"/>
      </w:divBdr>
    </w:div>
    <w:div w:id="1777209476">
      <w:bodyDiv w:val="1"/>
      <w:marLeft w:val="0"/>
      <w:marRight w:val="0"/>
      <w:marTop w:val="0"/>
      <w:marBottom w:val="0"/>
      <w:divBdr>
        <w:top w:val="none" w:sz="0" w:space="0" w:color="auto"/>
        <w:left w:val="none" w:sz="0" w:space="0" w:color="auto"/>
        <w:bottom w:val="none" w:sz="0" w:space="0" w:color="auto"/>
        <w:right w:val="none" w:sz="0" w:space="0" w:color="auto"/>
      </w:divBdr>
    </w:div>
    <w:div w:id="1785925420">
      <w:bodyDiv w:val="1"/>
      <w:marLeft w:val="0"/>
      <w:marRight w:val="0"/>
      <w:marTop w:val="0"/>
      <w:marBottom w:val="0"/>
      <w:divBdr>
        <w:top w:val="none" w:sz="0" w:space="0" w:color="auto"/>
        <w:left w:val="none" w:sz="0" w:space="0" w:color="auto"/>
        <w:bottom w:val="none" w:sz="0" w:space="0" w:color="auto"/>
        <w:right w:val="none" w:sz="0" w:space="0" w:color="auto"/>
      </w:divBdr>
    </w:div>
    <w:div w:id="1786268335">
      <w:bodyDiv w:val="1"/>
      <w:marLeft w:val="0"/>
      <w:marRight w:val="0"/>
      <w:marTop w:val="0"/>
      <w:marBottom w:val="0"/>
      <w:divBdr>
        <w:top w:val="none" w:sz="0" w:space="0" w:color="auto"/>
        <w:left w:val="none" w:sz="0" w:space="0" w:color="auto"/>
        <w:bottom w:val="none" w:sz="0" w:space="0" w:color="auto"/>
        <w:right w:val="none" w:sz="0" w:space="0" w:color="auto"/>
      </w:divBdr>
    </w:div>
    <w:div w:id="1804230484">
      <w:bodyDiv w:val="1"/>
      <w:marLeft w:val="0"/>
      <w:marRight w:val="0"/>
      <w:marTop w:val="0"/>
      <w:marBottom w:val="0"/>
      <w:divBdr>
        <w:top w:val="none" w:sz="0" w:space="0" w:color="auto"/>
        <w:left w:val="none" w:sz="0" w:space="0" w:color="auto"/>
        <w:bottom w:val="none" w:sz="0" w:space="0" w:color="auto"/>
        <w:right w:val="none" w:sz="0" w:space="0" w:color="auto"/>
      </w:divBdr>
    </w:div>
    <w:div w:id="1807359191">
      <w:bodyDiv w:val="1"/>
      <w:marLeft w:val="0"/>
      <w:marRight w:val="0"/>
      <w:marTop w:val="0"/>
      <w:marBottom w:val="0"/>
      <w:divBdr>
        <w:top w:val="none" w:sz="0" w:space="0" w:color="auto"/>
        <w:left w:val="none" w:sz="0" w:space="0" w:color="auto"/>
        <w:bottom w:val="none" w:sz="0" w:space="0" w:color="auto"/>
        <w:right w:val="none" w:sz="0" w:space="0" w:color="auto"/>
      </w:divBdr>
    </w:div>
    <w:div w:id="1807695543">
      <w:bodyDiv w:val="1"/>
      <w:marLeft w:val="0"/>
      <w:marRight w:val="0"/>
      <w:marTop w:val="0"/>
      <w:marBottom w:val="0"/>
      <w:divBdr>
        <w:top w:val="none" w:sz="0" w:space="0" w:color="auto"/>
        <w:left w:val="none" w:sz="0" w:space="0" w:color="auto"/>
        <w:bottom w:val="none" w:sz="0" w:space="0" w:color="auto"/>
        <w:right w:val="none" w:sz="0" w:space="0" w:color="auto"/>
      </w:divBdr>
    </w:div>
    <w:div w:id="1815640319">
      <w:bodyDiv w:val="1"/>
      <w:marLeft w:val="0"/>
      <w:marRight w:val="0"/>
      <w:marTop w:val="0"/>
      <w:marBottom w:val="0"/>
      <w:divBdr>
        <w:top w:val="none" w:sz="0" w:space="0" w:color="auto"/>
        <w:left w:val="none" w:sz="0" w:space="0" w:color="auto"/>
        <w:bottom w:val="none" w:sz="0" w:space="0" w:color="auto"/>
        <w:right w:val="none" w:sz="0" w:space="0" w:color="auto"/>
      </w:divBdr>
    </w:div>
    <w:div w:id="1821733121">
      <w:bodyDiv w:val="1"/>
      <w:marLeft w:val="0"/>
      <w:marRight w:val="0"/>
      <w:marTop w:val="0"/>
      <w:marBottom w:val="0"/>
      <w:divBdr>
        <w:top w:val="none" w:sz="0" w:space="0" w:color="auto"/>
        <w:left w:val="none" w:sz="0" w:space="0" w:color="auto"/>
        <w:bottom w:val="none" w:sz="0" w:space="0" w:color="auto"/>
        <w:right w:val="none" w:sz="0" w:space="0" w:color="auto"/>
      </w:divBdr>
    </w:div>
    <w:div w:id="1833636866">
      <w:bodyDiv w:val="1"/>
      <w:marLeft w:val="0"/>
      <w:marRight w:val="0"/>
      <w:marTop w:val="0"/>
      <w:marBottom w:val="0"/>
      <w:divBdr>
        <w:top w:val="none" w:sz="0" w:space="0" w:color="auto"/>
        <w:left w:val="none" w:sz="0" w:space="0" w:color="auto"/>
        <w:bottom w:val="none" w:sz="0" w:space="0" w:color="auto"/>
        <w:right w:val="none" w:sz="0" w:space="0" w:color="auto"/>
      </w:divBdr>
    </w:div>
    <w:div w:id="1837189555">
      <w:bodyDiv w:val="1"/>
      <w:marLeft w:val="0"/>
      <w:marRight w:val="0"/>
      <w:marTop w:val="0"/>
      <w:marBottom w:val="0"/>
      <w:divBdr>
        <w:top w:val="none" w:sz="0" w:space="0" w:color="auto"/>
        <w:left w:val="none" w:sz="0" w:space="0" w:color="auto"/>
        <w:bottom w:val="none" w:sz="0" w:space="0" w:color="auto"/>
        <w:right w:val="none" w:sz="0" w:space="0" w:color="auto"/>
      </w:divBdr>
    </w:div>
    <w:div w:id="1854873854">
      <w:bodyDiv w:val="1"/>
      <w:marLeft w:val="0"/>
      <w:marRight w:val="0"/>
      <w:marTop w:val="0"/>
      <w:marBottom w:val="0"/>
      <w:divBdr>
        <w:top w:val="none" w:sz="0" w:space="0" w:color="auto"/>
        <w:left w:val="none" w:sz="0" w:space="0" w:color="auto"/>
        <w:bottom w:val="none" w:sz="0" w:space="0" w:color="auto"/>
        <w:right w:val="none" w:sz="0" w:space="0" w:color="auto"/>
      </w:divBdr>
    </w:div>
    <w:div w:id="1865823998">
      <w:bodyDiv w:val="1"/>
      <w:marLeft w:val="0"/>
      <w:marRight w:val="0"/>
      <w:marTop w:val="0"/>
      <w:marBottom w:val="0"/>
      <w:divBdr>
        <w:top w:val="none" w:sz="0" w:space="0" w:color="auto"/>
        <w:left w:val="none" w:sz="0" w:space="0" w:color="auto"/>
        <w:bottom w:val="none" w:sz="0" w:space="0" w:color="auto"/>
        <w:right w:val="none" w:sz="0" w:space="0" w:color="auto"/>
      </w:divBdr>
    </w:div>
    <w:div w:id="1894925348">
      <w:bodyDiv w:val="1"/>
      <w:marLeft w:val="0"/>
      <w:marRight w:val="0"/>
      <w:marTop w:val="0"/>
      <w:marBottom w:val="0"/>
      <w:divBdr>
        <w:top w:val="none" w:sz="0" w:space="0" w:color="auto"/>
        <w:left w:val="none" w:sz="0" w:space="0" w:color="auto"/>
        <w:bottom w:val="none" w:sz="0" w:space="0" w:color="auto"/>
        <w:right w:val="none" w:sz="0" w:space="0" w:color="auto"/>
      </w:divBdr>
    </w:div>
    <w:div w:id="1895583423">
      <w:bodyDiv w:val="1"/>
      <w:marLeft w:val="0"/>
      <w:marRight w:val="0"/>
      <w:marTop w:val="0"/>
      <w:marBottom w:val="0"/>
      <w:divBdr>
        <w:top w:val="none" w:sz="0" w:space="0" w:color="auto"/>
        <w:left w:val="none" w:sz="0" w:space="0" w:color="auto"/>
        <w:bottom w:val="none" w:sz="0" w:space="0" w:color="auto"/>
        <w:right w:val="none" w:sz="0" w:space="0" w:color="auto"/>
      </w:divBdr>
    </w:div>
    <w:div w:id="1904291980">
      <w:bodyDiv w:val="1"/>
      <w:marLeft w:val="0"/>
      <w:marRight w:val="0"/>
      <w:marTop w:val="0"/>
      <w:marBottom w:val="0"/>
      <w:divBdr>
        <w:top w:val="none" w:sz="0" w:space="0" w:color="auto"/>
        <w:left w:val="none" w:sz="0" w:space="0" w:color="auto"/>
        <w:bottom w:val="none" w:sz="0" w:space="0" w:color="auto"/>
        <w:right w:val="none" w:sz="0" w:space="0" w:color="auto"/>
      </w:divBdr>
    </w:div>
    <w:div w:id="1909460531">
      <w:bodyDiv w:val="1"/>
      <w:marLeft w:val="0"/>
      <w:marRight w:val="0"/>
      <w:marTop w:val="0"/>
      <w:marBottom w:val="0"/>
      <w:divBdr>
        <w:top w:val="none" w:sz="0" w:space="0" w:color="auto"/>
        <w:left w:val="none" w:sz="0" w:space="0" w:color="auto"/>
        <w:bottom w:val="none" w:sz="0" w:space="0" w:color="auto"/>
        <w:right w:val="none" w:sz="0" w:space="0" w:color="auto"/>
      </w:divBdr>
    </w:div>
    <w:div w:id="1911035699">
      <w:bodyDiv w:val="1"/>
      <w:marLeft w:val="0"/>
      <w:marRight w:val="0"/>
      <w:marTop w:val="0"/>
      <w:marBottom w:val="0"/>
      <w:divBdr>
        <w:top w:val="none" w:sz="0" w:space="0" w:color="auto"/>
        <w:left w:val="none" w:sz="0" w:space="0" w:color="auto"/>
        <w:bottom w:val="none" w:sz="0" w:space="0" w:color="auto"/>
        <w:right w:val="none" w:sz="0" w:space="0" w:color="auto"/>
      </w:divBdr>
    </w:div>
    <w:div w:id="1918326314">
      <w:bodyDiv w:val="1"/>
      <w:marLeft w:val="0"/>
      <w:marRight w:val="0"/>
      <w:marTop w:val="0"/>
      <w:marBottom w:val="0"/>
      <w:divBdr>
        <w:top w:val="none" w:sz="0" w:space="0" w:color="auto"/>
        <w:left w:val="none" w:sz="0" w:space="0" w:color="auto"/>
        <w:bottom w:val="none" w:sz="0" w:space="0" w:color="auto"/>
        <w:right w:val="none" w:sz="0" w:space="0" w:color="auto"/>
      </w:divBdr>
    </w:div>
    <w:div w:id="1932423558">
      <w:bodyDiv w:val="1"/>
      <w:marLeft w:val="0"/>
      <w:marRight w:val="0"/>
      <w:marTop w:val="0"/>
      <w:marBottom w:val="0"/>
      <w:divBdr>
        <w:top w:val="none" w:sz="0" w:space="0" w:color="auto"/>
        <w:left w:val="none" w:sz="0" w:space="0" w:color="auto"/>
        <w:bottom w:val="none" w:sz="0" w:space="0" w:color="auto"/>
        <w:right w:val="none" w:sz="0" w:space="0" w:color="auto"/>
      </w:divBdr>
    </w:div>
    <w:div w:id="1960911824">
      <w:bodyDiv w:val="1"/>
      <w:marLeft w:val="0"/>
      <w:marRight w:val="0"/>
      <w:marTop w:val="0"/>
      <w:marBottom w:val="0"/>
      <w:divBdr>
        <w:top w:val="none" w:sz="0" w:space="0" w:color="auto"/>
        <w:left w:val="none" w:sz="0" w:space="0" w:color="auto"/>
        <w:bottom w:val="none" w:sz="0" w:space="0" w:color="auto"/>
        <w:right w:val="none" w:sz="0" w:space="0" w:color="auto"/>
      </w:divBdr>
    </w:div>
    <w:div w:id="1965111554">
      <w:bodyDiv w:val="1"/>
      <w:marLeft w:val="0"/>
      <w:marRight w:val="0"/>
      <w:marTop w:val="0"/>
      <w:marBottom w:val="0"/>
      <w:divBdr>
        <w:top w:val="none" w:sz="0" w:space="0" w:color="auto"/>
        <w:left w:val="none" w:sz="0" w:space="0" w:color="auto"/>
        <w:bottom w:val="none" w:sz="0" w:space="0" w:color="auto"/>
        <w:right w:val="none" w:sz="0" w:space="0" w:color="auto"/>
      </w:divBdr>
    </w:div>
    <w:div w:id="1984698723">
      <w:bodyDiv w:val="1"/>
      <w:marLeft w:val="0"/>
      <w:marRight w:val="0"/>
      <w:marTop w:val="0"/>
      <w:marBottom w:val="0"/>
      <w:divBdr>
        <w:top w:val="none" w:sz="0" w:space="0" w:color="auto"/>
        <w:left w:val="none" w:sz="0" w:space="0" w:color="auto"/>
        <w:bottom w:val="none" w:sz="0" w:space="0" w:color="auto"/>
        <w:right w:val="none" w:sz="0" w:space="0" w:color="auto"/>
      </w:divBdr>
    </w:div>
    <w:div w:id="1986161304">
      <w:bodyDiv w:val="1"/>
      <w:marLeft w:val="0"/>
      <w:marRight w:val="0"/>
      <w:marTop w:val="0"/>
      <w:marBottom w:val="0"/>
      <w:divBdr>
        <w:top w:val="none" w:sz="0" w:space="0" w:color="auto"/>
        <w:left w:val="none" w:sz="0" w:space="0" w:color="auto"/>
        <w:bottom w:val="none" w:sz="0" w:space="0" w:color="auto"/>
        <w:right w:val="none" w:sz="0" w:space="0" w:color="auto"/>
      </w:divBdr>
    </w:div>
    <w:div w:id="1987465762">
      <w:bodyDiv w:val="1"/>
      <w:marLeft w:val="0"/>
      <w:marRight w:val="0"/>
      <w:marTop w:val="0"/>
      <w:marBottom w:val="0"/>
      <w:divBdr>
        <w:top w:val="none" w:sz="0" w:space="0" w:color="auto"/>
        <w:left w:val="none" w:sz="0" w:space="0" w:color="auto"/>
        <w:bottom w:val="none" w:sz="0" w:space="0" w:color="auto"/>
        <w:right w:val="none" w:sz="0" w:space="0" w:color="auto"/>
      </w:divBdr>
    </w:div>
    <w:div w:id="1993481163">
      <w:bodyDiv w:val="1"/>
      <w:marLeft w:val="0"/>
      <w:marRight w:val="0"/>
      <w:marTop w:val="0"/>
      <w:marBottom w:val="0"/>
      <w:divBdr>
        <w:top w:val="none" w:sz="0" w:space="0" w:color="auto"/>
        <w:left w:val="none" w:sz="0" w:space="0" w:color="auto"/>
        <w:bottom w:val="none" w:sz="0" w:space="0" w:color="auto"/>
        <w:right w:val="none" w:sz="0" w:space="0" w:color="auto"/>
      </w:divBdr>
    </w:div>
    <w:div w:id="1997033086">
      <w:bodyDiv w:val="1"/>
      <w:marLeft w:val="0"/>
      <w:marRight w:val="0"/>
      <w:marTop w:val="0"/>
      <w:marBottom w:val="0"/>
      <w:divBdr>
        <w:top w:val="none" w:sz="0" w:space="0" w:color="auto"/>
        <w:left w:val="none" w:sz="0" w:space="0" w:color="auto"/>
        <w:bottom w:val="none" w:sz="0" w:space="0" w:color="auto"/>
        <w:right w:val="none" w:sz="0" w:space="0" w:color="auto"/>
      </w:divBdr>
    </w:div>
    <w:div w:id="1998681715">
      <w:bodyDiv w:val="1"/>
      <w:marLeft w:val="0"/>
      <w:marRight w:val="0"/>
      <w:marTop w:val="0"/>
      <w:marBottom w:val="0"/>
      <w:divBdr>
        <w:top w:val="none" w:sz="0" w:space="0" w:color="auto"/>
        <w:left w:val="none" w:sz="0" w:space="0" w:color="auto"/>
        <w:bottom w:val="none" w:sz="0" w:space="0" w:color="auto"/>
        <w:right w:val="none" w:sz="0" w:space="0" w:color="auto"/>
      </w:divBdr>
    </w:div>
    <w:div w:id="1999190438">
      <w:bodyDiv w:val="1"/>
      <w:marLeft w:val="0"/>
      <w:marRight w:val="0"/>
      <w:marTop w:val="0"/>
      <w:marBottom w:val="0"/>
      <w:divBdr>
        <w:top w:val="none" w:sz="0" w:space="0" w:color="auto"/>
        <w:left w:val="none" w:sz="0" w:space="0" w:color="auto"/>
        <w:bottom w:val="none" w:sz="0" w:space="0" w:color="auto"/>
        <w:right w:val="none" w:sz="0" w:space="0" w:color="auto"/>
      </w:divBdr>
    </w:div>
    <w:div w:id="1999459337">
      <w:bodyDiv w:val="1"/>
      <w:marLeft w:val="0"/>
      <w:marRight w:val="0"/>
      <w:marTop w:val="0"/>
      <w:marBottom w:val="0"/>
      <w:divBdr>
        <w:top w:val="none" w:sz="0" w:space="0" w:color="auto"/>
        <w:left w:val="none" w:sz="0" w:space="0" w:color="auto"/>
        <w:bottom w:val="none" w:sz="0" w:space="0" w:color="auto"/>
        <w:right w:val="none" w:sz="0" w:space="0" w:color="auto"/>
      </w:divBdr>
    </w:div>
    <w:div w:id="2011059523">
      <w:bodyDiv w:val="1"/>
      <w:marLeft w:val="0"/>
      <w:marRight w:val="0"/>
      <w:marTop w:val="0"/>
      <w:marBottom w:val="0"/>
      <w:divBdr>
        <w:top w:val="none" w:sz="0" w:space="0" w:color="auto"/>
        <w:left w:val="none" w:sz="0" w:space="0" w:color="auto"/>
        <w:bottom w:val="none" w:sz="0" w:space="0" w:color="auto"/>
        <w:right w:val="none" w:sz="0" w:space="0" w:color="auto"/>
      </w:divBdr>
    </w:div>
    <w:div w:id="2040272405">
      <w:bodyDiv w:val="1"/>
      <w:marLeft w:val="0"/>
      <w:marRight w:val="0"/>
      <w:marTop w:val="0"/>
      <w:marBottom w:val="0"/>
      <w:divBdr>
        <w:top w:val="none" w:sz="0" w:space="0" w:color="auto"/>
        <w:left w:val="none" w:sz="0" w:space="0" w:color="auto"/>
        <w:bottom w:val="none" w:sz="0" w:space="0" w:color="auto"/>
        <w:right w:val="none" w:sz="0" w:space="0" w:color="auto"/>
      </w:divBdr>
    </w:div>
    <w:div w:id="2041397044">
      <w:bodyDiv w:val="1"/>
      <w:marLeft w:val="0"/>
      <w:marRight w:val="0"/>
      <w:marTop w:val="0"/>
      <w:marBottom w:val="0"/>
      <w:divBdr>
        <w:top w:val="none" w:sz="0" w:space="0" w:color="auto"/>
        <w:left w:val="none" w:sz="0" w:space="0" w:color="auto"/>
        <w:bottom w:val="none" w:sz="0" w:space="0" w:color="auto"/>
        <w:right w:val="none" w:sz="0" w:space="0" w:color="auto"/>
      </w:divBdr>
    </w:div>
    <w:div w:id="2046367418">
      <w:bodyDiv w:val="1"/>
      <w:marLeft w:val="0"/>
      <w:marRight w:val="0"/>
      <w:marTop w:val="0"/>
      <w:marBottom w:val="0"/>
      <w:divBdr>
        <w:top w:val="none" w:sz="0" w:space="0" w:color="auto"/>
        <w:left w:val="none" w:sz="0" w:space="0" w:color="auto"/>
        <w:bottom w:val="none" w:sz="0" w:space="0" w:color="auto"/>
        <w:right w:val="none" w:sz="0" w:space="0" w:color="auto"/>
      </w:divBdr>
    </w:div>
    <w:div w:id="2071807562">
      <w:bodyDiv w:val="1"/>
      <w:marLeft w:val="0"/>
      <w:marRight w:val="0"/>
      <w:marTop w:val="0"/>
      <w:marBottom w:val="0"/>
      <w:divBdr>
        <w:top w:val="none" w:sz="0" w:space="0" w:color="auto"/>
        <w:left w:val="none" w:sz="0" w:space="0" w:color="auto"/>
        <w:bottom w:val="none" w:sz="0" w:space="0" w:color="auto"/>
        <w:right w:val="none" w:sz="0" w:space="0" w:color="auto"/>
      </w:divBdr>
    </w:div>
    <w:div w:id="2088110681">
      <w:bodyDiv w:val="1"/>
      <w:marLeft w:val="0"/>
      <w:marRight w:val="0"/>
      <w:marTop w:val="0"/>
      <w:marBottom w:val="0"/>
      <w:divBdr>
        <w:top w:val="none" w:sz="0" w:space="0" w:color="auto"/>
        <w:left w:val="none" w:sz="0" w:space="0" w:color="auto"/>
        <w:bottom w:val="none" w:sz="0" w:space="0" w:color="auto"/>
        <w:right w:val="none" w:sz="0" w:space="0" w:color="auto"/>
      </w:divBdr>
    </w:div>
    <w:div w:id="2105153577">
      <w:bodyDiv w:val="1"/>
      <w:marLeft w:val="0"/>
      <w:marRight w:val="0"/>
      <w:marTop w:val="0"/>
      <w:marBottom w:val="0"/>
      <w:divBdr>
        <w:top w:val="none" w:sz="0" w:space="0" w:color="auto"/>
        <w:left w:val="none" w:sz="0" w:space="0" w:color="auto"/>
        <w:bottom w:val="none" w:sz="0" w:space="0" w:color="auto"/>
        <w:right w:val="none" w:sz="0" w:space="0" w:color="auto"/>
      </w:divBdr>
    </w:div>
    <w:div w:id="2107918346">
      <w:bodyDiv w:val="1"/>
      <w:marLeft w:val="0"/>
      <w:marRight w:val="0"/>
      <w:marTop w:val="0"/>
      <w:marBottom w:val="0"/>
      <w:divBdr>
        <w:top w:val="none" w:sz="0" w:space="0" w:color="auto"/>
        <w:left w:val="none" w:sz="0" w:space="0" w:color="auto"/>
        <w:bottom w:val="none" w:sz="0" w:space="0" w:color="auto"/>
        <w:right w:val="none" w:sz="0" w:space="0" w:color="auto"/>
      </w:divBdr>
    </w:div>
    <w:div w:id="2113429288">
      <w:bodyDiv w:val="1"/>
      <w:marLeft w:val="0"/>
      <w:marRight w:val="0"/>
      <w:marTop w:val="0"/>
      <w:marBottom w:val="0"/>
      <w:divBdr>
        <w:top w:val="none" w:sz="0" w:space="0" w:color="auto"/>
        <w:left w:val="none" w:sz="0" w:space="0" w:color="auto"/>
        <w:bottom w:val="none" w:sz="0" w:space="0" w:color="auto"/>
        <w:right w:val="none" w:sz="0" w:space="0" w:color="auto"/>
      </w:divBdr>
    </w:div>
    <w:div w:id="2117363196">
      <w:bodyDiv w:val="1"/>
      <w:marLeft w:val="0"/>
      <w:marRight w:val="0"/>
      <w:marTop w:val="0"/>
      <w:marBottom w:val="0"/>
      <w:divBdr>
        <w:top w:val="none" w:sz="0" w:space="0" w:color="auto"/>
        <w:left w:val="none" w:sz="0" w:space="0" w:color="auto"/>
        <w:bottom w:val="none" w:sz="0" w:space="0" w:color="auto"/>
        <w:right w:val="none" w:sz="0" w:space="0" w:color="auto"/>
      </w:divBdr>
    </w:div>
    <w:div w:id="2123913364">
      <w:bodyDiv w:val="1"/>
      <w:marLeft w:val="0"/>
      <w:marRight w:val="0"/>
      <w:marTop w:val="0"/>
      <w:marBottom w:val="0"/>
      <w:divBdr>
        <w:top w:val="none" w:sz="0" w:space="0" w:color="auto"/>
        <w:left w:val="none" w:sz="0" w:space="0" w:color="auto"/>
        <w:bottom w:val="none" w:sz="0" w:space="0" w:color="auto"/>
        <w:right w:val="none" w:sz="0" w:space="0" w:color="auto"/>
      </w:divBdr>
    </w:div>
    <w:div w:id="2127308150">
      <w:bodyDiv w:val="1"/>
      <w:marLeft w:val="0"/>
      <w:marRight w:val="0"/>
      <w:marTop w:val="0"/>
      <w:marBottom w:val="0"/>
      <w:divBdr>
        <w:top w:val="none" w:sz="0" w:space="0" w:color="auto"/>
        <w:left w:val="none" w:sz="0" w:space="0" w:color="auto"/>
        <w:bottom w:val="none" w:sz="0" w:space="0" w:color="auto"/>
        <w:right w:val="none" w:sz="0" w:space="0" w:color="auto"/>
      </w:divBdr>
    </w:div>
    <w:div w:id="2130737363">
      <w:bodyDiv w:val="1"/>
      <w:marLeft w:val="0"/>
      <w:marRight w:val="0"/>
      <w:marTop w:val="0"/>
      <w:marBottom w:val="0"/>
      <w:divBdr>
        <w:top w:val="none" w:sz="0" w:space="0" w:color="auto"/>
        <w:left w:val="none" w:sz="0" w:space="0" w:color="auto"/>
        <w:bottom w:val="none" w:sz="0" w:space="0" w:color="auto"/>
        <w:right w:val="none" w:sz="0" w:space="0" w:color="auto"/>
      </w:divBdr>
    </w:div>
    <w:div w:id="2134204420">
      <w:bodyDiv w:val="1"/>
      <w:marLeft w:val="0"/>
      <w:marRight w:val="0"/>
      <w:marTop w:val="0"/>
      <w:marBottom w:val="0"/>
      <w:divBdr>
        <w:top w:val="none" w:sz="0" w:space="0" w:color="auto"/>
        <w:left w:val="none" w:sz="0" w:space="0" w:color="auto"/>
        <w:bottom w:val="none" w:sz="0" w:space="0" w:color="auto"/>
        <w:right w:val="none" w:sz="0" w:space="0" w:color="auto"/>
      </w:divBdr>
    </w:div>
    <w:div w:id="2135514106">
      <w:bodyDiv w:val="1"/>
      <w:marLeft w:val="0"/>
      <w:marRight w:val="0"/>
      <w:marTop w:val="0"/>
      <w:marBottom w:val="0"/>
      <w:divBdr>
        <w:top w:val="none" w:sz="0" w:space="0" w:color="auto"/>
        <w:left w:val="none" w:sz="0" w:space="0" w:color="auto"/>
        <w:bottom w:val="none" w:sz="0" w:space="0" w:color="auto"/>
        <w:right w:val="none" w:sz="0" w:space="0" w:color="auto"/>
      </w:divBdr>
    </w:div>
    <w:div w:id="21424599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cs.wikipedia.org/wiki/Okrouhlice" TargetMode="External"/><Relationship Id="rId21" Type="http://schemas.openxmlformats.org/officeDocument/2006/relationships/image" Target="media/image9.png"/><Relationship Id="rId42" Type="http://schemas.openxmlformats.org/officeDocument/2006/relationships/image" Target="media/image24.png"/><Relationship Id="rId47" Type="http://schemas.openxmlformats.org/officeDocument/2006/relationships/image" Target="media/image28.png"/><Relationship Id="rId63" Type="http://schemas.openxmlformats.org/officeDocument/2006/relationships/image" Target="media/image42.png"/><Relationship Id="rId68"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chart" Target="charts/chart1.xml"/><Relationship Id="rId29" Type="http://schemas.openxmlformats.org/officeDocument/2006/relationships/image" Target="media/image14.png"/><Relationship Id="rId11" Type="http://schemas.openxmlformats.org/officeDocument/2006/relationships/image" Target="media/image3.jpeg"/><Relationship Id="rId24" Type="http://schemas.openxmlformats.org/officeDocument/2006/relationships/image" Target="media/image12.png"/><Relationship Id="rId32" Type="http://schemas.openxmlformats.org/officeDocument/2006/relationships/image" Target="media/image16.png"/><Relationship Id="rId37" Type="http://schemas.openxmlformats.org/officeDocument/2006/relationships/image" Target="media/image20.png"/><Relationship Id="rId40" Type="http://schemas.openxmlformats.org/officeDocument/2006/relationships/image" Target="media/image22.png"/><Relationship Id="rId45" Type="http://schemas.openxmlformats.org/officeDocument/2006/relationships/image" Target="media/image26.png"/><Relationship Id="rId53" Type="http://schemas.openxmlformats.org/officeDocument/2006/relationships/image" Target="media/image33.png"/><Relationship Id="rId58" Type="http://schemas.openxmlformats.org/officeDocument/2006/relationships/hyperlink" Target="http://en.wikipedia.org/wiki/cs:dub_zimn%C3%AD" TargetMode="External"/><Relationship Id="rId66"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image" Target="media/image40.jpeg"/><Relationship Id="rId19" Type="http://schemas.openxmlformats.org/officeDocument/2006/relationships/chart" Target="charts/chart4.xml"/><Relationship Id="rId14" Type="http://schemas.openxmlformats.org/officeDocument/2006/relationships/image" Target="media/image6.png"/><Relationship Id="rId22" Type="http://schemas.openxmlformats.org/officeDocument/2006/relationships/image" Target="media/image10.png"/><Relationship Id="rId27" Type="http://schemas.openxmlformats.org/officeDocument/2006/relationships/chart" Target="charts/chart5.xml"/><Relationship Id="rId30" Type="http://schemas.openxmlformats.org/officeDocument/2006/relationships/image" Target="media/image15.png"/><Relationship Id="rId35" Type="http://schemas.openxmlformats.org/officeDocument/2006/relationships/chart" Target="charts/chart7.xml"/><Relationship Id="rId43" Type="http://schemas.openxmlformats.org/officeDocument/2006/relationships/chart" Target="charts/chart9.xml"/><Relationship Id="rId48" Type="http://schemas.openxmlformats.org/officeDocument/2006/relationships/image" Target="media/image29.png"/><Relationship Id="rId56" Type="http://schemas.openxmlformats.org/officeDocument/2006/relationships/image" Target="media/image36.jpeg"/><Relationship Id="rId64" Type="http://schemas.openxmlformats.org/officeDocument/2006/relationships/image" Target="media/image43.jpeg"/><Relationship Id="rId69" Type="http://schemas.openxmlformats.org/officeDocument/2006/relationships/footer" Target="footer2.xml"/><Relationship Id="rId8" Type="http://schemas.openxmlformats.org/officeDocument/2006/relationships/image" Target="media/image1.png"/><Relationship Id="rId51" Type="http://schemas.openxmlformats.org/officeDocument/2006/relationships/image" Target="media/image31.png"/><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chart" Target="charts/chart2.xml"/><Relationship Id="rId25" Type="http://schemas.openxmlformats.org/officeDocument/2006/relationships/hyperlink" Target="https://cs.wikipedia.org/wiki/N%C3%A1ves" TargetMode="External"/><Relationship Id="rId33" Type="http://schemas.openxmlformats.org/officeDocument/2006/relationships/image" Target="media/image17.png"/><Relationship Id="rId38" Type="http://schemas.openxmlformats.org/officeDocument/2006/relationships/image" Target="media/image21.png"/><Relationship Id="rId46" Type="http://schemas.openxmlformats.org/officeDocument/2006/relationships/image" Target="media/image27.png"/><Relationship Id="rId59" Type="http://schemas.openxmlformats.org/officeDocument/2006/relationships/image" Target="media/image38.png"/><Relationship Id="rId67" Type="http://schemas.openxmlformats.org/officeDocument/2006/relationships/header" Target="header2.xml"/><Relationship Id="rId20" Type="http://schemas.openxmlformats.org/officeDocument/2006/relationships/image" Target="media/image8.png"/><Relationship Id="rId41" Type="http://schemas.openxmlformats.org/officeDocument/2006/relationships/image" Target="media/image23.png"/><Relationship Id="rId54" Type="http://schemas.openxmlformats.org/officeDocument/2006/relationships/image" Target="media/image34.png"/><Relationship Id="rId62" Type="http://schemas.openxmlformats.org/officeDocument/2006/relationships/image" Target="media/image41.jpeg"/><Relationship Id="rId70"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1.png"/><Relationship Id="rId28" Type="http://schemas.openxmlformats.org/officeDocument/2006/relationships/image" Target="media/image13.jpeg"/><Relationship Id="rId36" Type="http://schemas.openxmlformats.org/officeDocument/2006/relationships/image" Target="media/image19.png"/><Relationship Id="rId49" Type="http://schemas.openxmlformats.org/officeDocument/2006/relationships/image" Target="media/image30.png"/><Relationship Id="rId57" Type="http://schemas.openxmlformats.org/officeDocument/2006/relationships/image" Target="media/image37.png"/><Relationship Id="rId10" Type="http://schemas.openxmlformats.org/officeDocument/2006/relationships/image" Target="media/image2.jpeg"/><Relationship Id="rId31" Type="http://schemas.openxmlformats.org/officeDocument/2006/relationships/chart" Target="charts/chart6.xml"/><Relationship Id="rId44" Type="http://schemas.openxmlformats.org/officeDocument/2006/relationships/image" Target="media/image25.png"/><Relationship Id="rId52" Type="http://schemas.openxmlformats.org/officeDocument/2006/relationships/image" Target="media/image32.png"/><Relationship Id="rId60" Type="http://schemas.openxmlformats.org/officeDocument/2006/relationships/image" Target="media/image39.png"/><Relationship Id="rId65" Type="http://schemas.openxmlformats.org/officeDocument/2006/relationships/header" Target="header1.xml"/><Relationship Id="rId73" Type="http://schemas.openxmlformats.org/officeDocument/2006/relationships/theme" Target="theme/theme1.xml"/><Relationship Id="rId4" Type="http://schemas.openxmlformats.org/officeDocument/2006/relationships/settings" Target="settings.xml"/><Relationship Id="rId9" Type="http://schemas.microsoft.com/office/2007/relationships/hdphoto" Target="media/hdphoto1.wdp"/><Relationship Id="rId13" Type="http://schemas.openxmlformats.org/officeDocument/2006/relationships/image" Target="media/image5.png"/><Relationship Id="rId18" Type="http://schemas.openxmlformats.org/officeDocument/2006/relationships/chart" Target="charts/chart3.xml"/><Relationship Id="rId39" Type="http://schemas.openxmlformats.org/officeDocument/2006/relationships/chart" Target="charts/chart8.xml"/><Relationship Id="rId34" Type="http://schemas.openxmlformats.org/officeDocument/2006/relationships/image" Target="media/image18.png"/><Relationship Id="rId50" Type="http://schemas.openxmlformats.org/officeDocument/2006/relationships/hyperlink" Target="http://www.szdc.cz" TargetMode="External"/><Relationship Id="rId55" Type="http://schemas.openxmlformats.org/officeDocument/2006/relationships/image" Target="media/image35.png"/><Relationship Id="rId7" Type="http://schemas.openxmlformats.org/officeDocument/2006/relationships/endnotes" Target="endnotes.xml"/><Relationship Id="rId71" Type="http://schemas.openxmlformats.org/officeDocument/2006/relationships/footer" Target="footer3.xml"/></Relationships>
</file>

<file path=word/charts/_rels/chart1.xml.rels><?xml version="1.0" encoding="UTF-8" standalone="yes"?>
<Relationships xmlns="http://schemas.openxmlformats.org/package/2006/relationships"><Relationship Id="rId3" Type="http://schemas.openxmlformats.org/officeDocument/2006/relationships/oleObject" Target="Se&#353;it1"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Se&#353;it1"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2" Type="http://schemas.openxmlformats.org/officeDocument/2006/relationships/oleObject" Target="file:///\\192.168.1.102\data\Obce\Kostomlaty%20nad%20Labem\Grafy.xlsx" TargetMode="External"/><Relationship Id="rId1" Type="http://schemas.openxmlformats.org/officeDocument/2006/relationships/themeOverride" Target="../theme/themeOverride1.xml"/></Relationships>
</file>

<file path=word/charts/_rels/chart4.xml.rels><?xml version="1.0" encoding="UTF-8" standalone="yes"?>
<Relationships xmlns="http://schemas.openxmlformats.org/package/2006/relationships"><Relationship Id="rId2" Type="http://schemas.openxmlformats.org/officeDocument/2006/relationships/oleObject" Target="file:///\\192.168.1.102\data\Obce\Kostomlaty%20nad%20Labem\Grafy.xlsx" TargetMode="External"/><Relationship Id="rId1" Type="http://schemas.openxmlformats.org/officeDocument/2006/relationships/themeOverride" Target="../theme/themeOverride2.xml"/></Relationships>
</file>

<file path=word/charts/_rels/chart5.xml.rels><?xml version="1.0" encoding="UTF-8" standalone="yes"?>
<Relationships xmlns="http://schemas.openxmlformats.org/package/2006/relationships"><Relationship Id="rId2" Type="http://schemas.openxmlformats.org/officeDocument/2006/relationships/oleObject" Target="file:///\\192.168.1.102\data\Obce\Kostomlaty%20nad%20Labem\Podklady\grafy%20-%20s&#237;dla_kostomlaty.xlsx" TargetMode="External"/><Relationship Id="rId1" Type="http://schemas.openxmlformats.org/officeDocument/2006/relationships/themeOverride" Target="../theme/themeOverride3.xml"/></Relationships>
</file>

<file path=word/charts/_rels/chart6.xml.rels><?xml version="1.0" encoding="UTF-8" standalone="yes"?>
<Relationships xmlns="http://schemas.openxmlformats.org/package/2006/relationships"><Relationship Id="rId2" Type="http://schemas.openxmlformats.org/officeDocument/2006/relationships/oleObject" Target="file:///\\192.168.1.102\data\Obce\Libice%20nad%20Doubravou\Texty\01_pracovn&#237;%20texty_Lubo&#353;\grafy%20-%20s&#237;dla.xlsx" TargetMode="External"/><Relationship Id="rId1" Type="http://schemas.openxmlformats.org/officeDocument/2006/relationships/themeOverride" Target="../theme/themeOverride4.xml"/></Relationships>
</file>

<file path=word/charts/_rels/chart7.xml.rels><?xml version="1.0" encoding="UTF-8" standalone="yes"?>
<Relationships xmlns="http://schemas.openxmlformats.org/package/2006/relationships"><Relationship Id="rId2" Type="http://schemas.openxmlformats.org/officeDocument/2006/relationships/oleObject" Target="file:///\\192.168.1.102\data\Obce\Kostomlaty%20nad%20Labem\Podklady\grafy%20-%20s&#237;dla_kostomlaty.xlsx" TargetMode="External"/><Relationship Id="rId1" Type="http://schemas.openxmlformats.org/officeDocument/2006/relationships/themeOverride" Target="../theme/themeOverride5.xml"/></Relationships>
</file>

<file path=word/charts/_rels/chart8.xml.rels><?xml version="1.0" encoding="UTF-8" standalone="yes"?>
<Relationships xmlns="http://schemas.openxmlformats.org/package/2006/relationships"><Relationship Id="rId2" Type="http://schemas.openxmlformats.org/officeDocument/2006/relationships/oleObject" Target="file:///\\192.168.1.102\data\Obce\Kostomlaty%20nad%20Labem\Podklady\grafy%20-%20s&#237;dla_kostomlaty.xlsx" TargetMode="External"/><Relationship Id="rId1" Type="http://schemas.openxmlformats.org/officeDocument/2006/relationships/themeOverride" Target="../theme/themeOverride6.xml"/></Relationships>
</file>

<file path=word/charts/_rels/chart9.xml.rels><?xml version="1.0" encoding="UTF-8" standalone="yes"?>
<Relationships xmlns="http://schemas.openxmlformats.org/package/2006/relationships"><Relationship Id="rId2" Type="http://schemas.openxmlformats.org/officeDocument/2006/relationships/oleObject" Target="file:///\\192.168.1.102\data\Obce\Kostomlaty%20nad%20Labem\Podklady\grafy%20-%20s&#237;dla_kostomlaty.xlsx" TargetMode="External"/><Relationship Id="rId1" Type="http://schemas.openxmlformats.org/officeDocument/2006/relationships/themeOverride" Target="../theme/themeOverride7.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648194444444445"/>
          <c:y val="6.4675925925925928E-2"/>
          <c:w val="0.86926458333333334"/>
          <c:h val="0.7271657407407407"/>
        </c:manualLayout>
      </c:layout>
      <c:lineChart>
        <c:grouping val="standard"/>
        <c:varyColors val="0"/>
        <c:ser>
          <c:idx val="0"/>
          <c:order val="0"/>
          <c:spPr>
            <a:ln w="28575" cap="rnd">
              <a:solidFill>
                <a:schemeClr val="accent1"/>
              </a:solidFill>
              <a:round/>
            </a:ln>
            <a:effectLst/>
          </c:spPr>
          <c:marker>
            <c:symbol val="none"/>
          </c:marker>
          <c:dLbls>
            <c:dLbl>
              <c:idx val="0"/>
              <c:layout>
                <c:manualLayout>
                  <c:x val="-3.9687500000000021E-2"/>
                  <c:y val="5.291666666666666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757-45E0-BD45-C2A81C8D509E}"/>
                </c:ext>
              </c:extLst>
            </c:dLbl>
            <c:dLbl>
              <c:idx val="6"/>
              <c:layout>
                <c:manualLayout>
                  <c:x val="-3.9687500000000001E-2"/>
                  <c:y val="-5.291666666666666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757-45E0-BD45-C2A81C8D509E}"/>
                </c:ext>
              </c:extLst>
            </c:dLbl>
            <c:dLbl>
              <c:idx val="13"/>
              <c:layout>
                <c:manualLayout>
                  <c:x val="-1.1024305555555556E-2"/>
                  <c:y val="-4.703703703703706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757-45E0-BD45-C2A81C8D509E}"/>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cs-CZ"/>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List1!$B$1:$O$1</c:f>
              <c:numCache>
                <c:formatCode>General</c:formatCode>
                <c:ptCount val="14"/>
                <c:pt idx="0">
                  <c:v>1869</c:v>
                </c:pt>
                <c:pt idx="1">
                  <c:v>1880</c:v>
                </c:pt>
                <c:pt idx="2">
                  <c:v>1890</c:v>
                </c:pt>
                <c:pt idx="3">
                  <c:v>1900</c:v>
                </c:pt>
                <c:pt idx="4">
                  <c:v>1910</c:v>
                </c:pt>
                <c:pt idx="5">
                  <c:v>1921</c:v>
                </c:pt>
                <c:pt idx="6">
                  <c:v>1930</c:v>
                </c:pt>
                <c:pt idx="7">
                  <c:v>1950</c:v>
                </c:pt>
                <c:pt idx="8">
                  <c:v>1961</c:v>
                </c:pt>
                <c:pt idx="9">
                  <c:v>1970</c:v>
                </c:pt>
                <c:pt idx="10">
                  <c:v>1980</c:v>
                </c:pt>
                <c:pt idx="11">
                  <c:v>1991</c:v>
                </c:pt>
                <c:pt idx="12">
                  <c:v>2001</c:v>
                </c:pt>
                <c:pt idx="13">
                  <c:v>2011</c:v>
                </c:pt>
              </c:numCache>
            </c:numRef>
          </c:cat>
          <c:val>
            <c:numRef>
              <c:f>List1!$B$2:$O$2</c:f>
              <c:numCache>
                <c:formatCode>General</c:formatCode>
                <c:ptCount val="14"/>
                <c:pt idx="0">
                  <c:v>1593</c:v>
                </c:pt>
                <c:pt idx="1">
                  <c:v>1812</c:v>
                </c:pt>
                <c:pt idx="2">
                  <c:v>1913</c:v>
                </c:pt>
                <c:pt idx="3">
                  <c:v>1781</c:v>
                </c:pt>
                <c:pt idx="4">
                  <c:v>1718</c:v>
                </c:pt>
                <c:pt idx="5">
                  <c:v>1906</c:v>
                </c:pt>
                <c:pt idx="6">
                  <c:v>2040</c:v>
                </c:pt>
                <c:pt idx="7">
                  <c:v>1912</c:v>
                </c:pt>
                <c:pt idx="8">
                  <c:v>1857</c:v>
                </c:pt>
                <c:pt idx="9">
                  <c:v>1764</c:v>
                </c:pt>
                <c:pt idx="10">
                  <c:v>1702</c:v>
                </c:pt>
                <c:pt idx="11">
                  <c:v>1629</c:v>
                </c:pt>
                <c:pt idx="12">
                  <c:v>1633</c:v>
                </c:pt>
                <c:pt idx="13">
                  <c:v>1785</c:v>
                </c:pt>
              </c:numCache>
            </c:numRef>
          </c:val>
          <c:smooth val="0"/>
          <c:extLst>
            <c:ext xmlns:c16="http://schemas.microsoft.com/office/drawing/2014/chart" uri="{C3380CC4-5D6E-409C-BE32-E72D297353CC}">
              <c16:uniqueId val="{00000003-8757-45E0-BD45-C2A81C8D509E}"/>
            </c:ext>
          </c:extLst>
        </c:ser>
        <c:dLbls>
          <c:showLegendKey val="0"/>
          <c:showVal val="0"/>
          <c:showCatName val="0"/>
          <c:showSerName val="0"/>
          <c:showPercent val="0"/>
          <c:showBubbleSize val="0"/>
        </c:dLbls>
        <c:smooth val="0"/>
        <c:axId val="842409008"/>
        <c:axId val="842409424"/>
      </c:lineChart>
      <c:catAx>
        <c:axId val="84240900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cs-CZ"/>
                  <a:t>rok</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cs-CZ"/>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842409424"/>
        <c:crosses val="autoZero"/>
        <c:auto val="1"/>
        <c:lblAlgn val="ctr"/>
        <c:lblOffset val="100"/>
        <c:noMultiLvlLbl val="0"/>
      </c:catAx>
      <c:valAx>
        <c:axId val="84240942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cs-CZ"/>
                  <a:t>počet obyvatel</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cs-CZ"/>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842409008"/>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cs-CZ"/>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089166666666667"/>
          <c:y val="6.4675925925925928E-2"/>
          <c:w val="0.86926458333333334"/>
          <c:h val="0.7271657407407407"/>
        </c:manualLayout>
      </c:layout>
      <c:lineChart>
        <c:grouping val="standard"/>
        <c:varyColors val="0"/>
        <c:ser>
          <c:idx val="1"/>
          <c:order val="0"/>
          <c:spPr>
            <a:ln w="28575" cap="rnd">
              <a:solidFill>
                <a:schemeClr val="accent2"/>
              </a:solidFill>
              <a:round/>
            </a:ln>
            <a:effectLst/>
          </c:spPr>
          <c:marker>
            <c:symbol val="none"/>
          </c:marker>
          <c:dLbls>
            <c:dLbl>
              <c:idx val="0"/>
              <c:layout>
                <c:manualLayout>
                  <c:x val="-3.9687500000000001E-2"/>
                  <c:y val="5.879629629629629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49E-48EE-ACC3-CF15CCD97FE8}"/>
                </c:ext>
              </c:extLst>
            </c:dLbl>
            <c:dLbl>
              <c:idx val="15"/>
              <c:layout>
                <c:manualLayout>
                  <c:x val="0"/>
                  <c:y val="-6.467592592592592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49E-48EE-ACC3-CF15CCD97FE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cs-CZ"/>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trendline>
            <c:spPr>
              <a:ln w="19050" cap="rnd">
                <a:solidFill>
                  <a:schemeClr val="accent2"/>
                </a:solidFill>
                <a:prstDash val="sysDot"/>
              </a:ln>
              <a:effectLst/>
            </c:spPr>
            <c:trendlineType val="linear"/>
            <c:dispRSqr val="0"/>
            <c:dispEq val="0"/>
          </c:trendline>
          <c:cat>
            <c:numRef>
              <c:f>List1!$B$18:$Q$18</c:f>
              <c:numCache>
                <c:formatCode>General</c:formatCode>
                <c:ptCount val="16"/>
                <c:pt idx="0">
                  <c:v>2006</c:v>
                </c:pt>
                <c:pt idx="1">
                  <c:v>2007</c:v>
                </c:pt>
                <c:pt idx="2">
                  <c:v>2008</c:v>
                </c:pt>
                <c:pt idx="3">
                  <c:v>2009</c:v>
                </c:pt>
                <c:pt idx="4">
                  <c:v>2010</c:v>
                </c:pt>
                <c:pt idx="5">
                  <c:v>2011</c:v>
                </c:pt>
                <c:pt idx="6">
                  <c:v>2012</c:v>
                </c:pt>
                <c:pt idx="7">
                  <c:v>2013</c:v>
                </c:pt>
                <c:pt idx="8">
                  <c:v>2014</c:v>
                </c:pt>
                <c:pt idx="9">
                  <c:v>2015</c:v>
                </c:pt>
                <c:pt idx="10">
                  <c:v>2016</c:v>
                </c:pt>
                <c:pt idx="11">
                  <c:v>2017</c:v>
                </c:pt>
                <c:pt idx="12">
                  <c:v>2018</c:v>
                </c:pt>
                <c:pt idx="13">
                  <c:v>2019</c:v>
                </c:pt>
                <c:pt idx="14">
                  <c:v>2020</c:v>
                </c:pt>
                <c:pt idx="15">
                  <c:v>2021</c:v>
                </c:pt>
              </c:numCache>
            </c:numRef>
          </c:cat>
          <c:val>
            <c:numRef>
              <c:f>List1!$B$19:$Q$19</c:f>
              <c:numCache>
                <c:formatCode>General</c:formatCode>
                <c:ptCount val="16"/>
                <c:pt idx="0">
                  <c:v>1652</c:v>
                </c:pt>
                <c:pt idx="1">
                  <c:v>1658</c:v>
                </c:pt>
                <c:pt idx="2">
                  <c:v>1709</c:v>
                </c:pt>
                <c:pt idx="3">
                  <c:v>1742</c:v>
                </c:pt>
                <c:pt idx="4">
                  <c:v>1762</c:v>
                </c:pt>
                <c:pt idx="5">
                  <c:v>1777</c:v>
                </c:pt>
                <c:pt idx="6">
                  <c:v>1819</c:v>
                </c:pt>
                <c:pt idx="7">
                  <c:v>1820</c:v>
                </c:pt>
                <c:pt idx="8">
                  <c:v>1852</c:v>
                </c:pt>
                <c:pt idx="9">
                  <c:v>1848</c:v>
                </c:pt>
                <c:pt idx="10">
                  <c:v>1838</c:v>
                </c:pt>
                <c:pt idx="11">
                  <c:v>1873</c:v>
                </c:pt>
                <c:pt idx="12">
                  <c:v>1858</c:v>
                </c:pt>
                <c:pt idx="13">
                  <c:v>1844</c:v>
                </c:pt>
                <c:pt idx="14">
                  <c:v>1850</c:v>
                </c:pt>
                <c:pt idx="15">
                  <c:v>1885</c:v>
                </c:pt>
              </c:numCache>
            </c:numRef>
          </c:val>
          <c:smooth val="0"/>
          <c:extLst>
            <c:ext xmlns:c16="http://schemas.microsoft.com/office/drawing/2014/chart" uri="{C3380CC4-5D6E-409C-BE32-E72D297353CC}">
              <c16:uniqueId val="{00000003-949E-48EE-ACC3-CF15CCD97FE8}"/>
            </c:ext>
          </c:extLst>
        </c:ser>
        <c:dLbls>
          <c:showLegendKey val="0"/>
          <c:showVal val="0"/>
          <c:showCatName val="0"/>
          <c:showSerName val="0"/>
          <c:showPercent val="0"/>
          <c:showBubbleSize val="0"/>
        </c:dLbls>
        <c:smooth val="0"/>
        <c:axId val="842409008"/>
        <c:axId val="842409424"/>
      </c:lineChart>
      <c:catAx>
        <c:axId val="84240900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cs-CZ"/>
                  <a:t>rok</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cs-CZ"/>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842409424"/>
        <c:crosses val="autoZero"/>
        <c:auto val="1"/>
        <c:lblAlgn val="ctr"/>
        <c:lblOffset val="100"/>
        <c:noMultiLvlLbl val="0"/>
      </c:catAx>
      <c:valAx>
        <c:axId val="84240942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cs-CZ"/>
                  <a:t>počet obyvatel</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cs-CZ"/>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842409008"/>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cs-CZ"/>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stacked"/>
        <c:varyColors val="0"/>
        <c:ser>
          <c:idx val="1"/>
          <c:order val="0"/>
          <c:tx>
            <c:v>narození</c:v>
          </c:tx>
          <c:spPr>
            <a:solidFill>
              <a:srgbClr val="ACC777"/>
            </a:solidFill>
          </c:spPr>
          <c:invertIfNegative val="0"/>
          <c:cat>
            <c:numRef>
              <c:f>List1!$A$23:$A$43</c:f>
              <c:numCache>
                <c:formatCode>General</c:formatCode>
                <c:ptCount val="21"/>
                <c:pt idx="0">
                  <c:v>1995</c:v>
                </c:pt>
                <c:pt idx="1">
                  <c:v>1996</c:v>
                </c:pt>
                <c:pt idx="2">
                  <c:v>1997</c:v>
                </c:pt>
                <c:pt idx="3">
                  <c:v>1998</c:v>
                </c:pt>
                <c:pt idx="4">
                  <c:v>1999</c:v>
                </c:pt>
                <c:pt idx="5">
                  <c:v>2000</c:v>
                </c:pt>
                <c:pt idx="6">
                  <c:v>2001</c:v>
                </c:pt>
                <c:pt idx="7">
                  <c:v>2002</c:v>
                </c:pt>
                <c:pt idx="8">
                  <c:v>2003</c:v>
                </c:pt>
                <c:pt idx="9">
                  <c:v>2004</c:v>
                </c:pt>
                <c:pt idx="10">
                  <c:v>2005</c:v>
                </c:pt>
                <c:pt idx="11">
                  <c:v>2006</c:v>
                </c:pt>
                <c:pt idx="12">
                  <c:v>2007</c:v>
                </c:pt>
                <c:pt idx="13">
                  <c:v>2008</c:v>
                </c:pt>
                <c:pt idx="14">
                  <c:v>2009</c:v>
                </c:pt>
                <c:pt idx="15">
                  <c:v>2010</c:v>
                </c:pt>
                <c:pt idx="16">
                  <c:v>2011</c:v>
                </c:pt>
                <c:pt idx="17">
                  <c:v>2012</c:v>
                </c:pt>
                <c:pt idx="18">
                  <c:v>2013</c:v>
                </c:pt>
                <c:pt idx="19">
                  <c:v>2014</c:v>
                </c:pt>
                <c:pt idx="20">
                  <c:v>2015</c:v>
                </c:pt>
              </c:numCache>
            </c:numRef>
          </c:cat>
          <c:val>
            <c:numRef>
              <c:f>List1!$B$23:$B$43</c:f>
              <c:numCache>
                <c:formatCode>General</c:formatCode>
                <c:ptCount val="21"/>
                <c:pt idx="0">
                  <c:v>16</c:v>
                </c:pt>
                <c:pt idx="1">
                  <c:v>17</c:v>
                </c:pt>
                <c:pt idx="2">
                  <c:v>23</c:v>
                </c:pt>
                <c:pt idx="3">
                  <c:v>14</c:v>
                </c:pt>
                <c:pt idx="4">
                  <c:v>17</c:v>
                </c:pt>
                <c:pt idx="5">
                  <c:v>12</c:v>
                </c:pt>
                <c:pt idx="6">
                  <c:v>15</c:v>
                </c:pt>
                <c:pt idx="7">
                  <c:v>23</c:v>
                </c:pt>
                <c:pt idx="8">
                  <c:v>12</c:v>
                </c:pt>
                <c:pt idx="9">
                  <c:v>14</c:v>
                </c:pt>
                <c:pt idx="10">
                  <c:v>19</c:v>
                </c:pt>
                <c:pt idx="11">
                  <c:v>7</c:v>
                </c:pt>
                <c:pt idx="12">
                  <c:v>14</c:v>
                </c:pt>
                <c:pt idx="13">
                  <c:v>20</c:v>
                </c:pt>
                <c:pt idx="14">
                  <c:v>21</c:v>
                </c:pt>
                <c:pt idx="15">
                  <c:v>20</c:v>
                </c:pt>
                <c:pt idx="16">
                  <c:v>23</c:v>
                </c:pt>
                <c:pt idx="17">
                  <c:v>23</c:v>
                </c:pt>
                <c:pt idx="18">
                  <c:v>15</c:v>
                </c:pt>
                <c:pt idx="19">
                  <c:v>18</c:v>
                </c:pt>
                <c:pt idx="20">
                  <c:v>19</c:v>
                </c:pt>
              </c:numCache>
            </c:numRef>
          </c:val>
          <c:extLst>
            <c:ext xmlns:c16="http://schemas.microsoft.com/office/drawing/2014/chart" uri="{C3380CC4-5D6E-409C-BE32-E72D297353CC}">
              <c16:uniqueId val="{00000000-4DD2-4F29-8CEF-B95D2F47DF3F}"/>
            </c:ext>
          </c:extLst>
        </c:ser>
        <c:ser>
          <c:idx val="0"/>
          <c:order val="1"/>
          <c:tx>
            <c:v>zemřelí</c:v>
          </c:tx>
          <c:spPr>
            <a:solidFill>
              <a:srgbClr val="D48886"/>
            </a:solidFill>
          </c:spPr>
          <c:invertIfNegative val="0"/>
          <c:cat>
            <c:numRef>
              <c:f>List1!$A$23:$A$43</c:f>
              <c:numCache>
                <c:formatCode>General</c:formatCode>
                <c:ptCount val="21"/>
                <c:pt idx="0">
                  <c:v>1995</c:v>
                </c:pt>
                <c:pt idx="1">
                  <c:v>1996</c:v>
                </c:pt>
                <c:pt idx="2">
                  <c:v>1997</c:v>
                </c:pt>
                <c:pt idx="3">
                  <c:v>1998</c:v>
                </c:pt>
                <c:pt idx="4">
                  <c:v>1999</c:v>
                </c:pt>
                <c:pt idx="5">
                  <c:v>2000</c:v>
                </c:pt>
                <c:pt idx="6">
                  <c:v>2001</c:v>
                </c:pt>
                <c:pt idx="7">
                  <c:v>2002</c:v>
                </c:pt>
                <c:pt idx="8">
                  <c:v>2003</c:v>
                </c:pt>
                <c:pt idx="9">
                  <c:v>2004</c:v>
                </c:pt>
                <c:pt idx="10">
                  <c:v>2005</c:v>
                </c:pt>
                <c:pt idx="11">
                  <c:v>2006</c:v>
                </c:pt>
                <c:pt idx="12">
                  <c:v>2007</c:v>
                </c:pt>
                <c:pt idx="13">
                  <c:v>2008</c:v>
                </c:pt>
                <c:pt idx="14">
                  <c:v>2009</c:v>
                </c:pt>
                <c:pt idx="15">
                  <c:v>2010</c:v>
                </c:pt>
                <c:pt idx="16">
                  <c:v>2011</c:v>
                </c:pt>
                <c:pt idx="17">
                  <c:v>2012</c:v>
                </c:pt>
                <c:pt idx="18">
                  <c:v>2013</c:v>
                </c:pt>
                <c:pt idx="19">
                  <c:v>2014</c:v>
                </c:pt>
                <c:pt idx="20">
                  <c:v>2015</c:v>
                </c:pt>
              </c:numCache>
            </c:numRef>
          </c:cat>
          <c:val>
            <c:numRef>
              <c:f>List1!$C$23:$C$43</c:f>
              <c:numCache>
                <c:formatCode>General</c:formatCode>
                <c:ptCount val="21"/>
                <c:pt idx="0">
                  <c:v>28</c:v>
                </c:pt>
                <c:pt idx="1">
                  <c:v>27</c:v>
                </c:pt>
                <c:pt idx="2">
                  <c:v>21</c:v>
                </c:pt>
                <c:pt idx="3">
                  <c:v>19</c:v>
                </c:pt>
                <c:pt idx="4">
                  <c:v>16</c:v>
                </c:pt>
                <c:pt idx="5">
                  <c:v>16</c:v>
                </c:pt>
                <c:pt idx="6">
                  <c:v>24</c:v>
                </c:pt>
                <c:pt idx="7">
                  <c:v>21</c:v>
                </c:pt>
                <c:pt idx="8">
                  <c:v>12</c:v>
                </c:pt>
                <c:pt idx="9">
                  <c:v>17</c:v>
                </c:pt>
                <c:pt idx="10">
                  <c:v>19</c:v>
                </c:pt>
                <c:pt idx="11">
                  <c:v>17</c:v>
                </c:pt>
                <c:pt idx="12">
                  <c:v>21</c:v>
                </c:pt>
                <c:pt idx="13">
                  <c:v>12</c:v>
                </c:pt>
                <c:pt idx="14">
                  <c:v>18</c:v>
                </c:pt>
                <c:pt idx="15">
                  <c:v>19</c:v>
                </c:pt>
                <c:pt idx="16">
                  <c:v>24</c:v>
                </c:pt>
                <c:pt idx="17">
                  <c:v>18</c:v>
                </c:pt>
                <c:pt idx="18">
                  <c:v>18</c:v>
                </c:pt>
                <c:pt idx="19">
                  <c:v>14</c:v>
                </c:pt>
                <c:pt idx="20">
                  <c:v>20</c:v>
                </c:pt>
              </c:numCache>
            </c:numRef>
          </c:val>
          <c:extLst>
            <c:ext xmlns:c16="http://schemas.microsoft.com/office/drawing/2014/chart" uri="{C3380CC4-5D6E-409C-BE32-E72D297353CC}">
              <c16:uniqueId val="{00000001-4DD2-4F29-8CEF-B95D2F47DF3F}"/>
            </c:ext>
          </c:extLst>
        </c:ser>
        <c:ser>
          <c:idx val="2"/>
          <c:order val="2"/>
          <c:tx>
            <c:v>přistěhovalí</c:v>
          </c:tx>
          <c:spPr>
            <a:solidFill>
              <a:schemeClr val="accent3">
                <a:lumMod val="40000"/>
                <a:lumOff val="60000"/>
              </a:schemeClr>
            </a:solidFill>
          </c:spPr>
          <c:invertIfNegative val="0"/>
          <c:cat>
            <c:numRef>
              <c:f>List1!$A$23:$A$43</c:f>
              <c:numCache>
                <c:formatCode>General</c:formatCode>
                <c:ptCount val="21"/>
                <c:pt idx="0">
                  <c:v>1995</c:v>
                </c:pt>
                <c:pt idx="1">
                  <c:v>1996</c:v>
                </c:pt>
                <c:pt idx="2">
                  <c:v>1997</c:v>
                </c:pt>
                <c:pt idx="3">
                  <c:v>1998</c:v>
                </c:pt>
                <c:pt idx="4">
                  <c:v>1999</c:v>
                </c:pt>
                <c:pt idx="5">
                  <c:v>2000</c:v>
                </c:pt>
                <c:pt idx="6">
                  <c:v>2001</c:v>
                </c:pt>
                <c:pt idx="7">
                  <c:v>2002</c:v>
                </c:pt>
                <c:pt idx="8">
                  <c:v>2003</c:v>
                </c:pt>
                <c:pt idx="9">
                  <c:v>2004</c:v>
                </c:pt>
                <c:pt idx="10">
                  <c:v>2005</c:v>
                </c:pt>
                <c:pt idx="11">
                  <c:v>2006</c:v>
                </c:pt>
                <c:pt idx="12">
                  <c:v>2007</c:v>
                </c:pt>
                <c:pt idx="13">
                  <c:v>2008</c:v>
                </c:pt>
                <c:pt idx="14">
                  <c:v>2009</c:v>
                </c:pt>
                <c:pt idx="15">
                  <c:v>2010</c:v>
                </c:pt>
                <c:pt idx="16">
                  <c:v>2011</c:v>
                </c:pt>
                <c:pt idx="17">
                  <c:v>2012</c:v>
                </c:pt>
                <c:pt idx="18">
                  <c:v>2013</c:v>
                </c:pt>
                <c:pt idx="19">
                  <c:v>2014</c:v>
                </c:pt>
                <c:pt idx="20">
                  <c:v>2015</c:v>
                </c:pt>
              </c:numCache>
            </c:numRef>
          </c:cat>
          <c:val>
            <c:numRef>
              <c:f>List1!$D$23:$D$43</c:f>
              <c:numCache>
                <c:formatCode>General</c:formatCode>
                <c:ptCount val="21"/>
                <c:pt idx="0">
                  <c:v>50</c:v>
                </c:pt>
                <c:pt idx="1">
                  <c:v>43</c:v>
                </c:pt>
                <c:pt idx="2">
                  <c:v>45</c:v>
                </c:pt>
                <c:pt idx="3">
                  <c:v>52</c:v>
                </c:pt>
                <c:pt idx="4">
                  <c:v>36</c:v>
                </c:pt>
                <c:pt idx="5">
                  <c:v>51</c:v>
                </c:pt>
                <c:pt idx="6">
                  <c:v>53</c:v>
                </c:pt>
                <c:pt idx="7">
                  <c:v>45</c:v>
                </c:pt>
                <c:pt idx="8">
                  <c:v>39</c:v>
                </c:pt>
                <c:pt idx="9">
                  <c:v>30</c:v>
                </c:pt>
                <c:pt idx="10">
                  <c:v>49</c:v>
                </c:pt>
                <c:pt idx="11">
                  <c:v>42</c:v>
                </c:pt>
                <c:pt idx="12">
                  <c:v>51</c:v>
                </c:pt>
                <c:pt idx="13">
                  <c:v>70</c:v>
                </c:pt>
                <c:pt idx="14">
                  <c:v>59</c:v>
                </c:pt>
                <c:pt idx="15">
                  <c:v>43</c:v>
                </c:pt>
                <c:pt idx="16">
                  <c:v>55</c:v>
                </c:pt>
                <c:pt idx="17">
                  <c:v>74</c:v>
                </c:pt>
                <c:pt idx="18">
                  <c:v>37</c:v>
                </c:pt>
                <c:pt idx="19">
                  <c:v>59</c:v>
                </c:pt>
                <c:pt idx="20">
                  <c:v>49</c:v>
                </c:pt>
              </c:numCache>
            </c:numRef>
          </c:val>
          <c:extLst>
            <c:ext xmlns:c16="http://schemas.microsoft.com/office/drawing/2014/chart" uri="{C3380CC4-5D6E-409C-BE32-E72D297353CC}">
              <c16:uniqueId val="{00000002-4DD2-4F29-8CEF-B95D2F47DF3F}"/>
            </c:ext>
          </c:extLst>
        </c:ser>
        <c:ser>
          <c:idx val="3"/>
          <c:order val="3"/>
          <c:tx>
            <c:v>vystěhovalí</c:v>
          </c:tx>
          <c:spPr>
            <a:solidFill>
              <a:schemeClr val="accent2">
                <a:lumMod val="40000"/>
                <a:lumOff val="60000"/>
              </a:schemeClr>
            </a:solidFill>
          </c:spPr>
          <c:invertIfNegative val="0"/>
          <c:cat>
            <c:numRef>
              <c:f>List1!$A$23:$A$43</c:f>
              <c:numCache>
                <c:formatCode>General</c:formatCode>
                <c:ptCount val="21"/>
                <c:pt idx="0">
                  <c:v>1995</c:v>
                </c:pt>
                <c:pt idx="1">
                  <c:v>1996</c:v>
                </c:pt>
                <c:pt idx="2">
                  <c:v>1997</c:v>
                </c:pt>
                <c:pt idx="3">
                  <c:v>1998</c:v>
                </c:pt>
                <c:pt idx="4">
                  <c:v>1999</c:v>
                </c:pt>
                <c:pt idx="5">
                  <c:v>2000</c:v>
                </c:pt>
                <c:pt idx="6">
                  <c:v>2001</c:v>
                </c:pt>
                <c:pt idx="7">
                  <c:v>2002</c:v>
                </c:pt>
                <c:pt idx="8">
                  <c:v>2003</c:v>
                </c:pt>
                <c:pt idx="9">
                  <c:v>2004</c:v>
                </c:pt>
                <c:pt idx="10">
                  <c:v>2005</c:v>
                </c:pt>
                <c:pt idx="11">
                  <c:v>2006</c:v>
                </c:pt>
                <c:pt idx="12">
                  <c:v>2007</c:v>
                </c:pt>
                <c:pt idx="13">
                  <c:v>2008</c:v>
                </c:pt>
                <c:pt idx="14">
                  <c:v>2009</c:v>
                </c:pt>
                <c:pt idx="15">
                  <c:v>2010</c:v>
                </c:pt>
                <c:pt idx="16">
                  <c:v>2011</c:v>
                </c:pt>
                <c:pt idx="17">
                  <c:v>2012</c:v>
                </c:pt>
                <c:pt idx="18">
                  <c:v>2013</c:v>
                </c:pt>
                <c:pt idx="19">
                  <c:v>2014</c:v>
                </c:pt>
                <c:pt idx="20">
                  <c:v>2015</c:v>
                </c:pt>
              </c:numCache>
            </c:numRef>
          </c:cat>
          <c:val>
            <c:numRef>
              <c:f>List1!$E$23:$E$43</c:f>
              <c:numCache>
                <c:formatCode>General</c:formatCode>
                <c:ptCount val="21"/>
                <c:pt idx="0">
                  <c:v>31</c:v>
                </c:pt>
                <c:pt idx="1">
                  <c:v>20</c:v>
                </c:pt>
                <c:pt idx="2">
                  <c:v>41</c:v>
                </c:pt>
                <c:pt idx="3">
                  <c:v>59</c:v>
                </c:pt>
                <c:pt idx="4">
                  <c:v>27</c:v>
                </c:pt>
                <c:pt idx="5">
                  <c:v>28</c:v>
                </c:pt>
                <c:pt idx="6">
                  <c:v>24</c:v>
                </c:pt>
                <c:pt idx="7">
                  <c:v>30</c:v>
                </c:pt>
                <c:pt idx="8">
                  <c:v>17</c:v>
                </c:pt>
                <c:pt idx="9">
                  <c:v>34</c:v>
                </c:pt>
                <c:pt idx="10">
                  <c:v>61</c:v>
                </c:pt>
                <c:pt idx="11">
                  <c:v>42</c:v>
                </c:pt>
                <c:pt idx="12">
                  <c:v>38</c:v>
                </c:pt>
                <c:pt idx="13">
                  <c:v>27</c:v>
                </c:pt>
                <c:pt idx="14">
                  <c:v>29</c:v>
                </c:pt>
                <c:pt idx="15">
                  <c:v>24</c:v>
                </c:pt>
                <c:pt idx="16">
                  <c:v>31</c:v>
                </c:pt>
                <c:pt idx="17">
                  <c:v>37</c:v>
                </c:pt>
                <c:pt idx="18">
                  <c:v>33</c:v>
                </c:pt>
                <c:pt idx="19">
                  <c:v>31</c:v>
                </c:pt>
                <c:pt idx="20">
                  <c:v>52</c:v>
                </c:pt>
              </c:numCache>
            </c:numRef>
          </c:val>
          <c:extLst>
            <c:ext xmlns:c16="http://schemas.microsoft.com/office/drawing/2014/chart" uri="{C3380CC4-5D6E-409C-BE32-E72D297353CC}">
              <c16:uniqueId val="{00000003-4DD2-4F29-8CEF-B95D2F47DF3F}"/>
            </c:ext>
          </c:extLst>
        </c:ser>
        <c:dLbls>
          <c:showLegendKey val="0"/>
          <c:showVal val="0"/>
          <c:showCatName val="0"/>
          <c:showSerName val="0"/>
          <c:showPercent val="0"/>
          <c:showBubbleSize val="0"/>
        </c:dLbls>
        <c:gapWidth val="150"/>
        <c:overlap val="100"/>
        <c:axId val="157229056"/>
        <c:axId val="157230592"/>
      </c:barChart>
      <c:lineChart>
        <c:grouping val="standard"/>
        <c:varyColors val="0"/>
        <c:ser>
          <c:idx val="4"/>
          <c:order val="4"/>
          <c:tx>
            <c:v>přírůstek celkový</c:v>
          </c:tx>
          <c:spPr>
            <a:ln>
              <a:solidFill>
                <a:srgbClr val="002060"/>
              </a:solidFill>
            </a:ln>
          </c:spPr>
          <c:marker>
            <c:symbol val="none"/>
          </c:marker>
          <c:dLbls>
            <c:dLbl>
              <c:idx val="3"/>
              <c:dLblPos val="b"/>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DD2-4F29-8CEF-B95D2F47DF3F}"/>
                </c:ext>
              </c:extLst>
            </c:dLbl>
            <c:dLbl>
              <c:idx val="10"/>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4DD2-4F29-8CEF-B95D2F47DF3F}"/>
                </c:ext>
              </c:extLst>
            </c:dLbl>
            <c:dLbl>
              <c:idx val="20"/>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4DD2-4F29-8CEF-B95D2F47DF3F}"/>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0"/>
              </c:ext>
            </c:extLst>
          </c:dLbls>
          <c:val>
            <c:numRef>
              <c:f>List1!$F$23:$F$43</c:f>
              <c:numCache>
                <c:formatCode>General</c:formatCode>
                <c:ptCount val="21"/>
                <c:pt idx="0">
                  <c:v>7</c:v>
                </c:pt>
                <c:pt idx="1">
                  <c:v>13</c:v>
                </c:pt>
                <c:pt idx="2">
                  <c:v>6</c:v>
                </c:pt>
                <c:pt idx="3">
                  <c:v>-12</c:v>
                </c:pt>
                <c:pt idx="4">
                  <c:v>10</c:v>
                </c:pt>
                <c:pt idx="5">
                  <c:v>19</c:v>
                </c:pt>
                <c:pt idx="6">
                  <c:v>20</c:v>
                </c:pt>
                <c:pt idx="7">
                  <c:v>17</c:v>
                </c:pt>
                <c:pt idx="8">
                  <c:v>22</c:v>
                </c:pt>
                <c:pt idx="9">
                  <c:v>-7</c:v>
                </c:pt>
                <c:pt idx="10">
                  <c:v>-12</c:v>
                </c:pt>
                <c:pt idx="11">
                  <c:v>-10</c:v>
                </c:pt>
                <c:pt idx="12">
                  <c:v>6</c:v>
                </c:pt>
                <c:pt idx="13">
                  <c:v>51</c:v>
                </c:pt>
                <c:pt idx="14">
                  <c:v>33</c:v>
                </c:pt>
                <c:pt idx="15">
                  <c:v>20</c:v>
                </c:pt>
                <c:pt idx="16">
                  <c:v>23</c:v>
                </c:pt>
                <c:pt idx="17">
                  <c:v>42</c:v>
                </c:pt>
                <c:pt idx="18">
                  <c:v>1</c:v>
                </c:pt>
                <c:pt idx="19">
                  <c:v>32</c:v>
                </c:pt>
                <c:pt idx="20">
                  <c:v>-4</c:v>
                </c:pt>
              </c:numCache>
            </c:numRef>
          </c:val>
          <c:smooth val="1"/>
          <c:extLst>
            <c:ext xmlns:c16="http://schemas.microsoft.com/office/drawing/2014/chart" uri="{C3380CC4-5D6E-409C-BE32-E72D297353CC}">
              <c16:uniqueId val="{00000007-4DD2-4F29-8CEF-B95D2F47DF3F}"/>
            </c:ext>
          </c:extLst>
        </c:ser>
        <c:dLbls>
          <c:showLegendKey val="0"/>
          <c:showVal val="0"/>
          <c:showCatName val="0"/>
          <c:showSerName val="0"/>
          <c:showPercent val="0"/>
          <c:showBubbleSize val="0"/>
        </c:dLbls>
        <c:marker val="1"/>
        <c:smooth val="0"/>
        <c:axId val="157229056"/>
        <c:axId val="157230592"/>
      </c:lineChart>
      <c:catAx>
        <c:axId val="157229056"/>
        <c:scaling>
          <c:orientation val="minMax"/>
        </c:scaling>
        <c:delete val="0"/>
        <c:axPos val="b"/>
        <c:majorGridlines/>
        <c:minorGridlines/>
        <c:numFmt formatCode="General" sourceLinked="1"/>
        <c:majorTickMark val="out"/>
        <c:minorTickMark val="none"/>
        <c:tickLblPos val="low"/>
        <c:crossAx val="157230592"/>
        <c:crosses val="autoZero"/>
        <c:auto val="1"/>
        <c:lblAlgn val="ctr"/>
        <c:lblOffset val="0"/>
        <c:noMultiLvlLbl val="0"/>
      </c:catAx>
      <c:valAx>
        <c:axId val="157230592"/>
        <c:scaling>
          <c:orientation val="minMax"/>
        </c:scaling>
        <c:delete val="0"/>
        <c:axPos val="l"/>
        <c:majorGridlines/>
        <c:numFmt formatCode="General" sourceLinked="1"/>
        <c:majorTickMark val="out"/>
        <c:minorTickMark val="none"/>
        <c:tickLblPos val="nextTo"/>
        <c:crossAx val="157229056"/>
        <c:crosses val="autoZero"/>
        <c:crossBetween val="between"/>
      </c:valAx>
    </c:plotArea>
    <c:legend>
      <c:legendPos val="b"/>
      <c:overlay val="0"/>
    </c:legend>
    <c:plotVisOnly val="1"/>
    <c:dispBlanksAs val="gap"/>
    <c:showDLblsOverMax val="0"/>
  </c:chart>
  <c:spPr>
    <a:ln>
      <a:noFill/>
    </a:ln>
  </c:sp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908925531484833"/>
          <c:y val="4.4233146155535336E-2"/>
          <c:w val="0.85581091582034852"/>
          <c:h val="0.81530194183894344"/>
        </c:manualLayout>
      </c:layout>
      <c:lineChart>
        <c:grouping val="standard"/>
        <c:varyColors val="0"/>
        <c:ser>
          <c:idx val="1"/>
          <c:order val="0"/>
          <c:tx>
            <c:v>počet domů</c:v>
          </c:tx>
          <c:marker>
            <c:symbol val="none"/>
          </c:marker>
          <c:dLbls>
            <c:dLbl>
              <c:idx val="10"/>
              <c:dLblPos val="b"/>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81C-4B39-B2AC-D238FEF5632F}"/>
                </c:ext>
              </c:extLst>
            </c:dLbl>
            <c:dLbl>
              <c:idx val="13"/>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81C-4B39-B2AC-D238FEF5632F}"/>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0"/>
              </c:ext>
            </c:extLst>
          </c:dLbls>
          <c:cat>
            <c:numRef>
              <c:f>[Grafy.xlsx]List1!$R$23:$AE$23</c:f>
              <c:numCache>
                <c:formatCode>General</c:formatCode>
                <c:ptCount val="14"/>
                <c:pt idx="0">
                  <c:v>1869</c:v>
                </c:pt>
                <c:pt idx="1">
                  <c:v>1880</c:v>
                </c:pt>
                <c:pt idx="2">
                  <c:v>1890</c:v>
                </c:pt>
                <c:pt idx="3">
                  <c:v>1900</c:v>
                </c:pt>
                <c:pt idx="4">
                  <c:v>1910</c:v>
                </c:pt>
                <c:pt idx="5">
                  <c:v>1921</c:v>
                </c:pt>
                <c:pt idx="6">
                  <c:v>1930</c:v>
                </c:pt>
                <c:pt idx="7">
                  <c:v>1950</c:v>
                </c:pt>
                <c:pt idx="8">
                  <c:v>1961</c:v>
                </c:pt>
                <c:pt idx="9">
                  <c:v>1970</c:v>
                </c:pt>
                <c:pt idx="10">
                  <c:v>1980</c:v>
                </c:pt>
                <c:pt idx="11">
                  <c:v>1991</c:v>
                </c:pt>
                <c:pt idx="12">
                  <c:v>2001</c:v>
                </c:pt>
                <c:pt idx="13">
                  <c:v>2011</c:v>
                </c:pt>
              </c:numCache>
            </c:numRef>
          </c:cat>
          <c:val>
            <c:numRef>
              <c:f>[Grafy.xlsx]List1!$R$24:$AE$24</c:f>
              <c:numCache>
                <c:formatCode>General</c:formatCode>
                <c:ptCount val="14"/>
                <c:pt idx="0">
                  <c:v>217</c:v>
                </c:pt>
                <c:pt idx="1">
                  <c:v>232</c:v>
                </c:pt>
                <c:pt idx="2">
                  <c:v>238</c:v>
                </c:pt>
                <c:pt idx="3">
                  <c:v>248</c:v>
                </c:pt>
                <c:pt idx="4">
                  <c:v>287</c:v>
                </c:pt>
                <c:pt idx="5">
                  <c:v>327</c:v>
                </c:pt>
                <c:pt idx="6">
                  <c:v>435</c:v>
                </c:pt>
                <c:pt idx="7">
                  <c:v>527</c:v>
                </c:pt>
                <c:pt idx="8">
                  <c:v>509</c:v>
                </c:pt>
                <c:pt idx="9">
                  <c:v>513</c:v>
                </c:pt>
                <c:pt idx="10">
                  <c:v>504</c:v>
                </c:pt>
                <c:pt idx="11">
                  <c:v>580</c:v>
                </c:pt>
                <c:pt idx="12">
                  <c:v>611</c:v>
                </c:pt>
                <c:pt idx="13">
                  <c:v>676</c:v>
                </c:pt>
              </c:numCache>
            </c:numRef>
          </c:val>
          <c:smooth val="1"/>
          <c:extLst>
            <c:ext xmlns:c16="http://schemas.microsoft.com/office/drawing/2014/chart" uri="{C3380CC4-5D6E-409C-BE32-E72D297353CC}">
              <c16:uniqueId val="{00000002-381C-4B39-B2AC-D238FEF5632F}"/>
            </c:ext>
          </c:extLst>
        </c:ser>
        <c:dLbls>
          <c:showLegendKey val="0"/>
          <c:showVal val="0"/>
          <c:showCatName val="0"/>
          <c:showSerName val="0"/>
          <c:showPercent val="0"/>
          <c:showBubbleSize val="0"/>
        </c:dLbls>
        <c:smooth val="0"/>
        <c:axId val="169771392"/>
        <c:axId val="169774464"/>
      </c:lineChart>
      <c:catAx>
        <c:axId val="169771392"/>
        <c:scaling>
          <c:orientation val="minMax"/>
        </c:scaling>
        <c:delete val="0"/>
        <c:axPos val="b"/>
        <c:minorGridlines/>
        <c:title>
          <c:tx>
            <c:rich>
              <a:bodyPr/>
              <a:lstStyle/>
              <a:p>
                <a:pPr>
                  <a:defRPr/>
                </a:pPr>
                <a:r>
                  <a:rPr lang="cs-CZ"/>
                  <a:t>rok</a:t>
                </a:r>
              </a:p>
            </c:rich>
          </c:tx>
          <c:overlay val="0"/>
        </c:title>
        <c:numFmt formatCode="General" sourceLinked="1"/>
        <c:majorTickMark val="out"/>
        <c:minorTickMark val="none"/>
        <c:tickLblPos val="nextTo"/>
        <c:crossAx val="169774464"/>
        <c:crosses val="autoZero"/>
        <c:auto val="1"/>
        <c:lblAlgn val="ctr"/>
        <c:lblOffset val="100"/>
        <c:noMultiLvlLbl val="0"/>
      </c:catAx>
      <c:valAx>
        <c:axId val="169774464"/>
        <c:scaling>
          <c:orientation val="minMax"/>
        </c:scaling>
        <c:delete val="0"/>
        <c:axPos val="l"/>
        <c:majorGridlines/>
        <c:title>
          <c:tx>
            <c:rich>
              <a:bodyPr rot="-5400000" vert="horz"/>
              <a:lstStyle/>
              <a:p>
                <a:pPr>
                  <a:defRPr/>
                </a:pPr>
                <a:r>
                  <a:rPr lang="cs-CZ"/>
                  <a:t>počet domů</a:t>
                </a:r>
              </a:p>
            </c:rich>
          </c:tx>
          <c:overlay val="0"/>
        </c:title>
        <c:numFmt formatCode="General" sourceLinked="1"/>
        <c:majorTickMark val="out"/>
        <c:minorTickMark val="none"/>
        <c:tickLblPos val="nextTo"/>
        <c:crossAx val="169771392"/>
        <c:crosses val="autoZero"/>
        <c:crossBetween val="between"/>
      </c:valAx>
    </c:plotArea>
    <c:plotVisOnly val="1"/>
    <c:dispBlanksAs val="gap"/>
    <c:showDLblsOverMax val="0"/>
  </c:chart>
  <c:spPr>
    <a:ln>
      <a:noFill/>
    </a:ln>
  </c:sp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6"/>
    </mc:Choice>
    <mc:Fallback>
      <c:style val="6"/>
    </mc:Fallback>
  </mc:AlternateContent>
  <c:clrMapOvr bg1="lt1" tx1="dk1" bg2="lt2" tx2="dk2" accent1="accent1" accent2="accent2" accent3="accent3" accent4="accent4" accent5="accent5" accent6="accent6" hlink="hlink" folHlink="folHlink"/>
  <c:chart>
    <c:title>
      <c:tx>
        <c:rich>
          <a:bodyPr/>
          <a:lstStyle/>
          <a:p>
            <a:pPr>
              <a:defRPr sz="900" i="1"/>
            </a:pPr>
            <a:r>
              <a:rPr lang="en-US" sz="900" i="1"/>
              <a:t>Dlouhodobý vývoj počtu obyvatel</a:t>
            </a:r>
            <a:r>
              <a:rPr lang="cs-CZ" sz="900" i="1"/>
              <a:t> a domů v sídle Hronětice </a:t>
            </a:r>
          </a:p>
        </c:rich>
      </c:tx>
      <c:overlay val="0"/>
    </c:title>
    <c:autoTitleDeleted val="0"/>
    <c:plotArea>
      <c:layout/>
      <c:lineChart>
        <c:grouping val="standard"/>
        <c:varyColors val="0"/>
        <c:ser>
          <c:idx val="0"/>
          <c:order val="0"/>
          <c:tx>
            <c:v>počet obyvatel</c:v>
          </c:tx>
          <c:spPr>
            <a:ln>
              <a:solidFill>
                <a:schemeClr val="accent6">
                  <a:lumMod val="75000"/>
                </a:schemeClr>
              </a:solidFill>
            </a:ln>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00-CFED-4FEA-A269-7FF6458C112F}"/>
                </c:ext>
              </c:extLst>
            </c:dLbl>
            <c:dLbl>
              <c:idx val="2"/>
              <c:delete val="1"/>
              <c:extLst>
                <c:ext xmlns:c15="http://schemas.microsoft.com/office/drawing/2012/chart" uri="{CE6537A1-D6FC-4f65-9D91-7224C49458BB}"/>
                <c:ext xmlns:c16="http://schemas.microsoft.com/office/drawing/2014/chart" uri="{C3380CC4-5D6E-409C-BE32-E72D297353CC}">
                  <c16:uniqueId val="{00000001-CFED-4FEA-A269-7FF6458C112F}"/>
                </c:ext>
              </c:extLst>
            </c:dLbl>
            <c:dLbl>
              <c:idx val="3"/>
              <c:delete val="1"/>
              <c:extLst>
                <c:ext xmlns:c15="http://schemas.microsoft.com/office/drawing/2012/chart" uri="{CE6537A1-D6FC-4f65-9D91-7224C49458BB}"/>
                <c:ext xmlns:c16="http://schemas.microsoft.com/office/drawing/2014/chart" uri="{C3380CC4-5D6E-409C-BE32-E72D297353CC}">
                  <c16:uniqueId val="{00000002-CFED-4FEA-A269-7FF6458C112F}"/>
                </c:ext>
              </c:extLst>
            </c:dLbl>
            <c:dLbl>
              <c:idx val="4"/>
              <c:delete val="1"/>
              <c:extLst>
                <c:ext xmlns:c15="http://schemas.microsoft.com/office/drawing/2012/chart" uri="{CE6537A1-D6FC-4f65-9D91-7224C49458BB}"/>
                <c:ext xmlns:c16="http://schemas.microsoft.com/office/drawing/2014/chart" uri="{C3380CC4-5D6E-409C-BE32-E72D297353CC}">
                  <c16:uniqueId val="{00000003-CFED-4FEA-A269-7FF6458C112F}"/>
                </c:ext>
              </c:extLst>
            </c:dLbl>
            <c:dLbl>
              <c:idx val="5"/>
              <c:delete val="1"/>
              <c:extLst>
                <c:ext xmlns:c15="http://schemas.microsoft.com/office/drawing/2012/chart" uri="{CE6537A1-D6FC-4f65-9D91-7224C49458BB}"/>
                <c:ext xmlns:c16="http://schemas.microsoft.com/office/drawing/2014/chart" uri="{C3380CC4-5D6E-409C-BE32-E72D297353CC}">
                  <c16:uniqueId val="{00000004-CFED-4FEA-A269-7FF6458C112F}"/>
                </c:ext>
              </c:extLst>
            </c:dLbl>
            <c:dLbl>
              <c:idx val="6"/>
              <c:delete val="1"/>
              <c:extLst>
                <c:ext xmlns:c15="http://schemas.microsoft.com/office/drawing/2012/chart" uri="{CE6537A1-D6FC-4f65-9D91-7224C49458BB}"/>
                <c:ext xmlns:c16="http://schemas.microsoft.com/office/drawing/2014/chart" uri="{C3380CC4-5D6E-409C-BE32-E72D297353CC}">
                  <c16:uniqueId val="{00000005-CFED-4FEA-A269-7FF6458C112F}"/>
                </c:ext>
              </c:extLst>
            </c:dLbl>
            <c:dLbl>
              <c:idx val="7"/>
              <c:delete val="1"/>
              <c:extLst>
                <c:ext xmlns:c15="http://schemas.microsoft.com/office/drawing/2012/chart" uri="{CE6537A1-D6FC-4f65-9D91-7224C49458BB}"/>
                <c:ext xmlns:c16="http://schemas.microsoft.com/office/drawing/2014/chart" uri="{C3380CC4-5D6E-409C-BE32-E72D297353CC}">
                  <c16:uniqueId val="{00000006-CFED-4FEA-A269-7FF6458C112F}"/>
                </c:ext>
              </c:extLst>
            </c:dLbl>
            <c:dLbl>
              <c:idx val="8"/>
              <c:delete val="1"/>
              <c:extLst>
                <c:ext xmlns:c15="http://schemas.microsoft.com/office/drawing/2012/chart" uri="{CE6537A1-D6FC-4f65-9D91-7224C49458BB}"/>
                <c:ext xmlns:c16="http://schemas.microsoft.com/office/drawing/2014/chart" uri="{C3380CC4-5D6E-409C-BE32-E72D297353CC}">
                  <c16:uniqueId val="{00000007-CFED-4FEA-A269-7FF6458C112F}"/>
                </c:ext>
              </c:extLst>
            </c:dLbl>
            <c:dLbl>
              <c:idx val="9"/>
              <c:delete val="1"/>
              <c:extLst>
                <c:ext xmlns:c15="http://schemas.microsoft.com/office/drawing/2012/chart" uri="{CE6537A1-D6FC-4f65-9D91-7224C49458BB}"/>
                <c:ext xmlns:c16="http://schemas.microsoft.com/office/drawing/2014/chart" uri="{C3380CC4-5D6E-409C-BE32-E72D297353CC}">
                  <c16:uniqueId val="{00000008-CFED-4FEA-A269-7FF6458C112F}"/>
                </c:ext>
              </c:extLst>
            </c:dLbl>
            <c:dLbl>
              <c:idx val="10"/>
              <c:delete val="1"/>
              <c:extLst>
                <c:ext xmlns:c15="http://schemas.microsoft.com/office/drawing/2012/chart" uri="{CE6537A1-D6FC-4f65-9D91-7224C49458BB}"/>
                <c:ext xmlns:c16="http://schemas.microsoft.com/office/drawing/2014/chart" uri="{C3380CC4-5D6E-409C-BE32-E72D297353CC}">
                  <c16:uniqueId val="{00000009-CFED-4FEA-A269-7FF6458C112F}"/>
                </c:ext>
              </c:extLst>
            </c:dLbl>
            <c:dLbl>
              <c:idx val="11"/>
              <c:delete val="1"/>
              <c:extLst>
                <c:ext xmlns:c15="http://schemas.microsoft.com/office/drawing/2012/chart" uri="{CE6537A1-D6FC-4f65-9D91-7224C49458BB}"/>
                <c:ext xmlns:c16="http://schemas.microsoft.com/office/drawing/2014/chart" uri="{C3380CC4-5D6E-409C-BE32-E72D297353CC}">
                  <c16:uniqueId val="{0000000A-CFED-4FEA-A269-7FF6458C112F}"/>
                </c:ext>
              </c:extLst>
            </c:dLbl>
            <c:dLbl>
              <c:idx val="12"/>
              <c:dLblPos val="b"/>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CFED-4FEA-A269-7FF6458C112F}"/>
                </c:ext>
              </c:extLst>
            </c:dLbl>
            <c:dLbl>
              <c:idx val="13"/>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CFED-4FEA-A269-7FF6458C112F}"/>
                </c:ext>
              </c:extLst>
            </c:dLbl>
            <c:spPr>
              <a:noFill/>
              <a:ln>
                <a:noFill/>
              </a:ln>
              <a:effectLst/>
            </c:spPr>
            <c:txPr>
              <a:bodyPr/>
              <a:lstStyle/>
              <a:p>
                <a:pPr>
                  <a:defRPr>
                    <a:solidFill>
                      <a:schemeClr val="accent6">
                        <a:lumMod val="75000"/>
                      </a:schemeClr>
                    </a:solidFill>
                  </a:defRPr>
                </a:pPr>
                <a:endParaRPr lang="cs-CZ"/>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List1!$Q$1:$AD$1</c:f>
              <c:numCache>
                <c:formatCode>General</c:formatCode>
                <c:ptCount val="14"/>
                <c:pt idx="0">
                  <c:v>1869</c:v>
                </c:pt>
                <c:pt idx="1">
                  <c:v>1880</c:v>
                </c:pt>
                <c:pt idx="2">
                  <c:v>1890</c:v>
                </c:pt>
                <c:pt idx="3">
                  <c:v>1900</c:v>
                </c:pt>
                <c:pt idx="4">
                  <c:v>1910</c:v>
                </c:pt>
                <c:pt idx="5">
                  <c:v>1921</c:v>
                </c:pt>
                <c:pt idx="6">
                  <c:v>1930</c:v>
                </c:pt>
                <c:pt idx="7">
                  <c:v>1950</c:v>
                </c:pt>
                <c:pt idx="8">
                  <c:v>1961</c:v>
                </c:pt>
                <c:pt idx="9">
                  <c:v>1970</c:v>
                </c:pt>
                <c:pt idx="10">
                  <c:v>1980</c:v>
                </c:pt>
                <c:pt idx="11">
                  <c:v>1991</c:v>
                </c:pt>
                <c:pt idx="12">
                  <c:v>2001</c:v>
                </c:pt>
                <c:pt idx="13">
                  <c:v>2011</c:v>
                </c:pt>
              </c:numCache>
            </c:numRef>
          </c:cat>
          <c:val>
            <c:numRef>
              <c:f>List1!$Q$2:$AD$2</c:f>
              <c:numCache>
                <c:formatCode>#,##0</c:formatCode>
                <c:ptCount val="14"/>
                <c:pt idx="0">
                  <c:v>383</c:v>
                </c:pt>
                <c:pt idx="1">
                  <c:v>484</c:v>
                </c:pt>
                <c:pt idx="2">
                  <c:v>524</c:v>
                </c:pt>
                <c:pt idx="3">
                  <c:v>484</c:v>
                </c:pt>
                <c:pt idx="4">
                  <c:v>380</c:v>
                </c:pt>
                <c:pt idx="5">
                  <c:v>410</c:v>
                </c:pt>
                <c:pt idx="6">
                  <c:v>358</c:v>
                </c:pt>
                <c:pt idx="7">
                  <c:v>305</c:v>
                </c:pt>
                <c:pt idx="8">
                  <c:v>274</c:v>
                </c:pt>
                <c:pt idx="9">
                  <c:v>244</c:v>
                </c:pt>
                <c:pt idx="10">
                  <c:v>179</c:v>
                </c:pt>
                <c:pt idx="11">
                  <c:v>151</c:v>
                </c:pt>
                <c:pt idx="12">
                  <c:v>165</c:v>
                </c:pt>
                <c:pt idx="13">
                  <c:v>168</c:v>
                </c:pt>
              </c:numCache>
            </c:numRef>
          </c:val>
          <c:smooth val="1"/>
          <c:extLst>
            <c:ext xmlns:c16="http://schemas.microsoft.com/office/drawing/2014/chart" uri="{C3380CC4-5D6E-409C-BE32-E72D297353CC}">
              <c16:uniqueId val="{0000000D-CFED-4FEA-A269-7FF6458C112F}"/>
            </c:ext>
          </c:extLst>
        </c:ser>
        <c:dLbls>
          <c:showLegendKey val="0"/>
          <c:showVal val="1"/>
          <c:showCatName val="0"/>
          <c:showSerName val="0"/>
          <c:showPercent val="0"/>
          <c:showBubbleSize val="0"/>
        </c:dLbls>
        <c:marker val="1"/>
        <c:smooth val="0"/>
        <c:axId val="149215488"/>
        <c:axId val="151139456"/>
      </c:lineChart>
      <c:lineChart>
        <c:grouping val="standard"/>
        <c:varyColors val="0"/>
        <c:ser>
          <c:idx val="1"/>
          <c:order val="1"/>
          <c:tx>
            <c:v>počet domů</c:v>
          </c:tx>
          <c:spPr>
            <a:ln>
              <a:solidFill>
                <a:schemeClr val="accent1">
                  <a:lumMod val="75000"/>
                </a:schemeClr>
              </a:solidFill>
            </a:ln>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0E-CFED-4FEA-A269-7FF6458C112F}"/>
                </c:ext>
              </c:extLst>
            </c:dLbl>
            <c:dLbl>
              <c:idx val="1"/>
              <c:delete val="1"/>
              <c:extLst>
                <c:ext xmlns:c15="http://schemas.microsoft.com/office/drawing/2012/chart" uri="{CE6537A1-D6FC-4f65-9D91-7224C49458BB}"/>
                <c:ext xmlns:c16="http://schemas.microsoft.com/office/drawing/2014/chart" uri="{C3380CC4-5D6E-409C-BE32-E72D297353CC}">
                  <c16:uniqueId val="{0000000F-CFED-4FEA-A269-7FF6458C112F}"/>
                </c:ext>
              </c:extLst>
            </c:dLbl>
            <c:dLbl>
              <c:idx val="2"/>
              <c:delete val="1"/>
              <c:extLst>
                <c:ext xmlns:c15="http://schemas.microsoft.com/office/drawing/2012/chart" uri="{CE6537A1-D6FC-4f65-9D91-7224C49458BB}"/>
                <c:ext xmlns:c16="http://schemas.microsoft.com/office/drawing/2014/chart" uri="{C3380CC4-5D6E-409C-BE32-E72D297353CC}">
                  <c16:uniqueId val="{00000010-CFED-4FEA-A269-7FF6458C112F}"/>
                </c:ext>
              </c:extLst>
            </c:dLbl>
            <c:dLbl>
              <c:idx val="3"/>
              <c:delete val="1"/>
              <c:extLst>
                <c:ext xmlns:c15="http://schemas.microsoft.com/office/drawing/2012/chart" uri="{CE6537A1-D6FC-4f65-9D91-7224C49458BB}"/>
                <c:ext xmlns:c16="http://schemas.microsoft.com/office/drawing/2014/chart" uri="{C3380CC4-5D6E-409C-BE32-E72D297353CC}">
                  <c16:uniqueId val="{00000011-CFED-4FEA-A269-7FF6458C112F}"/>
                </c:ext>
              </c:extLst>
            </c:dLbl>
            <c:dLbl>
              <c:idx val="4"/>
              <c:delete val="1"/>
              <c:extLst>
                <c:ext xmlns:c15="http://schemas.microsoft.com/office/drawing/2012/chart" uri="{CE6537A1-D6FC-4f65-9D91-7224C49458BB}"/>
                <c:ext xmlns:c16="http://schemas.microsoft.com/office/drawing/2014/chart" uri="{C3380CC4-5D6E-409C-BE32-E72D297353CC}">
                  <c16:uniqueId val="{00000012-CFED-4FEA-A269-7FF6458C112F}"/>
                </c:ext>
              </c:extLst>
            </c:dLbl>
            <c:dLbl>
              <c:idx val="6"/>
              <c:delete val="1"/>
              <c:extLst>
                <c:ext xmlns:c15="http://schemas.microsoft.com/office/drawing/2012/chart" uri="{CE6537A1-D6FC-4f65-9D91-7224C49458BB}"/>
                <c:ext xmlns:c16="http://schemas.microsoft.com/office/drawing/2014/chart" uri="{C3380CC4-5D6E-409C-BE32-E72D297353CC}">
                  <c16:uniqueId val="{00000013-CFED-4FEA-A269-7FF6458C112F}"/>
                </c:ext>
              </c:extLst>
            </c:dLbl>
            <c:dLbl>
              <c:idx val="7"/>
              <c:delete val="1"/>
              <c:extLst>
                <c:ext xmlns:c15="http://schemas.microsoft.com/office/drawing/2012/chart" uri="{CE6537A1-D6FC-4f65-9D91-7224C49458BB}"/>
                <c:ext xmlns:c16="http://schemas.microsoft.com/office/drawing/2014/chart" uri="{C3380CC4-5D6E-409C-BE32-E72D297353CC}">
                  <c16:uniqueId val="{00000014-CFED-4FEA-A269-7FF6458C112F}"/>
                </c:ext>
              </c:extLst>
            </c:dLbl>
            <c:dLbl>
              <c:idx val="8"/>
              <c:delete val="1"/>
              <c:extLst>
                <c:ext xmlns:c15="http://schemas.microsoft.com/office/drawing/2012/chart" uri="{CE6537A1-D6FC-4f65-9D91-7224C49458BB}"/>
                <c:ext xmlns:c16="http://schemas.microsoft.com/office/drawing/2014/chart" uri="{C3380CC4-5D6E-409C-BE32-E72D297353CC}">
                  <c16:uniqueId val="{00000015-CFED-4FEA-A269-7FF6458C112F}"/>
                </c:ext>
              </c:extLst>
            </c:dLbl>
            <c:dLbl>
              <c:idx val="9"/>
              <c:delete val="1"/>
              <c:extLst>
                <c:ext xmlns:c15="http://schemas.microsoft.com/office/drawing/2012/chart" uri="{CE6537A1-D6FC-4f65-9D91-7224C49458BB}"/>
                <c:ext xmlns:c16="http://schemas.microsoft.com/office/drawing/2014/chart" uri="{C3380CC4-5D6E-409C-BE32-E72D297353CC}">
                  <c16:uniqueId val="{00000016-CFED-4FEA-A269-7FF6458C112F}"/>
                </c:ext>
              </c:extLst>
            </c:dLbl>
            <c:dLbl>
              <c:idx val="10"/>
              <c:delete val="1"/>
              <c:extLst>
                <c:ext xmlns:c15="http://schemas.microsoft.com/office/drawing/2012/chart" uri="{CE6537A1-D6FC-4f65-9D91-7224C49458BB}"/>
                <c:ext xmlns:c16="http://schemas.microsoft.com/office/drawing/2014/chart" uri="{C3380CC4-5D6E-409C-BE32-E72D297353CC}">
                  <c16:uniqueId val="{00000017-CFED-4FEA-A269-7FF6458C112F}"/>
                </c:ext>
              </c:extLst>
            </c:dLbl>
            <c:dLbl>
              <c:idx val="11"/>
              <c:delete val="1"/>
              <c:extLst>
                <c:ext xmlns:c15="http://schemas.microsoft.com/office/drawing/2012/chart" uri="{CE6537A1-D6FC-4f65-9D91-7224C49458BB}"/>
                <c:ext xmlns:c16="http://schemas.microsoft.com/office/drawing/2014/chart" uri="{C3380CC4-5D6E-409C-BE32-E72D297353CC}">
                  <c16:uniqueId val="{00000018-CFED-4FEA-A269-7FF6458C112F}"/>
                </c:ext>
              </c:extLst>
            </c:dLbl>
            <c:dLbl>
              <c:idx val="12"/>
              <c:dLblPos val="b"/>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CFED-4FEA-A269-7FF6458C112F}"/>
                </c:ext>
              </c:extLst>
            </c:dLbl>
            <c:dLbl>
              <c:idx val="13"/>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CFED-4FEA-A269-7FF6458C112F}"/>
                </c:ext>
              </c:extLst>
            </c:dLbl>
            <c:spPr>
              <a:noFill/>
              <a:ln>
                <a:noFill/>
              </a:ln>
              <a:effectLst/>
            </c:spPr>
            <c:txPr>
              <a:bodyPr/>
              <a:lstStyle/>
              <a:p>
                <a:pPr>
                  <a:defRPr>
                    <a:solidFill>
                      <a:schemeClr val="accent1">
                        <a:lumMod val="75000"/>
                      </a:schemeClr>
                    </a:solidFill>
                  </a:defRPr>
                </a:pPr>
                <a:endParaRPr lang="cs-CZ"/>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List1!$Q$1:$AD$1</c:f>
              <c:numCache>
                <c:formatCode>General</c:formatCode>
                <c:ptCount val="14"/>
                <c:pt idx="0">
                  <c:v>1869</c:v>
                </c:pt>
                <c:pt idx="1">
                  <c:v>1880</c:v>
                </c:pt>
                <c:pt idx="2">
                  <c:v>1890</c:v>
                </c:pt>
                <c:pt idx="3">
                  <c:v>1900</c:v>
                </c:pt>
                <c:pt idx="4">
                  <c:v>1910</c:v>
                </c:pt>
                <c:pt idx="5">
                  <c:v>1921</c:v>
                </c:pt>
                <c:pt idx="6">
                  <c:v>1930</c:v>
                </c:pt>
                <c:pt idx="7">
                  <c:v>1950</c:v>
                </c:pt>
                <c:pt idx="8">
                  <c:v>1961</c:v>
                </c:pt>
                <c:pt idx="9">
                  <c:v>1970</c:v>
                </c:pt>
                <c:pt idx="10">
                  <c:v>1980</c:v>
                </c:pt>
                <c:pt idx="11">
                  <c:v>1991</c:v>
                </c:pt>
                <c:pt idx="12">
                  <c:v>2001</c:v>
                </c:pt>
                <c:pt idx="13">
                  <c:v>2011</c:v>
                </c:pt>
              </c:numCache>
            </c:numRef>
          </c:cat>
          <c:val>
            <c:numRef>
              <c:f>List1!$Q$3:$AD$3</c:f>
              <c:numCache>
                <c:formatCode>#,##0</c:formatCode>
                <c:ptCount val="14"/>
                <c:pt idx="0">
                  <c:v>52</c:v>
                </c:pt>
                <c:pt idx="1">
                  <c:v>54</c:v>
                </c:pt>
                <c:pt idx="2">
                  <c:v>53</c:v>
                </c:pt>
                <c:pt idx="3">
                  <c:v>53</c:v>
                </c:pt>
                <c:pt idx="4">
                  <c:v>58</c:v>
                </c:pt>
                <c:pt idx="5">
                  <c:v>58</c:v>
                </c:pt>
                <c:pt idx="6">
                  <c:v>75</c:v>
                </c:pt>
                <c:pt idx="7">
                  <c:v>79</c:v>
                </c:pt>
                <c:pt idx="8">
                  <c:v>103</c:v>
                </c:pt>
                <c:pt idx="9">
                  <c:v>73</c:v>
                </c:pt>
                <c:pt idx="10">
                  <c:v>63</c:v>
                </c:pt>
                <c:pt idx="11">
                  <c:v>70</c:v>
                </c:pt>
                <c:pt idx="12">
                  <c:v>75</c:v>
                </c:pt>
                <c:pt idx="13">
                  <c:v>81</c:v>
                </c:pt>
              </c:numCache>
            </c:numRef>
          </c:val>
          <c:smooth val="1"/>
          <c:extLst>
            <c:ext xmlns:c16="http://schemas.microsoft.com/office/drawing/2014/chart" uri="{C3380CC4-5D6E-409C-BE32-E72D297353CC}">
              <c16:uniqueId val="{0000001B-CFED-4FEA-A269-7FF6458C112F}"/>
            </c:ext>
          </c:extLst>
        </c:ser>
        <c:dLbls>
          <c:showLegendKey val="0"/>
          <c:showVal val="1"/>
          <c:showCatName val="0"/>
          <c:showSerName val="0"/>
          <c:showPercent val="0"/>
          <c:showBubbleSize val="0"/>
        </c:dLbls>
        <c:marker val="1"/>
        <c:smooth val="0"/>
        <c:axId val="151180416"/>
        <c:axId val="151141376"/>
      </c:lineChart>
      <c:catAx>
        <c:axId val="149215488"/>
        <c:scaling>
          <c:orientation val="minMax"/>
        </c:scaling>
        <c:delete val="0"/>
        <c:axPos val="b"/>
        <c:majorGridlines/>
        <c:minorGridlines/>
        <c:numFmt formatCode="General" sourceLinked="1"/>
        <c:majorTickMark val="out"/>
        <c:minorTickMark val="none"/>
        <c:tickLblPos val="nextTo"/>
        <c:crossAx val="151139456"/>
        <c:crosses val="autoZero"/>
        <c:auto val="1"/>
        <c:lblAlgn val="ctr"/>
        <c:lblOffset val="100"/>
        <c:noMultiLvlLbl val="0"/>
      </c:catAx>
      <c:valAx>
        <c:axId val="151139456"/>
        <c:scaling>
          <c:orientation val="minMax"/>
        </c:scaling>
        <c:delete val="0"/>
        <c:axPos val="l"/>
        <c:majorGridlines/>
        <c:title>
          <c:tx>
            <c:rich>
              <a:bodyPr rot="-5400000" vert="horz"/>
              <a:lstStyle/>
              <a:p>
                <a:pPr>
                  <a:defRPr/>
                </a:pPr>
                <a:r>
                  <a:rPr lang="cs-CZ"/>
                  <a:t>počet obyvatel</a:t>
                </a:r>
              </a:p>
            </c:rich>
          </c:tx>
          <c:overlay val="0"/>
        </c:title>
        <c:numFmt formatCode="#,##0" sourceLinked="1"/>
        <c:majorTickMark val="out"/>
        <c:minorTickMark val="none"/>
        <c:tickLblPos val="nextTo"/>
        <c:crossAx val="149215488"/>
        <c:crosses val="autoZero"/>
        <c:crossBetween val="between"/>
      </c:valAx>
      <c:valAx>
        <c:axId val="151141376"/>
        <c:scaling>
          <c:orientation val="minMax"/>
        </c:scaling>
        <c:delete val="0"/>
        <c:axPos val="r"/>
        <c:title>
          <c:tx>
            <c:rich>
              <a:bodyPr rot="-5400000" vert="horz"/>
              <a:lstStyle/>
              <a:p>
                <a:pPr>
                  <a:defRPr/>
                </a:pPr>
                <a:r>
                  <a:rPr lang="cs-CZ"/>
                  <a:t>počet domů</a:t>
                </a:r>
              </a:p>
            </c:rich>
          </c:tx>
          <c:overlay val="0"/>
        </c:title>
        <c:numFmt formatCode="#,##0" sourceLinked="1"/>
        <c:majorTickMark val="out"/>
        <c:minorTickMark val="none"/>
        <c:tickLblPos val="nextTo"/>
        <c:crossAx val="151180416"/>
        <c:crosses val="max"/>
        <c:crossBetween val="between"/>
      </c:valAx>
      <c:catAx>
        <c:axId val="151180416"/>
        <c:scaling>
          <c:orientation val="minMax"/>
        </c:scaling>
        <c:delete val="1"/>
        <c:axPos val="b"/>
        <c:numFmt formatCode="General" sourceLinked="1"/>
        <c:majorTickMark val="out"/>
        <c:minorTickMark val="none"/>
        <c:tickLblPos val="none"/>
        <c:crossAx val="151141376"/>
        <c:crosses val="autoZero"/>
        <c:auto val="1"/>
        <c:lblAlgn val="ctr"/>
        <c:lblOffset val="100"/>
        <c:noMultiLvlLbl val="0"/>
      </c:catAx>
    </c:plotArea>
    <c:legend>
      <c:legendPos val="b"/>
      <c:overlay val="0"/>
    </c:legend>
    <c:plotVisOnly val="1"/>
    <c:dispBlanksAs val="gap"/>
    <c:showDLblsOverMax val="0"/>
  </c:chart>
  <c:spPr>
    <a:ln>
      <a:noFill/>
    </a:ln>
  </c:sp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6"/>
    </mc:Choice>
    <mc:Fallback>
      <c:style val="6"/>
    </mc:Fallback>
  </mc:AlternateContent>
  <c:clrMapOvr bg1="lt1" tx1="dk1" bg2="lt2" tx2="dk2" accent1="accent1" accent2="accent2" accent3="accent3" accent4="accent4" accent5="accent5" accent6="accent6" hlink="hlink" folHlink="folHlink"/>
  <c:chart>
    <c:title>
      <c:tx>
        <c:rich>
          <a:bodyPr/>
          <a:lstStyle/>
          <a:p>
            <a:pPr>
              <a:defRPr sz="900" i="1"/>
            </a:pPr>
            <a:r>
              <a:rPr lang="en-US" sz="900" i="1"/>
              <a:t>Dlouhodobý vývoj počtu obyvatel</a:t>
            </a:r>
            <a:r>
              <a:rPr lang="cs-CZ" sz="900" i="1"/>
              <a:t> a domů v sídle Kostomlaty nad Labem</a:t>
            </a:r>
          </a:p>
        </c:rich>
      </c:tx>
      <c:overlay val="0"/>
    </c:title>
    <c:autoTitleDeleted val="0"/>
    <c:plotArea>
      <c:layout>
        <c:manualLayout>
          <c:layoutTarget val="inner"/>
          <c:xMode val="edge"/>
          <c:yMode val="edge"/>
          <c:x val="0.13595446811725054"/>
          <c:y val="0.11645554193945877"/>
          <c:w val="0.74483386869925861"/>
          <c:h val="0.67230384357587292"/>
        </c:manualLayout>
      </c:layout>
      <c:lineChart>
        <c:grouping val="standard"/>
        <c:varyColors val="0"/>
        <c:ser>
          <c:idx val="0"/>
          <c:order val="0"/>
          <c:tx>
            <c:strRef>
              <c:f>'[grafy - sídla.xlsx]List1'!$N$6</c:f>
              <c:strCache>
                <c:ptCount val="1"/>
                <c:pt idx="0">
                  <c:v>počet obyvatel</c:v>
                </c:pt>
              </c:strCache>
            </c:strRef>
          </c:tx>
          <c:spPr>
            <a:ln>
              <a:solidFill>
                <a:schemeClr val="accent6">
                  <a:lumMod val="75000"/>
                </a:schemeClr>
              </a:solidFill>
            </a:ln>
          </c:spPr>
          <c:marker>
            <c:symbol val="none"/>
          </c:marker>
          <c:dLbls>
            <c:dLbl>
              <c:idx val="5"/>
              <c:tx>
                <c:rich>
                  <a:bodyPr/>
                  <a:lstStyle/>
                  <a:p>
                    <a:r>
                      <a:rPr lang="en-US">
                        <a:solidFill>
                          <a:schemeClr val="accent6">
                            <a:lumMod val="75000"/>
                          </a:schemeClr>
                        </a:solidFill>
                      </a:rPr>
                      <a:t>62</a:t>
                    </a:r>
                  </a:p>
                </c:rich>
              </c:tx>
              <c:dLblPos val="t"/>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90EE-4F11-94BA-69E6E8F68E1F}"/>
                </c:ext>
              </c:extLst>
            </c:dLbl>
            <c:dLbl>
              <c:idx val="13"/>
              <c:layout>
                <c:manualLayout>
                  <c:x val="-2.1942199064467565E-3"/>
                  <c:y val="-3.1023633331596228E-2"/>
                </c:manualLayout>
              </c:layout>
              <c:tx>
                <c:rich>
                  <a:bodyPr/>
                  <a:lstStyle/>
                  <a:p>
                    <a:r>
                      <a:rPr lang="en-US">
                        <a:solidFill>
                          <a:schemeClr val="accent6">
                            <a:lumMod val="75000"/>
                          </a:schemeClr>
                        </a:solidFill>
                      </a:rPr>
                      <a:t>0</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90EE-4F11-94BA-69E6E8F68E1F}"/>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0"/>
              </c:ext>
            </c:extLst>
          </c:dLbls>
          <c:cat>
            <c:numRef>
              <c:f>'[grafy - sídla.xlsx]List1'!$A$1:$N$1</c:f>
              <c:numCache>
                <c:formatCode>General</c:formatCode>
                <c:ptCount val="14"/>
                <c:pt idx="0">
                  <c:v>1869</c:v>
                </c:pt>
                <c:pt idx="1">
                  <c:v>1880</c:v>
                </c:pt>
                <c:pt idx="2">
                  <c:v>1890</c:v>
                </c:pt>
                <c:pt idx="3">
                  <c:v>1900</c:v>
                </c:pt>
                <c:pt idx="4">
                  <c:v>1910</c:v>
                </c:pt>
                <c:pt idx="5">
                  <c:v>1921</c:v>
                </c:pt>
                <c:pt idx="6">
                  <c:v>1930</c:v>
                </c:pt>
                <c:pt idx="7">
                  <c:v>1950</c:v>
                </c:pt>
                <c:pt idx="8">
                  <c:v>1961</c:v>
                </c:pt>
                <c:pt idx="9">
                  <c:v>1970</c:v>
                </c:pt>
                <c:pt idx="10">
                  <c:v>1980</c:v>
                </c:pt>
                <c:pt idx="11">
                  <c:v>1991</c:v>
                </c:pt>
                <c:pt idx="12">
                  <c:v>2001</c:v>
                </c:pt>
                <c:pt idx="13">
                  <c:v>2011</c:v>
                </c:pt>
              </c:numCache>
            </c:numRef>
          </c:cat>
          <c:val>
            <c:numRef>
              <c:f>'[grafy - sídla.xlsx]List1'!$A$103:$N$103</c:f>
              <c:numCache>
                <c:formatCode>#,##0</c:formatCode>
                <c:ptCount val="14"/>
                <c:pt idx="0">
                  <c:v>633</c:v>
                </c:pt>
                <c:pt idx="1">
                  <c:v>726</c:v>
                </c:pt>
                <c:pt idx="2">
                  <c:v>794</c:v>
                </c:pt>
                <c:pt idx="3">
                  <c:v>741</c:v>
                </c:pt>
                <c:pt idx="4">
                  <c:v>816</c:v>
                </c:pt>
                <c:pt idx="5">
                  <c:v>947</c:v>
                </c:pt>
                <c:pt idx="6">
                  <c:v>1135</c:v>
                </c:pt>
                <c:pt idx="7">
                  <c:v>1131</c:v>
                </c:pt>
                <c:pt idx="8">
                  <c:v>1318</c:v>
                </c:pt>
                <c:pt idx="9">
                  <c:v>1128</c:v>
                </c:pt>
                <c:pt idx="10">
                  <c:v>1195</c:v>
                </c:pt>
                <c:pt idx="11">
                  <c:v>1208</c:v>
                </c:pt>
                <c:pt idx="12">
                  <c:v>1216</c:v>
                </c:pt>
                <c:pt idx="13">
                  <c:v>1339</c:v>
                </c:pt>
              </c:numCache>
            </c:numRef>
          </c:val>
          <c:smooth val="1"/>
          <c:extLst>
            <c:ext xmlns:c16="http://schemas.microsoft.com/office/drawing/2014/chart" uri="{C3380CC4-5D6E-409C-BE32-E72D297353CC}">
              <c16:uniqueId val="{00000002-90EE-4F11-94BA-69E6E8F68E1F}"/>
            </c:ext>
          </c:extLst>
        </c:ser>
        <c:dLbls>
          <c:showLegendKey val="0"/>
          <c:showVal val="1"/>
          <c:showCatName val="0"/>
          <c:showSerName val="0"/>
          <c:showPercent val="0"/>
          <c:showBubbleSize val="0"/>
        </c:dLbls>
        <c:marker val="1"/>
        <c:smooth val="0"/>
        <c:axId val="134518656"/>
        <c:axId val="134520192"/>
      </c:lineChart>
      <c:lineChart>
        <c:grouping val="standard"/>
        <c:varyColors val="0"/>
        <c:ser>
          <c:idx val="1"/>
          <c:order val="1"/>
          <c:tx>
            <c:strRef>
              <c:f>'[grafy - sídla.xlsx]List1'!$N$7</c:f>
              <c:strCache>
                <c:ptCount val="1"/>
                <c:pt idx="0">
                  <c:v>počet domů</c:v>
                </c:pt>
              </c:strCache>
            </c:strRef>
          </c:tx>
          <c:spPr>
            <a:ln>
              <a:solidFill>
                <a:schemeClr val="accent1">
                  <a:lumMod val="75000"/>
                </a:schemeClr>
              </a:solidFill>
            </a:ln>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03-90EE-4F11-94BA-69E6E8F68E1F}"/>
                </c:ext>
              </c:extLst>
            </c:dLbl>
            <c:dLbl>
              <c:idx val="6"/>
              <c:delete val="1"/>
              <c:extLst>
                <c:ext xmlns:c15="http://schemas.microsoft.com/office/drawing/2012/chart" uri="{CE6537A1-D6FC-4f65-9D91-7224C49458BB}"/>
                <c:ext xmlns:c16="http://schemas.microsoft.com/office/drawing/2014/chart" uri="{C3380CC4-5D6E-409C-BE32-E72D297353CC}">
                  <c16:uniqueId val="{00000004-90EE-4F11-94BA-69E6E8F68E1F}"/>
                </c:ext>
              </c:extLst>
            </c:dLbl>
            <c:dLbl>
              <c:idx val="7"/>
              <c:delete val="1"/>
              <c:extLst>
                <c:ext xmlns:c15="http://schemas.microsoft.com/office/drawing/2012/chart" uri="{CE6537A1-D6FC-4f65-9D91-7224C49458BB}"/>
                <c:ext xmlns:c16="http://schemas.microsoft.com/office/drawing/2014/chart" uri="{C3380CC4-5D6E-409C-BE32-E72D297353CC}">
                  <c16:uniqueId val="{00000005-90EE-4F11-94BA-69E6E8F68E1F}"/>
                </c:ext>
              </c:extLst>
            </c:dLbl>
            <c:dLbl>
              <c:idx val="8"/>
              <c:delete val="1"/>
              <c:extLst>
                <c:ext xmlns:c15="http://schemas.microsoft.com/office/drawing/2012/chart" uri="{CE6537A1-D6FC-4f65-9D91-7224C49458BB}"/>
                <c:ext xmlns:c16="http://schemas.microsoft.com/office/drawing/2014/chart" uri="{C3380CC4-5D6E-409C-BE32-E72D297353CC}">
                  <c16:uniqueId val="{00000006-90EE-4F11-94BA-69E6E8F68E1F}"/>
                </c:ext>
              </c:extLst>
            </c:dLbl>
            <c:dLbl>
              <c:idx val="9"/>
              <c:delete val="1"/>
              <c:extLst>
                <c:ext xmlns:c15="http://schemas.microsoft.com/office/drawing/2012/chart" uri="{CE6537A1-D6FC-4f65-9D91-7224C49458BB}"/>
                <c:ext xmlns:c16="http://schemas.microsoft.com/office/drawing/2014/chart" uri="{C3380CC4-5D6E-409C-BE32-E72D297353CC}">
                  <c16:uniqueId val="{00000007-90EE-4F11-94BA-69E6E8F68E1F}"/>
                </c:ext>
              </c:extLst>
            </c:dLbl>
            <c:dLbl>
              <c:idx val="10"/>
              <c:delete val="1"/>
              <c:extLst>
                <c:ext xmlns:c15="http://schemas.microsoft.com/office/drawing/2012/chart" uri="{CE6537A1-D6FC-4f65-9D91-7224C49458BB}"/>
                <c:ext xmlns:c16="http://schemas.microsoft.com/office/drawing/2014/chart" uri="{C3380CC4-5D6E-409C-BE32-E72D297353CC}">
                  <c16:uniqueId val="{00000008-90EE-4F11-94BA-69E6E8F68E1F}"/>
                </c:ext>
              </c:extLst>
            </c:dLbl>
            <c:dLbl>
              <c:idx val="11"/>
              <c:delete val="1"/>
              <c:extLst>
                <c:ext xmlns:c15="http://schemas.microsoft.com/office/drawing/2012/chart" uri="{CE6537A1-D6FC-4f65-9D91-7224C49458BB}"/>
                <c:ext xmlns:c16="http://schemas.microsoft.com/office/drawing/2014/chart" uri="{C3380CC4-5D6E-409C-BE32-E72D297353CC}">
                  <c16:uniqueId val="{00000009-90EE-4F11-94BA-69E6E8F68E1F}"/>
                </c:ext>
              </c:extLst>
            </c:dLbl>
            <c:dLbl>
              <c:idx val="12"/>
              <c:delete val="1"/>
              <c:extLst>
                <c:ext xmlns:c15="http://schemas.microsoft.com/office/drawing/2012/chart" uri="{CE6537A1-D6FC-4f65-9D91-7224C49458BB}"/>
                <c:ext xmlns:c16="http://schemas.microsoft.com/office/drawing/2014/chart" uri="{C3380CC4-5D6E-409C-BE32-E72D297353CC}">
                  <c16:uniqueId val="{0000000A-90EE-4F11-94BA-69E6E8F68E1F}"/>
                </c:ext>
              </c:extLst>
            </c:dLbl>
            <c:dLbl>
              <c:idx val="13"/>
              <c:layout>
                <c:manualLayout>
                  <c:x val="-2.1942199064467565E-3"/>
                  <c:y val="1.034121111053207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90EE-4F11-94BA-69E6E8F68E1F}"/>
                </c:ext>
              </c:extLst>
            </c:dLbl>
            <c:spPr>
              <a:noFill/>
              <a:ln>
                <a:noFill/>
              </a:ln>
              <a:effectLst/>
            </c:spPr>
            <c:txPr>
              <a:bodyPr/>
              <a:lstStyle/>
              <a:p>
                <a:pPr>
                  <a:defRPr>
                    <a:solidFill>
                      <a:schemeClr val="accent1">
                        <a:lumMod val="75000"/>
                      </a:schemeClr>
                    </a:solidFill>
                  </a:defRPr>
                </a:pPr>
                <a:endParaRPr lang="cs-CZ"/>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'[grafy - sídla.xlsx]List1'!$A$1:$N$1</c:f>
              <c:numCache>
                <c:formatCode>General</c:formatCode>
                <c:ptCount val="14"/>
                <c:pt idx="0">
                  <c:v>1869</c:v>
                </c:pt>
                <c:pt idx="1">
                  <c:v>1880</c:v>
                </c:pt>
                <c:pt idx="2">
                  <c:v>1890</c:v>
                </c:pt>
                <c:pt idx="3">
                  <c:v>1900</c:v>
                </c:pt>
                <c:pt idx="4">
                  <c:v>1910</c:v>
                </c:pt>
                <c:pt idx="5">
                  <c:v>1921</c:v>
                </c:pt>
                <c:pt idx="6">
                  <c:v>1930</c:v>
                </c:pt>
                <c:pt idx="7">
                  <c:v>1950</c:v>
                </c:pt>
                <c:pt idx="8">
                  <c:v>1961</c:v>
                </c:pt>
                <c:pt idx="9">
                  <c:v>1970</c:v>
                </c:pt>
                <c:pt idx="10">
                  <c:v>1980</c:v>
                </c:pt>
                <c:pt idx="11">
                  <c:v>1991</c:v>
                </c:pt>
                <c:pt idx="12">
                  <c:v>2001</c:v>
                </c:pt>
                <c:pt idx="13">
                  <c:v>2011</c:v>
                </c:pt>
              </c:numCache>
            </c:numRef>
          </c:cat>
          <c:val>
            <c:numRef>
              <c:f>'[grafy - sídla.xlsx]List1'!$A$104:$N$104</c:f>
              <c:numCache>
                <c:formatCode>#,##0</c:formatCode>
                <c:ptCount val="14"/>
                <c:pt idx="0">
                  <c:v>81</c:v>
                </c:pt>
                <c:pt idx="1">
                  <c:v>92</c:v>
                </c:pt>
                <c:pt idx="2">
                  <c:v>99</c:v>
                </c:pt>
                <c:pt idx="3">
                  <c:v>106</c:v>
                </c:pt>
                <c:pt idx="4">
                  <c:v>128</c:v>
                </c:pt>
                <c:pt idx="5">
                  <c:v>166</c:v>
                </c:pt>
                <c:pt idx="6">
                  <c:v>240</c:v>
                </c:pt>
                <c:pt idx="7">
                  <c:v>314</c:v>
                </c:pt>
                <c:pt idx="8">
                  <c:v>406</c:v>
                </c:pt>
                <c:pt idx="9">
                  <c:v>321</c:v>
                </c:pt>
                <c:pt idx="10">
                  <c:v>330</c:v>
                </c:pt>
                <c:pt idx="11">
                  <c:v>385</c:v>
                </c:pt>
                <c:pt idx="12">
                  <c:v>412</c:v>
                </c:pt>
                <c:pt idx="13">
                  <c:v>468</c:v>
                </c:pt>
              </c:numCache>
            </c:numRef>
          </c:val>
          <c:smooth val="1"/>
          <c:extLst>
            <c:ext xmlns:c16="http://schemas.microsoft.com/office/drawing/2014/chart" uri="{C3380CC4-5D6E-409C-BE32-E72D297353CC}">
              <c16:uniqueId val="{0000000C-90EE-4F11-94BA-69E6E8F68E1F}"/>
            </c:ext>
          </c:extLst>
        </c:ser>
        <c:dLbls>
          <c:showLegendKey val="0"/>
          <c:showVal val="1"/>
          <c:showCatName val="0"/>
          <c:showSerName val="0"/>
          <c:showPercent val="0"/>
          <c:showBubbleSize val="0"/>
        </c:dLbls>
        <c:marker val="1"/>
        <c:smooth val="0"/>
        <c:axId val="137235840"/>
        <c:axId val="137233920"/>
      </c:lineChart>
      <c:catAx>
        <c:axId val="134518656"/>
        <c:scaling>
          <c:orientation val="minMax"/>
        </c:scaling>
        <c:delete val="0"/>
        <c:axPos val="b"/>
        <c:majorGridlines/>
        <c:minorGridlines/>
        <c:numFmt formatCode="General" sourceLinked="1"/>
        <c:majorTickMark val="out"/>
        <c:minorTickMark val="none"/>
        <c:tickLblPos val="nextTo"/>
        <c:crossAx val="134520192"/>
        <c:crosses val="autoZero"/>
        <c:auto val="1"/>
        <c:lblAlgn val="ctr"/>
        <c:lblOffset val="100"/>
        <c:noMultiLvlLbl val="0"/>
      </c:catAx>
      <c:valAx>
        <c:axId val="134520192"/>
        <c:scaling>
          <c:orientation val="minMax"/>
        </c:scaling>
        <c:delete val="0"/>
        <c:axPos val="l"/>
        <c:majorGridlines/>
        <c:title>
          <c:tx>
            <c:rich>
              <a:bodyPr rot="-5400000" vert="horz"/>
              <a:lstStyle/>
              <a:p>
                <a:pPr>
                  <a:defRPr/>
                </a:pPr>
                <a:r>
                  <a:rPr lang="cs-CZ"/>
                  <a:t>počet obyvatel</a:t>
                </a:r>
              </a:p>
            </c:rich>
          </c:tx>
          <c:overlay val="0"/>
        </c:title>
        <c:numFmt formatCode="#,##0" sourceLinked="1"/>
        <c:majorTickMark val="out"/>
        <c:minorTickMark val="none"/>
        <c:tickLblPos val="nextTo"/>
        <c:crossAx val="134518656"/>
        <c:crosses val="autoZero"/>
        <c:crossBetween val="between"/>
      </c:valAx>
      <c:valAx>
        <c:axId val="137233920"/>
        <c:scaling>
          <c:orientation val="minMax"/>
        </c:scaling>
        <c:delete val="0"/>
        <c:axPos val="r"/>
        <c:title>
          <c:tx>
            <c:rich>
              <a:bodyPr rot="-5400000" vert="horz"/>
              <a:lstStyle/>
              <a:p>
                <a:pPr>
                  <a:defRPr/>
                </a:pPr>
                <a:r>
                  <a:rPr lang="cs-CZ"/>
                  <a:t>počet domů</a:t>
                </a:r>
              </a:p>
            </c:rich>
          </c:tx>
          <c:overlay val="0"/>
        </c:title>
        <c:numFmt formatCode="#,##0" sourceLinked="1"/>
        <c:majorTickMark val="out"/>
        <c:minorTickMark val="none"/>
        <c:tickLblPos val="nextTo"/>
        <c:crossAx val="137235840"/>
        <c:crosses val="max"/>
        <c:crossBetween val="between"/>
      </c:valAx>
      <c:catAx>
        <c:axId val="137235840"/>
        <c:scaling>
          <c:orientation val="minMax"/>
        </c:scaling>
        <c:delete val="1"/>
        <c:axPos val="b"/>
        <c:numFmt formatCode="General" sourceLinked="1"/>
        <c:majorTickMark val="out"/>
        <c:minorTickMark val="none"/>
        <c:tickLblPos val="none"/>
        <c:crossAx val="137233920"/>
        <c:crosses val="autoZero"/>
        <c:auto val="1"/>
        <c:lblAlgn val="ctr"/>
        <c:lblOffset val="100"/>
        <c:noMultiLvlLbl val="0"/>
      </c:catAx>
    </c:plotArea>
    <c:legend>
      <c:legendPos val="b"/>
      <c:overlay val="0"/>
    </c:legend>
    <c:plotVisOnly val="1"/>
    <c:dispBlanksAs val="gap"/>
    <c:showDLblsOverMax val="0"/>
  </c:chart>
  <c:spPr>
    <a:ln>
      <a:noFill/>
    </a:ln>
  </c:sp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6"/>
    </mc:Choice>
    <mc:Fallback>
      <c:style val="6"/>
    </mc:Fallback>
  </mc:AlternateContent>
  <c:clrMapOvr bg1="lt1" tx1="dk1" bg2="lt2" tx2="dk2" accent1="accent1" accent2="accent2" accent3="accent3" accent4="accent4" accent5="accent5" accent6="accent6" hlink="hlink" folHlink="folHlink"/>
  <c:chart>
    <c:title>
      <c:tx>
        <c:rich>
          <a:bodyPr/>
          <a:lstStyle/>
          <a:p>
            <a:pPr>
              <a:defRPr sz="900" i="1"/>
            </a:pPr>
            <a:r>
              <a:rPr lang="en-US" sz="900" i="1"/>
              <a:t>Dlouhodobý vývoj počtu obyvatel</a:t>
            </a:r>
            <a:r>
              <a:rPr lang="cs-CZ" sz="900" i="1"/>
              <a:t> a domů v sídle Lány</a:t>
            </a:r>
          </a:p>
        </c:rich>
      </c:tx>
      <c:overlay val="0"/>
    </c:title>
    <c:autoTitleDeleted val="0"/>
    <c:plotArea>
      <c:layout/>
      <c:lineChart>
        <c:grouping val="standard"/>
        <c:varyColors val="0"/>
        <c:ser>
          <c:idx val="0"/>
          <c:order val="0"/>
          <c:tx>
            <c:strRef>
              <c:f>List1!$N$6</c:f>
              <c:strCache>
                <c:ptCount val="1"/>
                <c:pt idx="0">
                  <c:v>počet obyvatel</c:v>
                </c:pt>
              </c:strCache>
            </c:strRef>
          </c:tx>
          <c:spPr>
            <a:ln>
              <a:solidFill>
                <a:schemeClr val="accent6">
                  <a:lumMod val="75000"/>
                </a:schemeClr>
              </a:solidFill>
            </a:ln>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00-D634-418E-82CD-DD3D3134472D}"/>
                </c:ext>
              </c:extLst>
            </c:dLbl>
            <c:dLbl>
              <c:idx val="2"/>
              <c:delete val="1"/>
              <c:extLst>
                <c:ext xmlns:c15="http://schemas.microsoft.com/office/drawing/2012/chart" uri="{CE6537A1-D6FC-4f65-9D91-7224C49458BB}"/>
                <c:ext xmlns:c16="http://schemas.microsoft.com/office/drawing/2014/chart" uri="{C3380CC4-5D6E-409C-BE32-E72D297353CC}">
                  <c16:uniqueId val="{00000001-D634-418E-82CD-DD3D3134472D}"/>
                </c:ext>
              </c:extLst>
            </c:dLbl>
            <c:dLbl>
              <c:idx val="3"/>
              <c:delete val="1"/>
              <c:extLst>
                <c:ext xmlns:c15="http://schemas.microsoft.com/office/drawing/2012/chart" uri="{CE6537A1-D6FC-4f65-9D91-7224C49458BB}"/>
                <c:ext xmlns:c16="http://schemas.microsoft.com/office/drawing/2014/chart" uri="{C3380CC4-5D6E-409C-BE32-E72D297353CC}">
                  <c16:uniqueId val="{00000002-D634-418E-82CD-DD3D3134472D}"/>
                </c:ext>
              </c:extLst>
            </c:dLbl>
            <c:dLbl>
              <c:idx val="4"/>
              <c:delete val="1"/>
              <c:extLst>
                <c:ext xmlns:c15="http://schemas.microsoft.com/office/drawing/2012/chart" uri="{CE6537A1-D6FC-4f65-9D91-7224C49458BB}"/>
                <c:ext xmlns:c16="http://schemas.microsoft.com/office/drawing/2014/chart" uri="{C3380CC4-5D6E-409C-BE32-E72D297353CC}">
                  <c16:uniqueId val="{00000003-D634-418E-82CD-DD3D3134472D}"/>
                </c:ext>
              </c:extLst>
            </c:dLbl>
            <c:dLbl>
              <c:idx val="5"/>
              <c:delete val="1"/>
              <c:extLst>
                <c:ext xmlns:c15="http://schemas.microsoft.com/office/drawing/2012/chart" uri="{CE6537A1-D6FC-4f65-9D91-7224C49458BB}"/>
                <c:ext xmlns:c16="http://schemas.microsoft.com/office/drawing/2014/chart" uri="{C3380CC4-5D6E-409C-BE32-E72D297353CC}">
                  <c16:uniqueId val="{00000004-D634-418E-82CD-DD3D3134472D}"/>
                </c:ext>
              </c:extLst>
            </c:dLbl>
            <c:dLbl>
              <c:idx val="6"/>
              <c:delete val="1"/>
              <c:extLst>
                <c:ext xmlns:c15="http://schemas.microsoft.com/office/drawing/2012/chart" uri="{CE6537A1-D6FC-4f65-9D91-7224C49458BB}"/>
                <c:ext xmlns:c16="http://schemas.microsoft.com/office/drawing/2014/chart" uri="{C3380CC4-5D6E-409C-BE32-E72D297353CC}">
                  <c16:uniqueId val="{00000005-D634-418E-82CD-DD3D3134472D}"/>
                </c:ext>
              </c:extLst>
            </c:dLbl>
            <c:dLbl>
              <c:idx val="7"/>
              <c:delete val="1"/>
              <c:extLst>
                <c:ext xmlns:c15="http://schemas.microsoft.com/office/drawing/2012/chart" uri="{CE6537A1-D6FC-4f65-9D91-7224C49458BB}"/>
                <c:ext xmlns:c16="http://schemas.microsoft.com/office/drawing/2014/chart" uri="{C3380CC4-5D6E-409C-BE32-E72D297353CC}">
                  <c16:uniqueId val="{00000006-D634-418E-82CD-DD3D3134472D}"/>
                </c:ext>
              </c:extLst>
            </c:dLbl>
            <c:dLbl>
              <c:idx val="8"/>
              <c:delete val="1"/>
              <c:extLst>
                <c:ext xmlns:c15="http://schemas.microsoft.com/office/drawing/2012/chart" uri="{CE6537A1-D6FC-4f65-9D91-7224C49458BB}"/>
                <c:ext xmlns:c16="http://schemas.microsoft.com/office/drawing/2014/chart" uri="{C3380CC4-5D6E-409C-BE32-E72D297353CC}">
                  <c16:uniqueId val="{00000007-D634-418E-82CD-DD3D3134472D}"/>
                </c:ext>
              </c:extLst>
            </c:dLbl>
            <c:dLbl>
              <c:idx val="9"/>
              <c:delete val="1"/>
              <c:extLst>
                <c:ext xmlns:c15="http://schemas.microsoft.com/office/drawing/2012/chart" uri="{CE6537A1-D6FC-4f65-9D91-7224C49458BB}"/>
                <c:ext xmlns:c16="http://schemas.microsoft.com/office/drawing/2014/chart" uri="{C3380CC4-5D6E-409C-BE32-E72D297353CC}">
                  <c16:uniqueId val="{00000008-D634-418E-82CD-DD3D3134472D}"/>
                </c:ext>
              </c:extLst>
            </c:dLbl>
            <c:dLbl>
              <c:idx val="10"/>
              <c:delete val="1"/>
              <c:extLst>
                <c:ext xmlns:c15="http://schemas.microsoft.com/office/drawing/2012/chart" uri="{CE6537A1-D6FC-4f65-9D91-7224C49458BB}"/>
                <c:ext xmlns:c16="http://schemas.microsoft.com/office/drawing/2014/chart" uri="{C3380CC4-5D6E-409C-BE32-E72D297353CC}">
                  <c16:uniqueId val="{00000009-D634-418E-82CD-DD3D3134472D}"/>
                </c:ext>
              </c:extLst>
            </c:dLbl>
            <c:dLbl>
              <c:idx val="11"/>
              <c:delete val="1"/>
              <c:extLst>
                <c:ext xmlns:c15="http://schemas.microsoft.com/office/drawing/2012/chart" uri="{CE6537A1-D6FC-4f65-9D91-7224C49458BB}"/>
                <c:ext xmlns:c16="http://schemas.microsoft.com/office/drawing/2014/chart" uri="{C3380CC4-5D6E-409C-BE32-E72D297353CC}">
                  <c16:uniqueId val="{0000000A-D634-418E-82CD-DD3D3134472D}"/>
                </c:ext>
              </c:extLst>
            </c:dLbl>
            <c:dLbl>
              <c:idx val="12"/>
              <c:delete val="1"/>
              <c:extLst>
                <c:ext xmlns:c15="http://schemas.microsoft.com/office/drawing/2012/chart" uri="{CE6537A1-D6FC-4f65-9D91-7224C49458BB}"/>
                <c:ext xmlns:c16="http://schemas.microsoft.com/office/drawing/2014/chart" uri="{C3380CC4-5D6E-409C-BE32-E72D297353CC}">
                  <c16:uniqueId val="{0000000B-D634-418E-82CD-DD3D3134472D}"/>
                </c:ext>
              </c:extLst>
            </c:dLbl>
            <c:dLbl>
              <c:idx val="13"/>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D634-418E-82CD-DD3D3134472D}"/>
                </c:ext>
              </c:extLst>
            </c:dLbl>
            <c:spPr>
              <a:noFill/>
              <a:ln>
                <a:noFill/>
              </a:ln>
              <a:effectLst/>
            </c:spPr>
            <c:txPr>
              <a:bodyPr/>
              <a:lstStyle/>
              <a:p>
                <a:pPr>
                  <a:defRPr>
                    <a:solidFill>
                      <a:schemeClr val="accent6">
                        <a:lumMod val="75000"/>
                      </a:schemeClr>
                    </a:solidFill>
                  </a:defRPr>
                </a:pPr>
                <a:endParaRPr lang="cs-CZ"/>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List1!$A$1:$N$1</c:f>
              <c:numCache>
                <c:formatCode>General</c:formatCode>
                <c:ptCount val="14"/>
                <c:pt idx="0">
                  <c:v>1869</c:v>
                </c:pt>
                <c:pt idx="1">
                  <c:v>1880</c:v>
                </c:pt>
                <c:pt idx="2">
                  <c:v>1890</c:v>
                </c:pt>
                <c:pt idx="3">
                  <c:v>1900</c:v>
                </c:pt>
                <c:pt idx="4">
                  <c:v>1910</c:v>
                </c:pt>
                <c:pt idx="5">
                  <c:v>1921</c:v>
                </c:pt>
                <c:pt idx="6">
                  <c:v>1930</c:v>
                </c:pt>
                <c:pt idx="7">
                  <c:v>1950</c:v>
                </c:pt>
                <c:pt idx="8">
                  <c:v>1961</c:v>
                </c:pt>
                <c:pt idx="9">
                  <c:v>1970</c:v>
                </c:pt>
                <c:pt idx="10">
                  <c:v>1980</c:v>
                </c:pt>
                <c:pt idx="11">
                  <c:v>1991</c:v>
                </c:pt>
                <c:pt idx="12">
                  <c:v>2001</c:v>
                </c:pt>
                <c:pt idx="13">
                  <c:v>2011</c:v>
                </c:pt>
              </c:numCache>
            </c:numRef>
          </c:cat>
          <c:val>
            <c:numRef>
              <c:f>List1!$A$27:$N$27</c:f>
              <c:numCache>
                <c:formatCode>#,##0</c:formatCode>
                <c:ptCount val="14"/>
                <c:pt idx="0">
                  <c:v>326</c:v>
                </c:pt>
                <c:pt idx="1">
                  <c:v>334</c:v>
                </c:pt>
                <c:pt idx="2">
                  <c:v>340</c:v>
                </c:pt>
                <c:pt idx="3">
                  <c:v>320</c:v>
                </c:pt>
                <c:pt idx="4">
                  <c:v>276</c:v>
                </c:pt>
                <c:pt idx="5">
                  <c:v>289</c:v>
                </c:pt>
                <c:pt idx="6">
                  <c:v>249</c:v>
                </c:pt>
                <c:pt idx="7">
                  <c:v>192</c:v>
                </c:pt>
                <c:pt idx="9">
                  <c:v>146</c:v>
                </c:pt>
                <c:pt idx="10">
                  <c:v>121</c:v>
                </c:pt>
                <c:pt idx="11">
                  <c:v>99</c:v>
                </c:pt>
                <c:pt idx="12">
                  <c:v>106</c:v>
                </c:pt>
                <c:pt idx="13">
                  <c:v>110</c:v>
                </c:pt>
              </c:numCache>
            </c:numRef>
          </c:val>
          <c:smooth val="1"/>
          <c:extLst>
            <c:ext xmlns:c16="http://schemas.microsoft.com/office/drawing/2014/chart" uri="{C3380CC4-5D6E-409C-BE32-E72D297353CC}">
              <c16:uniqueId val="{0000000D-D634-418E-82CD-DD3D3134472D}"/>
            </c:ext>
          </c:extLst>
        </c:ser>
        <c:dLbls>
          <c:showLegendKey val="0"/>
          <c:showVal val="1"/>
          <c:showCatName val="0"/>
          <c:showSerName val="0"/>
          <c:showPercent val="0"/>
          <c:showBubbleSize val="0"/>
        </c:dLbls>
        <c:marker val="1"/>
        <c:smooth val="0"/>
        <c:axId val="128154624"/>
        <c:axId val="147871616"/>
      </c:lineChart>
      <c:lineChart>
        <c:grouping val="standard"/>
        <c:varyColors val="0"/>
        <c:ser>
          <c:idx val="1"/>
          <c:order val="1"/>
          <c:tx>
            <c:strRef>
              <c:f>List1!$N$7</c:f>
              <c:strCache>
                <c:ptCount val="1"/>
                <c:pt idx="0">
                  <c:v>počet domů</c:v>
                </c:pt>
              </c:strCache>
            </c:strRef>
          </c:tx>
          <c:spPr>
            <a:ln>
              <a:solidFill>
                <a:schemeClr val="accent1">
                  <a:lumMod val="75000"/>
                </a:schemeClr>
              </a:solidFill>
            </a:ln>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0E-D634-418E-82CD-DD3D3134472D}"/>
                </c:ext>
              </c:extLst>
            </c:dLbl>
            <c:dLbl>
              <c:idx val="1"/>
              <c:delete val="1"/>
              <c:extLst>
                <c:ext xmlns:c15="http://schemas.microsoft.com/office/drawing/2012/chart" uri="{CE6537A1-D6FC-4f65-9D91-7224C49458BB}"/>
                <c:ext xmlns:c16="http://schemas.microsoft.com/office/drawing/2014/chart" uri="{C3380CC4-5D6E-409C-BE32-E72D297353CC}">
                  <c16:uniqueId val="{0000000F-D634-418E-82CD-DD3D3134472D}"/>
                </c:ext>
              </c:extLst>
            </c:dLbl>
            <c:dLbl>
              <c:idx val="2"/>
              <c:delete val="1"/>
              <c:extLst>
                <c:ext xmlns:c15="http://schemas.microsoft.com/office/drawing/2012/chart" uri="{CE6537A1-D6FC-4f65-9D91-7224C49458BB}"/>
                <c:ext xmlns:c16="http://schemas.microsoft.com/office/drawing/2014/chart" uri="{C3380CC4-5D6E-409C-BE32-E72D297353CC}">
                  <c16:uniqueId val="{00000010-D634-418E-82CD-DD3D3134472D}"/>
                </c:ext>
              </c:extLst>
            </c:dLbl>
            <c:dLbl>
              <c:idx val="3"/>
              <c:delete val="1"/>
              <c:extLst>
                <c:ext xmlns:c15="http://schemas.microsoft.com/office/drawing/2012/chart" uri="{CE6537A1-D6FC-4f65-9D91-7224C49458BB}"/>
                <c:ext xmlns:c16="http://schemas.microsoft.com/office/drawing/2014/chart" uri="{C3380CC4-5D6E-409C-BE32-E72D297353CC}">
                  <c16:uniqueId val="{00000011-D634-418E-82CD-DD3D3134472D}"/>
                </c:ext>
              </c:extLst>
            </c:dLbl>
            <c:dLbl>
              <c:idx val="4"/>
              <c:delete val="1"/>
              <c:extLst>
                <c:ext xmlns:c15="http://schemas.microsoft.com/office/drawing/2012/chart" uri="{CE6537A1-D6FC-4f65-9D91-7224C49458BB}"/>
                <c:ext xmlns:c16="http://schemas.microsoft.com/office/drawing/2014/chart" uri="{C3380CC4-5D6E-409C-BE32-E72D297353CC}">
                  <c16:uniqueId val="{00000012-D634-418E-82CD-DD3D3134472D}"/>
                </c:ext>
              </c:extLst>
            </c:dLbl>
            <c:dLbl>
              <c:idx val="5"/>
              <c:delete val="1"/>
              <c:extLst>
                <c:ext xmlns:c15="http://schemas.microsoft.com/office/drawing/2012/chart" uri="{CE6537A1-D6FC-4f65-9D91-7224C49458BB}"/>
                <c:ext xmlns:c16="http://schemas.microsoft.com/office/drawing/2014/chart" uri="{C3380CC4-5D6E-409C-BE32-E72D297353CC}">
                  <c16:uniqueId val="{00000013-D634-418E-82CD-DD3D3134472D}"/>
                </c:ext>
              </c:extLst>
            </c:dLbl>
            <c:dLbl>
              <c:idx val="6"/>
              <c:delete val="1"/>
              <c:extLst>
                <c:ext xmlns:c15="http://schemas.microsoft.com/office/drawing/2012/chart" uri="{CE6537A1-D6FC-4f65-9D91-7224C49458BB}"/>
                <c:ext xmlns:c16="http://schemas.microsoft.com/office/drawing/2014/chart" uri="{C3380CC4-5D6E-409C-BE32-E72D297353CC}">
                  <c16:uniqueId val="{00000014-D634-418E-82CD-DD3D3134472D}"/>
                </c:ext>
              </c:extLst>
            </c:dLbl>
            <c:dLbl>
              <c:idx val="8"/>
              <c:delete val="1"/>
              <c:extLst>
                <c:ext xmlns:c15="http://schemas.microsoft.com/office/drawing/2012/chart" uri="{CE6537A1-D6FC-4f65-9D91-7224C49458BB}"/>
                <c:ext xmlns:c16="http://schemas.microsoft.com/office/drawing/2014/chart" uri="{C3380CC4-5D6E-409C-BE32-E72D297353CC}">
                  <c16:uniqueId val="{00000015-D634-418E-82CD-DD3D3134472D}"/>
                </c:ext>
              </c:extLst>
            </c:dLbl>
            <c:dLbl>
              <c:idx val="9"/>
              <c:delete val="1"/>
              <c:extLst>
                <c:ext xmlns:c15="http://schemas.microsoft.com/office/drawing/2012/chart" uri="{CE6537A1-D6FC-4f65-9D91-7224C49458BB}"/>
                <c:ext xmlns:c16="http://schemas.microsoft.com/office/drawing/2014/chart" uri="{C3380CC4-5D6E-409C-BE32-E72D297353CC}">
                  <c16:uniqueId val="{00000016-D634-418E-82CD-DD3D3134472D}"/>
                </c:ext>
              </c:extLst>
            </c:dLbl>
            <c:dLbl>
              <c:idx val="10"/>
              <c:delete val="1"/>
              <c:extLst>
                <c:ext xmlns:c15="http://schemas.microsoft.com/office/drawing/2012/chart" uri="{CE6537A1-D6FC-4f65-9D91-7224C49458BB}"/>
                <c:ext xmlns:c16="http://schemas.microsoft.com/office/drawing/2014/chart" uri="{C3380CC4-5D6E-409C-BE32-E72D297353CC}">
                  <c16:uniqueId val="{00000017-D634-418E-82CD-DD3D3134472D}"/>
                </c:ext>
              </c:extLst>
            </c:dLbl>
            <c:dLbl>
              <c:idx val="11"/>
              <c:delete val="1"/>
              <c:extLst>
                <c:ext xmlns:c15="http://schemas.microsoft.com/office/drawing/2012/chart" uri="{CE6537A1-D6FC-4f65-9D91-7224C49458BB}"/>
                <c:ext xmlns:c16="http://schemas.microsoft.com/office/drawing/2014/chart" uri="{C3380CC4-5D6E-409C-BE32-E72D297353CC}">
                  <c16:uniqueId val="{00000018-D634-418E-82CD-DD3D3134472D}"/>
                </c:ext>
              </c:extLst>
            </c:dLbl>
            <c:dLbl>
              <c:idx val="12"/>
              <c:delete val="1"/>
              <c:extLst>
                <c:ext xmlns:c15="http://schemas.microsoft.com/office/drawing/2012/chart" uri="{CE6537A1-D6FC-4f65-9D91-7224C49458BB}"/>
                <c:ext xmlns:c16="http://schemas.microsoft.com/office/drawing/2014/chart" uri="{C3380CC4-5D6E-409C-BE32-E72D297353CC}">
                  <c16:uniqueId val="{00000019-D634-418E-82CD-DD3D3134472D}"/>
                </c:ext>
              </c:extLst>
            </c:dLbl>
            <c:dLbl>
              <c:idx val="13"/>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D634-418E-82CD-DD3D3134472D}"/>
                </c:ext>
              </c:extLst>
            </c:dLbl>
            <c:spPr>
              <a:noFill/>
              <a:ln>
                <a:noFill/>
              </a:ln>
              <a:effectLst/>
            </c:spPr>
            <c:txPr>
              <a:bodyPr/>
              <a:lstStyle/>
              <a:p>
                <a:pPr>
                  <a:defRPr>
                    <a:solidFill>
                      <a:schemeClr val="accent1">
                        <a:lumMod val="75000"/>
                      </a:schemeClr>
                    </a:solidFill>
                  </a:defRPr>
                </a:pPr>
                <a:endParaRPr lang="cs-CZ"/>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List1!$A$1:$N$1</c:f>
              <c:numCache>
                <c:formatCode>General</c:formatCode>
                <c:ptCount val="14"/>
                <c:pt idx="0">
                  <c:v>1869</c:v>
                </c:pt>
                <c:pt idx="1">
                  <c:v>1880</c:v>
                </c:pt>
                <c:pt idx="2">
                  <c:v>1890</c:v>
                </c:pt>
                <c:pt idx="3">
                  <c:v>1900</c:v>
                </c:pt>
                <c:pt idx="4">
                  <c:v>1910</c:v>
                </c:pt>
                <c:pt idx="5">
                  <c:v>1921</c:v>
                </c:pt>
                <c:pt idx="6">
                  <c:v>1930</c:v>
                </c:pt>
                <c:pt idx="7">
                  <c:v>1950</c:v>
                </c:pt>
                <c:pt idx="8">
                  <c:v>1961</c:v>
                </c:pt>
                <c:pt idx="9">
                  <c:v>1970</c:v>
                </c:pt>
                <c:pt idx="10">
                  <c:v>1980</c:v>
                </c:pt>
                <c:pt idx="11">
                  <c:v>1991</c:v>
                </c:pt>
                <c:pt idx="12">
                  <c:v>2001</c:v>
                </c:pt>
                <c:pt idx="13">
                  <c:v>2011</c:v>
                </c:pt>
              </c:numCache>
            </c:numRef>
          </c:cat>
          <c:val>
            <c:numRef>
              <c:f>List1!$A$28:$N$28</c:f>
              <c:numCache>
                <c:formatCode>#,##0</c:formatCode>
                <c:ptCount val="14"/>
                <c:pt idx="0">
                  <c:v>46</c:v>
                </c:pt>
                <c:pt idx="1">
                  <c:v>47</c:v>
                </c:pt>
                <c:pt idx="2">
                  <c:v>48</c:v>
                </c:pt>
                <c:pt idx="3">
                  <c:v>48</c:v>
                </c:pt>
                <c:pt idx="4">
                  <c:v>56</c:v>
                </c:pt>
                <c:pt idx="5">
                  <c:v>57</c:v>
                </c:pt>
                <c:pt idx="6">
                  <c:v>58</c:v>
                </c:pt>
                <c:pt idx="7">
                  <c:v>57</c:v>
                </c:pt>
                <c:pt idx="9">
                  <c:v>45</c:v>
                </c:pt>
                <c:pt idx="10">
                  <c:v>41</c:v>
                </c:pt>
                <c:pt idx="11">
                  <c:v>50</c:v>
                </c:pt>
                <c:pt idx="12">
                  <c:v>49</c:v>
                </c:pt>
                <c:pt idx="13">
                  <c:v>51</c:v>
                </c:pt>
              </c:numCache>
            </c:numRef>
          </c:val>
          <c:smooth val="1"/>
          <c:extLst>
            <c:ext xmlns:c16="http://schemas.microsoft.com/office/drawing/2014/chart" uri="{C3380CC4-5D6E-409C-BE32-E72D297353CC}">
              <c16:uniqueId val="{0000001B-D634-418E-82CD-DD3D3134472D}"/>
            </c:ext>
          </c:extLst>
        </c:ser>
        <c:dLbls>
          <c:showLegendKey val="0"/>
          <c:showVal val="1"/>
          <c:showCatName val="0"/>
          <c:showSerName val="0"/>
          <c:showPercent val="0"/>
          <c:showBubbleSize val="0"/>
        </c:dLbls>
        <c:marker val="1"/>
        <c:smooth val="0"/>
        <c:axId val="151181952"/>
        <c:axId val="151179648"/>
      </c:lineChart>
      <c:catAx>
        <c:axId val="128154624"/>
        <c:scaling>
          <c:orientation val="minMax"/>
        </c:scaling>
        <c:delete val="0"/>
        <c:axPos val="b"/>
        <c:majorGridlines/>
        <c:minorGridlines/>
        <c:numFmt formatCode="General" sourceLinked="1"/>
        <c:majorTickMark val="out"/>
        <c:minorTickMark val="none"/>
        <c:tickLblPos val="nextTo"/>
        <c:crossAx val="147871616"/>
        <c:crosses val="autoZero"/>
        <c:auto val="1"/>
        <c:lblAlgn val="ctr"/>
        <c:lblOffset val="100"/>
        <c:noMultiLvlLbl val="0"/>
      </c:catAx>
      <c:valAx>
        <c:axId val="147871616"/>
        <c:scaling>
          <c:orientation val="minMax"/>
        </c:scaling>
        <c:delete val="0"/>
        <c:axPos val="l"/>
        <c:majorGridlines/>
        <c:title>
          <c:tx>
            <c:rich>
              <a:bodyPr rot="-5400000" vert="horz"/>
              <a:lstStyle/>
              <a:p>
                <a:pPr>
                  <a:defRPr/>
                </a:pPr>
                <a:r>
                  <a:rPr lang="cs-CZ"/>
                  <a:t>počet obyvatel</a:t>
                </a:r>
              </a:p>
            </c:rich>
          </c:tx>
          <c:overlay val="0"/>
        </c:title>
        <c:numFmt formatCode="#,##0" sourceLinked="1"/>
        <c:majorTickMark val="out"/>
        <c:minorTickMark val="none"/>
        <c:tickLblPos val="nextTo"/>
        <c:crossAx val="128154624"/>
        <c:crosses val="autoZero"/>
        <c:crossBetween val="between"/>
      </c:valAx>
      <c:valAx>
        <c:axId val="151179648"/>
        <c:scaling>
          <c:orientation val="minMax"/>
        </c:scaling>
        <c:delete val="0"/>
        <c:axPos val="r"/>
        <c:title>
          <c:tx>
            <c:rich>
              <a:bodyPr rot="-5400000" vert="horz"/>
              <a:lstStyle/>
              <a:p>
                <a:pPr>
                  <a:defRPr/>
                </a:pPr>
                <a:r>
                  <a:rPr lang="cs-CZ"/>
                  <a:t>počet domů</a:t>
                </a:r>
              </a:p>
            </c:rich>
          </c:tx>
          <c:overlay val="0"/>
        </c:title>
        <c:numFmt formatCode="#,##0" sourceLinked="1"/>
        <c:majorTickMark val="out"/>
        <c:minorTickMark val="none"/>
        <c:tickLblPos val="nextTo"/>
        <c:crossAx val="151181952"/>
        <c:crosses val="max"/>
        <c:crossBetween val="between"/>
      </c:valAx>
      <c:catAx>
        <c:axId val="151181952"/>
        <c:scaling>
          <c:orientation val="minMax"/>
        </c:scaling>
        <c:delete val="1"/>
        <c:axPos val="b"/>
        <c:numFmt formatCode="General" sourceLinked="1"/>
        <c:majorTickMark val="out"/>
        <c:minorTickMark val="none"/>
        <c:tickLblPos val="none"/>
        <c:crossAx val="151179648"/>
        <c:crosses val="autoZero"/>
        <c:auto val="1"/>
        <c:lblAlgn val="ctr"/>
        <c:lblOffset val="100"/>
        <c:noMultiLvlLbl val="0"/>
      </c:catAx>
    </c:plotArea>
    <c:legend>
      <c:legendPos val="b"/>
      <c:overlay val="0"/>
    </c:legend>
    <c:plotVisOnly val="1"/>
    <c:dispBlanksAs val="gap"/>
    <c:showDLblsOverMax val="0"/>
  </c:chart>
  <c:spPr>
    <a:ln>
      <a:noFill/>
    </a:ln>
  </c:sp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6"/>
    </mc:Choice>
    <mc:Fallback>
      <c:style val="6"/>
    </mc:Fallback>
  </mc:AlternateContent>
  <c:clrMapOvr bg1="lt1" tx1="dk1" bg2="lt2" tx2="dk2" accent1="accent1" accent2="accent2" accent3="accent3" accent4="accent4" accent5="accent5" accent6="accent6" hlink="hlink" folHlink="folHlink"/>
  <c:chart>
    <c:title>
      <c:tx>
        <c:rich>
          <a:bodyPr/>
          <a:lstStyle/>
          <a:p>
            <a:pPr>
              <a:defRPr sz="900" i="1"/>
            </a:pPr>
            <a:r>
              <a:rPr lang="en-US" sz="900" i="1"/>
              <a:t>Dlouhodobý vývoj počtu obyvatel</a:t>
            </a:r>
            <a:r>
              <a:rPr lang="cs-CZ" sz="900" i="1"/>
              <a:t> a domů v sídle Rozkoš </a:t>
            </a:r>
          </a:p>
        </c:rich>
      </c:tx>
      <c:overlay val="0"/>
    </c:title>
    <c:autoTitleDeleted val="0"/>
    <c:plotArea>
      <c:layout/>
      <c:lineChart>
        <c:grouping val="standard"/>
        <c:varyColors val="0"/>
        <c:ser>
          <c:idx val="0"/>
          <c:order val="0"/>
          <c:tx>
            <c:strRef>
              <c:f>List1!$N$6</c:f>
              <c:strCache>
                <c:ptCount val="1"/>
                <c:pt idx="0">
                  <c:v>počet obyvatel</c:v>
                </c:pt>
              </c:strCache>
            </c:strRef>
          </c:tx>
          <c:spPr>
            <a:ln>
              <a:solidFill>
                <a:schemeClr val="accent6">
                  <a:lumMod val="75000"/>
                </a:schemeClr>
              </a:solidFill>
            </a:ln>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00-F8CC-443C-83FA-C46D6E7F9073}"/>
                </c:ext>
              </c:extLst>
            </c:dLbl>
            <c:dLbl>
              <c:idx val="1"/>
              <c:delete val="1"/>
              <c:extLst>
                <c:ext xmlns:c15="http://schemas.microsoft.com/office/drawing/2012/chart" uri="{CE6537A1-D6FC-4f65-9D91-7224C49458BB}"/>
                <c:ext xmlns:c16="http://schemas.microsoft.com/office/drawing/2014/chart" uri="{C3380CC4-5D6E-409C-BE32-E72D297353CC}">
                  <c16:uniqueId val="{00000001-F8CC-443C-83FA-C46D6E7F9073}"/>
                </c:ext>
              </c:extLst>
            </c:dLbl>
            <c:dLbl>
              <c:idx val="3"/>
              <c:delete val="1"/>
              <c:extLst>
                <c:ext xmlns:c15="http://schemas.microsoft.com/office/drawing/2012/chart" uri="{CE6537A1-D6FC-4f65-9D91-7224C49458BB}"/>
                <c:ext xmlns:c16="http://schemas.microsoft.com/office/drawing/2014/chart" uri="{C3380CC4-5D6E-409C-BE32-E72D297353CC}">
                  <c16:uniqueId val="{00000002-F8CC-443C-83FA-C46D6E7F9073}"/>
                </c:ext>
              </c:extLst>
            </c:dLbl>
            <c:dLbl>
              <c:idx val="4"/>
              <c:delete val="1"/>
              <c:extLst>
                <c:ext xmlns:c15="http://schemas.microsoft.com/office/drawing/2012/chart" uri="{CE6537A1-D6FC-4f65-9D91-7224C49458BB}"/>
                <c:ext xmlns:c16="http://schemas.microsoft.com/office/drawing/2014/chart" uri="{C3380CC4-5D6E-409C-BE32-E72D297353CC}">
                  <c16:uniqueId val="{00000003-F8CC-443C-83FA-C46D6E7F9073}"/>
                </c:ext>
              </c:extLst>
            </c:dLbl>
            <c:dLbl>
              <c:idx val="5"/>
              <c:delete val="1"/>
              <c:extLst>
                <c:ext xmlns:c15="http://schemas.microsoft.com/office/drawing/2012/chart" uri="{CE6537A1-D6FC-4f65-9D91-7224C49458BB}"/>
                <c:ext xmlns:c16="http://schemas.microsoft.com/office/drawing/2014/chart" uri="{C3380CC4-5D6E-409C-BE32-E72D297353CC}">
                  <c16:uniqueId val="{00000004-F8CC-443C-83FA-C46D6E7F9073}"/>
                </c:ext>
              </c:extLst>
            </c:dLbl>
            <c:dLbl>
              <c:idx val="6"/>
              <c:delete val="1"/>
              <c:extLst>
                <c:ext xmlns:c15="http://schemas.microsoft.com/office/drawing/2012/chart" uri="{CE6537A1-D6FC-4f65-9D91-7224C49458BB}"/>
                <c:ext xmlns:c16="http://schemas.microsoft.com/office/drawing/2014/chart" uri="{C3380CC4-5D6E-409C-BE32-E72D297353CC}">
                  <c16:uniqueId val="{00000005-F8CC-443C-83FA-C46D6E7F9073}"/>
                </c:ext>
              </c:extLst>
            </c:dLbl>
            <c:dLbl>
              <c:idx val="7"/>
              <c:delete val="1"/>
              <c:extLst>
                <c:ext xmlns:c15="http://schemas.microsoft.com/office/drawing/2012/chart" uri="{CE6537A1-D6FC-4f65-9D91-7224C49458BB}"/>
                <c:ext xmlns:c16="http://schemas.microsoft.com/office/drawing/2014/chart" uri="{C3380CC4-5D6E-409C-BE32-E72D297353CC}">
                  <c16:uniqueId val="{00000006-F8CC-443C-83FA-C46D6E7F9073}"/>
                </c:ext>
              </c:extLst>
            </c:dLbl>
            <c:dLbl>
              <c:idx val="8"/>
              <c:delete val="1"/>
              <c:extLst>
                <c:ext xmlns:c15="http://schemas.microsoft.com/office/drawing/2012/chart" uri="{CE6537A1-D6FC-4f65-9D91-7224C49458BB}"/>
                <c:ext xmlns:c16="http://schemas.microsoft.com/office/drawing/2014/chart" uri="{C3380CC4-5D6E-409C-BE32-E72D297353CC}">
                  <c16:uniqueId val="{00000007-F8CC-443C-83FA-C46D6E7F9073}"/>
                </c:ext>
              </c:extLst>
            </c:dLbl>
            <c:dLbl>
              <c:idx val="9"/>
              <c:delete val="1"/>
              <c:extLst>
                <c:ext xmlns:c15="http://schemas.microsoft.com/office/drawing/2012/chart" uri="{CE6537A1-D6FC-4f65-9D91-7224C49458BB}"/>
                <c:ext xmlns:c16="http://schemas.microsoft.com/office/drawing/2014/chart" uri="{C3380CC4-5D6E-409C-BE32-E72D297353CC}">
                  <c16:uniqueId val="{00000008-F8CC-443C-83FA-C46D6E7F9073}"/>
                </c:ext>
              </c:extLst>
            </c:dLbl>
            <c:dLbl>
              <c:idx val="10"/>
              <c:delete val="1"/>
              <c:extLst>
                <c:ext xmlns:c15="http://schemas.microsoft.com/office/drawing/2012/chart" uri="{CE6537A1-D6FC-4f65-9D91-7224C49458BB}"/>
                <c:ext xmlns:c16="http://schemas.microsoft.com/office/drawing/2014/chart" uri="{C3380CC4-5D6E-409C-BE32-E72D297353CC}">
                  <c16:uniqueId val="{00000009-F8CC-443C-83FA-C46D6E7F9073}"/>
                </c:ext>
              </c:extLst>
            </c:dLbl>
            <c:dLbl>
              <c:idx val="11"/>
              <c:delete val="1"/>
              <c:extLst>
                <c:ext xmlns:c15="http://schemas.microsoft.com/office/drawing/2012/chart" uri="{CE6537A1-D6FC-4f65-9D91-7224C49458BB}"/>
                <c:ext xmlns:c16="http://schemas.microsoft.com/office/drawing/2014/chart" uri="{C3380CC4-5D6E-409C-BE32-E72D297353CC}">
                  <c16:uniqueId val="{0000000A-F8CC-443C-83FA-C46D6E7F9073}"/>
                </c:ext>
              </c:extLst>
            </c:dLbl>
            <c:dLbl>
              <c:idx val="12"/>
              <c:delete val="1"/>
              <c:extLst>
                <c:ext xmlns:c15="http://schemas.microsoft.com/office/drawing/2012/chart" uri="{CE6537A1-D6FC-4f65-9D91-7224C49458BB}"/>
                <c:ext xmlns:c16="http://schemas.microsoft.com/office/drawing/2014/chart" uri="{C3380CC4-5D6E-409C-BE32-E72D297353CC}">
                  <c16:uniqueId val="{0000000B-F8CC-443C-83FA-C46D6E7F9073}"/>
                </c:ext>
              </c:extLst>
            </c:dLbl>
            <c:dLbl>
              <c:idx val="13"/>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F8CC-443C-83FA-C46D6E7F9073}"/>
                </c:ext>
              </c:extLst>
            </c:dLbl>
            <c:spPr>
              <a:noFill/>
              <a:ln>
                <a:noFill/>
              </a:ln>
              <a:effectLst/>
            </c:spPr>
            <c:txPr>
              <a:bodyPr/>
              <a:lstStyle/>
              <a:p>
                <a:pPr>
                  <a:defRPr>
                    <a:solidFill>
                      <a:schemeClr val="accent6">
                        <a:lumMod val="75000"/>
                      </a:schemeClr>
                    </a:solidFill>
                  </a:defRPr>
                </a:pPr>
                <a:endParaRPr lang="cs-CZ"/>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List1!$A$1:$N$1</c:f>
              <c:numCache>
                <c:formatCode>General</c:formatCode>
                <c:ptCount val="14"/>
                <c:pt idx="0">
                  <c:v>1869</c:v>
                </c:pt>
                <c:pt idx="1">
                  <c:v>1880</c:v>
                </c:pt>
                <c:pt idx="2">
                  <c:v>1890</c:v>
                </c:pt>
                <c:pt idx="3">
                  <c:v>1900</c:v>
                </c:pt>
                <c:pt idx="4">
                  <c:v>1910</c:v>
                </c:pt>
                <c:pt idx="5">
                  <c:v>1921</c:v>
                </c:pt>
                <c:pt idx="6">
                  <c:v>1930</c:v>
                </c:pt>
                <c:pt idx="7">
                  <c:v>1950</c:v>
                </c:pt>
                <c:pt idx="8">
                  <c:v>1961</c:v>
                </c:pt>
                <c:pt idx="9">
                  <c:v>1970</c:v>
                </c:pt>
                <c:pt idx="10">
                  <c:v>1980</c:v>
                </c:pt>
                <c:pt idx="11">
                  <c:v>1991</c:v>
                </c:pt>
                <c:pt idx="12">
                  <c:v>2001</c:v>
                </c:pt>
                <c:pt idx="13">
                  <c:v>2011</c:v>
                </c:pt>
              </c:numCache>
            </c:numRef>
          </c:cat>
          <c:val>
            <c:numRef>
              <c:f>List1!$Q$27:$AD$27</c:f>
              <c:numCache>
                <c:formatCode>#,##0</c:formatCode>
                <c:ptCount val="14"/>
                <c:pt idx="0">
                  <c:v>120</c:v>
                </c:pt>
                <c:pt idx="1">
                  <c:v>126</c:v>
                </c:pt>
                <c:pt idx="2">
                  <c:v>124</c:v>
                </c:pt>
                <c:pt idx="3">
                  <c:v>106</c:v>
                </c:pt>
                <c:pt idx="4">
                  <c:v>108</c:v>
                </c:pt>
                <c:pt idx="5">
                  <c:v>124</c:v>
                </c:pt>
                <c:pt idx="6">
                  <c:v>157</c:v>
                </c:pt>
                <c:pt idx="7">
                  <c:v>168</c:v>
                </c:pt>
                <c:pt idx="8">
                  <c:v>168</c:v>
                </c:pt>
                <c:pt idx="9">
                  <c:v>149</c:v>
                </c:pt>
                <c:pt idx="10">
                  <c:v>138</c:v>
                </c:pt>
                <c:pt idx="11">
                  <c:v>112</c:v>
                </c:pt>
                <c:pt idx="12">
                  <c:v>103</c:v>
                </c:pt>
                <c:pt idx="13">
                  <c:v>108</c:v>
                </c:pt>
              </c:numCache>
            </c:numRef>
          </c:val>
          <c:smooth val="1"/>
          <c:extLst>
            <c:ext xmlns:c16="http://schemas.microsoft.com/office/drawing/2014/chart" uri="{C3380CC4-5D6E-409C-BE32-E72D297353CC}">
              <c16:uniqueId val="{0000000D-F8CC-443C-83FA-C46D6E7F9073}"/>
            </c:ext>
          </c:extLst>
        </c:ser>
        <c:dLbls>
          <c:showLegendKey val="0"/>
          <c:showVal val="1"/>
          <c:showCatName val="0"/>
          <c:showSerName val="0"/>
          <c:showPercent val="0"/>
          <c:showBubbleSize val="0"/>
        </c:dLbls>
        <c:marker val="1"/>
        <c:smooth val="0"/>
        <c:axId val="126090240"/>
        <c:axId val="128187776"/>
      </c:lineChart>
      <c:lineChart>
        <c:grouping val="standard"/>
        <c:varyColors val="0"/>
        <c:ser>
          <c:idx val="1"/>
          <c:order val="1"/>
          <c:tx>
            <c:strRef>
              <c:f>List1!$N$7</c:f>
              <c:strCache>
                <c:ptCount val="1"/>
                <c:pt idx="0">
                  <c:v>počet domů</c:v>
                </c:pt>
              </c:strCache>
            </c:strRef>
          </c:tx>
          <c:spPr>
            <a:ln>
              <a:solidFill>
                <a:schemeClr val="accent1">
                  <a:lumMod val="75000"/>
                </a:schemeClr>
              </a:solidFill>
            </a:ln>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0E-F8CC-443C-83FA-C46D6E7F9073}"/>
                </c:ext>
              </c:extLst>
            </c:dLbl>
            <c:dLbl>
              <c:idx val="1"/>
              <c:delete val="1"/>
              <c:extLst>
                <c:ext xmlns:c15="http://schemas.microsoft.com/office/drawing/2012/chart" uri="{CE6537A1-D6FC-4f65-9D91-7224C49458BB}"/>
                <c:ext xmlns:c16="http://schemas.microsoft.com/office/drawing/2014/chart" uri="{C3380CC4-5D6E-409C-BE32-E72D297353CC}">
                  <c16:uniqueId val="{0000000F-F8CC-443C-83FA-C46D6E7F9073}"/>
                </c:ext>
              </c:extLst>
            </c:dLbl>
            <c:dLbl>
              <c:idx val="2"/>
              <c:delete val="1"/>
              <c:extLst>
                <c:ext xmlns:c15="http://schemas.microsoft.com/office/drawing/2012/chart" uri="{CE6537A1-D6FC-4f65-9D91-7224C49458BB}"/>
                <c:ext xmlns:c16="http://schemas.microsoft.com/office/drawing/2014/chart" uri="{C3380CC4-5D6E-409C-BE32-E72D297353CC}">
                  <c16:uniqueId val="{00000010-F8CC-443C-83FA-C46D6E7F9073}"/>
                </c:ext>
              </c:extLst>
            </c:dLbl>
            <c:dLbl>
              <c:idx val="3"/>
              <c:delete val="1"/>
              <c:extLst>
                <c:ext xmlns:c15="http://schemas.microsoft.com/office/drawing/2012/chart" uri="{CE6537A1-D6FC-4f65-9D91-7224C49458BB}"/>
                <c:ext xmlns:c16="http://schemas.microsoft.com/office/drawing/2014/chart" uri="{C3380CC4-5D6E-409C-BE32-E72D297353CC}">
                  <c16:uniqueId val="{00000011-F8CC-443C-83FA-C46D6E7F9073}"/>
                </c:ext>
              </c:extLst>
            </c:dLbl>
            <c:dLbl>
              <c:idx val="4"/>
              <c:delete val="1"/>
              <c:extLst>
                <c:ext xmlns:c15="http://schemas.microsoft.com/office/drawing/2012/chart" uri="{CE6537A1-D6FC-4f65-9D91-7224C49458BB}"/>
                <c:ext xmlns:c16="http://schemas.microsoft.com/office/drawing/2014/chart" uri="{C3380CC4-5D6E-409C-BE32-E72D297353CC}">
                  <c16:uniqueId val="{00000012-F8CC-443C-83FA-C46D6E7F9073}"/>
                </c:ext>
              </c:extLst>
            </c:dLbl>
            <c:dLbl>
              <c:idx val="5"/>
              <c:delete val="1"/>
              <c:extLst>
                <c:ext xmlns:c15="http://schemas.microsoft.com/office/drawing/2012/chart" uri="{CE6537A1-D6FC-4f65-9D91-7224C49458BB}"/>
                <c:ext xmlns:c16="http://schemas.microsoft.com/office/drawing/2014/chart" uri="{C3380CC4-5D6E-409C-BE32-E72D297353CC}">
                  <c16:uniqueId val="{00000013-F8CC-443C-83FA-C46D6E7F9073}"/>
                </c:ext>
              </c:extLst>
            </c:dLbl>
            <c:dLbl>
              <c:idx val="6"/>
              <c:delete val="1"/>
              <c:extLst>
                <c:ext xmlns:c15="http://schemas.microsoft.com/office/drawing/2012/chart" uri="{CE6537A1-D6FC-4f65-9D91-7224C49458BB}"/>
                <c:ext xmlns:c16="http://schemas.microsoft.com/office/drawing/2014/chart" uri="{C3380CC4-5D6E-409C-BE32-E72D297353CC}">
                  <c16:uniqueId val="{00000014-F8CC-443C-83FA-C46D6E7F9073}"/>
                </c:ext>
              </c:extLst>
            </c:dLbl>
            <c:dLbl>
              <c:idx val="8"/>
              <c:delete val="1"/>
              <c:extLst>
                <c:ext xmlns:c15="http://schemas.microsoft.com/office/drawing/2012/chart" uri="{CE6537A1-D6FC-4f65-9D91-7224C49458BB}"/>
                <c:ext xmlns:c16="http://schemas.microsoft.com/office/drawing/2014/chart" uri="{C3380CC4-5D6E-409C-BE32-E72D297353CC}">
                  <c16:uniqueId val="{00000015-F8CC-443C-83FA-C46D6E7F9073}"/>
                </c:ext>
              </c:extLst>
            </c:dLbl>
            <c:dLbl>
              <c:idx val="9"/>
              <c:delete val="1"/>
              <c:extLst>
                <c:ext xmlns:c15="http://schemas.microsoft.com/office/drawing/2012/chart" uri="{CE6537A1-D6FC-4f65-9D91-7224C49458BB}"/>
                <c:ext xmlns:c16="http://schemas.microsoft.com/office/drawing/2014/chart" uri="{C3380CC4-5D6E-409C-BE32-E72D297353CC}">
                  <c16:uniqueId val="{00000016-F8CC-443C-83FA-C46D6E7F9073}"/>
                </c:ext>
              </c:extLst>
            </c:dLbl>
            <c:dLbl>
              <c:idx val="10"/>
              <c:delete val="1"/>
              <c:extLst>
                <c:ext xmlns:c15="http://schemas.microsoft.com/office/drawing/2012/chart" uri="{CE6537A1-D6FC-4f65-9D91-7224C49458BB}"/>
                <c:ext xmlns:c16="http://schemas.microsoft.com/office/drawing/2014/chart" uri="{C3380CC4-5D6E-409C-BE32-E72D297353CC}">
                  <c16:uniqueId val="{00000017-F8CC-443C-83FA-C46D6E7F9073}"/>
                </c:ext>
              </c:extLst>
            </c:dLbl>
            <c:dLbl>
              <c:idx val="11"/>
              <c:dLblPos val="b"/>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F8CC-443C-83FA-C46D6E7F9073}"/>
                </c:ext>
              </c:extLst>
            </c:dLbl>
            <c:dLbl>
              <c:idx val="12"/>
              <c:delete val="1"/>
              <c:extLst>
                <c:ext xmlns:c15="http://schemas.microsoft.com/office/drawing/2012/chart" uri="{CE6537A1-D6FC-4f65-9D91-7224C49458BB}"/>
                <c:ext xmlns:c16="http://schemas.microsoft.com/office/drawing/2014/chart" uri="{C3380CC4-5D6E-409C-BE32-E72D297353CC}">
                  <c16:uniqueId val="{00000019-F8CC-443C-83FA-C46D6E7F9073}"/>
                </c:ext>
              </c:extLst>
            </c:dLbl>
            <c:dLbl>
              <c:idx val="13"/>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F8CC-443C-83FA-C46D6E7F9073}"/>
                </c:ext>
              </c:extLst>
            </c:dLbl>
            <c:spPr>
              <a:noFill/>
              <a:ln>
                <a:noFill/>
              </a:ln>
              <a:effectLst/>
            </c:spPr>
            <c:txPr>
              <a:bodyPr/>
              <a:lstStyle/>
              <a:p>
                <a:pPr>
                  <a:defRPr>
                    <a:solidFill>
                      <a:schemeClr val="accent1">
                        <a:lumMod val="75000"/>
                      </a:schemeClr>
                    </a:solidFill>
                  </a:defRPr>
                </a:pPr>
                <a:endParaRPr lang="cs-CZ"/>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List1!$A$1:$N$1</c:f>
              <c:numCache>
                <c:formatCode>General</c:formatCode>
                <c:ptCount val="14"/>
                <c:pt idx="0">
                  <c:v>1869</c:v>
                </c:pt>
                <c:pt idx="1">
                  <c:v>1880</c:v>
                </c:pt>
                <c:pt idx="2">
                  <c:v>1890</c:v>
                </c:pt>
                <c:pt idx="3">
                  <c:v>1900</c:v>
                </c:pt>
                <c:pt idx="4">
                  <c:v>1910</c:v>
                </c:pt>
                <c:pt idx="5">
                  <c:v>1921</c:v>
                </c:pt>
                <c:pt idx="6">
                  <c:v>1930</c:v>
                </c:pt>
                <c:pt idx="7">
                  <c:v>1950</c:v>
                </c:pt>
                <c:pt idx="8">
                  <c:v>1961</c:v>
                </c:pt>
                <c:pt idx="9">
                  <c:v>1970</c:v>
                </c:pt>
                <c:pt idx="10">
                  <c:v>1980</c:v>
                </c:pt>
                <c:pt idx="11">
                  <c:v>1991</c:v>
                </c:pt>
                <c:pt idx="12">
                  <c:v>2001</c:v>
                </c:pt>
                <c:pt idx="13">
                  <c:v>2011</c:v>
                </c:pt>
              </c:numCache>
            </c:numRef>
          </c:cat>
          <c:val>
            <c:numRef>
              <c:f>List1!$Q$28:$AD$28</c:f>
              <c:numCache>
                <c:formatCode>#,##0</c:formatCode>
                <c:ptCount val="14"/>
                <c:pt idx="0">
                  <c:v>17</c:v>
                </c:pt>
                <c:pt idx="1">
                  <c:v>17</c:v>
                </c:pt>
                <c:pt idx="2">
                  <c:v>17</c:v>
                </c:pt>
                <c:pt idx="3">
                  <c:v>17</c:v>
                </c:pt>
                <c:pt idx="4">
                  <c:v>19</c:v>
                </c:pt>
                <c:pt idx="5">
                  <c:v>20</c:v>
                </c:pt>
                <c:pt idx="6">
                  <c:v>32</c:v>
                </c:pt>
                <c:pt idx="7">
                  <c:v>42</c:v>
                </c:pt>
                <c:pt idx="9">
                  <c:v>44</c:v>
                </c:pt>
                <c:pt idx="10">
                  <c:v>41</c:v>
                </c:pt>
                <c:pt idx="11">
                  <c:v>45</c:v>
                </c:pt>
                <c:pt idx="12">
                  <c:v>44</c:v>
                </c:pt>
                <c:pt idx="13">
                  <c:v>44</c:v>
                </c:pt>
              </c:numCache>
            </c:numRef>
          </c:val>
          <c:smooth val="1"/>
          <c:extLst>
            <c:ext xmlns:c16="http://schemas.microsoft.com/office/drawing/2014/chart" uri="{C3380CC4-5D6E-409C-BE32-E72D297353CC}">
              <c16:uniqueId val="{0000001B-F8CC-443C-83FA-C46D6E7F9073}"/>
            </c:ext>
          </c:extLst>
        </c:ser>
        <c:dLbls>
          <c:showLegendKey val="0"/>
          <c:showVal val="1"/>
          <c:showCatName val="0"/>
          <c:showSerName val="0"/>
          <c:showPercent val="0"/>
          <c:showBubbleSize val="0"/>
        </c:dLbls>
        <c:marker val="1"/>
        <c:smooth val="0"/>
        <c:axId val="158828032"/>
        <c:axId val="149215872"/>
      </c:lineChart>
      <c:catAx>
        <c:axId val="126090240"/>
        <c:scaling>
          <c:orientation val="minMax"/>
        </c:scaling>
        <c:delete val="0"/>
        <c:axPos val="b"/>
        <c:majorGridlines/>
        <c:minorGridlines/>
        <c:numFmt formatCode="General" sourceLinked="1"/>
        <c:majorTickMark val="out"/>
        <c:minorTickMark val="none"/>
        <c:tickLblPos val="nextTo"/>
        <c:crossAx val="128187776"/>
        <c:crosses val="autoZero"/>
        <c:auto val="1"/>
        <c:lblAlgn val="ctr"/>
        <c:lblOffset val="100"/>
        <c:noMultiLvlLbl val="0"/>
      </c:catAx>
      <c:valAx>
        <c:axId val="128187776"/>
        <c:scaling>
          <c:orientation val="minMax"/>
        </c:scaling>
        <c:delete val="0"/>
        <c:axPos val="l"/>
        <c:majorGridlines/>
        <c:title>
          <c:tx>
            <c:rich>
              <a:bodyPr rot="-5400000" vert="horz"/>
              <a:lstStyle/>
              <a:p>
                <a:pPr>
                  <a:defRPr/>
                </a:pPr>
                <a:r>
                  <a:rPr lang="cs-CZ"/>
                  <a:t>počet obyvatel</a:t>
                </a:r>
              </a:p>
            </c:rich>
          </c:tx>
          <c:overlay val="0"/>
        </c:title>
        <c:numFmt formatCode="#,##0" sourceLinked="1"/>
        <c:majorTickMark val="out"/>
        <c:minorTickMark val="none"/>
        <c:tickLblPos val="nextTo"/>
        <c:crossAx val="126090240"/>
        <c:crosses val="autoZero"/>
        <c:crossBetween val="between"/>
      </c:valAx>
      <c:valAx>
        <c:axId val="149215872"/>
        <c:scaling>
          <c:orientation val="minMax"/>
        </c:scaling>
        <c:delete val="0"/>
        <c:axPos val="r"/>
        <c:title>
          <c:tx>
            <c:rich>
              <a:bodyPr rot="-5400000" vert="horz"/>
              <a:lstStyle/>
              <a:p>
                <a:pPr>
                  <a:defRPr/>
                </a:pPr>
                <a:r>
                  <a:rPr lang="cs-CZ"/>
                  <a:t>počet domů</a:t>
                </a:r>
              </a:p>
            </c:rich>
          </c:tx>
          <c:overlay val="0"/>
        </c:title>
        <c:numFmt formatCode="#,##0" sourceLinked="1"/>
        <c:majorTickMark val="out"/>
        <c:minorTickMark val="none"/>
        <c:tickLblPos val="nextTo"/>
        <c:crossAx val="158828032"/>
        <c:crosses val="max"/>
        <c:crossBetween val="between"/>
      </c:valAx>
      <c:catAx>
        <c:axId val="158828032"/>
        <c:scaling>
          <c:orientation val="minMax"/>
        </c:scaling>
        <c:delete val="1"/>
        <c:axPos val="b"/>
        <c:numFmt formatCode="General" sourceLinked="1"/>
        <c:majorTickMark val="out"/>
        <c:minorTickMark val="none"/>
        <c:tickLblPos val="none"/>
        <c:crossAx val="149215872"/>
        <c:crosses val="autoZero"/>
        <c:auto val="1"/>
        <c:lblAlgn val="ctr"/>
        <c:lblOffset val="100"/>
        <c:noMultiLvlLbl val="0"/>
      </c:catAx>
    </c:plotArea>
    <c:legend>
      <c:legendPos val="b"/>
      <c:overlay val="0"/>
    </c:legend>
    <c:plotVisOnly val="1"/>
    <c:dispBlanksAs val="gap"/>
    <c:showDLblsOverMax val="0"/>
  </c:chart>
  <c:spPr>
    <a:ln>
      <a:noFill/>
    </a:ln>
  </c:sp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6"/>
    </mc:Choice>
    <mc:Fallback>
      <c:style val="6"/>
    </mc:Fallback>
  </mc:AlternateContent>
  <c:clrMapOvr bg1="lt1" tx1="dk1" bg2="lt2" tx2="dk2" accent1="accent1" accent2="accent2" accent3="accent3" accent4="accent4" accent5="accent5" accent6="accent6" hlink="hlink" folHlink="folHlink"/>
  <c:chart>
    <c:title>
      <c:tx>
        <c:rich>
          <a:bodyPr/>
          <a:lstStyle/>
          <a:p>
            <a:pPr>
              <a:defRPr sz="900" i="1"/>
            </a:pPr>
            <a:r>
              <a:rPr lang="en-US" sz="900" i="1"/>
              <a:t>Dlouhodobý vývoj počtu obyvatel</a:t>
            </a:r>
            <a:r>
              <a:rPr lang="cs-CZ" sz="900" i="1"/>
              <a:t> a domů v sídle Vápensko</a:t>
            </a:r>
          </a:p>
        </c:rich>
      </c:tx>
      <c:overlay val="0"/>
    </c:title>
    <c:autoTitleDeleted val="0"/>
    <c:plotArea>
      <c:layout/>
      <c:lineChart>
        <c:grouping val="standard"/>
        <c:varyColors val="0"/>
        <c:ser>
          <c:idx val="0"/>
          <c:order val="0"/>
          <c:tx>
            <c:strRef>
              <c:f>List1!$N$6</c:f>
              <c:strCache>
                <c:ptCount val="1"/>
                <c:pt idx="0">
                  <c:v>počet obyvatel</c:v>
                </c:pt>
              </c:strCache>
            </c:strRef>
          </c:tx>
          <c:spPr>
            <a:ln>
              <a:solidFill>
                <a:schemeClr val="accent6">
                  <a:lumMod val="75000"/>
                </a:schemeClr>
              </a:solidFill>
            </a:ln>
          </c:spPr>
          <c:marker>
            <c:symbol val="none"/>
          </c:marker>
          <c:dLbls>
            <c:dLbl>
              <c:idx val="1"/>
              <c:delete val="1"/>
              <c:extLst>
                <c:ext xmlns:c15="http://schemas.microsoft.com/office/drawing/2012/chart" uri="{CE6537A1-D6FC-4f65-9D91-7224C49458BB}"/>
                <c:ext xmlns:c16="http://schemas.microsoft.com/office/drawing/2014/chart" uri="{C3380CC4-5D6E-409C-BE32-E72D297353CC}">
                  <c16:uniqueId val="{00000000-D022-47E4-B187-3E094242F1C9}"/>
                </c:ext>
              </c:extLst>
            </c:dLbl>
            <c:dLbl>
              <c:idx val="2"/>
              <c:delete val="1"/>
              <c:extLst>
                <c:ext xmlns:c15="http://schemas.microsoft.com/office/drawing/2012/chart" uri="{CE6537A1-D6FC-4f65-9D91-7224C49458BB}"/>
                <c:ext xmlns:c16="http://schemas.microsoft.com/office/drawing/2014/chart" uri="{C3380CC4-5D6E-409C-BE32-E72D297353CC}">
                  <c16:uniqueId val="{00000001-D022-47E4-B187-3E094242F1C9}"/>
                </c:ext>
              </c:extLst>
            </c:dLbl>
            <c:dLbl>
              <c:idx val="3"/>
              <c:delete val="1"/>
              <c:extLst>
                <c:ext xmlns:c15="http://schemas.microsoft.com/office/drawing/2012/chart" uri="{CE6537A1-D6FC-4f65-9D91-7224C49458BB}"/>
                <c:ext xmlns:c16="http://schemas.microsoft.com/office/drawing/2014/chart" uri="{C3380CC4-5D6E-409C-BE32-E72D297353CC}">
                  <c16:uniqueId val="{00000002-D022-47E4-B187-3E094242F1C9}"/>
                </c:ext>
              </c:extLst>
            </c:dLbl>
            <c:dLbl>
              <c:idx val="4"/>
              <c:delete val="1"/>
              <c:extLst>
                <c:ext xmlns:c15="http://schemas.microsoft.com/office/drawing/2012/chart" uri="{CE6537A1-D6FC-4f65-9D91-7224C49458BB}"/>
                <c:ext xmlns:c16="http://schemas.microsoft.com/office/drawing/2014/chart" uri="{C3380CC4-5D6E-409C-BE32-E72D297353CC}">
                  <c16:uniqueId val="{00000003-D022-47E4-B187-3E094242F1C9}"/>
                </c:ext>
              </c:extLst>
            </c:dLbl>
            <c:dLbl>
              <c:idx val="5"/>
              <c:delete val="1"/>
              <c:extLst>
                <c:ext xmlns:c15="http://schemas.microsoft.com/office/drawing/2012/chart" uri="{CE6537A1-D6FC-4f65-9D91-7224C49458BB}"/>
                <c:ext xmlns:c16="http://schemas.microsoft.com/office/drawing/2014/chart" uri="{C3380CC4-5D6E-409C-BE32-E72D297353CC}">
                  <c16:uniqueId val="{00000004-D022-47E4-B187-3E094242F1C9}"/>
                </c:ext>
              </c:extLst>
            </c:dLbl>
            <c:dLbl>
              <c:idx val="6"/>
              <c:delete val="1"/>
              <c:extLst>
                <c:ext xmlns:c15="http://schemas.microsoft.com/office/drawing/2012/chart" uri="{CE6537A1-D6FC-4f65-9D91-7224C49458BB}"/>
                <c:ext xmlns:c16="http://schemas.microsoft.com/office/drawing/2014/chart" uri="{C3380CC4-5D6E-409C-BE32-E72D297353CC}">
                  <c16:uniqueId val="{00000005-D022-47E4-B187-3E094242F1C9}"/>
                </c:ext>
              </c:extLst>
            </c:dLbl>
            <c:dLbl>
              <c:idx val="7"/>
              <c:delete val="1"/>
              <c:extLst>
                <c:ext xmlns:c15="http://schemas.microsoft.com/office/drawing/2012/chart" uri="{CE6537A1-D6FC-4f65-9D91-7224C49458BB}"/>
                <c:ext xmlns:c16="http://schemas.microsoft.com/office/drawing/2014/chart" uri="{C3380CC4-5D6E-409C-BE32-E72D297353CC}">
                  <c16:uniqueId val="{00000006-D022-47E4-B187-3E094242F1C9}"/>
                </c:ext>
              </c:extLst>
            </c:dLbl>
            <c:dLbl>
              <c:idx val="8"/>
              <c:delete val="1"/>
              <c:extLst>
                <c:ext xmlns:c15="http://schemas.microsoft.com/office/drawing/2012/chart" uri="{CE6537A1-D6FC-4f65-9D91-7224C49458BB}"/>
                <c:ext xmlns:c16="http://schemas.microsoft.com/office/drawing/2014/chart" uri="{C3380CC4-5D6E-409C-BE32-E72D297353CC}">
                  <c16:uniqueId val="{00000007-D022-47E4-B187-3E094242F1C9}"/>
                </c:ext>
              </c:extLst>
            </c:dLbl>
            <c:dLbl>
              <c:idx val="9"/>
              <c:delete val="1"/>
              <c:extLst>
                <c:ext xmlns:c15="http://schemas.microsoft.com/office/drawing/2012/chart" uri="{CE6537A1-D6FC-4f65-9D91-7224C49458BB}"/>
                <c:ext xmlns:c16="http://schemas.microsoft.com/office/drawing/2014/chart" uri="{C3380CC4-5D6E-409C-BE32-E72D297353CC}">
                  <c16:uniqueId val="{00000008-D022-47E4-B187-3E094242F1C9}"/>
                </c:ext>
              </c:extLst>
            </c:dLbl>
            <c:dLbl>
              <c:idx val="10"/>
              <c:delete val="1"/>
              <c:extLst>
                <c:ext xmlns:c15="http://schemas.microsoft.com/office/drawing/2012/chart" uri="{CE6537A1-D6FC-4f65-9D91-7224C49458BB}"/>
                <c:ext xmlns:c16="http://schemas.microsoft.com/office/drawing/2014/chart" uri="{C3380CC4-5D6E-409C-BE32-E72D297353CC}">
                  <c16:uniqueId val="{00000009-D022-47E4-B187-3E094242F1C9}"/>
                </c:ext>
              </c:extLst>
            </c:dLbl>
            <c:dLbl>
              <c:idx val="11"/>
              <c:delete val="1"/>
              <c:extLst>
                <c:ext xmlns:c15="http://schemas.microsoft.com/office/drawing/2012/chart" uri="{CE6537A1-D6FC-4f65-9D91-7224C49458BB}"/>
                <c:ext xmlns:c16="http://schemas.microsoft.com/office/drawing/2014/chart" uri="{C3380CC4-5D6E-409C-BE32-E72D297353CC}">
                  <c16:uniqueId val="{0000000A-D022-47E4-B187-3E094242F1C9}"/>
                </c:ext>
              </c:extLst>
            </c:dLbl>
            <c:dLbl>
              <c:idx val="12"/>
              <c:delete val="1"/>
              <c:extLst>
                <c:ext xmlns:c15="http://schemas.microsoft.com/office/drawing/2012/chart" uri="{CE6537A1-D6FC-4f65-9D91-7224C49458BB}"/>
                <c:ext xmlns:c16="http://schemas.microsoft.com/office/drawing/2014/chart" uri="{C3380CC4-5D6E-409C-BE32-E72D297353CC}">
                  <c16:uniqueId val="{0000000B-D022-47E4-B187-3E094242F1C9}"/>
                </c:ext>
              </c:extLst>
            </c:dLbl>
            <c:dLbl>
              <c:idx val="13"/>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D022-47E4-B187-3E094242F1C9}"/>
                </c:ext>
              </c:extLst>
            </c:dLbl>
            <c:spPr>
              <a:noFill/>
              <a:ln>
                <a:noFill/>
              </a:ln>
              <a:effectLst/>
            </c:spPr>
            <c:txPr>
              <a:bodyPr/>
              <a:lstStyle/>
              <a:p>
                <a:pPr>
                  <a:defRPr>
                    <a:solidFill>
                      <a:schemeClr val="accent6">
                        <a:lumMod val="75000"/>
                      </a:schemeClr>
                    </a:solidFill>
                  </a:defRPr>
                </a:pPr>
                <a:endParaRPr lang="cs-CZ"/>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List1!$A$1:$N$1</c:f>
              <c:numCache>
                <c:formatCode>General</c:formatCode>
                <c:ptCount val="14"/>
                <c:pt idx="0">
                  <c:v>1869</c:v>
                </c:pt>
                <c:pt idx="1">
                  <c:v>1880</c:v>
                </c:pt>
                <c:pt idx="2">
                  <c:v>1890</c:v>
                </c:pt>
                <c:pt idx="3">
                  <c:v>1900</c:v>
                </c:pt>
                <c:pt idx="4">
                  <c:v>1910</c:v>
                </c:pt>
                <c:pt idx="5">
                  <c:v>1921</c:v>
                </c:pt>
                <c:pt idx="6">
                  <c:v>1930</c:v>
                </c:pt>
                <c:pt idx="7">
                  <c:v>1950</c:v>
                </c:pt>
                <c:pt idx="8">
                  <c:v>1961</c:v>
                </c:pt>
                <c:pt idx="9">
                  <c:v>1970</c:v>
                </c:pt>
                <c:pt idx="10">
                  <c:v>1980</c:v>
                </c:pt>
                <c:pt idx="11">
                  <c:v>1991</c:v>
                </c:pt>
                <c:pt idx="12">
                  <c:v>2001</c:v>
                </c:pt>
                <c:pt idx="13">
                  <c:v>2011</c:v>
                </c:pt>
              </c:numCache>
            </c:numRef>
          </c:cat>
          <c:val>
            <c:numRef>
              <c:f>List1!$A$52:$N$52</c:f>
              <c:numCache>
                <c:formatCode>#,##0</c:formatCode>
                <c:ptCount val="14"/>
                <c:pt idx="0">
                  <c:v>131</c:v>
                </c:pt>
                <c:pt idx="1">
                  <c:v>142</c:v>
                </c:pt>
                <c:pt idx="2">
                  <c:v>131</c:v>
                </c:pt>
                <c:pt idx="3">
                  <c:v>130</c:v>
                </c:pt>
                <c:pt idx="4">
                  <c:v>138</c:v>
                </c:pt>
                <c:pt idx="5">
                  <c:v>136</c:v>
                </c:pt>
                <c:pt idx="6">
                  <c:v>141</c:v>
                </c:pt>
                <c:pt idx="7">
                  <c:v>116</c:v>
                </c:pt>
                <c:pt idx="8">
                  <c:v>97</c:v>
                </c:pt>
                <c:pt idx="9">
                  <c:v>97</c:v>
                </c:pt>
                <c:pt idx="10">
                  <c:v>69</c:v>
                </c:pt>
                <c:pt idx="11">
                  <c:v>59</c:v>
                </c:pt>
                <c:pt idx="12">
                  <c:v>43</c:v>
                </c:pt>
                <c:pt idx="13">
                  <c:v>60</c:v>
                </c:pt>
              </c:numCache>
            </c:numRef>
          </c:val>
          <c:smooth val="1"/>
          <c:extLst>
            <c:ext xmlns:c16="http://schemas.microsoft.com/office/drawing/2014/chart" uri="{C3380CC4-5D6E-409C-BE32-E72D297353CC}">
              <c16:uniqueId val="{0000000D-D022-47E4-B187-3E094242F1C9}"/>
            </c:ext>
          </c:extLst>
        </c:ser>
        <c:dLbls>
          <c:showLegendKey val="0"/>
          <c:showVal val="1"/>
          <c:showCatName val="0"/>
          <c:showSerName val="0"/>
          <c:showPercent val="0"/>
          <c:showBubbleSize val="0"/>
        </c:dLbls>
        <c:marker val="1"/>
        <c:smooth val="0"/>
        <c:axId val="158799360"/>
        <c:axId val="158918144"/>
      </c:lineChart>
      <c:lineChart>
        <c:grouping val="standard"/>
        <c:varyColors val="0"/>
        <c:ser>
          <c:idx val="1"/>
          <c:order val="1"/>
          <c:tx>
            <c:strRef>
              <c:f>List1!$N$7</c:f>
              <c:strCache>
                <c:ptCount val="1"/>
                <c:pt idx="0">
                  <c:v>počet domů</c:v>
                </c:pt>
              </c:strCache>
            </c:strRef>
          </c:tx>
          <c:spPr>
            <a:ln>
              <a:solidFill>
                <a:schemeClr val="accent1">
                  <a:lumMod val="75000"/>
                </a:schemeClr>
              </a:solidFill>
            </a:ln>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0E-D022-47E4-B187-3E094242F1C9}"/>
                </c:ext>
              </c:extLst>
            </c:dLbl>
            <c:dLbl>
              <c:idx val="1"/>
              <c:delete val="1"/>
              <c:extLst>
                <c:ext xmlns:c15="http://schemas.microsoft.com/office/drawing/2012/chart" uri="{CE6537A1-D6FC-4f65-9D91-7224C49458BB}"/>
                <c:ext xmlns:c16="http://schemas.microsoft.com/office/drawing/2014/chart" uri="{C3380CC4-5D6E-409C-BE32-E72D297353CC}">
                  <c16:uniqueId val="{0000000F-D022-47E4-B187-3E094242F1C9}"/>
                </c:ext>
              </c:extLst>
            </c:dLbl>
            <c:dLbl>
              <c:idx val="2"/>
              <c:delete val="1"/>
              <c:extLst>
                <c:ext xmlns:c15="http://schemas.microsoft.com/office/drawing/2012/chart" uri="{CE6537A1-D6FC-4f65-9D91-7224C49458BB}"/>
                <c:ext xmlns:c16="http://schemas.microsoft.com/office/drawing/2014/chart" uri="{C3380CC4-5D6E-409C-BE32-E72D297353CC}">
                  <c16:uniqueId val="{00000010-D022-47E4-B187-3E094242F1C9}"/>
                </c:ext>
              </c:extLst>
            </c:dLbl>
            <c:dLbl>
              <c:idx val="3"/>
              <c:delete val="1"/>
              <c:extLst>
                <c:ext xmlns:c15="http://schemas.microsoft.com/office/drawing/2012/chart" uri="{CE6537A1-D6FC-4f65-9D91-7224C49458BB}"/>
                <c:ext xmlns:c16="http://schemas.microsoft.com/office/drawing/2014/chart" uri="{C3380CC4-5D6E-409C-BE32-E72D297353CC}">
                  <c16:uniqueId val="{00000011-D022-47E4-B187-3E094242F1C9}"/>
                </c:ext>
              </c:extLst>
            </c:dLbl>
            <c:dLbl>
              <c:idx val="4"/>
              <c:delete val="1"/>
              <c:extLst>
                <c:ext xmlns:c15="http://schemas.microsoft.com/office/drawing/2012/chart" uri="{CE6537A1-D6FC-4f65-9D91-7224C49458BB}"/>
                <c:ext xmlns:c16="http://schemas.microsoft.com/office/drawing/2014/chart" uri="{C3380CC4-5D6E-409C-BE32-E72D297353CC}">
                  <c16:uniqueId val="{00000012-D022-47E4-B187-3E094242F1C9}"/>
                </c:ext>
              </c:extLst>
            </c:dLbl>
            <c:dLbl>
              <c:idx val="5"/>
              <c:delete val="1"/>
              <c:extLst>
                <c:ext xmlns:c15="http://schemas.microsoft.com/office/drawing/2012/chart" uri="{CE6537A1-D6FC-4f65-9D91-7224C49458BB}"/>
                <c:ext xmlns:c16="http://schemas.microsoft.com/office/drawing/2014/chart" uri="{C3380CC4-5D6E-409C-BE32-E72D297353CC}">
                  <c16:uniqueId val="{00000013-D022-47E4-B187-3E094242F1C9}"/>
                </c:ext>
              </c:extLst>
            </c:dLbl>
            <c:dLbl>
              <c:idx val="6"/>
              <c:delete val="1"/>
              <c:extLst>
                <c:ext xmlns:c15="http://schemas.microsoft.com/office/drawing/2012/chart" uri="{CE6537A1-D6FC-4f65-9D91-7224C49458BB}"/>
                <c:ext xmlns:c16="http://schemas.microsoft.com/office/drawing/2014/chart" uri="{C3380CC4-5D6E-409C-BE32-E72D297353CC}">
                  <c16:uniqueId val="{00000014-D022-47E4-B187-3E094242F1C9}"/>
                </c:ext>
              </c:extLst>
            </c:dLbl>
            <c:dLbl>
              <c:idx val="8"/>
              <c:delete val="1"/>
              <c:extLst>
                <c:ext xmlns:c15="http://schemas.microsoft.com/office/drawing/2012/chart" uri="{CE6537A1-D6FC-4f65-9D91-7224C49458BB}"/>
                <c:ext xmlns:c16="http://schemas.microsoft.com/office/drawing/2014/chart" uri="{C3380CC4-5D6E-409C-BE32-E72D297353CC}">
                  <c16:uniqueId val="{00000015-D022-47E4-B187-3E094242F1C9}"/>
                </c:ext>
              </c:extLst>
            </c:dLbl>
            <c:dLbl>
              <c:idx val="9"/>
              <c:delete val="1"/>
              <c:extLst>
                <c:ext xmlns:c15="http://schemas.microsoft.com/office/drawing/2012/chart" uri="{CE6537A1-D6FC-4f65-9D91-7224C49458BB}"/>
                <c:ext xmlns:c16="http://schemas.microsoft.com/office/drawing/2014/chart" uri="{C3380CC4-5D6E-409C-BE32-E72D297353CC}">
                  <c16:uniqueId val="{00000016-D022-47E4-B187-3E094242F1C9}"/>
                </c:ext>
              </c:extLst>
            </c:dLbl>
            <c:dLbl>
              <c:idx val="10"/>
              <c:delete val="1"/>
              <c:extLst>
                <c:ext xmlns:c15="http://schemas.microsoft.com/office/drawing/2012/chart" uri="{CE6537A1-D6FC-4f65-9D91-7224C49458BB}"/>
                <c:ext xmlns:c16="http://schemas.microsoft.com/office/drawing/2014/chart" uri="{C3380CC4-5D6E-409C-BE32-E72D297353CC}">
                  <c16:uniqueId val="{00000017-D022-47E4-B187-3E094242F1C9}"/>
                </c:ext>
              </c:extLst>
            </c:dLbl>
            <c:dLbl>
              <c:idx val="11"/>
              <c:delete val="1"/>
              <c:extLst>
                <c:ext xmlns:c15="http://schemas.microsoft.com/office/drawing/2012/chart" uri="{CE6537A1-D6FC-4f65-9D91-7224C49458BB}"/>
                <c:ext xmlns:c16="http://schemas.microsoft.com/office/drawing/2014/chart" uri="{C3380CC4-5D6E-409C-BE32-E72D297353CC}">
                  <c16:uniqueId val="{00000018-D022-47E4-B187-3E094242F1C9}"/>
                </c:ext>
              </c:extLst>
            </c:dLbl>
            <c:dLbl>
              <c:idx val="12"/>
              <c:dLblPos val="b"/>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D022-47E4-B187-3E094242F1C9}"/>
                </c:ext>
              </c:extLst>
            </c:dLbl>
            <c:dLbl>
              <c:idx val="13"/>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D022-47E4-B187-3E094242F1C9}"/>
                </c:ext>
              </c:extLst>
            </c:dLbl>
            <c:spPr>
              <a:noFill/>
              <a:ln>
                <a:noFill/>
              </a:ln>
              <a:effectLst/>
            </c:spPr>
            <c:txPr>
              <a:bodyPr/>
              <a:lstStyle/>
              <a:p>
                <a:pPr>
                  <a:defRPr>
                    <a:solidFill>
                      <a:schemeClr val="accent1">
                        <a:lumMod val="75000"/>
                      </a:schemeClr>
                    </a:solidFill>
                  </a:defRPr>
                </a:pPr>
                <a:endParaRPr lang="cs-CZ"/>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List1!$A$1:$N$1</c:f>
              <c:numCache>
                <c:formatCode>General</c:formatCode>
                <c:ptCount val="14"/>
                <c:pt idx="0">
                  <c:v>1869</c:v>
                </c:pt>
                <c:pt idx="1">
                  <c:v>1880</c:v>
                </c:pt>
                <c:pt idx="2">
                  <c:v>1890</c:v>
                </c:pt>
                <c:pt idx="3">
                  <c:v>1900</c:v>
                </c:pt>
                <c:pt idx="4">
                  <c:v>1910</c:v>
                </c:pt>
                <c:pt idx="5">
                  <c:v>1921</c:v>
                </c:pt>
                <c:pt idx="6">
                  <c:v>1930</c:v>
                </c:pt>
                <c:pt idx="7">
                  <c:v>1950</c:v>
                </c:pt>
                <c:pt idx="8">
                  <c:v>1961</c:v>
                </c:pt>
                <c:pt idx="9">
                  <c:v>1970</c:v>
                </c:pt>
                <c:pt idx="10">
                  <c:v>1980</c:v>
                </c:pt>
                <c:pt idx="11">
                  <c:v>1991</c:v>
                </c:pt>
                <c:pt idx="12">
                  <c:v>2001</c:v>
                </c:pt>
                <c:pt idx="13">
                  <c:v>2011</c:v>
                </c:pt>
              </c:numCache>
            </c:numRef>
          </c:cat>
          <c:val>
            <c:numRef>
              <c:f>List1!$A$53:$N$53</c:f>
              <c:numCache>
                <c:formatCode>#,##0</c:formatCode>
                <c:ptCount val="14"/>
                <c:pt idx="0">
                  <c:v>21</c:v>
                </c:pt>
                <c:pt idx="1">
                  <c:v>22</c:v>
                </c:pt>
                <c:pt idx="2">
                  <c:v>21</c:v>
                </c:pt>
                <c:pt idx="3">
                  <c:v>24</c:v>
                </c:pt>
                <c:pt idx="4">
                  <c:v>26</c:v>
                </c:pt>
                <c:pt idx="5">
                  <c:v>26</c:v>
                </c:pt>
                <c:pt idx="6">
                  <c:v>30</c:v>
                </c:pt>
                <c:pt idx="7">
                  <c:v>35</c:v>
                </c:pt>
                <c:pt idx="9">
                  <c:v>30</c:v>
                </c:pt>
                <c:pt idx="10">
                  <c:v>29</c:v>
                </c:pt>
                <c:pt idx="11">
                  <c:v>30</c:v>
                </c:pt>
                <c:pt idx="12">
                  <c:v>31</c:v>
                </c:pt>
                <c:pt idx="13">
                  <c:v>32</c:v>
                </c:pt>
              </c:numCache>
            </c:numRef>
          </c:val>
          <c:smooth val="1"/>
          <c:extLst>
            <c:ext xmlns:c16="http://schemas.microsoft.com/office/drawing/2014/chart" uri="{C3380CC4-5D6E-409C-BE32-E72D297353CC}">
              <c16:uniqueId val="{0000001B-D022-47E4-B187-3E094242F1C9}"/>
            </c:ext>
          </c:extLst>
        </c:ser>
        <c:dLbls>
          <c:showLegendKey val="0"/>
          <c:showVal val="1"/>
          <c:showCatName val="0"/>
          <c:showSerName val="0"/>
          <c:showPercent val="0"/>
          <c:showBubbleSize val="0"/>
        </c:dLbls>
        <c:marker val="1"/>
        <c:smooth val="0"/>
        <c:axId val="151134208"/>
        <c:axId val="400353152"/>
      </c:lineChart>
      <c:catAx>
        <c:axId val="158799360"/>
        <c:scaling>
          <c:orientation val="minMax"/>
        </c:scaling>
        <c:delete val="0"/>
        <c:axPos val="b"/>
        <c:majorGridlines/>
        <c:minorGridlines/>
        <c:numFmt formatCode="General" sourceLinked="1"/>
        <c:majorTickMark val="out"/>
        <c:minorTickMark val="none"/>
        <c:tickLblPos val="nextTo"/>
        <c:crossAx val="158918144"/>
        <c:crosses val="autoZero"/>
        <c:auto val="1"/>
        <c:lblAlgn val="ctr"/>
        <c:lblOffset val="100"/>
        <c:noMultiLvlLbl val="0"/>
      </c:catAx>
      <c:valAx>
        <c:axId val="158918144"/>
        <c:scaling>
          <c:orientation val="minMax"/>
        </c:scaling>
        <c:delete val="0"/>
        <c:axPos val="l"/>
        <c:majorGridlines/>
        <c:title>
          <c:tx>
            <c:rich>
              <a:bodyPr rot="-5400000" vert="horz"/>
              <a:lstStyle/>
              <a:p>
                <a:pPr>
                  <a:defRPr/>
                </a:pPr>
                <a:r>
                  <a:rPr lang="cs-CZ"/>
                  <a:t>počet obyvatel</a:t>
                </a:r>
              </a:p>
            </c:rich>
          </c:tx>
          <c:overlay val="0"/>
        </c:title>
        <c:numFmt formatCode="#,##0" sourceLinked="1"/>
        <c:majorTickMark val="out"/>
        <c:minorTickMark val="none"/>
        <c:tickLblPos val="nextTo"/>
        <c:crossAx val="158799360"/>
        <c:crosses val="autoZero"/>
        <c:crossBetween val="between"/>
      </c:valAx>
      <c:valAx>
        <c:axId val="400353152"/>
        <c:scaling>
          <c:orientation val="minMax"/>
        </c:scaling>
        <c:delete val="0"/>
        <c:axPos val="r"/>
        <c:title>
          <c:tx>
            <c:rich>
              <a:bodyPr rot="-5400000" vert="horz"/>
              <a:lstStyle/>
              <a:p>
                <a:pPr>
                  <a:defRPr/>
                </a:pPr>
                <a:r>
                  <a:rPr lang="cs-CZ"/>
                  <a:t>počet domů</a:t>
                </a:r>
              </a:p>
            </c:rich>
          </c:tx>
          <c:overlay val="0"/>
        </c:title>
        <c:numFmt formatCode="#,##0" sourceLinked="1"/>
        <c:majorTickMark val="out"/>
        <c:minorTickMark val="none"/>
        <c:tickLblPos val="nextTo"/>
        <c:crossAx val="151134208"/>
        <c:crosses val="max"/>
        <c:crossBetween val="between"/>
      </c:valAx>
      <c:catAx>
        <c:axId val="151134208"/>
        <c:scaling>
          <c:orientation val="minMax"/>
        </c:scaling>
        <c:delete val="1"/>
        <c:axPos val="b"/>
        <c:numFmt formatCode="General" sourceLinked="1"/>
        <c:majorTickMark val="out"/>
        <c:minorTickMark val="none"/>
        <c:tickLblPos val="none"/>
        <c:crossAx val="400353152"/>
        <c:crosses val="autoZero"/>
        <c:auto val="1"/>
        <c:lblAlgn val="ctr"/>
        <c:lblOffset val="100"/>
        <c:noMultiLvlLbl val="0"/>
      </c:catAx>
    </c:plotArea>
    <c:legend>
      <c:legendPos val="b"/>
      <c:overlay val="0"/>
    </c:legend>
    <c:plotVisOnly val="1"/>
    <c:dispBlanksAs val="gap"/>
    <c:showDLblsOverMax val="0"/>
  </c:chart>
  <c:spPr>
    <a:ln>
      <a:noFill/>
    </a:ln>
  </c:spPr>
  <c:externalData r:id="rId2">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D232480-825C-4692-A045-DA7CCE8AB2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2745</TotalTime>
  <Pages>187</Pages>
  <Words>94265</Words>
  <Characters>556164</Characters>
  <Application>Microsoft Office Word</Application>
  <DocSecurity>0</DocSecurity>
  <Lines>4634</Lines>
  <Paragraphs>1298</Paragraphs>
  <ScaleCrop>false</ScaleCrop>
  <HeadingPairs>
    <vt:vector size="2" baseType="variant">
      <vt:variant>
        <vt:lpstr>Název</vt:lpstr>
      </vt:variant>
      <vt:variant>
        <vt:i4>1</vt:i4>
      </vt:variant>
    </vt:vector>
  </HeadingPairs>
  <TitlesOfParts>
    <vt:vector size="1" baseType="lpstr">
      <vt:lpstr>OÚP Kostomlaty nad Labem</vt:lpstr>
    </vt:vector>
  </TitlesOfParts>
  <Company>Hewlett-Packard Company</Company>
  <LinksUpToDate>false</LinksUpToDate>
  <CharactersWithSpaces>649131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OÚP Kostomlaty nad Labem</dc:title>
  <dc:subject/>
  <dc:creator>ŽALUDA, projektová kancelář</dc:creator>
  <cp:keywords/>
  <dc:description/>
  <cp:lastModifiedBy>Miroslav Vrtiška</cp:lastModifiedBy>
  <cp:revision>39</cp:revision>
  <cp:lastPrinted>2025-07-29T08:46:00Z</cp:lastPrinted>
  <dcterms:created xsi:type="dcterms:W3CDTF">2023-11-07T15:46:00Z</dcterms:created>
  <dcterms:modified xsi:type="dcterms:W3CDTF">2025-08-06T09:42:00Z</dcterms:modified>
</cp:coreProperties>
</file>